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rPrChange w:id="0" w:author="Author">
            <w:rPr>
              <w:noProof/>
              <w:lang w:val="it-IT"/>
            </w:rPr>
          </w:rPrChange>
        </w:rPr>
        <w:pPrChange w:id="1" w:author="Author">
          <w:pPr>
            <w:jc w:val="both"/>
          </w:pPr>
        </w:pPrChange>
      </w:pPr>
    </w:p>
    <w:tbl>
      <w:tblPr>
        <w:tblpPr w:leftFromText="180" w:rightFromText="180" w:vertAnchor="page" w:horzAnchor="margin" w:tblpY="1245"/>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tc>
          <w:tcPr>
            <w:tcW w:w="9356" w:type="dxa"/>
          </w:tcPr>
          <w:p>
            <w:pPr>
              <w:rPr>
                <w:lang w:val="it-IT"/>
              </w:rPr>
            </w:pPr>
            <w:r>
              <w:rPr>
                <w:lang w:val="it-IT"/>
              </w:rPr>
              <w:t>Il presente documento riporta le informazioni sul prodotto approvate relative a  RoActemra, con evidenziate le modifiche che vi sono state apportate in seguito alla procedura precedente  EMEA/H/C/000955/IB/0123/G).</w:t>
            </w:r>
          </w:p>
          <w:p>
            <w:pPr>
              <w:rPr>
                <w:lang w:val="it-IT"/>
              </w:rPr>
            </w:pPr>
          </w:p>
          <w:p>
            <w:pPr>
              <w:rPr>
                <w:lang w:val="it-IT"/>
              </w:rPr>
            </w:pPr>
            <w:r>
              <w:rPr>
                <w:lang w:val="it-IT"/>
              </w:rPr>
              <w:t xml:space="preserve">Per maggiori informazioni, consultare il sito web dell’Agenzia europea per i medicinali: </w:t>
            </w:r>
            <w:r>
              <w:fldChar w:fldCharType="begin"/>
            </w:r>
            <w:r>
              <w:rPr>
                <w:lang w:val="it-IT"/>
                <w:rPrChange w:id="2" w:author="Author">
                  <w:rPr/>
                </w:rPrChange>
              </w:rPr>
              <w:instrText>HYPERLINK "https://www.ema.europa.eu/en/medicines/human/epar/roactemra" \h</w:instrText>
            </w:r>
            <w:r>
              <w:fldChar w:fldCharType="separate"/>
            </w:r>
            <w:r>
              <w:rPr>
                <w:color w:val="0000FF"/>
                <w:u w:val="single"/>
                <w:lang w:val="it-IT"/>
              </w:rPr>
              <w:t>https://www.ema.europa.eu/en/medicines/human/epar/roactemra</w:t>
            </w:r>
            <w:r>
              <w:fldChar w:fldCharType="end"/>
            </w:r>
          </w:p>
        </w:tc>
      </w:tr>
    </w:tbl>
    <w:p>
      <w:pPr>
        <w:tabs>
          <w:tab w:val="left" w:pos="-1440"/>
          <w:tab w:val="left" w:pos="-720"/>
          <w:tab w:val="left" w:pos="180"/>
        </w:tabs>
        <w:jc w:val="center"/>
        <w:rPr>
          <w:b/>
          <w:noProof/>
          <w:lang w:val="it-IT"/>
        </w:rPr>
      </w:pPr>
    </w:p>
    <w:p>
      <w:pPr>
        <w:tabs>
          <w:tab w:val="left" w:pos="-1440"/>
          <w:tab w:val="left" w:pos="-720"/>
          <w:tab w:val="left" w:pos="180"/>
        </w:tabs>
        <w:jc w:val="center"/>
        <w:rPr>
          <w:b/>
          <w:noProof/>
          <w:lang w:val="it-IT"/>
        </w:rPr>
      </w:pPr>
    </w:p>
    <w:p>
      <w:pPr>
        <w:tabs>
          <w:tab w:val="left" w:pos="-1440"/>
          <w:tab w:val="left" w:pos="-720"/>
          <w:tab w:val="left" w:pos="180"/>
        </w:tabs>
        <w:jc w:val="center"/>
        <w:rPr>
          <w:b/>
          <w:noProof/>
          <w:lang w:val="it-IT"/>
        </w:rPr>
      </w:pPr>
    </w:p>
    <w:p>
      <w:pPr>
        <w:tabs>
          <w:tab w:val="left" w:pos="-1440"/>
          <w:tab w:val="left" w:pos="-720"/>
          <w:tab w:val="left" w:pos="180"/>
        </w:tabs>
        <w:jc w:val="center"/>
        <w:rPr>
          <w:b/>
          <w:noProof/>
          <w:lang w:val="it-IT"/>
        </w:rPr>
      </w:pPr>
    </w:p>
    <w:p>
      <w:pPr>
        <w:tabs>
          <w:tab w:val="left" w:pos="-1440"/>
          <w:tab w:val="left" w:pos="-720"/>
          <w:tab w:val="left" w:pos="180"/>
        </w:tabs>
        <w:jc w:val="center"/>
        <w:rPr>
          <w:b/>
          <w:noProof/>
          <w:lang w:val="it-IT"/>
        </w:rPr>
      </w:pPr>
    </w:p>
    <w:p>
      <w:pPr>
        <w:tabs>
          <w:tab w:val="left" w:pos="-1440"/>
          <w:tab w:val="left" w:pos="-720"/>
          <w:tab w:val="left" w:pos="180"/>
        </w:tabs>
        <w:jc w:val="center"/>
        <w:rPr>
          <w:b/>
          <w:noProof/>
          <w:lang w:val="it-IT"/>
        </w:rPr>
      </w:pPr>
    </w:p>
    <w:p>
      <w:pPr>
        <w:tabs>
          <w:tab w:val="left" w:pos="-1440"/>
          <w:tab w:val="left" w:pos="-720"/>
          <w:tab w:val="left" w:pos="180"/>
        </w:tabs>
        <w:jc w:val="center"/>
        <w:rPr>
          <w:b/>
          <w:noProof/>
          <w:lang w:val="it-IT"/>
        </w:rPr>
      </w:pPr>
    </w:p>
    <w:p>
      <w:pPr>
        <w:tabs>
          <w:tab w:val="left" w:pos="-1440"/>
          <w:tab w:val="left" w:pos="-720"/>
          <w:tab w:val="left" w:pos="180"/>
        </w:tabs>
        <w:jc w:val="center"/>
        <w:rPr>
          <w:b/>
          <w:noProof/>
          <w:lang w:val="it-IT"/>
        </w:rPr>
      </w:pPr>
    </w:p>
    <w:p>
      <w:pPr>
        <w:tabs>
          <w:tab w:val="left" w:pos="-1440"/>
          <w:tab w:val="left" w:pos="-720"/>
          <w:tab w:val="left" w:pos="180"/>
        </w:tabs>
        <w:jc w:val="center"/>
        <w:rPr>
          <w:b/>
          <w:noProof/>
          <w:lang w:val="it-IT"/>
        </w:rPr>
      </w:pPr>
    </w:p>
    <w:p>
      <w:pPr>
        <w:tabs>
          <w:tab w:val="left" w:pos="-1440"/>
          <w:tab w:val="left" w:pos="-720"/>
          <w:tab w:val="left" w:pos="180"/>
        </w:tabs>
        <w:jc w:val="center"/>
        <w:rPr>
          <w:b/>
          <w:noProof/>
          <w:lang w:val="it-IT"/>
        </w:rPr>
      </w:pPr>
    </w:p>
    <w:p>
      <w:pPr>
        <w:tabs>
          <w:tab w:val="left" w:pos="-1440"/>
          <w:tab w:val="left" w:pos="-720"/>
          <w:tab w:val="left" w:pos="180"/>
        </w:tabs>
        <w:jc w:val="center"/>
        <w:rPr>
          <w:b/>
          <w:noProof/>
          <w:lang w:val="it-IT"/>
        </w:rPr>
      </w:pPr>
    </w:p>
    <w:p>
      <w:pPr>
        <w:tabs>
          <w:tab w:val="left" w:pos="-1440"/>
          <w:tab w:val="left" w:pos="-720"/>
          <w:tab w:val="left" w:pos="180"/>
        </w:tabs>
        <w:jc w:val="center"/>
        <w:rPr>
          <w:b/>
          <w:noProof/>
          <w:lang w:val="it-IT"/>
        </w:rPr>
      </w:pPr>
    </w:p>
    <w:p>
      <w:pPr>
        <w:tabs>
          <w:tab w:val="left" w:pos="-1440"/>
          <w:tab w:val="left" w:pos="-720"/>
          <w:tab w:val="left" w:pos="180"/>
        </w:tabs>
        <w:jc w:val="center"/>
        <w:rPr>
          <w:b/>
          <w:noProof/>
          <w:lang w:val="it-IT"/>
        </w:rPr>
      </w:pPr>
    </w:p>
    <w:p>
      <w:pPr>
        <w:tabs>
          <w:tab w:val="left" w:pos="-1440"/>
          <w:tab w:val="left" w:pos="-720"/>
          <w:tab w:val="left" w:pos="180"/>
        </w:tabs>
        <w:jc w:val="center"/>
        <w:rPr>
          <w:b/>
          <w:noProof/>
          <w:u w:val="single"/>
          <w:lang w:val="it-IT"/>
        </w:rPr>
      </w:pPr>
    </w:p>
    <w:p>
      <w:pPr>
        <w:tabs>
          <w:tab w:val="left" w:pos="-1440"/>
          <w:tab w:val="left" w:pos="-720"/>
          <w:tab w:val="left" w:pos="180"/>
        </w:tabs>
        <w:jc w:val="center"/>
        <w:rPr>
          <w:b/>
          <w:noProof/>
          <w:lang w:val="it-IT"/>
        </w:rPr>
      </w:pPr>
    </w:p>
    <w:p>
      <w:pPr>
        <w:tabs>
          <w:tab w:val="left" w:pos="-1440"/>
          <w:tab w:val="left" w:pos="-720"/>
          <w:tab w:val="left" w:pos="180"/>
        </w:tabs>
        <w:jc w:val="center"/>
        <w:rPr>
          <w:noProof/>
          <w:lang w:val="it-IT"/>
        </w:rPr>
      </w:pPr>
      <w:r>
        <w:rPr>
          <w:b/>
          <w:noProof/>
          <w:lang w:val="it-IT"/>
        </w:rPr>
        <w:t>ALLEGATO I</w:t>
      </w:r>
    </w:p>
    <w:p>
      <w:pPr>
        <w:tabs>
          <w:tab w:val="left" w:pos="-1440"/>
          <w:tab w:val="left" w:pos="-720"/>
          <w:tab w:val="left" w:pos="180"/>
        </w:tabs>
        <w:jc w:val="center"/>
        <w:rPr>
          <w:noProof/>
          <w:lang w:val="it-IT"/>
        </w:rPr>
      </w:pPr>
    </w:p>
    <w:p>
      <w:pPr>
        <w:pStyle w:val="Annex"/>
        <w:tabs>
          <w:tab w:val="left" w:pos="180"/>
        </w:tabs>
        <w:rPr>
          <w:noProof/>
          <w:lang w:val="it-IT"/>
        </w:rPr>
      </w:pPr>
      <w:r>
        <w:rPr>
          <w:noProof/>
          <w:lang w:val="it-IT"/>
        </w:rPr>
        <w:t>RIASSUNTO DELLE CARATTERISTICHE DEL PRODOTTO</w:t>
      </w:r>
    </w:p>
    <w:p>
      <w:pPr>
        <w:tabs>
          <w:tab w:val="left" w:pos="180"/>
        </w:tabs>
        <w:ind w:left="567" w:hanging="567"/>
        <w:rPr>
          <w:noProof/>
          <w:szCs w:val="22"/>
          <w:lang w:val="it-IT"/>
        </w:rPr>
      </w:pPr>
      <w:r>
        <w:rPr>
          <w:noProof/>
          <w:lang w:val="it-IT"/>
        </w:rPr>
        <w:br w:type="page"/>
      </w:r>
      <w:r>
        <w:rPr>
          <w:b/>
          <w:noProof/>
          <w:szCs w:val="22"/>
          <w:lang w:val="it-IT"/>
        </w:rPr>
        <w:lastRenderedPageBreak/>
        <w:t>1.</w:t>
      </w:r>
      <w:r>
        <w:rPr>
          <w:b/>
          <w:noProof/>
          <w:szCs w:val="22"/>
          <w:lang w:val="it-IT"/>
        </w:rPr>
        <w:tab/>
      </w:r>
      <w:r>
        <w:rPr>
          <w:b/>
          <w:noProof/>
          <w:szCs w:val="22"/>
          <w:lang w:val="it-IT"/>
        </w:rPr>
        <w:tab/>
        <w:t>DENOMINAZIONE DEL MEDICINALE</w:t>
      </w:r>
    </w:p>
    <w:p>
      <w:pPr>
        <w:tabs>
          <w:tab w:val="left" w:pos="180"/>
        </w:tabs>
        <w:rPr>
          <w:i/>
          <w:noProof/>
          <w:szCs w:val="22"/>
          <w:lang w:val="it-IT"/>
        </w:rPr>
      </w:pPr>
    </w:p>
    <w:p>
      <w:pPr>
        <w:tabs>
          <w:tab w:val="left" w:pos="180"/>
        </w:tabs>
        <w:rPr>
          <w:iCs/>
          <w:noProof/>
          <w:szCs w:val="22"/>
          <w:lang w:val="it-IT"/>
        </w:rPr>
      </w:pPr>
      <w:r>
        <w:rPr>
          <w:iCs/>
          <w:noProof/>
          <w:szCs w:val="22"/>
          <w:lang w:val="it-IT"/>
        </w:rPr>
        <w:t>RoActemra 20 mg/mL concentrato per soluzione per infusione.</w:t>
      </w:r>
    </w:p>
    <w:p>
      <w:pPr>
        <w:tabs>
          <w:tab w:val="left" w:pos="180"/>
        </w:tabs>
        <w:autoSpaceDE w:val="0"/>
        <w:autoSpaceDN w:val="0"/>
        <w:adjustRightInd w:val="0"/>
        <w:rPr>
          <w:iCs/>
          <w:noProof/>
          <w:szCs w:val="22"/>
          <w:lang w:val="it-IT"/>
        </w:rPr>
      </w:pPr>
    </w:p>
    <w:p>
      <w:pPr>
        <w:tabs>
          <w:tab w:val="left" w:pos="180"/>
        </w:tabs>
        <w:rPr>
          <w:noProof/>
          <w:szCs w:val="22"/>
          <w:lang w:val="it-IT"/>
        </w:rPr>
      </w:pPr>
    </w:p>
    <w:p>
      <w:pPr>
        <w:widowControl w:val="0"/>
        <w:tabs>
          <w:tab w:val="left" w:pos="180"/>
        </w:tabs>
        <w:ind w:left="567" w:hanging="567"/>
        <w:rPr>
          <w:noProof/>
          <w:szCs w:val="22"/>
          <w:lang w:val="it-IT"/>
        </w:rPr>
      </w:pPr>
      <w:r>
        <w:rPr>
          <w:b/>
          <w:noProof/>
          <w:szCs w:val="22"/>
          <w:lang w:val="it-IT"/>
        </w:rPr>
        <w:t>2.</w:t>
      </w:r>
      <w:r>
        <w:rPr>
          <w:b/>
          <w:noProof/>
          <w:szCs w:val="22"/>
          <w:lang w:val="it-IT"/>
        </w:rPr>
        <w:tab/>
      </w:r>
      <w:r>
        <w:rPr>
          <w:b/>
          <w:noProof/>
          <w:szCs w:val="22"/>
          <w:lang w:val="it-IT"/>
        </w:rPr>
        <w:tab/>
        <w:t>COMPOSIZIONE QUALITATIVA E QUANTITATIVA</w:t>
      </w:r>
    </w:p>
    <w:p>
      <w:pPr>
        <w:tabs>
          <w:tab w:val="left" w:pos="180"/>
        </w:tabs>
        <w:rPr>
          <w:noProof/>
          <w:szCs w:val="22"/>
          <w:lang w:val="it-IT"/>
        </w:rPr>
      </w:pPr>
    </w:p>
    <w:p>
      <w:pPr>
        <w:tabs>
          <w:tab w:val="left" w:pos="180"/>
        </w:tabs>
        <w:rPr>
          <w:noProof/>
          <w:szCs w:val="22"/>
          <w:lang w:val="it-IT"/>
        </w:rPr>
      </w:pPr>
      <w:del w:id="3" w:author="Author">
        <w:r>
          <w:rPr>
            <w:noProof/>
            <w:szCs w:val="22"/>
            <w:lang w:val="it-IT"/>
            <w:rPrChange w:id="4" w:author="Author">
              <w:rPr>
                <w:noProof/>
                <w:szCs w:val="22"/>
                <w:highlight w:val="yellow"/>
                <w:lang w:val="it-IT"/>
              </w:rPr>
            </w:rPrChange>
          </w:rPr>
          <w:delText>Ciascun</w:delText>
        </w:r>
      </w:del>
      <w:ins w:id="5" w:author="Author">
        <w:r>
          <w:rPr>
            <w:noProof/>
            <w:szCs w:val="22"/>
            <w:lang w:val="it-IT"/>
            <w:rPrChange w:id="6" w:author="Author">
              <w:rPr>
                <w:noProof/>
                <w:szCs w:val="22"/>
                <w:highlight w:val="yellow"/>
                <w:lang w:val="it-IT"/>
              </w:rPr>
            </w:rPrChange>
          </w:rPr>
          <w:t>Un</w:t>
        </w:r>
      </w:ins>
      <w:r>
        <w:rPr>
          <w:noProof/>
          <w:szCs w:val="22"/>
          <w:lang w:val="it-IT"/>
        </w:rPr>
        <w:t xml:space="preserve"> mL di concentrato contiene 20 mg di tocilizumab*.</w:t>
      </w:r>
    </w:p>
    <w:p>
      <w:pPr>
        <w:tabs>
          <w:tab w:val="left" w:pos="180"/>
        </w:tabs>
        <w:rPr>
          <w:noProof/>
          <w:szCs w:val="22"/>
          <w:lang w:val="it-IT"/>
        </w:rPr>
      </w:pPr>
    </w:p>
    <w:p>
      <w:pPr>
        <w:tabs>
          <w:tab w:val="left" w:pos="180"/>
        </w:tabs>
        <w:rPr>
          <w:noProof/>
          <w:szCs w:val="22"/>
          <w:lang w:val="it-IT"/>
        </w:rPr>
      </w:pPr>
      <w:r>
        <w:rPr>
          <w:noProof/>
          <w:szCs w:val="22"/>
          <w:lang w:val="it-IT"/>
        </w:rPr>
        <w:t>Ciascun flaconcino contiene 80 mg di tocilizumab* in 4 mL (20 mg/mL).</w:t>
      </w:r>
    </w:p>
    <w:p>
      <w:pPr>
        <w:tabs>
          <w:tab w:val="left" w:pos="180"/>
        </w:tabs>
        <w:rPr>
          <w:noProof/>
          <w:szCs w:val="22"/>
          <w:lang w:val="it-IT"/>
        </w:rPr>
      </w:pPr>
      <w:r>
        <w:rPr>
          <w:noProof/>
          <w:szCs w:val="22"/>
          <w:lang w:val="it-IT"/>
        </w:rPr>
        <w:t>Ciascun flaconcino contiene 200 mg di tocilizumab* in 10 mL (20 mg/mL).</w:t>
      </w:r>
    </w:p>
    <w:p>
      <w:pPr>
        <w:tabs>
          <w:tab w:val="left" w:pos="180"/>
        </w:tabs>
        <w:rPr>
          <w:noProof/>
          <w:szCs w:val="22"/>
          <w:lang w:val="it-IT"/>
        </w:rPr>
      </w:pPr>
      <w:r>
        <w:rPr>
          <w:noProof/>
          <w:szCs w:val="22"/>
          <w:lang w:val="it-IT"/>
        </w:rPr>
        <w:t>Ciascun flaconcino contiene 400 mg di tocilizumab* in 20 mL (20 mg/mL).</w:t>
      </w:r>
    </w:p>
    <w:p>
      <w:pPr>
        <w:tabs>
          <w:tab w:val="left" w:pos="180"/>
        </w:tabs>
        <w:rPr>
          <w:noProof/>
          <w:szCs w:val="22"/>
          <w:lang w:val="it-IT"/>
        </w:rPr>
      </w:pPr>
    </w:p>
    <w:p>
      <w:pPr>
        <w:tabs>
          <w:tab w:val="left" w:pos="180"/>
        </w:tabs>
        <w:rPr>
          <w:noProof/>
          <w:szCs w:val="22"/>
          <w:lang w:val="it-IT"/>
        </w:rPr>
      </w:pPr>
      <w:r>
        <w:rPr>
          <w:noProof/>
          <w:szCs w:val="22"/>
          <w:lang w:val="it-IT"/>
        </w:rPr>
        <w:t>*anticorpo monoclonale umanizzato IgG1 prodotto in cellule di ovaio di criceto cinese (CHO) mediante la tecnologia del DNA ricombinante.</w:t>
      </w:r>
    </w:p>
    <w:p>
      <w:pPr>
        <w:tabs>
          <w:tab w:val="left" w:pos="180"/>
        </w:tabs>
        <w:rPr>
          <w:noProof/>
          <w:szCs w:val="22"/>
          <w:lang w:val="it-IT"/>
        </w:rPr>
      </w:pPr>
    </w:p>
    <w:p>
      <w:pPr>
        <w:tabs>
          <w:tab w:val="left" w:pos="180"/>
        </w:tabs>
        <w:rPr>
          <w:noProof/>
          <w:szCs w:val="22"/>
          <w:lang w:val="it-IT"/>
        </w:rPr>
      </w:pPr>
      <w:r>
        <w:rPr>
          <w:noProof/>
          <w:szCs w:val="22"/>
          <w:u w:val="single"/>
          <w:lang w:val="it-IT"/>
        </w:rPr>
        <w:t>Eccipienti con effetti noti</w:t>
      </w:r>
      <w:r>
        <w:rPr>
          <w:noProof/>
          <w:szCs w:val="22"/>
          <w:lang w:val="it-IT"/>
        </w:rPr>
        <w:t>:</w:t>
      </w:r>
    </w:p>
    <w:p>
      <w:pPr>
        <w:tabs>
          <w:tab w:val="left" w:pos="180"/>
        </w:tabs>
        <w:rPr>
          <w:noProof/>
          <w:szCs w:val="22"/>
          <w:lang w:val="it-IT"/>
        </w:rPr>
      </w:pPr>
    </w:p>
    <w:p>
      <w:pPr>
        <w:tabs>
          <w:tab w:val="left" w:pos="180"/>
        </w:tabs>
        <w:rPr>
          <w:noProof/>
          <w:szCs w:val="22"/>
          <w:lang w:val="it-IT"/>
        </w:rPr>
      </w:pPr>
      <w:r>
        <w:rPr>
          <w:noProof/>
          <w:szCs w:val="22"/>
          <w:lang w:val="it-IT"/>
        </w:rPr>
        <w:t>Ogni flaconcino da 80 mg contiene 0,10 mmol (2,21 mg) di sodio e 2 mg (0</w:t>
      </w:r>
      <w:ins w:id="7" w:author="Author">
        <w:r>
          <w:rPr>
            <w:noProof/>
            <w:szCs w:val="22"/>
            <w:lang w:val="it-IT"/>
          </w:rPr>
          <w:t>,</w:t>
        </w:r>
      </w:ins>
      <w:del w:id="8" w:author="Author">
        <w:r>
          <w:rPr>
            <w:noProof/>
            <w:szCs w:val="22"/>
            <w:lang w:val="it-IT"/>
          </w:rPr>
          <w:delText>.</w:delText>
        </w:r>
      </w:del>
      <w:r>
        <w:rPr>
          <w:noProof/>
          <w:szCs w:val="22"/>
          <w:lang w:val="it-IT"/>
        </w:rPr>
        <w:t>5 mg/mL) di polisorbato</w:t>
      </w:r>
      <w:ins w:id="9" w:author="Author">
        <w:r>
          <w:rPr>
            <w:noProof/>
            <w:szCs w:val="22"/>
            <w:lang w:val="it-IT"/>
          </w:rPr>
          <w:t> </w:t>
        </w:r>
      </w:ins>
      <w:del w:id="10" w:author="Author">
        <w:r>
          <w:rPr>
            <w:noProof/>
            <w:szCs w:val="22"/>
            <w:lang w:val="it-IT"/>
          </w:rPr>
          <w:delText xml:space="preserve"> </w:delText>
        </w:r>
      </w:del>
      <w:r>
        <w:rPr>
          <w:noProof/>
          <w:szCs w:val="22"/>
          <w:lang w:val="it-IT"/>
        </w:rPr>
        <w:t>80.</w:t>
      </w:r>
      <w:bookmarkStart w:id="11" w:name="_GoBack"/>
      <w:bookmarkEnd w:id="11"/>
    </w:p>
    <w:p>
      <w:pPr>
        <w:tabs>
          <w:tab w:val="left" w:pos="180"/>
        </w:tabs>
        <w:rPr>
          <w:noProof/>
          <w:szCs w:val="22"/>
          <w:lang w:val="it-IT"/>
        </w:rPr>
      </w:pPr>
      <w:r>
        <w:rPr>
          <w:noProof/>
          <w:szCs w:val="22"/>
          <w:lang w:val="it-IT"/>
        </w:rPr>
        <w:t>Ogni flaconcino da 200 mg contiene 0,20 mmol 4,43 mg) di sodio e 5 mg (0</w:t>
      </w:r>
      <w:ins w:id="12" w:author="Author">
        <w:r>
          <w:rPr>
            <w:noProof/>
            <w:szCs w:val="22"/>
            <w:lang w:val="it-IT"/>
          </w:rPr>
          <w:t>,</w:t>
        </w:r>
      </w:ins>
      <w:del w:id="13" w:author="Author">
        <w:r>
          <w:rPr>
            <w:noProof/>
            <w:szCs w:val="22"/>
            <w:lang w:val="it-IT"/>
          </w:rPr>
          <w:delText>.</w:delText>
        </w:r>
      </w:del>
      <w:r>
        <w:rPr>
          <w:noProof/>
          <w:szCs w:val="22"/>
          <w:lang w:val="it-IT"/>
        </w:rPr>
        <w:t>5 mg/mL) di polisorbato</w:t>
      </w:r>
      <w:ins w:id="14" w:author="Author">
        <w:r>
          <w:rPr>
            <w:noProof/>
            <w:szCs w:val="22"/>
            <w:lang w:val="it-IT"/>
          </w:rPr>
          <w:t> </w:t>
        </w:r>
      </w:ins>
      <w:del w:id="15" w:author="Author">
        <w:r>
          <w:rPr>
            <w:noProof/>
            <w:szCs w:val="22"/>
            <w:lang w:val="it-IT"/>
          </w:rPr>
          <w:delText xml:space="preserve"> </w:delText>
        </w:r>
      </w:del>
      <w:r>
        <w:rPr>
          <w:noProof/>
          <w:szCs w:val="22"/>
          <w:lang w:val="it-IT"/>
        </w:rPr>
        <w:t>80.</w:t>
      </w:r>
    </w:p>
    <w:p>
      <w:pPr>
        <w:tabs>
          <w:tab w:val="left" w:pos="180"/>
        </w:tabs>
        <w:rPr>
          <w:noProof/>
          <w:szCs w:val="22"/>
          <w:lang w:val="it-IT"/>
        </w:rPr>
      </w:pPr>
      <w:r>
        <w:rPr>
          <w:noProof/>
          <w:szCs w:val="22"/>
          <w:lang w:val="it-IT"/>
        </w:rPr>
        <w:t>Ogni flaconcino da 400 mg contiene 0,39 mmol (8,85 mg) di sodio e 10 mg (0</w:t>
      </w:r>
      <w:ins w:id="16" w:author="Author">
        <w:r>
          <w:rPr>
            <w:noProof/>
            <w:szCs w:val="22"/>
            <w:lang w:val="it-IT"/>
          </w:rPr>
          <w:t>,</w:t>
        </w:r>
      </w:ins>
      <w:del w:id="17" w:author="Author">
        <w:r>
          <w:rPr>
            <w:noProof/>
            <w:szCs w:val="22"/>
            <w:lang w:val="it-IT"/>
          </w:rPr>
          <w:delText>.</w:delText>
        </w:r>
      </w:del>
      <w:r>
        <w:rPr>
          <w:noProof/>
          <w:szCs w:val="22"/>
          <w:lang w:val="it-IT"/>
        </w:rPr>
        <w:t>5 mg/mL) di polisorbato</w:t>
      </w:r>
      <w:ins w:id="18" w:author="Author">
        <w:r>
          <w:rPr>
            <w:noProof/>
            <w:szCs w:val="22"/>
            <w:lang w:val="it-IT"/>
          </w:rPr>
          <w:t> </w:t>
        </w:r>
      </w:ins>
      <w:del w:id="19" w:author="Author">
        <w:r>
          <w:rPr>
            <w:noProof/>
            <w:szCs w:val="22"/>
            <w:lang w:val="it-IT"/>
          </w:rPr>
          <w:delText xml:space="preserve"> </w:delText>
        </w:r>
      </w:del>
      <w:r>
        <w:rPr>
          <w:noProof/>
          <w:szCs w:val="22"/>
          <w:lang w:val="it-IT"/>
        </w:rPr>
        <w:t>80.</w:t>
      </w:r>
    </w:p>
    <w:p>
      <w:pPr>
        <w:tabs>
          <w:tab w:val="left" w:pos="180"/>
        </w:tabs>
        <w:rPr>
          <w:noProof/>
          <w:szCs w:val="22"/>
          <w:lang w:val="it-IT"/>
        </w:rPr>
      </w:pPr>
    </w:p>
    <w:p>
      <w:pPr>
        <w:tabs>
          <w:tab w:val="left" w:pos="180"/>
        </w:tabs>
        <w:rPr>
          <w:noProof/>
          <w:szCs w:val="22"/>
          <w:lang w:val="it-IT"/>
        </w:rPr>
      </w:pPr>
      <w:r>
        <w:rPr>
          <w:noProof/>
          <w:szCs w:val="22"/>
          <w:lang w:val="it-IT"/>
        </w:rPr>
        <w:t>Per l’elenco completo degli eccipienti, vedere paragrafo 6.1.</w:t>
      </w:r>
    </w:p>
    <w:p>
      <w:pPr>
        <w:tabs>
          <w:tab w:val="left" w:pos="180"/>
        </w:tabs>
        <w:rPr>
          <w:noProof/>
          <w:szCs w:val="22"/>
          <w:lang w:val="it-IT"/>
        </w:rPr>
      </w:pPr>
    </w:p>
    <w:p>
      <w:pPr>
        <w:tabs>
          <w:tab w:val="left" w:pos="180"/>
        </w:tabs>
        <w:rPr>
          <w:noProof/>
          <w:szCs w:val="22"/>
          <w:lang w:val="it-IT"/>
        </w:rPr>
      </w:pPr>
    </w:p>
    <w:p>
      <w:pPr>
        <w:tabs>
          <w:tab w:val="left" w:pos="180"/>
        </w:tabs>
        <w:ind w:left="567" w:hanging="567"/>
        <w:rPr>
          <w:caps/>
          <w:noProof/>
          <w:szCs w:val="22"/>
          <w:lang w:val="it-IT"/>
        </w:rPr>
      </w:pPr>
      <w:r>
        <w:rPr>
          <w:b/>
          <w:noProof/>
          <w:szCs w:val="22"/>
          <w:lang w:val="it-IT"/>
        </w:rPr>
        <w:t>3.</w:t>
      </w:r>
      <w:r>
        <w:rPr>
          <w:b/>
          <w:noProof/>
          <w:szCs w:val="22"/>
          <w:lang w:val="it-IT"/>
        </w:rPr>
        <w:tab/>
      </w:r>
      <w:r>
        <w:rPr>
          <w:b/>
          <w:noProof/>
          <w:szCs w:val="22"/>
          <w:lang w:val="it-IT"/>
        </w:rPr>
        <w:tab/>
        <w:t>FORMA FARMACEUTICA</w:t>
      </w:r>
    </w:p>
    <w:p>
      <w:pPr>
        <w:tabs>
          <w:tab w:val="left" w:pos="180"/>
        </w:tabs>
        <w:rPr>
          <w:noProof/>
          <w:szCs w:val="22"/>
          <w:lang w:val="it-IT"/>
        </w:rPr>
      </w:pPr>
    </w:p>
    <w:p>
      <w:pPr>
        <w:tabs>
          <w:tab w:val="left" w:pos="180"/>
        </w:tabs>
        <w:rPr>
          <w:noProof/>
          <w:szCs w:val="22"/>
          <w:lang w:val="it-IT"/>
        </w:rPr>
      </w:pPr>
      <w:r>
        <w:rPr>
          <w:noProof/>
          <w:szCs w:val="22"/>
          <w:lang w:val="it-IT"/>
        </w:rPr>
        <w:t>Concentrato per soluzione per infusione (concentrato sterile).</w:t>
      </w:r>
    </w:p>
    <w:p>
      <w:pPr>
        <w:tabs>
          <w:tab w:val="left" w:pos="180"/>
        </w:tabs>
        <w:rPr>
          <w:noProof/>
          <w:szCs w:val="22"/>
          <w:lang w:val="it-IT"/>
        </w:rPr>
      </w:pPr>
    </w:p>
    <w:p>
      <w:pPr>
        <w:tabs>
          <w:tab w:val="left" w:pos="180"/>
        </w:tabs>
        <w:rPr>
          <w:noProof/>
          <w:szCs w:val="22"/>
          <w:lang w:val="it-IT"/>
        </w:rPr>
      </w:pPr>
      <w:r>
        <w:rPr>
          <w:noProof/>
          <w:szCs w:val="22"/>
          <w:lang w:val="it-IT"/>
        </w:rPr>
        <w:t>Soluzione di aspetto da limpido a opalescente, da incolore a giallo chiaro con un pH di 6</w:t>
      </w:r>
      <w:ins w:id="20" w:author="Author">
        <w:r>
          <w:rPr>
            <w:noProof/>
            <w:szCs w:val="22"/>
            <w:lang w:val="it-IT"/>
          </w:rPr>
          <w:t>,</w:t>
        </w:r>
      </w:ins>
      <w:del w:id="21" w:author="Author">
        <w:r>
          <w:rPr>
            <w:noProof/>
            <w:szCs w:val="22"/>
            <w:lang w:val="it-IT"/>
          </w:rPr>
          <w:delText>.</w:delText>
        </w:r>
      </w:del>
      <w:r>
        <w:rPr>
          <w:noProof/>
          <w:szCs w:val="22"/>
          <w:lang w:val="it-IT"/>
        </w:rPr>
        <w:t>3-6</w:t>
      </w:r>
      <w:ins w:id="22" w:author="Author">
        <w:r>
          <w:rPr>
            <w:noProof/>
            <w:szCs w:val="22"/>
            <w:lang w:val="it-IT"/>
          </w:rPr>
          <w:t>,</w:t>
        </w:r>
      </w:ins>
      <w:del w:id="23" w:author="Author">
        <w:r>
          <w:rPr>
            <w:noProof/>
            <w:szCs w:val="22"/>
            <w:lang w:val="it-IT"/>
          </w:rPr>
          <w:delText>.</w:delText>
        </w:r>
      </w:del>
      <w:r>
        <w:rPr>
          <w:noProof/>
          <w:szCs w:val="22"/>
          <w:lang w:val="it-IT"/>
        </w:rPr>
        <w:t>7 e una osmolalità di 172-229 mOsm/kg.</w:t>
      </w:r>
    </w:p>
    <w:p>
      <w:pPr>
        <w:tabs>
          <w:tab w:val="left" w:pos="180"/>
        </w:tabs>
        <w:rPr>
          <w:noProof/>
          <w:szCs w:val="22"/>
          <w:lang w:val="it-IT"/>
        </w:rPr>
      </w:pPr>
    </w:p>
    <w:p>
      <w:pPr>
        <w:tabs>
          <w:tab w:val="left" w:pos="180"/>
        </w:tabs>
        <w:rPr>
          <w:noProof/>
          <w:szCs w:val="22"/>
          <w:lang w:val="it-IT"/>
        </w:rPr>
      </w:pPr>
    </w:p>
    <w:p>
      <w:pPr>
        <w:tabs>
          <w:tab w:val="left" w:pos="180"/>
        </w:tabs>
        <w:ind w:left="567" w:hanging="567"/>
        <w:rPr>
          <w:caps/>
          <w:noProof/>
          <w:szCs w:val="22"/>
          <w:lang w:val="it-IT"/>
        </w:rPr>
      </w:pPr>
      <w:r>
        <w:rPr>
          <w:b/>
          <w:caps/>
          <w:noProof/>
          <w:szCs w:val="22"/>
          <w:lang w:val="it-IT"/>
        </w:rPr>
        <w:t>4.</w:t>
      </w:r>
      <w:r>
        <w:rPr>
          <w:b/>
          <w:caps/>
          <w:noProof/>
          <w:szCs w:val="22"/>
          <w:lang w:val="it-IT"/>
        </w:rPr>
        <w:tab/>
      </w:r>
      <w:r>
        <w:rPr>
          <w:b/>
          <w:caps/>
          <w:noProof/>
          <w:szCs w:val="22"/>
          <w:lang w:val="it-IT"/>
        </w:rPr>
        <w:tab/>
        <w:t>informazioni cliniche</w:t>
      </w:r>
    </w:p>
    <w:p>
      <w:pPr>
        <w:tabs>
          <w:tab w:val="left" w:pos="180"/>
        </w:tabs>
        <w:rPr>
          <w:noProof/>
          <w:szCs w:val="22"/>
          <w:lang w:val="it-IT"/>
        </w:rPr>
      </w:pPr>
    </w:p>
    <w:p>
      <w:pPr>
        <w:tabs>
          <w:tab w:val="left" w:pos="180"/>
        </w:tabs>
        <w:ind w:left="567" w:hanging="567"/>
        <w:outlineLvl w:val="0"/>
        <w:rPr>
          <w:noProof/>
          <w:szCs w:val="22"/>
          <w:lang w:val="it-IT"/>
        </w:rPr>
      </w:pPr>
      <w:r>
        <w:rPr>
          <w:b/>
          <w:noProof/>
          <w:szCs w:val="22"/>
          <w:lang w:val="it-IT"/>
        </w:rPr>
        <w:t>4.1</w:t>
      </w:r>
      <w:r>
        <w:rPr>
          <w:b/>
          <w:noProof/>
          <w:szCs w:val="22"/>
          <w:lang w:val="it-IT"/>
        </w:rPr>
        <w:tab/>
        <w:t>Indicazioni terapeutiche</w:t>
      </w:r>
    </w:p>
    <w:p>
      <w:pPr>
        <w:tabs>
          <w:tab w:val="left" w:pos="180"/>
        </w:tabs>
        <w:rPr>
          <w:noProof/>
          <w:szCs w:val="22"/>
          <w:lang w:val="it-IT"/>
        </w:rPr>
      </w:pPr>
    </w:p>
    <w:p>
      <w:pPr>
        <w:tabs>
          <w:tab w:val="left" w:pos="180"/>
        </w:tabs>
        <w:rPr>
          <w:noProof/>
          <w:szCs w:val="22"/>
          <w:u w:val="single"/>
          <w:lang w:val="it-IT"/>
        </w:rPr>
      </w:pPr>
      <w:r>
        <w:rPr>
          <w:noProof/>
          <w:szCs w:val="22"/>
          <w:u w:val="single"/>
          <w:lang w:val="it-IT"/>
        </w:rPr>
        <w:t>Artrite Reumatoide (AR)</w:t>
      </w:r>
    </w:p>
    <w:p>
      <w:pPr>
        <w:tabs>
          <w:tab w:val="left" w:pos="180"/>
        </w:tabs>
        <w:rPr>
          <w:noProof/>
          <w:szCs w:val="22"/>
          <w:lang w:val="it-IT"/>
        </w:rPr>
      </w:pPr>
      <w:r>
        <w:rPr>
          <w:noProof/>
          <w:szCs w:val="22"/>
          <w:lang w:val="it-IT"/>
        </w:rPr>
        <w:t>RoActemra in associazione con metotre</w:t>
      </w:r>
      <w:ins w:id="24" w:author="Author">
        <w:r>
          <w:rPr>
            <w:noProof/>
            <w:szCs w:val="22"/>
            <w:lang w:val="it-IT"/>
          </w:rPr>
          <w:t>x</w:t>
        </w:r>
      </w:ins>
      <w:del w:id="25" w:author="Author">
        <w:r>
          <w:rPr>
            <w:noProof/>
            <w:szCs w:val="22"/>
            <w:lang w:val="it-IT"/>
          </w:rPr>
          <w:delText>ss</w:delText>
        </w:r>
      </w:del>
      <w:r>
        <w:rPr>
          <w:noProof/>
          <w:szCs w:val="22"/>
          <w:lang w:val="it-IT"/>
        </w:rPr>
        <w:t xml:space="preserve">ato (MTX) è indicato per: </w:t>
      </w:r>
    </w:p>
    <w:p>
      <w:pPr>
        <w:tabs>
          <w:tab w:val="left" w:pos="180"/>
        </w:tabs>
        <w:rPr>
          <w:noProof/>
          <w:szCs w:val="22"/>
          <w:lang w:val="it-IT"/>
        </w:rPr>
      </w:pPr>
    </w:p>
    <w:p>
      <w:pPr>
        <w:pStyle w:val="ListParagraph"/>
        <w:ind w:left="567" w:hanging="567"/>
        <w:rPr>
          <w:noProof/>
          <w:sz w:val="22"/>
          <w:szCs w:val="22"/>
          <w:rPrChange w:id="26" w:author="Author">
            <w:rPr>
              <w:szCs w:val="22"/>
            </w:rPr>
          </w:rPrChange>
        </w:rPr>
        <w:pPrChange w:id="27" w:author="Author">
          <w:pPr>
            <w:pStyle w:val="ListParagraph"/>
            <w:ind w:left="833" w:hanging="833"/>
          </w:pPr>
        </w:pPrChange>
      </w:pPr>
      <w:r>
        <w:rPr>
          <w:noProof/>
          <w:sz w:val="22"/>
          <w:szCs w:val="22"/>
          <w:rPrChange w:id="28" w:author="Author">
            <w:rPr>
              <w:szCs w:val="22"/>
            </w:rPr>
          </w:rPrChange>
        </w:rPr>
        <w:sym w:font="Symbol" w:char="F0B7"/>
      </w:r>
      <w:r>
        <w:rPr>
          <w:noProof/>
          <w:sz w:val="22"/>
          <w:szCs w:val="22"/>
          <w:rPrChange w:id="29" w:author="Author">
            <w:rPr>
              <w:szCs w:val="22"/>
            </w:rPr>
          </w:rPrChange>
        </w:rPr>
        <w:tab/>
        <w:t>il trattamento dell'</w:t>
      </w:r>
      <w:del w:id="30" w:author="Author">
        <w:r>
          <w:rPr>
            <w:noProof/>
            <w:sz w:val="22"/>
            <w:szCs w:val="22"/>
            <w:rPrChange w:id="31" w:author="Author">
              <w:rPr>
                <w:szCs w:val="22"/>
              </w:rPr>
            </w:rPrChange>
          </w:rPr>
          <w:delText xml:space="preserve"> </w:delText>
        </w:r>
      </w:del>
      <w:r>
        <w:rPr>
          <w:noProof/>
          <w:sz w:val="22"/>
          <w:szCs w:val="22"/>
          <w:rPrChange w:id="32" w:author="Author">
            <w:rPr>
              <w:szCs w:val="22"/>
            </w:rPr>
          </w:rPrChange>
        </w:rPr>
        <w:t xml:space="preserve">AR </w:t>
      </w:r>
      <w:del w:id="33" w:author="Author">
        <w:r>
          <w:rPr>
            <w:noProof/>
            <w:sz w:val="22"/>
            <w:szCs w:val="22"/>
            <w:rPrChange w:id="34" w:author="Author">
              <w:rPr>
                <w:szCs w:val="22"/>
              </w:rPr>
            </w:rPrChange>
          </w:rPr>
          <w:delText>grave</w:delText>
        </w:r>
      </w:del>
      <w:ins w:id="35" w:author="Author">
        <w:r>
          <w:rPr>
            <w:noProof/>
            <w:sz w:val="22"/>
            <w:szCs w:val="22"/>
          </w:rPr>
          <w:t>severa</w:t>
        </w:r>
      </w:ins>
      <w:del w:id="36" w:author="Author">
        <w:r>
          <w:rPr>
            <w:noProof/>
            <w:sz w:val="22"/>
            <w:szCs w:val="22"/>
            <w:rPrChange w:id="37" w:author="Author">
              <w:rPr>
                <w:szCs w:val="22"/>
              </w:rPr>
            </w:rPrChange>
          </w:rPr>
          <w:delText xml:space="preserve"> </w:delText>
        </w:r>
      </w:del>
      <w:r>
        <w:rPr>
          <w:noProof/>
          <w:sz w:val="22"/>
          <w:szCs w:val="22"/>
          <w:rPrChange w:id="38" w:author="Author">
            <w:rPr>
              <w:szCs w:val="22"/>
            </w:rPr>
          </w:rPrChange>
        </w:rPr>
        <w:t>, attiva e progressiva negli adulti non precedentemente trattati con MTX</w:t>
      </w:r>
    </w:p>
    <w:p>
      <w:pPr>
        <w:pStyle w:val="ListParagraph"/>
        <w:ind w:left="567" w:hanging="567"/>
        <w:rPr>
          <w:noProof/>
          <w:sz w:val="22"/>
          <w:szCs w:val="22"/>
          <w:rPrChange w:id="39" w:author="Author">
            <w:rPr>
              <w:szCs w:val="22"/>
            </w:rPr>
          </w:rPrChange>
        </w:rPr>
        <w:pPrChange w:id="40" w:author="Author">
          <w:pPr>
            <w:pStyle w:val="ListParagraph"/>
            <w:ind w:left="833" w:hanging="833"/>
          </w:pPr>
        </w:pPrChange>
      </w:pPr>
      <w:r>
        <w:rPr>
          <w:noProof/>
          <w:sz w:val="22"/>
          <w:szCs w:val="22"/>
          <w:rPrChange w:id="41" w:author="Author">
            <w:rPr>
              <w:szCs w:val="22"/>
            </w:rPr>
          </w:rPrChange>
        </w:rPr>
        <w:sym w:font="Symbol" w:char="F0B7"/>
      </w:r>
      <w:r>
        <w:rPr>
          <w:noProof/>
          <w:sz w:val="22"/>
          <w:szCs w:val="22"/>
          <w:rPrChange w:id="42" w:author="Author">
            <w:rPr>
              <w:szCs w:val="22"/>
            </w:rPr>
          </w:rPrChange>
        </w:rPr>
        <w:tab/>
        <w:t xml:space="preserve">il trattamento dell’AR attiva da moderata a </w:t>
      </w:r>
      <w:del w:id="43" w:author="Author">
        <w:r>
          <w:rPr>
            <w:noProof/>
            <w:sz w:val="22"/>
            <w:szCs w:val="22"/>
            <w:rPrChange w:id="44" w:author="Author">
              <w:rPr>
                <w:szCs w:val="22"/>
              </w:rPr>
            </w:rPrChange>
          </w:rPr>
          <w:delText xml:space="preserve">grave </w:delText>
        </w:r>
      </w:del>
      <w:ins w:id="45" w:author="Author">
        <w:r>
          <w:rPr>
            <w:noProof/>
            <w:sz w:val="22"/>
            <w:szCs w:val="22"/>
          </w:rPr>
          <w:t>severa</w:t>
        </w:r>
        <w:r>
          <w:rPr>
            <w:noProof/>
            <w:sz w:val="22"/>
            <w:szCs w:val="22"/>
            <w:rPrChange w:id="46" w:author="Author">
              <w:rPr>
                <w:szCs w:val="22"/>
              </w:rPr>
            </w:rPrChange>
          </w:rPr>
          <w:t xml:space="preserve"> </w:t>
        </w:r>
      </w:ins>
      <w:r>
        <w:rPr>
          <w:noProof/>
          <w:sz w:val="22"/>
          <w:szCs w:val="22"/>
          <w:rPrChange w:id="47" w:author="Author">
            <w:rPr>
              <w:szCs w:val="22"/>
            </w:rPr>
          </w:rPrChange>
        </w:rPr>
        <w:t>in pazienti adulti che non abbiano risposto</w:t>
      </w:r>
      <w:del w:id="48" w:author="Author">
        <w:r>
          <w:rPr>
            <w:noProof/>
            <w:sz w:val="22"/>
            <w:szCs w:val="22"/>
            <w:rPrChange w:id="49" w:author="Author">
              <w:rPr>
                <w:szCs w:val="22"/>
              </w:rPr>
            </w:rPrChange>
          </w:rPr>
          <w:delText xml:space="preserve"> </w:delText>
        </w:r>
      </w:del>
      <w:r>
        <w:rPr>
          <w:noProof/>
          <w:sz w:val="22"/>
          <w:szCs w:val="22"/>
          <w:rPrChange w:id="50" w:author="Author">
            <w:rPr>
              <w:szCs w:val="22"/>
            </w:rPr>
          </w:rPrChange>
        </w:rPr>
        <w:t xml:space="preserve"> adeguatamente o siano </w:t>
      </w:r>
      <w:ins w:id="51" w:author="Author">
        <w:r>
          <w:rPr>
            <w:noProof/>
            <w:sz w:val="22"/>
            <w:szCs w:val="22"/>
          </w:rPr>
          <w:t xml:space="preserve">risultati </w:t>
        </w:r>
      </w:ins>
      <w:r>
        <w:rPr>
          <w:noProof/>
          <w:sz w:val="22"/>
          <w:szCs w:val="22"/>
          <w:rPrChange w:id="52" w:author="Author">
            <w:rPr>
              <w:szCs w:val="22"/>
            </w:rPr>
          </w:rPrChange>
        </w:rPr>
        <w:t xml:space="preserve">intolleranti a </w:t>
      </w:r>
      <w:ins w:id="53" w:author="Author">
        <w:del w:id="54" w:author="Author">
          <w:r>
            <w:rPr>
              <w:noProof/>
              <w:sz w:val="22"/>
              <w:szCs w:val="22"/>
            </w:rPr>
            <w:delText xml:space="preserve">una </w:delText>
          </w:r>
        </w:del>
      </w:ins>
      <w:r>
        <w:rPr>
          <w:noProof/>
          <w:sz w:val="22"/>
          <w:szCs w:val="22"/>
          <w:rPrChange w:id="55" w:author="Author">
            <w:rPr>
              <w:szCs w:val="22"/>
            </w:rPr>
          </w:rPrChange>
        </w:rPr>
        <w:t xml:space="preserve">precedente terapia con uno o più farmaci antireumatici modificanti la malattia (DMARD) o antagonisti del fattore di necrosi tumorale (TNF). </w:t>
      </w:r>
    </w:p>
    <w:p>
      <w:pPr>
        <w:tabs>
          <w:tab w:val="left" w:pos="180"/>
        </w:tabs>
        <w:rPr>
          <w:noProof/>
          <w:szCs w:val="22"/>
          <w:lang w:val="it-IT"/>
        </w:rPr>
        <w:pPrChange w:id="56" w:author="Author">
          <w:pPr>
            <w:tabs>
              <w:tab w:val="left" w:pos="180"/>
            </w:tabs>
            <w:ind w:left="595" w:hanging="187"/>
          </w:pPr>
        </w:pPrChange>
      </w:pPr>
    </w:p>
    <w:p>
      <w:pPr>
        <w:tabs>
          <w:tab w:val="left" w:pos="180"/>
        </w:tabs>
        <w:rPr>
          <w:noProof/>
          <w:szCs w:val="22"/>
          <w:lang w:val="it-IT"/>
        </w:rPr>
      </w:pPr>
      <w:r>
        <w:rPr>
          <w:noProof/>
          <w:szCs w:val="22"/>
          <w:lang w:val="it-IT"/>
        </w:rPr>
        <w:t>In questi pazienti RoActemra può essere somministrato in monoterapia in caso di intolleranza a MTX o quando sia inappropriato continuare un trattamento con MTX.</w:t>
      </w:r>
    </w:p>
    <w:p>
      <w:pPr>
        <w:tabs>
          <w:tab w:val="left" w:pos="180"/>
        </w:tabs>
        <w:rPr>
          <w:noProof/>
          <w:szCs w:val="22"/>
          <w:lang w:val="it-IT"/>
        </w:rPr>
      </w:pPr>
      <w:r>
        <w:rPr>
          <w:noProof/>
          <w:szCs w:val="22"/>
          <w:lang w:val="it-IT"/>
        </w:rPr>
        <w:t>RoActemra ha dimostrato di ridurre la percentuale di progressione del danno articolare, come valutato mediante raggi X, e di migliorare le funzioni fisiche quando somministrato in associazione conMTX.</w:t>
      </w:r>
    </w:p>
    <w:p>
      <w:pPr>
        <w:tabs>
          <w:tab w:val="left" w:pos="180"/>
        </w:tabs>
        <w:rPr>
          <w:noProof/>
          <w:szCs w:val="22"/>
          <w:lang w:val="it-IT"/>
        </w:rPr>
      </w:pPr>
    </w:p>
    <w:p>
      <w:pPr>
        <w:keepNext/>
        <w:keepLines/>
        <w:tabs>
          <w:tab w:val="left" w:pos="180"/>
        </w:tabs>
        <w:rPr>
          <w:noProof/>
          <w:szCs w:val="22"/>
          <w:u w:val="single"/>
          <w:lang w:val="it-IT"/>
        </w:rPr>
      </w:pPr>
      <w:r>
        <w:rPr>
          <w:noProof/>
          <w:szCs w:val="22"/>
          <w:u w:val="single"/>
          <w:lang w:val="it-IT"/>
        </w:rPr>
        <w:lastRenderedPageBreak/>
        <w:t>Malattia da coronavirus 2019 (COVID-19)</w:t>
      </w:r>
    </w:p>
    <w:p>
      <w:pPr>
        <w:keepNext/>
        <w:keepLines/>
        <w:tabs>
          <w:tab w:val="left" w:pos="180"/>
        </w:tabs>
        <w:rPr>
          <w:noProof/>
          <w:szCs w:val="22"/>
          <w:lang w:val="it-IT"/>
        </w:rPr>
      </w:pPr>
      <w:r>
        <w:rPr>
          <w:noProof/>
          <w:szCs w:val="22"/>
          <w:lang w:val="it-IT"/>
        </w:rPr>
        <w:t>RoActemra è indicato per il trattamento del</w:t>
      </w:r>
      <w:del w:id="57" w:author="Author">
        <w:r>
          <w:rPr>
            <w:noProof/>
            <w:szCs w:val="22"/>
            <w:lang w:val="it-IT"/>
          </w:rPr>
          <w:delText xml:space="preserve"> </w:delText>
        </w:r>
      </w:del>
      <w:r>
        <w:rPr>
          <w:noProof/>
          <w:szCs w:val="22"/>
          <w:lang w:val="it-IT"/>
        </w:rPr>
        <w:t xml:space="preserve"> COVID-19 negli adulti in terapia con corticosteroidi sistemici e che necessitano di ossigenoterapia supplementare o ventilazione meccanica.</w:t>
      </w:r>
    </w:p>
    <w:p>
      <w:pPr>
        <w:tabs>
          <w:tab w:val="left" w:pos="180"/>
        </w:tabs>
        <w:rPr>
          <w:noProof/>
          <w:szCs w:val="22"/>
          <w:lang w:val="it-IT"/>
        </w:rPr>
      </w:pPr>
    </w:p>
    <w:p>
      <w:pPr>
        <w:tabs>
          <w:tab w:val="left" w:pos="180"/>
        </w:tabs>
        <w:rPr>
          <w:noProof/>
          <w:szCs w:val="22"/>
          <w:u w:val="single"/>
          <w:lang w:val="it-IT"/>
        </w:rPr>
      </w:pPr>
      <w:r>
        <w:rPr>
          <w:rFonts w:eastAsia="SimSun" w:cs="Arial"/>
          <w:noProof/>
          <w:u w:val="single"/>
          <w:lang w:val="it-IT" w:eastAsia="zh-CN" w:bidi="th-TH"/>
        </w:rPr>
        <w:t>Artrite idiopatica giovanile sistemica (AIGs)</w:t>
      </w:r>
    </w:p>
    <w:p>
      <w:pPr>
        <w:tabs>
          <w:tab w:val="left" w:pos="180"/>
        </w:tabs>
        <w:rPr>
          <w:rFonts w:eastAsia="SimSun" w:cs="Arial"/>
          <w:noProof/>
          <w:lang w:val="it-IT" w:eastAsia="zh-CN" w:bidi="th-TH"/>
        </w:rPr>
      </w:pPr>
      <w:r>
        <w:rPr>
          <w:rFonts w:eastAsia="SimSun" w:cs="Arial"/>
          <w:noProof/>
          <w:lang w:val="it-IT" w:eastAsia="zh-CN" w:bidi="th-TH"/>
        </w:rPr>
        <w:t>RoActemra è indicato per il trattamento dell’AIGs attiva in pazienti di età uguale o superiore ai 2 anni che non abbiano risposto adeguatamente a precedente terapia con farmaci anti-infiammatori non steroidei (FANS) e corticosteroidi sistemici. RoActemra può essere somministrato in monoterapia (in caso di intolleranza a MTX o quando il trattamento con MTX risulti inappropriato) o in associazione con MTX.</w:t>
      </w:r>
    </w:p>
    <w:p>
      <w:pPr>
        <w:tabs>
          <w:tab w:val="left" w:pos="180"/>
        </w:tabs>
        <w:rPr>
          <w:noProof/>
          <w:szCs w:val="22"/>
          <w:lang w:val="it-IT"/>
        </w:rPr>
      </w:pPr>
    </w:p>
    <w:p>
      <w:pPr>
        <w:tabs>
          <w:tab w:val="left" w:pos="180"/>
        </w:tabs>
        <w:rPr>
          <w:noProof/>
          <w:szCs w:val="22"/>
          <w:u w:val="single"/>
          <w:lang w:val="it-IT"/>
        </w:rPr>
      </w:pPr>
      <w:r>
        <w:rPr>
          <w:rFonts w:eastAsia="SimSun" w:cs="Arial"/>
          <w:noProof/>
          <w:u w:val="single"/>
          <w:lang w:val="it-IT" w:eastAsia="zh-CN" w:bidi="th-TH"/>
        </w:rPr>
        <w:t xml:space="preserve">Poliartrite idiopatica giovanile </w:t>
      </w:r>
      <w:r>
        <w:rPr>
          <w:rFonts w:eastAsia="SimSun"/>
          <w:noProof/>
          <w:u w:val="single"/>
          <w:lang w:val="it-IT"/>
        </w:rPr>
        <w:t>(</w:t>
      </w:r>
      <w:r>
        <w:rPr>
          <w:rFonts w:eastAsia="SimSun" w:cs="Arial"/>
          <w:noProof/>
          <w:u w:val="single"/>
          <w:lang w:val="it-IT" w:eastAsia="zh-CN" w:bidi="th-TH"/>
        </w:rPr>
        <w:t>AIGp)</w:t>
      </w:r>
    </w:p>
    <w:p>
      <w:pPr>
        <w:tabs>
          <w:tab w:val="left" w:pos="180"/>
        </w:tabs>
        <w:rPr>
          <w:rFonts w:eastAsia="SimSun" w:cs="Arial"/>
          <w:noProof/>
          <w:lang w:val="it-IT" w:eastAsia="zh-CN" w:bidi="th-TH"/>
        </w:rPr>
      </w:pPr>
      <w:r>
        <w:rPr>
          <w:rFonts w:eastAsia="SimSun" w:cs="Arial"/>
          <w:noProof/>
          <w:lang w:val="it-IT" w:eastAsia="zh-CN" w:bidi="th-TH"/>
        </w:rPr>
        <w:t xml:space="preserve">RoActemra in </w:t>
      </w:r>
      <w:del w:id="58" w:author="Author">
        <w:r>
          <w:rPr>
            <w:rFonts w:eastAsia="SimSun" w:cs="Arial"/>
            <w:noProof/>
            <w:lang w:val="it-IT" w:eastAsia="zh-CN" w:bidi="th-TH"/>
          </w:rPr>
          <w:delText xml:space="preserve">combinazione </w:delText>
        </w:r>
      </w:del>
      <w:ins w:id="59" w:author="Author">
        <w:r>
          <w:rPr>
            <w:rFonts w:eastAsia="SimSun" w:cs="Arial"/>
            <w:noProof/>
            <w:lang w:val="it-IT" w:eastAsia="zh-CN" w:bidi="th-TH"/>
          </w:rPr>
          <w:t xml:space="preserve">associazione </w:t>
        </w:r>
      </w:ins>
      <w:r>
        <w:rPr>
          <w:rFonts w:eastAsia="SimSun" w:cs="Arial"/>
          <w:noProof/>
          <w:lang w:val="it-IT" w:eastAsia="zh-CN" w:bidi="th-TH"/>
        </w:rPr>
        <w:t>con MTX è indicato per il trattamento della AIGp (fattore reumatoide positivo o negativo e oligoartrite estesa) in pazienti di età uguale o superiore ai 2 anni che non abbiano risposto adeguatamente a precedente terapia con MTX. RoActemra può essere somministrato in monoterapia in caso di intolleranza a MTX o quando sia inappropriato continuare un trattamento con MTX.</w:t>
      </w:r>
    </w:p>
    <w:p>
      <w:pPr>
        <w:tabs>
          <w:tab w:val="left" w:pos="180"/>
        </w:tabs>
        <w:rPr>
          <w:rFonts w:eastAsia="SimSun" w:cs="Arial"/>
          <w:noProof/>
          <w:lang w:val="it-IT" w:eastAsia="zh-CN" w:bidi="th-TH"/>
        </w:rPr>
      </w:pPr>
    </w:p>
    <w:p>
      <w:pPr>
        <w:tabs>
          <w:tab w:val="left" w:pos="180"/>
        </w:tabs>
        <w:rPr>
          <w:rFonts w:eastAsia="SimSun" w:cs="Arial"/>
          <w:noProof/>
          <w:u w:val="single"/>
          <w:lang w:val="it-IT" w:eastAsia="zh-CN" w:bidi="th-TH"/>
          <w:rPrChange w:id="60" w:author="Author">
            <w:rPr>
              <w:rFonts w:eastAsia="SimSun" w:cs="Arial"/>
              <w:lang w:val="it-IT" w:eastAsia="zh-CN" w:bidi="th-TH"/>
            </w:rPr>
          </w:rPrChange>
        </w:rPr>
      </w:pPr>
      <w:r>
        <w:rPr>
          <w:rFonts w:eastAsia="SimSun" w:cs="Arial"/>
          <w:noProof/>
          <w:u w:val="single"/>
          <w:lang w:val="it-IT" w:eastAsia="zh-CN" w:bidi="th-TH"/>
          <w:rPrChange w:id="61" w:author="Author">
            <w:rPr>
              <w:rFonts w:eastAsia="SimSun" w:cs="Arial"/>
              <w:lang w:val="it-IT" w:eastAsia="zh-CN" w:bidi="th-TH"/>
            </w:rPr>
          </w:rPrChange>
        </w:rPr>
        <w:t>Sindrome da rilascio di citochine (CRS)</w:t>
      </w:r>
    </w:p>
    <w:p>
      <w:pPr>
        <w:tabs>
          <w:tab w:val="left" w:pos="180"/>
        </w:tabs>
        <w:rPr>
          <w:rFonts w:eastAsia="SimSun" w:cs="Arial"/>
          <w:noProof/>
          <w:lang w:val="it-IT" w:eastAsia="zh-CN" w:bidi="th-TH"/>
        </w:rPr>
      </w:pPr>
      <w:r>
        <w:rPr>
          <w:rFonts w:eastAsia="SimSun" w:cs="Arial"/>
          <w:noProof/>
          <w:lang w:val="it-IT" w:eastAsia="zh-CN" w:bidi="th-TH"/>
        </w:rPr>
        <w:t>RoActemra è indicato per il trattamento della CRS indotta dai linfociti CAR-T (</w:t>
      </w:r>
      <w:r>
        <w:rPr>
          <w:rFonts w:eastAsia="SimSun" w:cs="Arial"/>
          <w:i/>
          <w:noProof/>
          <w:lang w:val="it-IT" w:eastAsia="zh-CN" w:bidi="th-TH"/>
        </w:rPr>
        <w:t>chimeric antigen receptor t cell</w:t>
      </w:r>
      <w:r>
        <w:rPr>
          <w:rFonts w:eastAsia="SimSun" w:cs="Arial"/>
          <w:noProof/>
          <w:lang w:val="it-IT" w:eastAsia="zh-CN" w:bidi="th-TH"/>
        </w:rPr>
        <w:t>) severa o potenzialmente letale negli adulti e nei pazienti pediatrici di età uguale o superiore a 2 anni.</w:t>
      </w:r>
    </w:p>
    <w:p>
      <w:pPr>
        <w:tabs>
          <w:tab w:val="left" w:pos="180"/>
        </w:tabs>
        <w:rPr>
          <w:noProof/>
          <w:szCs w:val="22"/>
          <w:lang w:val="it-IT"/>
        </w:rPr>
      </w:pPr>
      <w:r>
        <w:rPr>
          <w:noProof/>
          <w:szCs w:val="22"/>
          <w:lang w:val="it-IT"/>
        </w:rPr>
        <w:t xml:space="preserve"> </w:t>
      </w:r>
    </w:p>
    <w:p>
      <w:pPr>
        <w:tabs>
          <w:tab w:val="left" w:pos="180"/>
        </w:tabs>
        <w:ind w:left="567" w:hanging="567"/>
        <w:outlineLvl w:val="0"/>
        <w:rPr>
          <w:b/>
          <w:noProof/>
          <w:szCs w:val="22"/>
          <w:lang w:val="it-IT"/>
        </w:rPr>
      </w:pPr>
      <w:r>
        <w:rPr>
          <w:b/>
          <w:noProof/>
          <w:szCs w:val="22"/>
          <w:lang w:val="it-IT"/>
        </w:rPr>
        <w:t>4.2</w:t>
      </w:r>
      <w:r>
        <w:rPr>
          <w:b/>
          <w:noProof/>
          <w:szCs w:val="22"/>
          <w:lang w:val="it-IT"/>
        </w:rPr>
        <w:tab/>
        <w:t>Posologia e modo di somministrazione</w:t>
      </w:r>
    </w:p>
    <w:p>
      <w:pPr>
        <w:tabs>
          <w:tab w:val="left" w:pos="180"/>
        </w:tabs>
        <w:rPr>
          <w:b/>
          <w:noProof/>
          <w:szCs w:val="22"/>
          <w:lang w:val="it-IT"/>
        </w:rPr>
      </w:pPr>
    </w:p>
    <w:p>
      <w:pPr>
        <w:tabs>
          <w:tab w:val="left" w:pos="180"/>
        </w:tabs>
        <w:rPr>
          <w:noProof/>
          <w:szCs w:val="22"/>
          <w:lang w:val="it-IT"/>
        </w:rPr>
      </w:pPr>
      <w:r>
        <w:rPr>
          <w:noProof/>
          <w:szCs w:val="22"/>
          <w:lang w:val="it-IT"/>
        </w:rPr>
        <w:t>Il trattamento deve essere iniziato da operatori sanitari esperti nella diagnosi e nel trattamento dell’AR, di COVID-19, dell’AIGs, dell’AIGp o della CRS.</w:t>
      </w:r>
    </w:p>
    <w:p>
      <w:pPr>
        <w:tabs>
          <w:tab w:val="left" w:pos="180"/>
        </w:tabs>
        <w:rPr>
          <w:noProof/>
          <w:szCs w:val="22"/>
          <w:lang w:val="it-IT"/>
        </w:rPr>
      </w:pPr>
    </w:p>
    <w:p>
      <w:pPr>
        <w:keepNext/>
        <w:keepLines/>
        <w:tabs>
          <w:tab w:val="left" w:pos="180"/>
        </w:tabs>
        <w:rPr>
          <w:noProof/>
          <w:szCs w:val="22"/>
          <w:lang w:val="it-IT"/>
        </w:rPr>
        <w:pPrChange w:id="62" w:author="Author">
          <w:pPr>
            <w:tabs>
              <w:tab w:val="left" w:pos="180"/>
            </w:tabs>
          </w:pPr>
        </w:pPrChange>
      </w:pPr>
      <w:r>
        <w:rPr>
          <w:noProof/>
          <w:szCs w:val="22"/>
          <w:lang w:val="it-IT"/>
        </w:rPr>
        <w:t>A tutti i pazienti trattati con RoActemra deve essere consegnata la Scheda per il Paziente.</w:t>
      </w:r>
    </w:p>
    <w:p>
      <w:pPr>
        <w:keepNext/>
        <w:keepLines/>
        <w:tabs>
          <w:tab w:val="left" w:pos="180"/>
        </w:tabs>
        <w:rPr>
          <w:del w:id="63" w:author="Author"/>
          <w:noProof/>
          <w:szCs w:val="22"/>
          <w:lang w:val="it-IT"/>
        </w:rPr>
        <w:pPrChange w:id="64" w:author="Author">
          <w:pPr>
            <w:tabs>
              <w:tab w:val="left" w:pos="180"/>
            </w:tabs>
          </w:pPr>
        </w:pPrChange>
      </w:pPr>
    </w:p>
    <w:p>
      <w:pPr>
        <w:keepNext/>
        <w:keepLines/>
        <w:tabs>
          <w:tab w:val="left" w:pos="180"/>
        </w:tabs>
        <w:ind w:left="567" w:hanging="567"/>
        <w:rPr>
          <w:noProof/>
          <w:szCs w:val="22"/>
          <w:u w:val="single"/>
          <w:lang w:val="it-IT"/>
        </w:rPr>
        <w:pPrChange w:id="65" w:author="Author">
          <w:pPr>
            <w:tabs>
              <w:tab w:val="left" w:pos="180"/>
            </w:tabs>
            <w:ind w:left="567" w:hanging="567"/>
          </w:pPr>
        </w:pPrChange>
      </w:pPr>
      <w:r>
        <w:rPr>
          <w:noProof/>
          <w:szCs w:val="22"/>
          <w:u w:val="single"/>
          <w:lang w:val="it-IT"/>
        </w:rPr>
        <w:t>Posologia</w:t>
      </w:r>
    </w:p>
    <w:p>
      <w:pPr>
        <w:keepNext/>
        <w:keepLines/>
        <w:tabs>
          <w:tab w:val="left" w:pos="180"/>
        </w:tabs>
        <w:ind w:left="567" w:hanging="567"/>
        <w:rPr>
          <w:del w:id="66" w:author="Author"/>
          <w:noProof/>
          <w:szCs w:val="22"/>
          <w:u w:val="single"/>
          <w:lang w:val="it-IT"/>
        </w:rPr>
        <w:pPrChange w:id="67" w:author="Author">
          <w:pPr>
            <w:tabs>
              <w:tab w:val="left" w:pos="180"/>
            </w:tabs>
            <w:ind w:left="567" w:hanging="567"/>
          </w:pPr>
        </w:pPrChange>
      </w:pPr>
    </w:p>
    <w:p>
      <w:pPr>
        <w:keepNext/>
        <w:keepLines/>
        <w:tabs>
          <w:tab w:val="left" w:pos="180"/>
        </w:tabs>
        <w:ind w:left="567" w:hanging="567"/>
        <w:rPr>
          <w:i/>
          <w:iCs/>
          <w:noProof/>
          <w:szCs w:val="22"/>
          <w:lang w:val="it-IT"/>
        </w:rPr>
        <w:pPrChange w:id="68" w:author="Author">
          <w:pPr>
            <w:keepNext/>
            <w:tabs>
              <w:tab w:val="left" w:pos="180"/>
            </w:tabs>
            <w:ind w:left="567" w:hanging="567"/>
          </w:pPr>
        </w:pPrChange>
      </w:pPr>
      <w:r>
        <w:rPr>
          <w:i/>
          <w:iCs/>
          <w:noProof/>
          <w:szCs w:val="22"/>
          <w:lang w:val="it-IT"/>
        </w:rPr>
        <w:t>Pazienti affetti da AR</w:t>
      </w:r>
    </w:p>
    <w:p>
      <w:pPr>
        <w:keepNext/>
        <w:tabs>
          <w:tab w:val="left" w:pos="180"/>
        </w:tabs>
        <w:ind w:left="567" w:hanging="567"/>
        <w:rPr>
          <w:del w:id="69" w:author="Author"/>
          <w:i/>
          <w:iCs/>
          <w:noProof/>
          <w:szCs w:val="22"/>
          <w:lang w:val="it-IT"/>
        </w:rPr>
      </w:pPr>
    </w:p>
    <w:p>
      <w:pPr>
        <w:tabs>
          <w:tab w:val="left" w:pos="180"/>
        </w:tabs>
        <w:autoSpaceDE w:val="0"/>
        <w:autoSpaceDN w:val="0"/>
        <w:adjustRightInd w:val="0"/>
        <w:rPr>
          <w:noProof/>
          <w:szCs w:val="22"/>
          <w:lang w:val="it-IT"/>
        </w:rPr>
      </w:pPr>
      <w:r>
        <w:rPr>
          <w:noProof/>
          <w:szCs w:val="22"/>
          <w:lang w:val="it-IT"/>
        </w:rPr>
        <w:t>La posologia raccomandata è di 8 mg/kg di peso corporeo, una volta ogni quattro settimane.</w:t>
      </w:r>
    </w:p>
    <w:p>
      <w:pPr>
        <w:tabs>
          <w:tab w:val="left" w:pos="180"/>
        </w:tabs>
        <w:rPr>
          <w:noProof/>
          <w:szCs w:val="22"/>
          <w:lang w:val="it-IT"/>
        </w:rPr>
      </w:pPr>
    </w:p>
    <w:p>
      <w:pPr>
        <w:tabs>
          <w:tab w:val="left" w:pos="180"/>
        </w:tabs>
        <w:rPr>
          <w:noProof/>
          <w:szCs w:val="22"/>
          <w:lang w:val="it-IT"/>
        </w:rPr>
      </w:pPr>
      <w:r>
        <w:rPr>
          <w:noProof/>
          <w:szCs w:val="22"/>
          <w:lang w:val="it-IT"/>
        </w:rPr>
        <w:t>Per i soggetti di peso corporeo superiore a 100 kg, non sono raccomandate dosi superiori a 800 mg per ogni infusione (vedere paragrafo 5.2).</w:t>
      </w:r>
    </w:p>
    <w:p>
      <w:pPr>
        <w:widowControl w:val="0"/>
        <w:tabs>
          <w:tab w:val="left" w:pos="180"/>
        </w:tabs>
        <w:rPr>
          <w:noProof/>
          <w:szCs w:val="22"/>
          <w:lang w:val="it-IT"/>
        </w:rPr>
      </w:pPr>
    </w:p>
    <w:p>
      <w:pPr>
        <w:widowControl w:val="0"/>
        <w:tabs>
          <w:tab w:val="left" w:pos="180"/>
        </w:tabs>
        <w:rPr>
          <w:noProof/>
          <w:szCs w:val="22"/>
          <w:lang w:val="it-IT"/>
        </w:rPr>
      </w:pPr>
      <w:r>
        <w:rPr>
          <w:noProof/>
          <w:szCs w:val="22"/>
          <w:lang w:val="it-IT"/>
        </w:rPr>
        <w:t>Dosi superiori a 1,2 g non sono state valutate negli studi clinici (vedere paragrafo 5.1).</w:t>
      </w:r>
    </w:p>
    <w:p>
      <w:pPr>
        <w:widowControl w:val="0"/>
        <w:tabs>
          <w:tab w:val="left" w:pos="180"/>
        </w:tabs>
        <w:rPr>
          <w:noProof/>
          <w:szCs w:val="22"/>
          <w:lang w:val="it-IT"/>
        </w:rPr>
      </w:pPr>
    </w:p>
    <w:p>
      <w:pPr>
        <w:keepNext/>
        <w:widowControl w:val="0"/>
        <w:tabs>
          <w:tab w:val="left" w:pos="180"/>
        </w:tabs>
        <w:rPr>
          <w:i/>
          <w:iCs/>
          <w:noProof/>
          <w:szCs w:val="22"/>
          <w:u w:val="single"/>
          <w:lang w:val="it-IT"/>
        </w:rPr>
        <w:pPrChange w:id="70" w:author="Author">
          <w:pPr>
            <w:widowControl w:val="0"/>
            <w:tabs>
              <w:tab w:val="left" w:pos="180"/>
            </w:tabs>
          </w:pPr>
        </w:pPrChange>
      </w:pPr>
      <w:r>
        <w:rPr>
          <w:i/>
          <w:iCs/>
          <w:noProof/>
          <w:szCs w:val="22"/>
          <w:u w:val="single"/>
          <w:lang w:val="it-IT"/>
        </w:rPr>
        <w:lastRenderedPageBreak/>
        <w:t xml:space="preserve">Aggiustamenti della dose dovuti ad </w:t>
      </w:r>
      <w:del w:id="71" w:author="Author">
        <w:r>
          <w:rPr>
            <w:i/>
            <w:iCs/>
            <w:noProof/>
            <w:szCs w:val="22"/>
            <w:u w:val="single"/>
            <w:lang w:val="it-IT"/>
          </w:rPr>
          <w:delText xml:space="preserve">anormalità </w:delText>
        </w:r>
      </w:del>
      <w:ins w:id="72" w:author="Author">
        <w:r>
          <w:rPr>
            <w:i/>
            <w:iCs/>
            <w:noProof/>
            <w:szCs w:val="22"/>
            <w:u w:val="single"/>
            <w:lang w:val="it-IT"/>
          </w:rPr>
          <w:t xml:space="preserve">anomalie dei parametri </w:t>
        </w:r>
      </w:ins>
      <w:r>
        <w:rPr>
          <w:i/>
          <w:iCs/>
          <w:noProof/>
          <w:szCs w:val="22"/>
          <w:u w:val="single"/>
          <w:lang w:val="it-IT"/>
        </w:rPr>
        <w:t>di laboratorio (vedere paragrafo 4.4)</w:t>
      </w:r>
    </w:p>
    <w:p>
      <w:pPr>
        <w:keepNext/>
        <w:widowControl w:val="0"/>
        <w:tabs>
          <w:tab w:val="left" w:pos="180"/>
        </w:tabs>
        <w:rPr>
          <w:noProof/>
          <w:szCs w:val="22"/>
          <w:lang w:val="it-IT"/>
        </w:rPr>
        <w:pPrChange w:id="73" w:author="Author">
          <w:pPr>
            <w:widowControl w:val="0"/>
            <w:tabs>
              <w:tab w:val="left" w:pos="180"/>
            </w:tabs>
          </w:pPr>
        </w:pPrChange>
      </w:pPr>
    </w:p>
    <w:p>
      <w:pPr>
        <w:keepNext/>
        <w:widowControl w:val="0"/>
        <w:tabs>
          <w:tab w:val="left" w:pos="426"/>
        </w:tabs>
        <w:ind w:left="1418" w:hanging="1418"/>
        <w:rPr>
          <w:noProof/>
          <w:szCs w:val="22"/>
          <w:lang w:val="it-IT"/>
        </w:rPr>
        <w:pPrChange w:id="74" w:author="Author">
          <w:pPr>
            <w:widowControl w:val="0"/>
            <w:tabs>
              <w:tab w:val="left" w:pos="426"/>
            </w:tabs>
            <w:ind w:left="1418" w:hanging="1418"/>
          </w:pPr>
        </w:pPrChange>
      </w:pPr>
      <w:r>
        <w:rPr>
          <w:noProof/>
          <w:szCs w:val="22"/>
          <w:lang w:val="it-IT"/>
        </w:rPr>
        <w:sym w:font="Symbol" w:char="F0B7"/>
      </w:r>
      <w:r>
        <w:rPr>
          <w:noProof/>
          <w:szCs w:val="22"/>
          <w:lang w:val="it-IT"/>
        </w:rPr>
        <w:tab/>
      </w:r>
      <w:del w:id="75" w:author="Author">
        <w:r>
          <w:rPr>
            <w:noProof/>
            <w:szCs w:val="22"/>
            <w:lang w:val="it-IT"/>
          </w:rPr>
          <w:delText xml:space="preserve">Anormalità </w:delText>
        </w:r>
      </w:del>
      <w:ins w:id="76" w:author="Author">
        <w:r>
          <w:rPr>
            <w:noProof/>
            <w:szCs w:val="22"/>
            <w:lang w:val="it-IT"/>
          </w:rPr>
          <w:t xml:space="preserve">Anomalie </w:t>
        </w:r>
      </w:ins>
      <w:r>
        <w:rPr>
          <w:noProof/>
          <w:szCs w:val="22"/>
          <w:lang w:val="it-IT"/>
        </w:rPr>
        <w:t>degli enzimi epatici</w:t>
      </w:r>
    </w:p>
    <w:p>
      <w:pPr>
        <w:keepNext/>
        <w:tabs>
          <w:tab w:val="left" w:pos="180"/>
        </w:tabs>
        <w:rPr>
          <w:noProof/>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030"/>
        <w:gridCol w:w="7031"/>
        <w:tblGridChange w:id="77">
          <w:tblGrid>
            <w:gridCol w:w="2030"/>
            <w:gridCol w:w="7031"/>
          </w:tblGrid>
        </w:tblGridChange>
      </w:tblGrid>
      <w:tr>
        <w:trPr>
          <w:cantSplit/>
          <w:tblHeader/>
        </w:trPr>
        <w:tc>
          <w:tcPr>
            <w:tcW w:w="1120" w:type="pct"/>
          </w:tcPr>
          <w:p>
            <w:pPr>
              <w:pStyle w:val="TextTi12"/>
              <w:keepNext/>
              <w:tabs>
                <w:tab w:val="left" w:pos="180"/>
              </w:tabs>
              <w:suppressAutoHyphens/>
              <w:spacing w:after="0" w:line="240" w:lineRule="auto"/>
              <w:jc w:val="center"/>
              <w:rPr>
                <w:del w:id="78" w:author="Author"/>
                <w:noProof/>
                <w:snapToGrid w:val="0"/>
                <w:sz w:val="22"/>
                <w:szCs w:val="22"/>
                <w:lang w:val="it-IT"/>
              </w:rPr>
              <w:pPrChange w:id="79" w:author="Author">
                <w:pPr>
                  <w:pStyle w:val="TextTi12"/>
                  <w:keepNext/>
                  <w:keepLines/>
                  <w:tabs>
                    <w:tab w:val="left" w:pos="180"/>
                  </w:tabs>
                  <w:spacing w:after="0" w:line="240" w:lineRule="auto"/>
                  <w:jc w:val="center"/>
                </w:pPr>
              </w:pPrChange>
            </w:pPr>
            <w:r>
              <w:rPr>
                <w:noProof/>
                <w:snapToGrid w:val="0"/>
                <w:sz w:val="22"/>
                <w:szCs w:val="22"/>
                <w:lang w:val="it-IT"/>
              </w:rPr>
              <w:t>Valori di laboratorio</w:t>
            </w:r>
          </w:p>
          <w:p>
            <w:pPr>
              <w:pStyle w:val="TextTi12"/>
              <w:keepNext/>
              <w:tabs>
                <w:tab w:val="left" w:pos="180"/>
              </w:tabs>
              <w:suppressAutoHyphens/>
              <w:spacing w:after="0" w:line="240" w:lineRule="auto"/>
              <w:jc w:val="center"/>
              <w:rPr>
                <w:noProof/>
                <w:snapToGrid w:val="0"/>
                <w:sz w:val="22"/>
                <w:szCs w:val="22"/>
                <w:lang w:val="it-IT"/>
              </w:rPr>
              <w:pPrChange w:id="80" w:author="Author">
                <w:pPr>
                  <w:pStyle w:val="TextTi12"/>
                  <w:keepNext/>
                  <w:keepLines/>
                  <w:tabs>
                    <w:tab w:val="left" w:pos="180"/>
                  </w:tabs>
                  <w:spacing w:after="0" w:line="240" w:lineRule="auto"/>
                  <w:jc w:val="center"/>
                </w:pPr>
              </w:pPrChange>
            </w:pPr>
          </w:p>
        </w:tc>
        <w:tc>
          <w:tcPr>
            <w:tcW w:w="3880" w:type="pct"/>
          </w:tcPr>
          <w:p>
            <w:pPr>
              <w:pStyle w:val="TextTi12"/>
              <w:keepNext/>
              <w:tabs>
                <w:tab w:val="left" w:pos="180"/>
              </w:tabs>
              <w:suppressAutoHyphens/>
              <w:spacing w:after="0" w:line="240" w:lineRule="auto"/>
              <w:jc w:val="center"/>
              <w:rPr>
                <w:noProof/>
                <w:snapToGrid w:val="0"/>
                <w:sz w:val="22"/>
                <w:szCs w:val="22"/>
                <w:lang w:val="it-IT"/>
              </w:rPr>
              <w:pPrChange w:id="81" w:author="Author">
                <w:pPr>
                  <w:pStyle w:val="TextTi12"/>
                  <w:tabs>
                    <w:tab w:val="left" w:pos="180"/>
                  </w:tabs>
                  <w:spacing w:after="0" w:line="240" w:lineRule="auto"/>
                  <w:jc w:val="center"/>
                </w:pPr>
              </w:pPrChange>
            </w:pPr>
            <w:r>
              <w:rPr>
                <w:noProof/>
                <w:snapToGrid w:val="0"/>
                <w:sz w:val="22"/>
                <w:szCs w:val="22"/>
                <w:lang w:val="it-IT"/>
              </w:rPr>
              <w:t>Azione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Change w:id="82"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
          </w:tblPrExChange>
        </w:tblPrEx>
        <w:trPr>
          <w:cantSplit/>
          <w:trPrChange w:id="83" w:author="Author">
            <w:trPr>
              <w:cantSplit/>
            </w:trPr>
          </w:trPrChange>
        </w:trPr>
        <w:tc>
          <w:tcPr>
            <w:tcW w:w="1120" w:type="pct"/>
            <w:tcPrChange w:id="84" w:author="Author">
              <w:tcPr>
                <w:tcW w:w="1120" w:type="pct"/>
              </w:tcPr>
            </w:tcPrChange>
          </w:tcPr>
          <w:p>
            <w:pPr>
              <w:pStyle w:val="TextTi12"/>
              <w:keepNext/>
              <w:tabs>
                <w:tab w:val="left" w:pos="180"/>
              </w:tabs>
              <w:suppressAutoHyphens/>
              <w:spacing w:after="0" w:line="240" w:lineRule="auto"/>
              <w:jc w:val="left"/>
              <w:rPr>
                <w:noProof/>
                <w:snapToGrid w:val="0"/>
                <w:sz w:val="22"/>
                <w:szCs w:val="22"/>
                <w:lang w:val="it-IT"/>
              </w:rPr>
              <w:pPrChange w:id="85" w:author="Author">
                <w:pPr>
                  <w:pStyle w:val="TextTi12"/>
                  <w:keepNext/>
                  <w:keepLines/>
                  <w:tabs>
                    <w:tab w:val="left" w:pos="180"/>
                  </w:tabs>
                  <w:spacing w:after="0" w:line="240" w:lineRule="auto"/>
                </w:pPr>
              </w:pPrChange>
            </w:pPr>
            <w:r>
              <w:rPr>
                <w:noProof/>
                <w:snapToGrid w:val="0"/>
                <w:sz w:val="22"/>
                <w:szCs w:val="22"/>
                <w:lang w:val="it-IT"/>
              </w:rPr>
              <w:t xml:space="preserve">Da </w:t>
            </w:r>
            <w:r>
              <w:rPr>
                <w:noProof/>
                <w:snapToGrid w:val="0"/>
                <w:sz w:val="22"/>
                <w:szCs w:val="22"/>
                <w:lang w:val="it-IT"/>
              </w:rPr>
              <w:sym w:font="Symbol" w:char="F03E"/>
            </w:r>
            <w:r>
              <w:rPr>
                <w:noProof/>
                <w:snapToGrid w:val="0"/>
                <w:sz w:val="22"/>
                <w:szCs w:val="22"/>
                <w:lang w:val="it-IT"/>
              </w:rPr>
              <w:t xml:space="preserve">1 a 3 volte </w:t>
            </w:r>
            <w:del w:id="86" w:author="Author">
              <w:r>
                <w:rPr>
                  <w:noProof/>
                  <w:snapToGrid w:val="0"/>
                  <w:sz w:val="22"/>
                  <w:szCs w:val="22"/>
                  <w:lang w:val="it-IT"/>
                </w:rPr>
                <w:delText xml:space="preserve">sopra </w:delText>
              </w:r>
            </w:del>
            <w:r>
              <w:rPr>
                <w:noProof/>
                <w:snapToGrid w:val="0"/>
                <w:sz w:val="22"/>
                <w:szCs w:val="22"/>
                <w:lang w:val="it-IT"/>
              </w:rPr>
              <w:t xml:space="preserve">il limite </w:t>
            </w:r>
            <w:ins w:id="87" w:author="Author">
              <w:r>
                <w:rPr>
                  <w:noProof/>
                  <w:snapToGrid w:val="0"/>
                  <w:sz w:val="22"/>
                  <w:szCs w:val="22"/>
                  <w:lang w:val="it-IT"/>
                </w:rPr>
                <w:t xml:space="preserve">superiore </w:t>
              </w:r>
            </w:ins>
            <w:r>
              <w:rPr>
                <w:noProof/>
                <w:snapToGrid w:val="0"/>
                <w:sz w:val="22"/>
                <w:szCs w:val="22"/>
                <w:lang w:val="it-IT"/>
              </w:rPr>
              <w:t>d</w:t>
            </w:r>
            <w:del w:id="88" w:author="Author">
              <w:r>
                <w:rPr>
                  <w:noProof/>
                  <w:snapToGrid w:val="0"/>
                  <w:sz w:val="22"/>
                  <w:szCs w:val="22"/>
                  <w:lang w:val="it-IT"/>
                </w:rPr>
                <w:delText>i</w:delText>
              </w:r>
            </w:del>
            <w:ins w:id="89" w:author="Author">
              <w:r>
                <w:rPr>
                  <w:noProof/>
                  <w:snapToGrid w:val="0"/>
                  <w:sz w:val="22"/>
                  <w:szCs w:val="22"/>
                  <w:lang w:val="it-IT"/>
                </w:rPr>
                <w:t>el valore</w:t>
              </w:r>
              <w:del w:id="90" w:author="Author">
                <w:r>
                  <w:rPr>
                    <w:noProof/>
                    <w:snapToGrid w:val="0"/>
                    <w:sz w:val="22"/>
                    <w:szCs w:val="22"/>
                    <w:lang w:val="it-IT"/>
                  </w:rPr>
                  <w:delText>la</w:delText>
                </w:r>
              </w:del>
            </w:ins>
            <w:r>
              <w:rPr>
                <w:noProof/>
                <w:snapToGrid w:val="0"/>
                <w:sz w:val="22"/>
                <w:szCs w:val="22"/>
                <w:lang w:val="it-IT"/>
              </w:rPr>
              <w:t xml:space="preserve"> norma</w:t>
            </w:r>
            <w:ins w:id="91" w:author="Author">
              <w:r>
                <w:rPr>
                  <w:noProof/>
                  <w:snapToGrid w:val="0"/>
                  <w:sz w:val="22"/>
                  <w:szCs w:val="22"/>
                  <w:lang w:val="it-IT"/>
                </w:rPr>
                <w:t>le</w:t>
              </w:r>
            </w:ins>
            <w:r>
              <w:rPr>
                <w:noProof/>
                <w:snapToGrid w:val="0"/>
                <w:sz w:val="22"/>
                <w:szCs w:val="22"/>
                <w:lang w:val="it-IT"/>
              </w:rPr>
              <w:t xml:space="preserve"> (</w:t>
            </w:r>
            <w:r>
              <w:rPr>
                <w:i/>
                <w:noProof/>
                <w:snapToGrid w:val="0"/>
                <w:sz w:val="22"/>
                <w:szCs w:val="22"/>
                <w:lang w:val="it-IT"/>
              </w:rPr>
              <w:t>Upper Limit of Normal</w:t>
            </w:r>
            <w:r>
              <w:rPr>
                <w:noProof/>
                <w:snapToGrid w:val="0"/>
                <w:sz w:val="22"/>
                <w:szCs w:val="22"/>
                <w:lang w:val="it-IT"/>
              </w:rPr>
              <w:t>, ULN)</w:t>
            </w:r>
          </w:p>
        </w:tc>
        <w:tc>
          <w:tcPr>
            <w:tcW w:w="3880" w:type="pct"/>
            <w:tcPrChange w:id="92" w:author="Author">
              <w:tcPr>
                <w:tcW w:w="3880" w:type="pct"/>
              </w:tcPr>
            </w:tcPrChange>
          </w:tcPr>
          <w:p>
            <w:pPr>
              <w:pStyle w:val="TextTi12"/>
              <w:keepNext/>
              <w:tabs>
                <w:tab w:val="left" w:pos="180"/>
              </w:tabs>
              <w:suppressAutoHyphens/>
              <w:spacing w:after="0" w:line="240" w:lineRule="auto"/>
              <w:jc w:val="left"/>
              <w:rPr>
                <w:noProof/>
                <w:snapToGrid w:val="0"/>
                <w:sz w:val="22"/>
                <w:szCs w:val="22"/>
                <w:lang w:val="it-IT"/>
              </w:rPr>
              <w:pPrChange w:id="93" w:author="Author">
                <w:pPr>
                  <w:pStyle w:val="TextTi12"/>
                  <w:tabs>
                    <w:tab w:val="left" w:pos="180"/>
                  </w:tabs>
                  <w:spacing w:after="0" w:line="240" w:lineRule="auto"/>
                </w:pPr>
              </w:pPrChange>
            </w:pPr>
            <w:r>
              <w:rPr>
                <w:noProof/>
                <w:snapToGrid w:val="0"/>
                <w:sz w:val="22"/>
                <w:szCs w:val="22"/>
                <w:lang w:val="it-IT"/>
              </w:rPr>
              <w:t xml:space="preserve">Modificare la dose di MTX se appropriato. </w:t>
            </w:r>
          </w:p>
          <w:p>
            <w:pPr>
              <w:pStyle w:val="TextTi12"/>
              <w:keepNext/>
              <w:tabs>
                <w:tab w:val="left" w:pos="180"/>
              </w:tabs>
              <w:suppressAutoHyphens/>
              <w:spacing w:after="0" w:line="240" w:lineRule="auto"/>
              <w:jc w:val="left"/>
              <w:rPr>
                <w:noProof/>
                <w:snapToGrid w:val="0"/>
                <w:sz w:val="22"/>
                <w:szCs w:val="22"/>
                <w:lang w:val="it-IT"/>
              </w:rPr>
              <w:pPrChange w:id="94" w:author="Author">
                <w:pPr>
                  <w:pStyle w:val="TextTi12"/>
                  <w:tabs>
                    <w:tab w:val="left" w:pos="180"/>
                  </w:tabs>
                  <w:spacing w:after="0" w:line="240" w:lineRule="auto"/>
                </w:pPr>
              </w:pPrChange>
            </w:pPr>
          </w:p>
          <w:p>
            <w:pPr>
              <w:pStyle w:val="TextTi12"/>
              <w:keepNext/>
              <w:tabs>
                <w:tab w:val="left" w:pos="180"/>
              </w:tabs>
              <w:suppressAutoHyphens/>
              <w:spacing w:after="0" w:line="240" w:lineRule="auto"/>
              <w:jc w:val="left"/>
              <w:rPr>
                <w:noProof/>
                <w:snapToGrid w:val="0"/>
                <w:sz w:val="22"/>
                <w:szCs w:val="22"/>
                <w:lang w:val="it-IT"/>
              </w:rPr>
              <w:pPrChange w:id="95" w:author="Author">
                <w:pPr>
                  <w:pStyle w:val="TextTi12"/>
                  <w:tabs>
                    <w:tab w:val="left" w:pos="180"/>
                  </w:tabs>
                  <w:spacing w:after="0" w:line="240" w:lineRule="auto"/>
                </w:pPr>
              </w:pPrChange>
            </w:pPr>
            <w:r>
              <w:rPr>
                <w:noProof/>
                <w:snapToGrid w:val="0"/>
                <w:sz w:val="22"/>
                <w:szCs w:val="22"/>
                <w:lang w:val="it-IT"/>
              </w:rPr>
              <w:t>Per aumenti persistenti entro questo intervallo, ridurre la dose di tocilizumab a 4 mg/kg o interrompere il trattamento fino a che l’alaninaaminotransferasi (ALT) o l’aspartatoaminotransferasi (AST) non si siano normalizzate.</w:t>
            </w:r>
          </w:p>
          <w:p>
            <w:pPr>
              <w:pStyle w:val="TextTi12"/>
              <w:keepNext/>
              <w:tabs>
                <w:tab w:val="left" w:pos="180"/>
              </w:tabs>
              <w:suppressAutoHyphens/>
              <w:spacing w:after="0" w:line="240" w:lineRule="auto"/>
              <w:jc w:val="left"/>
              <w:rPr>
                <w:del w:id="96" w:author="Author"/>
                <w:noProof/>
                <w:snapToGrid w:val="0"/>
                <w:sz w:val="22"/>
                <w:szCs w:val="22"/>
                <w:lang w:val="it-IT"/>
              </w:rPr>
              <w:pPrChange w:id="97" w:author="Author">
                <w:pPr>
                  <w:pStyle w:val="TextTi12"/>
                  <w:tabs>
                    <w:tab w:val="left" w:pos="180"/>
                  </w:tabs>
                  <w:spacing w:after="0" w:line="240" w:lineRule="auto"/>
                </w:pPr>
              </w:pPrChange>
            </w:pPr>
          </w:p>
          <w:p>
            <w:pPr>
              <w:pStyle w:val="TextTi12"/>
              <w:keepNext/>
              <w:tabs>
                <w:tab w:val="left" w:pos="180"/>
              </w:tabs>
              <w:suppressAutoHyphens/>
              <w:spacing w:after="0" w:line="240" w:lineRule="auto"/>
              <w:jc w:val="left"/>
              <w:rPr>
                <w:noProof/>
                <w:snapToGrid w:val="0"/>
                <w:sz w:val="22"/>
                <w:szCs w:val="22"/>
                <w:lang w:val="it-IT"/>
              </w:rPr>
              <w:pPrChange w:id="98" w:author="Author">
                <w:pPr>
                  <w:pStyle w:val="TextTi12"/>
                  <w:tabs>
                    <w:tab w:val="left" w:pos="180"/>
                  </w:tabs>
                  <w:spacing w:after="0" w:line="240" w:lineRule="auto"/>
                </w:pPr>
              </w:pPrChange>
            </w:pPr>
          </w:p>
          <w:p>
            <w:pPr>
              <w:pStyle w:val="TextTi12"/>
              <w:keepNext/>
              <w:tabs>
                <w:tab w:val="left" w:pos="180"/>
              </w:tabs>
              <w:suppressAutoHyphens/>
              <w:spacing w:after="0" w:line="240" w:lineRule="auto"/>
              <w:jc w:val="left"/>
              <w:rPr>
                <w:noProof/>
                <w:snapToGrid w:val="0"/>
                <w:sz w:val="22"/>
                <w:szCs w:val="22"/>
                <w:lang w:val="it-IT"/>
              </w:rPr>
              <w:pPrChange w:id="99" w:author="Author">
                <w:pPr>
                  <w:pStyle w:val="TextTi12"/>
                  <w:tabs>
                    <w:tab w:val="left" w:pos="180"/>
                  </w:tabs>
                  <w:spacing w:after="0" w:line="240" w:lineRule="auto"/>
                </w:pPr>
              </w:pPrChange>
            </w:pPr>
            <w:r>
              <w:rPr>
                <w:noProof/>
                <w:snapToGrid w:val="0"/>
                <w:sz w:val="22"/>
                <w:szCs w:val="22"/>
                <w:lang w:val="it-IT"/>
              </w:rPr>
              <w:t>Riprendere con 4 mg/kg o 8 mg/kg secondo quanto clinicamente appropriato.</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Change w:id="100"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
          </w:tblPrExChange>
        </w:tblPrEx>
        <w:trPr>
          <w:cantSplit/>
          <w:trPrChange w:id="101" w:author="Author">
            <w:trPr>
              <w:cantSplit/>
            </w:trPr>
          </w:trPrChange>
        </w:trPr>
        <w:tc>
          <w:tcPr>
            <w:tcW w:w="1120" w:type="pct"/>
            <w:tcPrChange w:id="102" w:author="Author">
              <w:tcPr>
                <w:tcW w:w="1120" w:type="pct"/>
              </w:tcPr>
            </w:tcPrChange>
          </w:tcPr>
          <w:p>
            <w:pPr>
              <w:pStyle w:val="TextTi12"/>
              <w:keepNext/>
              <w:tabs>
                <w:tab w:val="left" w:pos="180"/>
              </w:tabs>
              <w:suppressAutoHyphens/>
              <w:spacing w:after="0" w:line="240" w:lineRule="auto"/>
              <w:jc w:val="left"/>
              <w:rPr>
                <w:noProof/>
                <w:snapToGrid w:val="0"/>
                <w:sz w:val="22"/>
                <w:szCs w:val="22"/>
                <w:lang w:val="it-IT"/>
              </w:rPr>
              <w:pPrChange w:id="103" w:author="Author">
                <w:pPr>
                  <w:pStyle w:val="TextTi12"/>
                  <w:keepNext/>
                  <w:keepLines/>
                  <w:tabs>
                    <w:tab w:val="left" w:pos="180"/>
                  </w:tabs>
                  <w:spacing w:after="0" w:line="240" w:lineRule="auto"/>
                </w:pPr>
              </w:pPrChange>
            </w:pPr>
            <w:r>
              <w:rPr>
                <w:noProof/>
                <w:snapToGrid w:val="0"/>
                <w:sz w:val="22"/>
                <w:szCs w:val="22"/>
                <w:lang w:val="it-IT"/>
              </w:rPr>
              <w:t xml:space="preserve">Da </w:t>
            </w:r>
            <w:r>
              <w:rPr>
                <w:noProof/>
                <w:snapToGrid w:val="0"/>
                <w:sz w:val="22"/>
                <w:szCs w:val="22"/>
                <w:lang w:val="it-IT"/>
              </w:rPr>
              <w:sym w:font="Symbol" w:char="F03E"/>
            </w:r>
            <w:r>
              <w:rPr>
                <w:noProof/>
                <w:snapToGrid w:val="0"/>
                <w:sz w:val="22"/>
                <w:szCs w:val="22"/>
                <w:lang w:val="it-IT"/>
              </w:rPr>
              <w:t>3 a 5 volte ULN</w:t>
            </w:r>
          </w:p>
          <w:p>
            <w:pPr>
              <w:pStyle w:val="TextTi12"/>
              <w:keepNext/>
              <w:tabs>
                <w:tab w:val="left" w:pos="180"/>
              </w:tabs>
              <w:suppressAutoHyphens/>
              <w:spacing w:after="0" w:line="240" w:lineRule="auto"/>
              <w:jc w:val="left"/>
              <w:rPr>
                <w:noProof/>
                <w:snapToGrid w:val="0"/>
                <w:sz w:val="22"/>
                <w:szCs w:val="22"/>
                <w:lang w:val="it-IT"/>
              </w:rPr>
              <w:pPrChange w:id="104" w:author="Author">
                <w:pPr>
                  <w:pStyle w:val="TextTi12"/>
                  <w:keepNext/>
                  <w:keepLines/>
                  <w:tabs>
                    <w:tab w:val="left" w:pos="180"/>
                  </w:tabs>
                  <w:spacing w:after="0" w:line="240" w:lineRule="auto"/>
                </w:pPr>
              </w:pPrChange>
            </w:pPr>
          </w:p>
          <w:p>
            <w:pPr>
              <w:pStyle w:val="TextTi12"/>
              <w:keepNext/>
              <w:tabs>
                <w:tab w:val="left" w:pos="180"/>
              </w:tabs>
              <w:suppressAutoHyphens/>
              <w:spacing w:after="0" w:line="240" w:lineRule="auto"/>
              <w:jc w:val="left"/>
              <w:rPr>
                <w:noProof/>
                <w:snapToGrid w:val="0"/>
                <w:sz w:val="22"/>
                <w:szCs w:val="22"/>
                <w:lang w:val="it-IT"/>
              </w:rPr>
              <w:pPrChange w:id="105" w:author="Author">
                <w:pPr>
                  <w:pStyle w:val="TextTi12"/>
                  <w:keepNext/>
                  <w:keepLines/>
                  <w:tabs>
                    <w:tab w:val="left" w:pos="180"/>
                  </w:tabs>
                  <w:spacing w:after="0" w:line="240" w:lineRule="auto"/>
                </w:pPr>
              </w:pPrChange>
            </w:pPr>
            <w:r>
              <w:rPr>
                <w:noProof/>
                <w:snapToGrid w:val="0"/>
                <w:sz w:val="22"/>
                <w:szCs w:val="22"/>
                <w:lang w:val="it-IT"/>
              </w:rPr>
              <w:t>(confermato da un test ripetuto, vedere paragrafo 4.4).</w:t>
            </w:r>
          </w:p>
        </w:tc>
        <w:tc>
          <w:tcPr>
            <w:tcW w:w="3880" w:type="pct"/>
            <w:tcPrChange w:id="106" w:author="Author">
              <w:tcPr>
                <w:tcW w:w="3880" w:type="pct"/>
              </w:tcPr>
            </w:tcPrChange>
          </w:tcPr>
          <w:p>
            <w:pPr>
              <w:pStyle w:val="TextTi12"/>
              <w:keepNext/>
              <w:tabs>
                <w:tab w:val="left" w:pos="180"/>
              </w:tabs>
              <w:suppressAutoHyphens/>
              <w:spacing w:after="0" w:line="240" w:lineRule="auto"/>
              <w:jc w:val="left"/>
              <w:rPr>
                <w:noProof/>
                <w:snapToGrid w:val="0"/>
                <w:sz w:val="22"/>
                <w:szCs w:val="22"/>
                <w:lang w:val="it-IT"/>
              </w:rPr>
              <w:pPrChange w:id="107" w:author="Author">
                <w:pPr>
                  <w:pStyle w:val="TextTi12"/>
                  <w:tabs>
                    <w:tab w:val="left" w:pos="180"/>
                  </w:tabs>
                  <w:spacing w:after="0" w:line="240" w:lineRule="auto"/>
                </w:pPr>
              </w:pPrChange>
            </w:pPr>
            <w:r>
              <w:rPr>
                <w:noProof/>
                <w:snapToGrid w:val="0"/>
                <w:sz w:val="22"/>
                <w:szCs w:val="22"/>
                <w:lang w:val="it-IT"/>
              </w:rPr>
              <w:t xml:space="preserve">Interrompere la somministrazione di tocilizumab fino a </w:t>
            </w:r>
            <w:r>
              <w:rPr>
                <w:noProof/>
                <w:snapToGrid w:val="0"/>
                <w:sz w:val="22"/>
                <w:szCs w:val="22"/>
                <w:lang w:val="it-IT"/>
              </w:rPr>
              <w:sym w:font="Symbol" w:char="F03C"/>
            </w:r>
            <w:r>
              <w:rPr>
                <w:noProof/>
                <w:snapToGrid w:val="0"/>
                <w:sz w:val="22"/>
                <w:szCs w:val="22"/>
                <w:lang w:val="it-IT"/>
              </w:rPr>
              <w:t xml:space="preserve">3 volte ULN e seguire le raccomandazioni descritte sopra (da </w:t>
            </w:r>
            <w:r>
              <w:rPr>
                <w:noProof/>
                <w:snapToGrid w:val="0"/>
                <w:sz w:val="22"/>
                <w:szCs w:val="22"/>
                <w:lang w:val="it-IT"/>
              </w:rPr>
              <w:sym w:font="Symbol" w:char="F03E"/>
            </w:r>
            <w:r>
              <w:rPr>
                <w:noProof/>
                <w:snapToGrid w:val="0"/>
                <w:sz w:val="22"/>
                <w:szCs w:val="22"/>
                <w:lang w:val="it-IT"/>
              </w:rPr>
              <w:t>1 a 3 volte ULN).</w:t>
            </w:r>
          </w:p>
          <w:p>
            <w:pPr>
              <w:pStyle w:val="TextTi12"/>
              <w:keepNext/>
              <w:tabs>
                <w:tab w:val="left" w:pos="180"/>
              </w:tabs>
              <w:suppressAutoHyphens/>
              <w:spacing w:after="0" w:line="240" w:lineRule="auto"/>
              <w:jc w:val="left"/>
              <w:rPr>
                <w:noProof/>
                <w:snapToGrid w:val="0"/>
                <w:sz w:val="22"/>
                <w:szCs w:val="22"/>
                <w:lang w:val="it-IT"/>
              </w:rPr>
              <w:pPrChange w:id="108" w:author="Author">
                <w:pPr>
                  <w:pStyle w:val="TextTi12"/>
                  <w:tabs>
                    <w:tab w:val="left" w:pos="180"/>
                  </w:tabs>
                  <w:spacing w:after="0" w:line="240" w:lineRule="auto"/>
                </w:pPr>
              </w:pPrChange>
            </w:pPr>
          </w:p>
          <w:p>
            <w:pPr>
              <w:pStyle w:val="TextTi12"/>
              <w:keepNext/>
              <w:tabs>
                <w:tab w:val="left" w:pos="180"/>
              </w:tabs>
              <w:suppressAutoHyphens/>
              <w:spacing w:after="0" w:line="240" w:lineRule="auto"/>
              <w:jc w:val="left"/>
              <w:rPr>
                <w:noProof/>
                <w:snapToGrid w:val="0"/>
                <w:sz w:val="22"/>
                <w:szCs w:val="22"/>
                <w:lang w:val="it-IT"/>
              </w:rPr>
              <w:pPrChange w:id="109" w:author="Author">
                <w:pPr>
                  <w:pStyle w:val="TextTi12"/>
                  <w:tabs>
                    <w:tab w:val="left" w:pos="180"/>
                  </w:tabs>
                  <w:spacing w:after="0" w:line="240" w:lineRule="auto"/>
                </w:pPr>
              </w:pPrChange>
            </w:pPr>
            <w:r>
              <w:rPr>
                <w:noProof/>
                <w:snapToGrid w:val="0"/>
                <w:sz w:val="22"/>
                <w:szCs w:val="22"/>
                <w:lang w:val="it-IT"/>
              </w:rPr>
              <w:t xml:space="preserve">Per incrementi persistenti </w:t>
            </w:r>
            <w:r>
              <w:rPr>
                <w:noProof/>
                <w:snapToGrid w:val="0"/>
                <w:sz w:val="22"/>
                <w:szCs w:val="22"/>
                <w:lang w:val="it-IT"/>
              </w:rPr>
              <w:sym w:font="Symbol" w:char="F03E"/>
            </w:r>
            <w:r>
              <w:rPr>
                <w:noProof/>
                <w:snapToGrid w:val="0"/>
                <w:sz w:val="22"/>
                <w:szCs w:val="22"/>
                <w:lang w:val="it-IT"/>
              </w:rPr>
              <w:t>3 volte ULN, sospendere   il trattamento.</w:t>
            </w:r>
          </w:p>
          <w:p>
            <w:pPr>
              <w:pStyle w:val="TextTi12"/>
              <w:keepNext/>
              <w:tabs>
                <w:tab w:val="left" w:pos="180"/>
              </w:tabs>
              <w:suppressAutoHyphens/>
              <w:spacing w:after="0" w:line="240" w:lineRule="auto"/>
              <w:jc w:val="left"/>
              <w:rPr>
                <w:noProof/>
                <w:snapToGrid w:val="0"/>
                <w:sz w:val="22"/>
                <w:szCs w:val="22"/>
                <w:lang w:val="it-IT"/>
              </w:rPr>
              <w:pPrChange w:id="110" w:author="Author">
                <w:pPr>
                  <w:pStyle w:val="TextTi12"/>
                  <w:tabs>
                    <w:tab w:val="left" w:pos="180"/>
                  </w:tabs>
                  <w:spacing w:after="0" w:line="240" w:lineRule="auto"/>
                </w:pPr>
              </w:pPrChange>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Change w:id="111"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Ex>
          </w:tblPrExChange>
        </w:tblPrEx>
        <w:trPr>
          <w:cantSplit/>
          <w:trPrChange w:id="112" w:author="Author">
            <w:trPr>
              <w:cantSplit/>
            </w:trPr>
          </w:trPrChange>
        </w:trPr>
        <w:tc>
          <w:tcPr>
            <w:tcW w:w="1120" w:type="pct"/>
            <w:tcPrChange w:id="113" w:author="Author">
              <w:tcPr>
                <w:tcW w:w="1120" w:type="pct"/>
              </w:tcPr>
            </w:tcPrChange>
          </w:tcPr>
          <w:p>
            <w:pPr>
              <w:pStyle w:val="TextTi12"/>
              <w:tabs>
                <w:tab w:val="left" w:pos="180"/>
              </w:tabs>
              <w:suppressAutoHyphens/>
              <w:spacing w:after="0" w:line="240" w:lineRule="auto"/>
              <w:jc w:val="left"/>
              <w:rPr>
                <w:noProof/>
                <w:snapToGrid w:val="0"/>
                <w:sz w:val="22"/>
                <w:szCs w:val="22"/>
                <w:lang w:val="it-IT"/>
              </w:rPr>
              <w:pPrChange w:id="114" w:author="Author">
                <w:pPr>
                  <w:pStyle w:val="TextTi12"/>
                  <w:keepNext/>
                  <w:keepLines/>
                  <w:tabs>
                    <w:tab w:val="left" w:pos="180"/>
                  </w:tabs>
                  <w:spacing w:after="0" w:line="240" w:lineRule="auto"/>
                </w:pPr>
              </w:pPrChange>
            </w:pPr>
            <w:r>
              <w:rPr>
                <w:noProof/>
                <w:snapToGrid w:val="0"/>
                <w:sz w:val="22"/>
                <w:szCs w:val="22"/>
                <w:lang w:val="it-IT"/>
              </w:rPr>
              <w:sym w:font="Symbol" w:char="F03E"/>
            </w:r>
            <w:r>
              <w:rPr>
                <w:noProof/>
                <w:snapToGrid w:val="0"/>
                <w:sz w:val="22"/>
                <w:szCs w:val="22"/>
                <w:lang w:val="it-IT"/>
              </w:rPr>
              <w:t>5 volte ULN</w:t>
            </w:r>
          </w:p>
        </w:tc>
        <w:tc>
          <w:tcPr>
            <w:tcW w:w="3880" w:type="pct"/>
            <w:tcPrChange w:id="115" w:author="Author">
              <w:tcPr>
                <w:tcW w:w="3880" w:type="pct"/>
              </w:tcPr>
            </w:tcPrChange>
          </w:tcPr>
          <w:p>
            <w:pPr>
              <w:pStyle w:val="TextTi12"/>
              <w:tabs>
                <w:tab w:val="left" w:pos="180"/>
              </w:tabs>
              <w:suppressAutoHyphens/>
              <w:spacing w:after="0" w:line="240" w:lineRule="auto"/>
              <w:jc w:val="left"/>
              <w:rPr>
                <w:del w:id="116" w:author="Author"/>
                <w:noProof/>
                <w:snapToGrid w:val="0"/>
                <w:sz w:val="22"/>
                <w:szCs w:val="22"/>
                <w:lang w:val="it-IT"/>
              </w:rPr>
              <w:pPrChange w:id="117" w:author="Author">
                <w:pPr>
                  <w:pStyle w:val="TextTi12"/>
                  <w:tabs>
                    <w:tab w:val="left" w:pos="180"/>
                  </w:tabs>
                  <w:spacing w:after="0" w:line="240" w:lineRule="auto"/>
                </w:pPr>
              </w:pPrChange>
            </w:pPr>
            <w:r>
              <w:rPr>
                <w:noProof/>
                <w:snapToGrid w:val="0"/>
                <w:sz w:val="22"/>
                <w:szCs w:val="22"/>
                <w:lang w:val="it-IT"/>
              </w:rPr>
              <w:t>Sospendere</w:t>
            </w:r>
            <w:del w:id="118" w:author="Author">
              <w:r>
                <w:rPr>
                  <w:noProof/>
                  <w:snapToGrid w:val="0"/>
                  <w:sz w:val="22"/>
                  <w:szCs w:val="22"/>
                  <w:lang w:val="it-IT"/>
                </w:rPr>
                <w:delText xml:space="preserve"> </w:delText>
              </w:r>
            </w:del>
            <w:r>
              <w:rPr>
                <w:noProof/>
                <w:snapToGrid w:val="0"/>
                <w:sz w:val="22"/>
                <w:szCs w:val="22"/>
                <w:lang w:val="it-IT"/>
              </w:rPr>
              <w:t xml:space="preserve"> il trattamento.</w:t>
            </w:r>
          </w:p>
          <w:p>
            <w:pPr>
              <w:pStyle w:val="TextTi12"/>
              <w:tabs>
                <w:tab w:val="left" w:pos="180"/>
              </w:tabs>
              <w:suppressAutoHyphens/>
              <w:spacing w:after="0" w:line="240" w:lineRule="auto"/>
              <w:jc w:val="left"/>
              <w:rPr>
                <w:noProof/>
                <w:snapToGrid w:val="0"/>
                <w:sz w:val="22"/>
                <w:szCs w:val="22"/>
                <w:lang w:val="it-IT"/>
              </w:rPr>
              <w:pPrChange w:id="119" w:author="Author">
                <w:pPr>
                  <w:pStyle w:val="TextTi12"/>
                  <w:tabs>
                    <w:tab w:val="left" w:pos="180"/>
                  </w:tabs>
                  <w:spacing w:after="0" w:line="240" w:lineRule="auto"/>
                </w:pPr>
              </w:pPrChange>
            </w:pPr>
          </w:p>
        </w:tc>
      </w:tr>
    </w:tbl>
    <w:p>
      <w:pPr>
        <w:tabs>
          <w:tab w:val="left" w:pos="180"/>
        </w:tabs>
        <w:rPr>
          <w:noProof/>
          <w:szCs w:val="22"/>
          <w:lang w:val="it-IT"/>
        </w:rPr>
      </w:pPr>
    </w:p>
    <w:p>
      <w:pPr>
        <w:keepNext/>
        <w:keepLines/>
        <w:ind w:left="567" w:hanging="567"/>
        <w:rPr>
          <w:noProof/>
          <w:szCs w:val="22"/>
          <w:lang w:val="it-IT"/>
        </w:rPr>
      </w:pPr>
      <w:r>
        <w:rPr>
          <w:noProof/>
          <w:szCs w:val="22"/>
          <w:lang w:val="it-IT"/>
        </w:rPr>
        <w:sym w:font="Symbol" w:char="F0B7"/>
      </w:r>
      <w:r>
        <w:rPr>
          <w:noProof/>
          <w:szCs w:val="22"/>
          <w:lang w:val="it-IT"/>
        </w:rPr>
        <w:tab/>
        <w:t>Bassa conta assoluta dei neutrofili (ANC)</w:t>
      </w:r>
    </w:p>
    <w:p>
      <w:pPr>
        <w:keepNext/>
        <w:keepLines/>
        <w:tabs>
          <w:tab w:val="left" w:pos="180"/>
        </w:tabs>
        <w:ind w:left="567" w:hanging="567"/>
        <w:rPr>
          <w:noProof/>
          <w:szCs w:val="22"/>
          <w:lang w:val="it-IT"/>
        </w:rPr>
      </w:pPr>
    </w:p>
    <w:p>
      <w:pPr>
        <w:keepNext/>
        <w:keepLines/>
        <w:tabs>
          <w:tab w:val="left" w:pos="180"/>
        </w:tabs>
        <w:rPr>
          <w:noProof/>
          <w:szCs w:val="22"/>
          <w:lang w:val="it-IT"/>
        </w:rPr>
      </w:pPr>
      <w:r>
        <w:rPr>
          <w:noProof/>
          <w:szCs w:val="22"/>
          <w:lang w:val="it-IT"/>
        </w:rPr>
        <w:t>Nei pazienti non precedentemente trattati con tocilizumab, non è raccomandato l’inizio del trattamento se il paziente presenta una conta assoluta dei neutrofili (ANC) inferiore a 2 </w:t>
      </w:r>
      <w:r>
        <w:rPr>
          <w:noProof/>
          <w:szCs w:val="22"/>
          <w:lang w:val="it-IT"/>
        </w:rPr>
        <w:sym w:font="Symbol" w:char="F0B4"/>
      </w:r>
      <w:r>
        <w:rPr>
          <w:noProof/>
          <w:szCs w:val="22"/>
          <w:lang w:val="it-IT"/>
        </w:rPr>
        <w:t>10</w:t>
      </w:r>
      <w:r>
        <w:rPr>
          <w:bCs/>
          <w:noProof/>
          <w:vertAlign w:val="superscript"/>
          <w:lang w:val="it-IT"/>
        </w:rPr>
        <w:t>9</w:t>
      </w:r>
      <w:r>
        <w:rPr>
          <w:noProof/>
          <w:szCs w:val="22"/>
          <w:lang w:val="it-IT"/>
        </w:rPr>
        <w:t>/L.</w:t>
      </w:r>
    </w:p>
    <w:p>
      <w:pPr>
        <w:keepNext/>
        <w:keepLines/>
        <w:tabs>
          <w:tab w:val="left" w:pos="180"/>
        </w:tabs>
        <w:rPr>
          <w:noProof/>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120"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030"/>
        <w:gridCol w:w="7031"/>
        <w:tblGridChange w:id="121">
          <w:tblGrid>
            <w:gridCol w:w="2030"/>
            <w:gridCol w:w="7031"/>
          </w:tblGrid>
        </w:tblGridChange>
      </w:tblGrid>
      <w:tr>
        <w:trPr>
          <w:cantSplit/>
        </w:trPr>
        <w:tc>
          <w:tcPr>
            <w:tcW w:w="1120" w:type="pct"/>
            <w:tcPrChange w:id="122" w:author="Author">
              <w:tcPr>
                <w:tcW w:w="1120" w:type="pct"/>
              </w:tcPr>
            </w:tcPrChange>
          </w:tcPr>
          <w:p>
            <w:pPr>
              <w:pStyle w:val="TextTi12"/>
              <w:keepNext/>
              <w:tabs>
                <w:tab w:val="left" w:pos="180"/>
              </w:tabs>
              <w:suppressAutoHyphens/>
              <w:spacing w:after="0" w:line="240" w:lineRule="auto"/>
              <w:jc w:val="center"/>
              <w:rPr>
                <w:del w:id="123" w:author="Author"/>
                <w:noProof/>
                <w:snapToGrid w:val="0"/>
                <w:sz w:val="22"/>
                <w:szCs w:val="22"/>
                <w:lang w:val="it-IT"/>
              </w:rPr>
              <w:pPrChange w:id="124" w:author="Author">
                <w:pPr>
                  <w:pStyle w:val="TextTi12"/>
                  <w:keepNext/>
                  <w:keepLines/>
                  <w:tabs>
                    <w:tab w:val="left" w:pos="180"/>
                  </w:tabs>
                  <w:spacing w:after="0" w:line="240" w:lineRule="auto"/>
                  <w:jc w:val="center"/>
                </w:pPr>
              </w:pPrChange>
            </w:pPr>
            <w:r>
              <w:rPr>
                <w:noProof/>
                <w:snapToGrid w:val="0"/>
                <w:sz w:val="22"/>
                <w:szCs w:val="22"/>
                <w:lang w:val="it-IT"/>
              </w:rPr>
              <w:t>Valori di laboratorio</w:t>
            </w:r>
            <w:r>
              <w:rPr>
                <w:noProof/>
                <w:snapToGrid w:val="0"/>
                <w:sz w:val="22"/>
                <w:szCs w:val="22"/>
                <w:lang w:val="it-IT"/>
              </w:rPr>
              <w:br/>
              <w:t xml:space="preserve">(cellule </w:t>
            </w:r>
            <w:r>
              <w:rPr>
                <w:noProof/>
                <w:sz w:val="22"/>
                <w:szCs w:val="22"/>
                <w:lang w:val="it-IT"/>
                <w:rPrChange w:id="125" w:author="Author">
                  <w:rPr>
                    <w:szCs w:val="22"/>
                    <w:lang w:val="it-IT"/>
                  </w:rPr>
                </w:rPrChange>
              </w:rPr>
              <w:sym w:font="Symbol" w:char="F0B4"/>
            </w:r>
            <w:r>
              <w:rPr>
                <w:noProof/>
                <w:snapToGrid w:val="0"/>
                <w:sz w:val="22"/>
                <w:szCs w:val="22"/>
                <w:lang w:val="it-IT"/>
              </w:rPr>
              <w:t xml:space="preserve"> 10</w:t>
            </w:r>
            <w:r>
              <w:rPr>
                <w:noProof/>
                <w:snapToGrid w:val="0"/>
                <w:sz w:val="22"/>
                <w:szCs w:val="22"/>
                <w:vertAlign w:val="superscript"/>
                <w:lang w:val="it-IT"/>
              </w:rPr>
              <w:t>9</w:t>
            </w:r>
            <w:r>
              <w:rPr>
                <w:noProof/>
                <w:snapToGrid w:val="0"/>
                <w:sz w:val="22"/>
                <w:szCs w:val="22"/>
                <w:lang w:val="it-IT"/>
              </w:rPr>
              <w:t>/L)</w:t>
            </w:r>
          </w:p>
          <w:p>
            <w:pPr>
              <w:pStyle w:val="TextTi12"/>
              <w:keepNext/>
              <w:tabs>
                <w:tab w:val="left" w:pos="180"/>
              </w:tabs>
              <w:suppressAutoHyphens/>
              <w:spacing w:after="0" w:line="240" w:lineRule="auto"/>
              <w:jc w:val="center"/>
              <w:rPr>
                <w:noProof/>
                <w:snapToGrid w:val="0"/>
                <w:sz w:val="22"/>
                <w:szCs w:val="22"/>
                <w:lang w:val="it-IT"/>
              </w:rPr>
              <w:pPrChange w:id="126" w:author="Author">
                <w:pPr>
                  <w:pStyle w:val="TextTi12"/>
                  <w:keepNext/>
                  <w:keepLines/>
                  <w:tabs>
                    <w:tab w:val="left" w:pos="180"/>
                  </w:tabs>
                  <w:spacing w:after="0" w:line="240" w:lineRule="auto"/>
                  <w:jc w:val="center"/>
                </w:pPr>
              </w:pPrChange>
            </w:pPr>
          </w:p>
        </w:tc>
        <w:tc>
          <w:tcPr>
            <w:tcW w:w="3880" w:type="pct"/>
            <w:tcPrChange w:id="127" w:author="Author">
              <w:tcPr>
                <w:tcW w:w="3880" w:type="pct"/>
              </w:tcPr>
            </w:tcPrChange>
          </w:tcPr>
          <w:p>
            <w:pPr>
              <w:pStyle w:val="TextTi12"/>
              <w:keepNext/>
              <w:tabs>
                <w:tab w:val="left" w:pos="180"/>
              </w:tabs>
              <w:suppressAutoHyphens/>
              <w:spacing w:after="0" w:line="240" w:lineRule="auto"/>
              <w:jc w:val="center"/>
              <w:rPr>
                <w:noProof/>
                <w:snapToGrid w:val="0"/>
                <w:sz w:val="22"/>
                <w:szCs w:val="22"/>
                <w:lang w:val="it-IT"/>
              </w:rPr>
              <w:pPrChange w:id="128" w:author="Author">
                <w:pPr>
                  <w:pStyle w:val="TextTi12"/>
                  <w:keepNext/>
                  <w:keepLines/>
                  <w:tabs>
                    <w:tab w:val="left" w:pos="180"/>
                  </w:tabs>
                  <w:spacing w:after="0" w:line="240" w:lineRule="auto"/>
                  <w:jc w:val="center"/>
                </w:pPr>
              </w:pPrChange>
            </w:pPr>
            <w:r>
              <w:rPr>
                <w:noProof/>
                <w:snapToGrid w:val="0"/>
                <w:sz w:val="22"/>
                <w:szCs w:val="22"/>
                <w:lang w:val="it-IT"/>
              </w:rPr>
              <w:t>Azione</w:t>
            </w:r>
          </w:p>
        </w:tc>
      </w:tr>
      <w:tr>
        <w:trPr>
          <w:cantSplit/>
        </w:trPr>
        <w:tc>
          <w:tcPr>
            <w:tcW w:w="1120" w:type="pct"/>
            <w:tcPrChange w:id="129" w:author="Author">
              <w:tcPr>
                <w:tcW w:w="1120" w:type="pct"/>
              </w:tcPr>
            </w:tcPrChange>
          </w:tcPr>
          <w:p>
            <w:pPr>
              <w:pStyle w:val="TextTi12"/>
              <w:keepNext/>
              <w:tabs>
                <w:tab w:val="left" w:pos="180"/>
              </w:tabs>
              <w:suppressAutoHyphens/>
              <w:spacing w:after="0" w:line="240" w:lineRule="auto"/>
              <w:jc w:val="left"/>
              <w:rPr>
                <w:del w:id="130" w:author="Author"/>
                <w:noProof/>
                <w:snapToGrid w:val="0"/>
                <w:sz w:val="22"/>
                <w:szCs w:val="22"/>
                <w:lang w:val="it-IT"/>
              </w:rPr>
              <w:pPrChange w:id="131" w:author="Author">
                <w:pPr>
                  <w:pStyle w:val="TextTi12"/>
                  <w:keepNext/>
                  <w:keepLines/>
                  <w:tabs>
                    <w:tab w:val="left" w:pos="180"/>
                  </w:tabs>
                  <w:spacing w:after="0" w:line="240" w:lineRule="auto"/>
                </w:pPr>
              </w:pPrChange>
            </w:pPr>
            <w:r>
              <w:rPr>
                <w:noProof/>
                <w:snapToGrid w:val="0"/>
                <w:sz w:val="22"/>
                <w:szCs w:val="22"/>
                <w:lang w:val="it-IT"/>
              </w:rPr>
              <w:t xml:space="preserve">ANC </w:t>
            </w:r>
            <w:r>
              <w:rPr>
                <w:noProof/>
                <w:snapToGrid w:val="0"/>
                <w:sz w:val="22"/>
                <w:szCs w:val="22"/>
                <w:lang w:val="it-IT"/>
              </w:rPr>
              <w:sym w:font="Symbol" w:char="F03E"/>
            </w:r>
            <w:r>
              <w:rPr>
                <w:noProof/>
                <w:snapToGrid w:val="0"/>
                <w:sz w:val="22"/>
                <w:szCs w:val="22"/>
                <w:lang w:val="it-IT"/>
              </w:rPr>
              <w:t>1</w:t>
            </w:r>
          </w:p>
          <w:p>
            <w:pPr>
              <w:pStyle w:val="TextTi12"/>
              <w:keepNext/>
              <w:tabs>
                <w:tab w:val="left" w:pos="180"/>
              </w:tabs>
              <w:suppressAutoHyphens/>
              <w:spacing w:after="0" w:line="240" w:lineRule="auto"/>
              <w:jc w:val="left"/>
              <w:rPr>
                <w:noProof/>
                <w:snapToGrid w:val="0"/>
                <w:sz w:val="22"/>
                <w:szCs w:val="22"/>
                <w:lang w:val="it-IT"/>
              </w:rPr>
              <w:pPrChange w:id="132" w:author="Author">
                <w:pPr>
                  <w:pStyle w:val="TextTi12"/>
                  <w:keepNext/>
                  <w:keepLines/>
                  <w:tabs>
                    <w:tab w:val="left" w:pos="180"/>
                  </w:tabs>
                  <w:spacing w:after="0" w:line="240" w:lineRule="auto"/>
                </w:pPr>
              </w:pPrChange>
            </w:pPr>
          </w:p>
        </w:tc>
        <w:tc>
          <w:tcPr>
            <w:tcW w:w="3880" w:type="pct"/>
            <w:tcPrChange w:id="133" w:author="Author">
              <w:tcPr>
                <w:tcW w:w="3880" w:type="pct"/>
              </w:tcPr>
            </w:tcPrChange>
          </w:tcPr>
          <w:p>
            <w:pPr>
              <w:pStyle w:val="TextTi12"/>
              <w:keepNext/>
              <w:tabs>
                <w:tab w:val="left" w:pos="180"/>
              </w:tabs>
              <w:suppressAutoHyphens/>
              <w:spacing w:after="0" w:line="240" w:lineRule="auto"/>
              <w:jc w:val="left"/>
              <w:rPr>
                <w:noProof/>
                <w:snapToGrid w:val="0"/>
                <w:sz w:val="22"/>
                <w:szCs w:val="22"/>
                <w:lang w:val="it-IT"/>
              </w:rPr>
              <w:pPrChange w:id="134" w:author="Author">
                <w:pPr>
                  <w:pStyle w:val="TextTi12"/>
                  <w:keepNext/>
                  <w:keepLines/>
                  <w:tabs>
                    <w:tab w:val="left" w:pos="180"/>
                  </w:tabs>
                  <w:spacing w:after="0" w:line="240" w:lineRule="auto"/>
                </w:pPr>
              </w:pPrChange>
            </w:pPr>
            <w:r>
              <w:rPr>
                <w:noProof/>
                <w:snapToGrid w:val="0"/>
                <w:sz w:val="22"/>
                <w:szCs w:val="22"/>
                <w:lang w:val="it-IT"/>
              </w:rPr>
              <w:t>Mantenere la dose.</w:t>
            </w:r>
          </w:p>
        </w:tc>
      </w:tr>
      <w:tr>
        <w:trPr>
          <w:cantSplit/>
        </w:trPr>
        <w:tc>
          <w:tcPr>
            <w:tcW w:w="1120" w:type="pct"/>
            <w:tcPrChange w:id="135" w:author="Author">
              <w:tcPr>
                <w:tcW w:w="1120" w:type="pct"/>
              </w:tcPr>
            </w:tcPrChange>
          </w:tcPr>
          <w:p>
            <w:pPr>
              <w:pStyle w:val="TextTi12"/>
              <w:keepNext/>
              <w:tabs>
                <w:tab w:val="left" w:pos="180"/>
              </w:tabs>
              <w:suppressAutoHyphens/>
              <w:spacing w:after="0" w:line="240" w:lineRule="auto"/>
              <w:jc w:val="left"/>
              <w:rPr>
                <w:noProof/>
                <w:snapToGrid w:val="0"/>
                <w:sz w:val="22"/>
                <w:szCs w:val="22"/>
                <w:lang w:val="it-IT"/>
              </w:rPr>
              <w:pPrChange w:id="136" w:author="Author">
                <w:pPr>
                  <w:pStyle w:val="TextTi12"/>
                  <w:keepNext/>
                  <w:keepLines/>
                  <w:tabs>
                    <w:tab w:val="left" w:pos="180"/>
                  </w:tabs>
                  <w:spacing w:after="0" w:line="240" w:lineRule="auto"/>
                </w:pPr>
              </w:pPrChange>
            </w:pPr>
            <w:r>
              <w:rPr>
                <w:noProof/>
                <w:snapToGrid w:val="0"/>
                <w:sz w:val="22"/>
                <w:szCs w:val="22"/>
                <w:lang w:val="it-IT"/>
              </w:rPr>
              <w:t>ANC da 0,5 a 1</w:t>
            </w:r>
          </w:p>
        </w:tc>
        <w:tc>
          <w:tcPr>
            <w:tcW w:w="3880" w:type="pct"/>
            <w:tcPrChange w:id="137" w:author="Author">
              <w:tcPr>
                <w:tcW w:w="3880" w:type="pct"/>
              </w:tcPr>
            </w:tcPrChange>
          </w:tcPr>
          <w:p>
            <w:pPr>
              <w:pStyle w:val="TextTi12"/>
              <w:keepNext/>
              <w:tabs>
                <w:tab w:val="left" w:pos="180"/>
              </w:tabs>
              <w:suppressAutoHyphens/>
              <w:spacing w:after="0" w:line="240" w:lineRule="auto"/>
              <w:jc w:val="left"/>
              <w:rPr>
                <w:noProof/>
                <w:snapToGrid w:val="0"/>
                <w:sz w:val="22"/>
                <w:szCs w:val="22"/>
                <w:lang w:val="it-IT"/>
              </w:rPr>
              <w:pPrChange w:id="138" w:author="Author">
                <w:pPr>
                  <w:pStyle w:val="TextTi12"/>
                  <w:keepNext/>
                  <w:keepLines/>
                  <w:tabs>
                    <w:tab w:val="left" w:pos="180"/>
                  </w:tabs>
                  <w:spacing w:after="0" w:line="240" w:lineRule="auto"/>
                </w:pPr>
              </w:pPrChange>
            </w:pPr>
            <w:r>
              <w:rPr>
                <w:noProof/>
                <w:snapToGrid w:val="0"/>
                <w:sz w:val="22"/>
                <w:szCs w:val="22"/>
                <w:lang w:val="it-IT"/>
              </w:rPr>
              <w:t>Interrompere la somministrazione di tocilizumab.</w:t>
            </w:r>
          </w:p>
          <w:p>
            <w:pPr>
              <w:pStyle w:val="TextTi12"/>
              <w:keepNext/>
              <w:tabs>
                <w:tab w:val="left" w:pos="180"/>
              </w:tabs>
              <w:suppressAutoHyphens/>
              <w:spacing w:after="0" w:line="240" w:lineRule="auto"/>
              <w:jc w:val="left"/>
              <w:rPr>
                <w:noProof/>
                <w:snapToGrid w:val="0"/>
                <w:sz w:val="22"/>
                <w:szCs w:val="22"/>
                <w:lang w:val="it-IT"/>
              </w:rPr>
              <w:pPrChange w:id="139" w:author="Author">
                <w:pPr>
                  <w:pStyle w:val="TextTi12"/>
                  <w:keepNext/>
                  <w:keepLines/>
                  <w:tabs>
                    <w:tab w:val="left" w:pos="180"/>
                  </w:tabs>
                  <w:spacing w:after="0" w:line="240" w:lineRule="auto"/>
                </w:pPr>
              </w:pPrChange>
            </w:pPr>
          </w:p>
          <w:p>
            <w:pPr>
              <w:pStyle w:val="TextTi12"/>
              <w:keepNext/>
              <w:tabs>
                <w:tab w:val="left" w:pos="180"/>
              </w:tabs>
              <w:suppressAutoHyphens/>
              <w:spacing w:after="0" w:line="240" w:lineRule="auto"/>
              <w:jc w:val="left"/>
              <w:rPr>
                <w:del w:id="140" w:author="Author"/>
                <w:noProof/>
                <w:snapToGrid w:val="0"/>
                <w:sz w:val="22"/>
                <w:szCs w:val="22"/>
                <w:lang w:val="it-IT"/>
              </w:rPr>
              <w:pPrChange w:id="141" w:author="Author">
                <w:pPr>
                  <w:pStyle w:val="TextTi12"/>
                  <w:keepNext/>
                  <w:keepLines/>
                  <w:tabs>
                    <w:tab w:val="left" w:pos="180"/>
                  </w:tabs>
                  <w:spacing w:after="0" w:line="240" w:lineRule="auto"/>
                </w:pPr>
              </w:pPrChange>
            </w:pPr>
            <w:r>
              <w:rPr>
                <w:noProof/>
                <w:snapToGrid w:val="0"/>
                <w:sz w:val="22"/>
                <w:szCs w:val="22"/>
                <w:lang w:val="it-IT"/>
              </w:rPr>
              <w:t xml:space="preserve">Quando la ANC aumenta sopra 1 </w:t>
            </w:r>
            <w:r>
              <w:rPr>
                <w:noProof/>
                <w:sz w:val="22"/>
                <w:szCs w:val="22"/>
                <w:lang w:val="it-IT"/>
                <w:rPrChange w:id="142" w:author="Author">
                  <w:rPr>
                    <w:szCs w:val="22"/>
                    <w:lang w:val="it-IT"/>
                  </w:rPr>
                </w:rPrChange>
              </w:rPr>
              <w:sym w:font="Symbol" w:char="F0B4"/>
            </w:r>
            <w:r>
              <w:rPr>
                <w:noProof/>
                <w:snapToGrid w:val="0"/>
                <w:sz w:val="22"/>
                <w:szCs w:val="22"/>
                <w:lang w:val="it-IT"/>
              </w:rPr>
              <w:t>10</w:t>
            </w:r>
            <w:r>
              <w:rPr>
                <w:noProof/>
                <w:snapToGrid w:val="0"/>
                <w:sz w:val="22"/>
                <w:szCs w:val="22"/>
                <w:vertAlign w:val="superscript"/>
                <w:lang w:val="it-IT"/>
              </w:rPr>
              <w:t>9</w:t>
            </w:r>
            <w:r>
              <w:rPr>
                <w:noProof/>
                <w:snapToGrid w:val="0"/>
                <w:sz w:val="22"/>
                <w:szCs w:val="22"/>
                <w:lang w:val="it-IT"/>
              </w:rPr>
              <w:t>/L riprendere il tratta</w:t>
            </w:r>
            <w:del w:id="143" w:author="Author">
              <w:r>
                <w:rPr>
                  <w:noProof/>
                  <w:snapToGrid w:val="0"/>
                  <w:sz w:val="22"/>
                  <w:szCs w:val="22"/>
                  <w:lang w:val="it-IT"/>
                </w:rPr>
                <w:delText>a</w:delText>
              </w:r>
            </w:del>
            <w:r>
              <w:rPr>
                <w:noProof/>
                <w:snapToGrid w:val="0"/>
                <w:sz w:val="22"/>
                <w:szCs w:val="22"/>
                <w:lang w:val="it-IT"/>
              </w:rPr>
              <w:t>mento alla dose di 4 mg/kg e aumentarla a 8 mg/kg secondo quanto clinicamente appropriato.</w:t>
            </w:r>
          </w:p>
          <w:p>
            <w:pPr>
              <w:pStyle w:val="TextTi12"/>
              <w:keepNext/>
              <w:tabs>
                <w:tab w:val="left" w:pos="180"/>
              </w:tabs>
              <w:suppressAutoHyphens/>
              <w:spacing w:after="0" w:line="240" w:lineRule="auto"/>
              <w:jc w:val="left"/>
              <w:rPr>
                <w:noProof/>
                <w:snapToGrid w:val="0"/>
                <w:sz w:val="22"/>
                <w:szCs w:val="22"/>
                <w:lang w:val="it-IT"/>
              </w:rPr>
              <w:pPrChange w:id="144" w:author="Author">
                <w:pPr>
                  <w:pStyle w:val="TextTi12"/>
                  <w:keepNext/>
                  <w:keepLines/>
                  <w:tabs>
                    <w:tab w:val="left" w:pos="180"/>
                  </w:tabs>
                  <w:spacing w:after="0" w:line="240" w:lineRule="auto"/>
                </w:pPr>
              </w:pPrChange>
            </w:pPr>
          </w:p>
        </w:tc>
      </w:tr>
      <w:tr>
        <w:trPr>
          <w:cantSplit/>
        </w:trPr>
        <w:tc>
          <w:tcPr>
            <w:tcW w:w="1120" w:type="pct"/>
            <w:tcPrChange w:id="145" w:author="Author">
              <w:tcPr>
                <w:tcW w:w="1120" w:type="pct"/>
              </w:tcPr>
            </w:tcPrChange>
          </w:tcPr>
          <w:p>
            <w:pPr>
              <w:pStyle w:val="TextTi12"/>
              <w:tabs>
                <w:tab w:val="left" w:pos="180"/>
              </w:tabs>
              <w:suppressAutoHyphens/>
              <w:spacing w:after="0" w:line="240" w:lineRule="auto"/>
              <w:jc w:val="left"/>
              <w:rPr>
                <w:del w:id="146" w:author="Author"/>
                <w:noProof/>
                <w:snapToGrid w:val="0"/>
                <w:sz w:val="22"/>
                <w:szCs w:val="22"/>
                <w:lang w:val="it-IT"/>
              </w:rPr>
              <w:pPrChange w:id="147" w:author="Author">
                <w:pPr>
                  <w:pStyle w:val="TextTi12"/>
                  <w:keepNext/>
                  <w:keepLines/>
                  <w:tabs>
                    <w:tab w:val="left" w:pos="180"/>
                  </w:tabs>
                  <w:spacing w:after="0" w:line="240" w:lineRule="auto"/>
                </w:pPr>
              </w:pPrChange>
            </w:pPr>
            <w:r>
              <w:rPr>
                <w:noProof/>
                <w:snapToGrid w:val="0"/>
                <w:sz w:val="22"/>
                <w:szCs w:val="22"/>
                <w:lang w:val="it-IT"/>
              </w:rPr>
              <w:t xml:space="preserve">ANC </w:t>
            </w:r>
            <w:r>
              <w:rPr>
                <w:noProof/>
                <w:snapToGrid w:val="0"/>
                <w:sz w:val="22"/>
                <w:szCs w:val="22"/>
                <w:lang w:val="it-IT"/>
              </w:rPr>
              <w:sym w:font="Symbol" w:char="F03C"/>
            </w:r>
            <w:r>
              <w:rPr>
                <w:noProof/>
                <w:snapToGrid w:val="0"/>
                <w:sz w:val="22"/>
                <w:szCs w:val="22"/>
                <w:lang w:val="it-IT"/>
              </w:rPr>
              <w:t>0,5</w:t>
            </w:r>
          </w:p>
          <w:p>
            <w:pPr>
              <w:pStyle w:val="TextTi12"/>
              <w:tabs>
                <w:tab w:val="left" w:pos="180"/>
              </w:tabs>
              <w:suppressAutoHyphens/>
              <w:spacing w:after="0" w:line="240" w:lineRule="auto"/>
              <w:jc w:val="left"/>
              <w:rPr>
                <w:noProof/>
                <w:snapToGrid w:val="0"/>
                <w:sz w:val="22"/>
                <w:szCs w:val="22"/>
                <w:lang w:val="it-IT"/>
              </w:rPr>
              <w:pPrChange w:id="148" w:author="Author">
                <w:pPr>
                  <w:pStyle w:val="TextTi12"/>
                  <w:keepNext/>
                  <w:keepLines/>
                  <w:tabs>
                    <w:tab w:val="left" w:pos="180"/>
                  </w:tabs>
                  <w:spacing w:after="0" w:line="240" w:lineRule="auto"/>
                </w:pPr>
              </w:pPrChange>
            </w:pPr>
          </w:p>
        </w:tc>
        <w:tc>
          <w:tcPr>
            <w:tcW w:w="3880" w:type="pct"/>
            <w:tcPrChange w:id="149" w:author="Author">
              <w:tcPr>
                <w:tcW w:w="3880" w:type="pct"/>
              </w:tcPr>
            </w:tcPrChange>
          </w:tcPr>
          <w:p>
            <w:pPr>
              <w:pStyle w:val="TextTi12"/>
              <w:tabs>
                <w:tab w:val="left" w:pos="180"/>
              </w:tabs>
              <w:suppressAutoHyphens/>
              <w:spacing w:after="0" w:line="240" w:lineRule="auto"/>
              <w:jc w:val="left"/>
              <w:rPr>
                <w:noProof/>
                <w:snapToGrid w:val="0"/>
                <w:sz w:val="22"/>
                <w:szCs w:val="22"/>
                <w:lang w:val="it-IT"/>
              </w:rPr>
              <w:pPrChange w:id="150" w:author="Author">
                <w:pPr>
                  <w:pStyle w:val="TextTi12"/>
                  <w:keepNext/>
                  <w:keepLines/>
                  <w:tabs>
                    <w:tab w:val="left" w:pos="180"/>
                  </w:tabs>
                  <w:spacing w:after="0" w:line="240" w:lineRule="auto"/>
                </w:pPr>
              </w:pPrChange>
            </w:pPr>
            <w:r>
              <w:rPr>
                <w:noProof/>
                <w:snapToGrid w:val="0"/>
                <w:sz w:val="22"/>
                <w:szCs w:val="22"/>
                <w:lang w:val="it-IT"/>
              </w:rPr>
              <w:t>Sospendere il trattamento.</w:t>
            </w:r>
          </w:p>
        </w:tc>
      </w:tr>
    </w:tbl>
    <w:p>
      <w:pPr>
        <w:keepLines/>
        <w:tabs>
          <w:tab w:val="left" w:pos="180"/>
        </w:tabs>
        <w:rPr>
          <w:noProof/>
          <w:szCs w:val="22"/>
          <w:lang w:val="it-IT"/>
        </w:rPr>
        <w:pPrChange w:id="151" w:author="Author">
          <w:pPr>
            <w:keepNext/>
            <w:keepLines/>
            <w:tabs>
              <w:tab w:val="left" w:pos="180"/>
            </w:tabs>
          </w:pPr>
        </w:pPrChange>
      </w:pPr>
    </w:p>
    <w:p>
      <w:pPr>
        <w:keepNext/>
        <w:keepLines/>
        <w:tabs>
          <w:tab w:val="left" w:pos="567"/>
        </w:tabs>
        <w:ind w:left="567" w:hanging="567"/>
        <w:rPr>
          <w:noProof/>
          <w:szCs w:val="22"/>
          <w:lang w:val="it-IT"/>
        </w:rPr>
      </w:pPr>
      <w:r>
        <w:rPr>
          <w:noProof/>
          <w:szCs w:val="22"/>
          <w:lang w:val="it-IT"/>
        </w:rPr>
        <w:sym w:font="Symbol" w:char="F0B7"/>
      </w:r>
      <w:r>
        <w:rPr>
          <w:noProof/>
          <w:szCs w:val="22"/>
          <w:lang w:val="it-IT"/>
        </w:rPr>
        <w:tab/>
        <w:t>Bassa conta piastrinica</w:t>
      </w:r>
    </w:p>
    <w:p>
      <w:pPr>
        <w:keepNext/>
        <w:keepLines/>
        <w:tabs>
          <w:tab w:val="left" w:pos="180"/>
        </w:tabs>
        <w:rPr>
          <w:noProof/>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152"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037"/>
        <w:gridCol w:w="7024"/>
        <w:tblGridChange w:id="153">
          <w:tblGrid>
            <w:gridCol w:w="2037"/>
            <w:gridCol w:w="7024"/>
          </w:tblGrid>
        </w:tblGridChange>
      </w:tblGrid>
      <w:tr>
        <w:trPr>
          <w:cantSplit/>
        </w:trPr>
        <w:tc>
          <w:tcPr>
            <w:tcW w:w="1124" w:type="pct"/>
            <w:tcPrChange w:id="154" w:author="Author">
              <w:tcPr>
                <w:tcW w:w="1124" w:type="pct"/>
              </w:tcPr>
            </w:tcPrChange>
          </w:tcPr>
          <w:p>
            <w:pPr>
              <w:pStyle w:val="TextTi12"/>
              <w:keepNext/>
              <w:tabs>
                <w:tab w:val="left" w:pos="180"/>
              </w:tabs>
              <w:suppressAutoHyphens/>
              <w:spacing w:after="0" w:line="240" w:lineRule="auto"/>
              <w:jc w:val="center"/>
              <w:rPr>
                <w:del w:id="155" w:author="Author"/>
                <w:noProof/>
                <w:snapToGrid w:val="0"/>
                <w:sz w:val="22"/>
                <w:szCs w:val="22"/>
                <w:lang w:val="it-IT"/>
              </w:rPr>
              <w:pPrChange w:id="156" w:author="Author">
                <w:pPr>
                  <w:pStyle w:val="TextTi12"/>
                  <w:keepNext/>
                  <w:keepLines/>
                  <w:tabs>
                    <w:tab w:val="left" w:pos="180"/>
                  </w:tabs>
                  <w:spacing w:after="0" w:line="240" w:lineRule="auto"/>
                  <w:jc w:val="center"/>
                </w:pPr>
              </w:pPrChange>
            </w:pPr>
            <w:r>
              <w:rPr>
                <w:noProof/>
                <w:snapToGrid w:val="0"/>
                <w:sz w:val="22"/>
                <w:szCs w:val="22"/>
                <w:lang w:val="it-IT"/>
              </w:rPr>
              <w:t>Valori di laboratorio</w:t>
            </w:r>
            <w:r>
              <w:rPr>
                <w:noProof/>
                <w:snapToGrid w:val="0"/>
                <w:sz w:val="22"/>
                <w:szCs w:val="22"/>
                <w:lang w:val="it-IT"/>
              </w:rPr>
              <w:br/>
              <w:t>(cellule x 10</w:t>
            </w:r>
            <w:r>
              <w:rPr>
                <w:noProof/>
                <w:snapToGrid w:val="0"/>
                <w:sz w:val="22"/>
                <w:szCs w:val="22"/>
                <w:vertAlign w:val="superscript"/>
                <w:lang w:val="it-IT"/>
              </w:rPr>
              <w:t>3</w:t>
            </w:r>
            <w:r>
              <w:rPr>
                <w:noProof/>
                <w:snapToGrid w:val="0"/>
                <w:sz w:val="22"/>
                <w:szCs w:val="22"/>
                <w:lang w:val="it-IT"/>
              </w:rPr>
              <w:t>/</w:t>
            </w:r>
            <w:r>
              <w:rPr>
                <w:noProof/>
                <w:snapToGrid w:val="0"/>
                <w:sz w:val="22"/>
                <w:szCs w:val="22"/>
                <w:lang w:val="it-IT"/>
              </w:rPr>
              <w:sym w:font="Symbol" w:char="F06D"/>
            </w:r>
            <w:r>
              <w:rPr>
                <w:noProof/>
                <w:snapToGrid w:val="0"/>
                <w:sz w:val="22"/>
                <w:szCs w:val="22"/>
                <w:lang w:val="it-IT"/>
              </w:rPr>
              <w:t>L)</w:t>
            </w:r>
          </w:p>
          <w:p>
            <w:pPr>
              <w:pStyle w:val="TextTi12"/>
              <w:keepNext/>
              <w:tabs>
                <w:tab w:val="left" w:pos="180"/>
              </w:tabs>
              <w:suppressAutoHyphens/>
              <w:spacing w:after="0" w:line="240" w:lineRule="auto"/>
              <w:jc w:val="center"/>
              <w:rPr>
                <w:noProof/>
                <w:snapToGrid w:val="0"/>
                <w:sz w:val="22"/>
                <w:szCs w:val="22"/>
                <w:lang w:val="it-IT"/>
              </w:rPr>
              <w:pPrChange w:id="157" w:author="Author">
                <w:pPr>
                  <w:pStyle w:val="TextTi12"/>
                  <w:keepNext/>
                  <w:keepLines/>
                  <w:tabs>
                    <w:tab w:val="left" w:pos="180"/>
                  </w:tabs>
                  <w:spacing w:after="0" w:line="240" w:lineRule="auto"/>
                  <w:jc w:val="center"/>
                </w:pPr>
              </w:pPrChange>
            </w:pPr>
          </w:p>
        </w:tc>
        <w:tc>
          <w:tcPr>
            <w:tcW w:w="3876" w:type="pct"/>
            <w:tcPrChange w:id="158" w:author="Author">
              <w:tcPr>
                <w:tcW w:w="3876" w:type="pct"/>
              </w:tcPr>
            </w:tcPrChange>
          </w:tcPr>
          <w:p>
            <w:pPr>
              <w:pStyle w:val="TextTi12"/>
              <w:keepNext/>
              <w:tabs>
                <w:tab w:val="left" w:pos="180"/>
              </w:tabs>
              <w:suppressAutoHyphens/>
              <w:spacing w:after="0" w:line="240" w:lineRule="auto"/>
              <w:jc w:val="center"/>
              <w:rPr>
                <w:noProof/>
                <w:snapToGrid w:val="0"/>
                <w:sz w:val="22"/>
                <w:szCs w:val="22"/>
                <w:lang w:val="it-IT"/>
              </w:rPr>
              <w:pPrChange w:id="159" w:author="Author">
                <w:pPr>
                  <w:pStyle w:val="TextTi12"/>
                  <w:keepNext/>
                  <w:keepLines/>
                  <w:tabs>
                    <w:tab w:val="left" w:pos="180"/>
                  </w:tabs>
                  <w:spacing w:after="0" w:line="240" w:lineRule="auto"/>
                  <w:jc w:val="center"/>
                </w:pPr>
              </w:pPrChange>
            </w:pPr>
            <w:r>
              <w:rPr>
                <w:noProof/>
                <w:snapToGrid w:val="0"/>
                <w:sz w:val="22"/>
                <w:szCs w:val="22"/>
                <w:lang w:val="it-IT"/>
              </w:rPr>
              <w:t>Azione</w:t>
            </w:r>
          </w:p>
        </w:tc>
      </w:tr>
      <w:tr>
        <w:trPr>
          <w:cantSplit/>
        </w:trPr>
        <w:tc>
          <w:tcPr>
            <w:tcW w:w="1124" w:type="pct"/>
            <w:tcPrChange w:id="160" w:author="Author">
              <w:tcPr>
                <w:tcW w:w="1124" w:type="pct"/>
              </w:tcPr>
            </w:tcPrChange>
          </w:tcPr>
          <w:p>
            <w:pPr>
              <w:pStyle w:val="TextTi12"/>
              <w:keepNext/>
              <w:tabs>
                <w:tab w:val="left" w:pos="180"/>
              </w:tabs>
              <w:suppressAutoHyphens/>
              <w:spacing w:after="0" w:line="240" w:lineRule="auto"/>
              <w:jc w:val="left"/>
              <w:rPr>
                <w:noProof/>
                <w:snapToGrid w:val="0"/>
                <w:sz w:val="22"/>
                <w:szCs w:val="22"/>
                <w:lang w:val="it-IT"/>
              </w:rPr>
              <w:pPrChange w:id="161" w:author="Author">
                <w:pPr>
                  <w:pStyle w:val="TextTi12"/>
                  <w:keepNext/>
                  <w:keepLines/>
                  <w:tabs>
                    <w:tab w:val="left" w:pos="180"/>
                  </w:tabs>
                  <w:spacing w:after="0" w:line="240" w:lineRule="auto"/>
                </w:pPr>
              </w:pPrChange>
            </w:pPr>
            <w:r>
              <w:rPr>
                <w:noProof/>
                <w:snapToGrid w:val="0"/>
                <w:sz w:val="22"/>
                <w:szCs w:val="22"/>
                <w:lang w:val="it-IT"/>
              </w:rPr>
              <w:t>Da 50 a 100</w:t>
            </w:r>
          </w:p>
        </w:tc>
        <w:tc>
          <w:tcPr>
            <w:tcW w:w="3876" w:type="pct"/>
            <w:tcPrChange w:id="162" w:author="Author">
              <w:tcPr>
                <w:tcW w:w="3876" w:type="pct"/>
              </w:tcPr>
            </w:tcPrChange>
          </w:tcPr>
          <w:p>
            <w:pPr>
              <w:pStyle w:val="TextTi12"/>
              <w:keepNext/>
              <w:tabs>
                <w:tab w:val="left" w:pos="180"/>
              </w:tabs>
              <w:suppressAutoHyphens/>
              <w:spacing w:after="0" w:line="240" w:lineRule="auto"/>
              <w:jc w:val="left"/>
              <w:rPr>
                <w:noProof/>
                <w:snapToGrid w:val="0"/>
                <w:sz w:val="22"/>
                <w:szCs w:val="22"/>
                <w:lang w:val="it-IT"/>
              </w:rPr>
              <w:pPrChange w:id="163" w:author="Author">
                <w:pPr>
                  <w:pStyle w:val="TextTi12"/>
                  <w:keepNext/>
                  <w:keepLines/>
                  <w:tabs>
                    <w:tab w:val="left" w:pos="180"/>
                  </w:tabs>
                  <w:spacing w:after="0" w:line="240" w:lineRule="auto"/>
                </w:pPr>
              </w:pPrChange>
            </w:pPr>
            <w:r>
              <w:rPr>
                <w:noProof/>
                <w:snapToGrid w:val="0"/>
                <w:sz w:val="22"/>
                <w:szCs w:val="22"/>
                <w:lang w:val="it-IT"/>
              </w:rPr>
              <w:t>Interrompere la somministrazione di tocilizumab.</w:t>
            </w:r>
          </w:p>
          <w:p>
            <w:pPr>
              <w:pStyle w:val="TextTi12"/>
              <w:keepNext/>
              <w:tabs>
                <w:tab w:val="left" w:pos="180"/>
              </w:tabs>
              <w:suppressAutoHyphens/>
              <w:spacing w:after="0" w:line="240" w:lineRule="auto"/>
              <w:jc w:val="left"/>
              <w:rPr>
                <w:noProof/>
                <w:snapToGrid w:val="0"/>
                <w:sz w:val="22"/>
                <w:szCs w:val="22"/>
                <w:lang w:val="it-IT"/>
              </w:rPr>
              <w:pPrChange w:id="164" w:author="Author">
                <w:pPr>
                  <w:pStyle w:val="TextTi12"/>
                  <w:keepNext/>
                  <w:keepLines/>
                  <w:tabs>
                    <w:tab w:val="left" w:pos="180"/>
                  </w:tabs>
                  <w:spacing w:after="0" w:line="240" w:lineRule="auto"/>
                </w:pPr>
              </w:pPrChange>
            </w:pPr>
          </w:p>
          <w:p>
            <w:pPr>
              <w:pStyle w:val="TextTi12"/>
              <w:keepNext/>
              <w:tabs>
                <w:tab w:val="left" w:pos="180"/>
              </w:tabs>
              <w:suppressAutoHyphens/>
              <w:spacing w:after="0" w:line="240" w:lineRule="auto"/>
              <w:jc w:val="left"/>
              <w:rPr>
                <w:del w:id="165" w:author="Author"/>
                <w:noProof/>
                <w:snapToGrid w:val="0"/>
                <w:sz w:val="22"/>
                <w:szCs w:val="22"/>
                <w:lang w:val="it-IT"/>
              </w:rPr>
              <w:pPrChange w:id="166" w:author="Author">
                <w:pPr>
                  <w:pStyle w:val="TextTi12"/>
                  <w:keepNext/>
                  <w:keepLines/>
                  <w:tabs>
                    <w:tab w:val="left" w:pos="180"/>
                  </w:tabs>
                  <w:spacing w:after="0" w:line="240" w:lineRule="auto"/>
                </w:pPr>
              </w:pPrChange>
            </w:pPr>
            <w:r>
              <w:rPr>
                <w:noProof/>
                <w:snapToGrid w:val="0"/>
                <w:sz w:val="22"/>
                <w:szCs w:val="22"/>
                <w:lang w:val="it-IT"/>
              </w:rPr>
              <w:t>Quando la conta piastrinica risale a &gt;100 x 10</w:t>
            </w:r>
            <w:r>
              <w:rPr>
                <w:noProof/>
                <w:snapToGrid w:val="0"/>
                <w:sz w:val="22"/>
                <w:szCs w:val="22"/>
                <w:vertAlign w:val="superscript"/>
                <w:lang w:val="it-IT"/>
              </w:rPr>
              <w:t>3</w:t>
            </w:r>
            <w:r>
              <w:rPr>
                <w:noProof/>
                <w:snapToGrid w:val="0"/>
                <w:sz w:val="22"/>
                <w:szCs w:val="22"/>
                <w:lang w:val="it-IT"/>
              </w:rPr>
              <w:t>/μL riprendere il trattamento alla dose di 4 mg/kg e aumentarla a 8 mg/kg secondo quanto clinicamente appropriato.</w:t>
            </w:r>
          </w:p>
          <w:p>
            <w:pPr>
              <w:pStyle w:val="TextTi12"/>
              <w:keepNext/>
              <w:tabs>
                <w:tab w:val="left" w:pos="180"/>
              </w:tabs>
              <w:suppressAutoHyphens/>
              <w:spacing w:after="0" w:line="240" w:lineRule="auto"/>
              <w:jc w:val="left"/>
              <w:rPr>
                <w:noProof/>
                <w:snapToGrid w:val="0"/>
                <w:sz w:val="22"/>
                <w:szCs w:val="22"/>
                <w:lang w:val="it-IT"/>
              </w:rPr>
              <w:pPrChange w:id="167" w:author="Author">
                <w:pPr>
                  <w:pStyle w:val="TextTi12"/>
                  <w:keepNext/>
                  <w:keepLines/>
                  <w:tabs>
                    <w:tab w:val="left" w:pos="180"/>
                  </w:tabs>
                  <w:spacing w:after="0" w:line="240" w:lineRule="auto"/>
                </w:pPr>
              </w:pPrChange>
            </w:pPr>
          </w:p>
        </w:tc>
      </w:tr>
      <w:tr>
        <w:trPr>
          <w:cantSplit/>
        </w:trPr>
        <w:tc>
          <w:tcPr>
            <w:tcW w:w="1124" w:type="pct"/>
            <w:tcPrChange w:id="168" w:author="Author">
              <w:tcPr>
                <w:tcW w:w="1124" w:type="pct"/>
              </w:tcPr>
            </w:tcPrChange>
          </w:tcPr>
          <w:p>
            <w:pPr>
              <w:pStyle w:val="TextTi12"/>
              <w:tabs>
                <w:tab w:val="left" w:pos="180"/>
              </w:tabs>
              <w:suppressAutoHyphens/>
              <w:spacing w:after="0" w:line="240" w:lineRule="auto"/>
              <w:jc w:val="left"/>
              <w:rPr>
                <w:del w:id="169" w:author="Author"/>
                <w:noProof/>
                <w:snapToGrid w:val="0"/>
                <w:sz w:val="22"/>
                <w:szCs w:val="22"/>
                <w:lang w:val="it-IT"/>
              </w:rPr>
              <w:pPrChange w:id="170" w:author="Author">
                <w:pPr>
                  <w:pStyle w:val="TextTi12"/>
                  <w:tabs>
                    <w:tab w:val="left" w:pos="180"/>
                  </w:tabs>
                  <w:spacing w:after="0" w:line="240" w:lineRule="auto"/>
                </w:pPr>
              </w:pPrChange>
            </w:pPr>
            <w:r>
              <w:rPr>
                <w:noProof/>
                <w:snapToGrid w:val="0"/>
                <w:sz w:val="22"/>
                <w:szCs w:val="22"/>
                <w:lang w:val="it-IT"/>
              </w:rPr>
              <w:sym w:font="Symbol" w:char="F03C"/>
            </w:r>
            <w:ins w:id="171" w:author="Author">
              <w:r>
                <w:rPr>
                  <w:noProof/>
                  <w:snapToGrid w:val="0"/>
                  <w:sz w:val="22"/>
                  <w:szCs w:val="22"/>
                  <w:lang w:val="it-IT"/>
                </w:rPr>
                <w:t xml:space="preserve"> </w:t>
              </w:r>
            </w:ins>
            <w:r>
              <w:rPr>
                <w:noProof/>
                <w:snapToGrid w:val="0"/>
                <w:sz w:val="22"/>
                <w:szCs w:val="22"/>
                <w:lang w:val="it-IT"/>
              </w:rPr>
              <w:t>50</w:t>
            </w:r>
          </w:p>
          <w:p>
            <w:pPr>
              <w:pStyle w:val="TextTi12"/>
              <w:tabs>
                <w:tab w:val="left" w:pos="180"/>
              </w:tabs>
              <w:suppressAutoHyphens/>
              <w:spacing w:after="0" w:line="240" w:lineRule="auto"/>
              <w:jc w:val="left"/>
              <w:rPr>
                <w:noProof/>
                <w:snapToGrid w:val="0"/>
                <w:sz w:val="22"/>
                <w:szCs w:val="22"/>
                <w:lang w:val="it-IT"/>
              </w:rPr>
              <w:pPrChange w:id="172" w:author="Author">
                <w:pPr>
                  <w:pStyle w:val="TextTi12"/>
                  <w:tabs>
                    <w:tab w:val="left" w:pos="180"/>
                  </w:tabs>
                  <w:spacing w:after="0" w:line="240" w:lineRule="auto"/>
                </w:pPr>
              </w:pPrChange>
            </w:pPr>
          </w:p>
        </w:tc>
        <w:tc>
          <w:tcPr>
            <w:tcW w:w="3876" w:type="pct"/>
            <w:tcPrChange w:id="173" w:author="Author">
              <w:tcPr>
                <w:tcW w:w="3876" w:type="pct"/>
              </w:tcPr>
            </w:tcPrChange>
          </w:tcPr>
          <w:p>
            <w:pPr>
              <w:pStyle w:val="TextTi12"/>
              <w:tabs>
                <w:tab w:val="left" w:pos="180"/>
              </w:tabs>
              <w:suppressAutoHyphens/>
              <w:spacing w:after="0" w:line="240" w:lineRule="auto"/>
              <w:jc w:val="left"/>
              <w:rPr>
                <w:noProof/>
                <w:snapToGrid w:val="0"/>
                <w:sz w:val="22"/>
                <w:szCs w:val="22"/>
                <w:lang w:val="it-IT"/>
              </w:rPr>
              <w:pPrChange w:id="174" w:author="Author">
                <w:pPr>
                  <w:pStyle w:val="TextTi12"/>
                  <w:tabs>
                    <w:tab w:val="left" w:pos="180"/>
                  </w:tabs>
                  <w:spacing w:after="0" w:line="240" w:lineRule="auto"/>
                </w:pPr>
              </w:pPrChange>
            </w:pPr>
            <w:r>
              <w:rPr>
                <w:noProof/>
                <w:snapToGrid w:val="0"/>
                <w:sz w:val="22"/>
                <w:szCs w:val="22"/>
                <w:lang w:val="it-IT"/>
              </w:rPr>
              <w:t>Sospendere il trattamento.</w:t>
            </w:r>
          </w:p>
        </w:tc>
      </w:tr>
    </w:tbl>
    <w:p>
      <w:pPr>
        <w:ind w:left="567" w:hanging="567"/>
        <w:rPr>
          <w:bCs/>
          <w:noProof/>
          <w:szCs w:val="22"/>
          <w:u w:val="single"/>
          <w:lang w:val="it-IT"/>
        </w:rPr>
      </w:pPr>
    </w:p>
    <w:p>
      <w:pPr>
        <w:pStyle w:val="Standard1"/>
        <w:keepNext/>
        <w:rPr>
          <w:rFonts w:ascii="Times New Roman" w:hAnsi="Times New Roman"/>
          <w:i/>
          <w:iCs/>
          <w:noProof/>
          <w:sz w:val="22"/>
          <w:szCs w:val="22"/>
        </w:rPr>
        <w:pPrChange w:id="175" w:author="Author">
          <w:pPr>
            <w:pStyle w:val="Standard1"/>
          </w:pPr>
        </w:pPrChange>
      </w:pPr>
      <w:r>
        <w:rPr>
          <w:rFonts w:ascii="Times New Roman" w:hAnsi="Times New Roman"/>
          <w:i/>
          <w:iCs/>
          <w:noProof/>
          <w:sz w:val="22"/>
          <w:szCs w:val="22"/>
        </w:rPr>
        <w:t>Pazienti affetti da COVID-19</w:t>
      </w:r>
    </w:p>
    <w:p>
      <w:pPr>
        <w:pStyle w:val="Standard1"/>
        <w:keepNext/>
        <w:rPr>
          <w:del w:id="176" w:author="Author"/>
          <w:rFonts w:ascii="Times New Roman" w:hAnsi="Times New Roman"/>
          <w:noProof/>
          <w:sz w:val="22"/>
          <w:szCs w:val="22"/>
          <w:u w:val="single"/>
        </w:rPr>
        <w:pPrChange w:id="177" w:author="Author">
          <w:pPr>
            <w:pStyle w:val="Standard1"/>
          </w:pPr>
        </w:pPrChange>
      </w:pPr>
    </w:p>
    <w:p>
      <w:pPr>
        <w:pStyle w:val="Standard1"/>
        <w:rPr>
          <w:rFonts w:ascii="Times New Roman" w:hAnsi="Times New Roman"/>
          <w:noProof/>
          <w:sz w:val="22"/>
          <w:szCs w:val="22"/>
        </w:rPr>
      </w:pPr>
      <w:r>
        <w:rPr>
          <w:rFonts w:ascii="Times New Roman" w:hAnsi="Times New Roman"/>
          <w:noProof/>
          <w:sz w:val="22"/>
          <w:szCs w:val="22"/>
        </w:rPr>
        <w:t xml:space="preserve">La posologia raccomandata per il trattamento di COVID-19 è una singola infusione endovenosa di 8 mg/kg per peso corporeo della durata di 60 minuti in pazienti in trattamento con corticosteroidi sistemici e che necessitano di ossigenoterapia supplementare o ventilazione meccanica; vedere paragrafo 5.1. Se i segni o i sintomi clinici peggiorano o non migliorano dopo la prima dose, può essere somministrata un’ulteriore infusione di tocilizumab di 8 mg/kg. L’intervallo tra le due infusioni deve essere di almeno 8 ore. </w:t>
      </w:r>
    </w:p>
    <w:p>
      <w:pPr>
        <w:pStyle w:val="Standard1"/>
        <w:rPr>
          <w:rFonts w:ascii="Times New Roman" w:hAnsi="Times New Roman"/>
          <w:bCs/>
          <w:iCs/>
          <w:noProof/>
          <w:sz w:val="22"/>
          <w:szCs w:val="22"/>
        </w:rPr>
      </w:pPr>
    </w:p>
    <w:p>
      <w:pPr>
        <w:pStyle w:val="Standard1"/>
        <w:rPr>
          <w:rFonts w:ascii="Times New Roman" w:hAnsi="Times New Roman"/>
          <w:noProof/>
          <w:sz w:val="22"/>
          <w:szCs w:val="22"/>
        </w:rPr>
      </w:pPr>
      <w:r>
        <w:rPr>
          <w:rFonts w:ascii="Times New Roman" w:hAnsi="Times New Roman"/>
          <w:noProof/>
          <w:sz w:val="22"/>
          <w:szCs w:val="22"/>
        </w:rPr>
        <w:lastRenderedPageBreak/>
        <w:t>Nei soggetti di peso corporeo superiore a 100 kg non sono raccomandate dosi superiori a 800 mg per infusione (vedere paragrafo 5.2).</w:t>
      </w:r>
    </w:p>
    <w:p>
      <w:pPr>
        <w:pStyle w:val="Standard1"/>
        <w:rPr>
          <w:rFonts w:ascii="Times New Roman" w:hAnsi="Times New Roman"/>
          <w:noProof/>
          <w:sz w:val="22"/>
          <w:szCs w:val="22"/>
        </w:rPr>
      </w:pPr>
    </w:p>
    <w:p>
      <w:pPr>
        <w:pStyle w:val="Standard1"/>
        <w:rPr>
          <w:rFonts w:ascii="Times New Roman" w:hAnsi="Times New Roman"/>
          <w:noProof/>
          <w:sz w:val="22"/>
          <w:szCs w:val="22"/>
        </w:rPr>
      </w:pPr>
      <w:r>
        <w:rPr>
          <w:rFonts w:ascii="Times New Roman" w:hAnsi="Times New Roman"/>
          <w:noProof/>
          <w:sz w:val="22"/>
          <w:szCs w:val="22"/>
        </w:rPr>
        <w:t>La somministrazione di tocilizumab non è raccomandata nei pazienti affetti da COVID-19 che presentano una qualsiasi delle seguenti a</w:t>
      </w:r>
      <w:ins w:id="178" w:author="Author">
        <w:r>
          <w:rPr>
            <w:rFonts w:ascii="Times New Roman" w:hAnsi="Times New Roman"/>
            <w:noProof/>
            <w:sz w:val="22"/>
            <w:szCs w:val="22"/>
          </w:rPr>
          <w:t>nomalie</w:t>
        </w:r>
      </w:ins>
      <w:del w:id="179" w:author="Author">
        <w:r>
          <w:rPr>
            <w:rFonts w:ascii="Times New Roman" w:hAnsi="Times New Roman"/>
            <w:noProof/>
            <w:sz w:val="22"/>
            <w:szCs w:val="22"/>
          </w:rPr>
          <w:delText>lterazioni</w:delText>
        </w:r>
      </w:del>
      <w:r>
        <w:rPr>
          <w:rFonts w:ascii="Times New Roman" w:hAnsi="Times New Roman"/>
          <w:noProof/>
          <w:sz w:val="22"/>
          <w:szCs w:val="22"/>
        </w:rPr>
        <w:t xml:space="preserve"> dei valori di laboratorio:</w:t>
      </w:r>
    </w:p>
    <w:p>
      <w:pPr>
        <w:pStyle w:val="Standard1"/>
        <w:rPr>
          <w:rFonts w:ascii="Times New Roman" w:hAnsi="Times New Roman"/>
          <w:noProof/>
          <w:sz w:val="22"/>
          <w:szCs w:val="22"/>
          <w:highlight w:val="yellow"/>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tc>
          <w:tcPr>
            <w:tcW w:w="3020" w:type="dxa"/>
          </w:tcPr>
          <w:p>
            <w:pPr>
              <w:pStyle w:val="Standard1"/>
              <w:spacing w:line="280" w:lineRule="atLeast"/>
              <w:jc w:val="center"/>
              <w:rPr>
                <w:rFonts w:ascii="Times New Roman" w:eastAsia="MS Mincho" w:hAnsi="Times New Roman"/>
                <w:noProof/>
                <w:sz w:val="22"/>
                <w:szCs w:val="22"/>
                <w:highlight w:val="yellow"/>
                <w:u w:val="single"/>
              </w:rPr>
            </w:pPr>
            <w:r>
              <w:rPr>
                <w:rFonts w:ascii="Times New Roman" w:hAnsi="Times New Roman"/>
                <w:noProof/>
                <w:sz w:val="22"/>
                <w:szCs w:val="22"/>
                <w:u w:val="single"/>
              </w:rPr>
              <w:t>Tipo di esame di laboratorio</w:t>
            </w:r>
          </w:p>
        </w:tc>
        <w:tc>
          <w:tcPr>
            <w:tcW w:w="3020" w:type="dxa"/>
          </w:tcPr>
          <w:p>
            <w:pPr>
              <w:pStyle w:val="Standard1"/>
              <w:spacing w:line="280" w:lineRule="atLeast"/>
              <w:jc w:val="center"/>
              <w:rPr>
                <w:rFonts w:ascii="Times New Roman" w:eastAsia="MS Mincho" w:hAnsi="Times New Roman"/>
                <w:noProof/>
                <w:sz w:val="22"/>
                <w:szCs w:val="22"/>
                <w:u w:val="single"/>
              </w:rPr>
            </w:pPr>
            <w:r>
              <w:rPr>
                <w:rFonts w:ascii="Times New Roman" w:hAnsi="Times New Roman"/>
                <w:noProof/>
                <w:sz w:val="22"/>
                <w:szCs w:val="22"/>
                <w:u w:val="single"/>
              </w:rPr>
              <w:t>Valori di laboratorio</w:t>
            </w:r>
          </w:p>
        </w:tc>
        <w:tc>
          <w:tcPr>
            <w:tcW w:w="3021" w:type="dxa"/>
          </w:tcPr>
          <w:p>
            <w:pPr>
              <w:pStyle w:val="Standard1"/>
              <w:spacing w:line="280" w:lineRule="atLeast"/>
              <w:jc w:val="center"/>
              <w:rPr>
                <w:rFonts w:ascii="Times New Roman" w:eastAsia="MS Mincho" w:hAnsi="Times New Roman"/>
                <w:noProof/>
                <w:sz w:val="22"/>
                <w:szCs w:val="22"/>
                <w:highlight w:val="yellow"/>
                <w:u w:val="single"/>
              </w:rPr>
            </w:pPr>
            <w:r>
              <w:rPr>
                <w:rFonts w:ascii="Times New Roman" w:hAnsi="Times New Roman"/>
                <w:noProof/>
                <w:sz w:val="22"/>
                <w:szCs w:val="22"/>
                <w:u w:val="single"/>
              </w:rPr>
              <w:t>Azione</w:t>
            </w:r>
          </w:p>
        </w:tc>
      </w:tr>
      <w:tr>
        <w:tc>
          <w:tcPr>
            <w:tcW w:w="3020" w:type="dxa"/>
          </w:tcPr>
          <w:p>
            <w:pPr>
              <w:pStyle w:val="Standard1"/>
              <w:spacing w:line="280" w:lineRule="atLeast"/>
              <w:rPr>
                <w:rFonts w:ascii="Times New Roman" w:eastAsia="MS Mincho" w:hAnsi="Times New Roman"/>
                <w:noProof/>
                <w:sz w:val="22"/>
                <w:szCs w:val="22"/>
                <w:highlight w:val="yellow"/>
                <w:u w:val="single"/>
              </w:rPr>
            </w:pPr>
            <w:r>
              <w:rPr>
                <w:rFonts w:ascii="Times New Roman" w:hAnsi="Times New Roman"/>
                <w:noProof/>
                <w:sz w:val="22"/>
              </w:rPr>
              <w:t xml:space="preserve">Enzimi epatici </w:t>
            </w:r>
          </w:p>
        </w:tc>
        <w:tc>
          <w:tcPr>
            <w:tcW w:w="3020" w:type="dxa"/>
          </w:tcPr>
          <w:p>
            <w:pPr>
              <w:pStyle w:val="Standard1"/>
              <w:spacing w:line="280" w:lineRule="atLeast"/>
              <w:jc w:val="center"/>
              <w:rPr>
                <w:rFonts w:ascii="Times New Roman" w:eastAsia="MS Mincho" w:hAnsi="Times New Roman"/>
                <w:noProof/>
                <w:sz w:val="22"/>
                <w:szCs w:val="22"/>
                <w:u w:val="single"/>
              </w:rPr>
            </w:pPr>
            <w:r>
              <w:rPr>
                <w:rFonts w:ascii="Times New Roman" w:hAnsi="Times New Roman"/>
                <w:noProof/>
                <w:sz w:val="22"/>
                <w:szCs w:val="22"/>
              </w:rPr>
              <w:sym w:font="Symbol" w:char="F03E"/>
            </w:r>
            <w:r>
              <w:rPr>
                <w:rFonts w:ascii="Times New Roman" w:hAnsi="Times New Roman"/>
                <w:noProof/>
                <w:sz w:val="22"/>
                <w:szCs w:val="22"/>
                <w:rPrChange w:id="180" w:author="Author">
                  <w:rPr>
                    <w:rFonts w:ascii="Times New Roman" w:hAnsi="Times New Roman"/>
                    <w:sz w:val="22"/>
                    <w:szCs w:val="22"/>
                    <w:u w:val="single"/>
                  </w:rPr>
                </w:rPrChange>
              </w:rPr>
              <w:t xml:space="preserve"> </w:t>
            </w:r>
            <w:r>
              <w:rPr>
                <w:rFonts w:ascii="Times New Roman" w:hAnsi="Times New Roman"/>
                <w:noProof/>
                <w:sz w:val="22"/>
              </w:rPr>
              <w:t>10 volte ULN</w:t>
            </w:r>
          </w:p>
        </w:tc>
        <w:tc>
          <w:tcPr>
            <w:tcW w:w="3021" w:type="dxa"/>
            <w:vMerge w:val="restart"/>
          </w:tcPr>
          <w:p>
            <w:pPr>
              <w:pStyle w:val="Standard1"/>
              <w:rPr>
                <w:rFonts w:ascii="Times New Roman" w:hAnsi="Times New Roman"/>
                <w:noProof/>
                <w:sz w:val="22"/>
                <w:szCs w:val="22"/>
                <w:rPrChange w:id="181" w:author="Author">
                  <w:rPr>
                    <w:rFonts w:ascii="Times New Roman" w:hAnsi="Times New Roman"/>
                    <w:sz w:val="22"/>
                    <w:szCs w:val="22"/>
                    <w:u w:val="single"/>
                  </w:rPr>
                </w:rPrChange>
              </w:rPr>
              <w:pPrChange w:id="182" w:author="Author">
                <w:pPr>
                  <w:pStyle w:val="Standard1"/>
                  <w:jc w:val="both"/>
                </w:pPr>
              </w:pPrChange>
            </w:pPr>
            <w:r>
              <w:rPr>
                <w:rFonts w:ascii="Times New Roman" w:hAnsi="Times New Roman"/>
                <w:noProof/>
                <w:sz w:val="22"/>
                <w:szCs w:val="22"/>
                <w:rPrChange w:id="183" w:author="Author">
                  <w:rPr>
                    <w:rFonts w:ascii="Times New Roman" w:hAnsi="Times New Roman"/>
                    <w:sz w:val="22"/>
                    <w:szCs w:val="22"/>
                    <w:u w:val="single"/>
                  </w:rPr>
                </w:rPrChange>
              </w:rPr>
              <w:t xml:space="preserve">La somministrazione di </w:t>
            </w:r>
            <w:r>
              <w:rPr>
                <w:rFonts w:ascii="Times New Roman" w:hAnsi="Times New Roman"/>
                <w:noProof/>
                <w:sz w:val="22"/>
                <w:rPrChange w:id="184" w:author="Author">
                  <w:rPr>
                    <w:rFonts w:ascii="Times New Roman" w:hAnsi="Times New Roman"/>
                    <w:sz w:val="22"/>
                    <w:u w:val="single"/>
                  </w:rPr>
                </w:rPrChange>
              </w:rPr>
              <w:t>tocilizumab</w:t>
            </w:r>
            <w:r>
              <w:rPr>
                <w:rFonts w:ascii="Times New Roman" w:hAnsi="Times New Roman"/>
                <w:noProof/>
                <w:sz w:val="22"/>
                <w:szCs w:val="22"/>
                <w:rPrChange w:id="185" w:author="Author">
                  <w:rPr>
                    <w:rFonts w:ascii="Times New Roman" w:hAnsi="Times New Roman"/>
                    <w:sz w:val="22"/>
                    <w:szCs w:val="22"/>
                    <w:u w:val="single"/>
                  </w:rPr>
                </w:rPrChange>
              </w:rPr>
              <w:t xml:space="preserve"> è non raccomandata.</w:t>
            </w:r>
          </w:p>
          <w:p>
            <w:pPr>
              <w:pStyle w:val="Standard1"/>
              <w:spacing w:line="280" w:lineRule="atLeast"/>
              <w:rPr>
                <w:rFonts w:ascii="Times New Roman" w:eastAsia="MS Mincho" w:hAnsi="Times New Roman"/>
                <w:noProof/>
                <w:sz w:val="22"/>
                <w:szCs w:val="22"/>
                <w:highlight w:val="yellow"/>
                <w:u w:val="single"/>
              </w:rPr>
            </w:pPr>
          </w:p>
        </w:tc>
      </w:tr>
      <w:tr>
        <w:tc>
          <w:tcPr>
            <w:tcW w:w="3020" w:type="dxa"/>
          </w:tcPr>
          <w:p>
            <w:pPr>
              <w:pStyle w:val="Standard1"/>
              <w:spacing w:line="280" w:lineRule="atLeast"/>
              <w:rPr>
                <w:rFonts w:ascii="Times New Roman" w:eastAsia="MS Mincho" w:hAnsi="Times New Roman"/>
                <w:noProof/>
                <w:sz w:val="22"/>
                <w:szCs w:val="22"/>
                <w:highlight w:val="yellow"/>
                <w:u w:val="single"/>
              </w:rPr>
            </w:pPr>
            <w:r>
              <w:rPr>
                <w:rFonts w:ascii="Times New Roman" w:hAnsi="Times New Roman"/>
                <w:noProof/>
                <w:sz w:val="22"/>
              </w:rPr>
              <w:t xml:space="preserve">Conta assoluta dei neutrofili </w:t>
            </w:r>
          </w:p>
        </w:tc>
        <w:tc>
          <w:tcPr>
            <w:tcW w:w="3020" w:type="dxa"/>
          </w:tcPr>
          <w:p>
            <w:pPr>
              <w:pStyle w:val="Standard1"/>
              <w:spacing w:line="280" w:lineRule="atLeast"/>
              <w:jc w:val="center"/>
              <w:rPr>
                <w:rFonts w:ascii="Times New Roman" w:eastAsia="MS Mincho" w:hAnsi="Times New Roman"/>
                <w:noProof/>
                <w:sz w:val="22"/>
                <w:szCs w:val="22"/>
                <w:highlight w:val="yellow"/>
                <w:u w:val="single"/>
              </w:rPr>
            </w:pPr>
            <w:r>
              <w:rPr>
                <w:noProof/>
                <w:snapToGrid w:val="0"/>
                <w:sz w:val="22"/>
                <w:szCs w:val="22"/>
              </w:rPr>
              <w:sym w:font="Symbol" w:char="F03C"/>
            </w:r>
            <w:ins w:id="186" w:author="Author">
              <w:r>
                <w:rPr>
                  <w:noProof/>
                  <w:snapToGrid w:val="0"/>
                  <w:sz w:val="22"/>
                  <w:szCs w:val="22"/>
                </w:rPr>
                <w:t xml:space="preserve"> </w:t>
              </w:r>
            </w:ins>
            <w:r>
              <w:rPr>
                <w:rFonts w:ascii="Times New Roman" w:hAnsi="Times New Roman"/>
                <w:noProof/>
                <w:sz w:val="22"/>
              </w:rPr>
              <w:t>1 x 10</w:t>
            </w:r>
            <w:r>
              <w:rPr>
                <w:rFonts w:ascii="Times New Roman" w:hAnsi="Times New Roman"/>
                <w:noProof/>
                <w:sz w:val="22"/>
                <w:szCs w:val="22"/>
                <w:vertAlign w:val="superscript"/>
              </w:rPr>
              <w:t>9</w:t>
            </w:r>
            <w:r>
              <w:rPr>
                <w:rFonts w:ascii="Times New Roman" w:hAnsi="Times New Roman"/>
                <w:noProof/>
                <w:sz w:val="22"/>
              </w:rPr>
              <w:t>/L</w:t>
            </w:r>
          </w:p>
        </w:tc>
        <w:tc>
          <w:tcPr>
            <w:tcW w:w="3021" w:type="dxa"/>
            <w:vMerge/>
          </w:tcPr>
          <w:p>
            <w:pPr>
              <w:pStyle w:val="Standard1"/>
              <w:spacing w:line="280" w:lineRule="atLeast"/>
              <w:rPr>
                <w:rFonts w:ascii="Times New Roman" w:eastAsia="MS Mincho" w:hAnsi="Times New Roman"/>
                <w:noProof/>
                <w:sz w:val="22"/>
                <w:szCs w:val="22"/>
                <w:highlight w:val="yellow"/>
                <w:u w:val="single"/>
              </w:rPr>
            </w:pPr>
          </w:p>
        </w:tc>
      </w:tr>
      <w:tr>
        <w:trPr>
          <w:trHeight w:val="269"/>
        </w:trPr>
        <w:tc>
          <w:tcPr>
            <w:tcW w:w="3020" w:type="dxa"/>
          </w:tcPr>
          <w:p>
            <w:pPr>
              <w:pStyle w:val="Standard1"/>
              <w:spacing w:line="280" w:lineRule="atLeast"/>
              <w:rPr>
                <w:rFonts w:ascii="Times New Roman" w:eastAsia="MS Mincho" w:hAnsi="Times New Roman"/>
                <w:noProof/>
                <w:sz w:val="22"/>
                <w:szCs w:val="22"/>
                <w:highlight w:val="yellow"/>
              </w:rPr>
            </w:pPr>
            <w:r>
              <w:rPr>
                <w:rFonts w:ascii="Times New Roman" w:hAnsi="Times New Roman"/>
                <w:noProof/>
                <w:sz w:val="22"/>
              </w:rPr>
              <w:t xml:space="preserve">Conta piastrinica </w:t>
            </w:r>
          </w:p>
        </w:tc>
        <w:tc>
          <w:tcPr>
            <w:tcW w:w="3020" w:type="dxa"/>
          </w:tcPr>
          <w:p>
            <w:pPr>
              <w:pStyle w:val="Standard1"/>
              <w:spacing w:line="280" w:lineRule="atLeast"/>
              <w:jc w:val="center"/>
              <w:rPr>
                <w:rFonts w:ascii="Times New Roman" w:eastAsia="MS Mincho" w:hAnsi="Times New Roman"/>
                <w:noProof/>
                <w:sz w:val="22"/>
                <w:szCs w:val="22"/>
              </w:rPr>
            </w:pPr>
            <w:r>
              <w:rPr>
                <w:noProof/>
                <w:snapToGrid w:val="0"/>
                <w:sz w:val="22"/>
                <w:szCs w:val="22"/>
              </w:rPr>
              <w:sym w:font="Symbol" w:char="F03C"/>
            </w:r>
            <w:ins w:id="187" w:author="Author">
              <w:r>
                <w:rPr>
                  <w:noProof/>
                  <w:snapToGrid w:val="0"/>
                  <w:sz w:val="22"/>
                  <w:szCs w:val="22"/>
                </w:rPr>
                <w:t xml:space="preserve"> </w:t>
              </w:r>
            </w:ins>
            <w:r>
              <w:rPr>
                <w:rFonts w:ascii="Times New Roman" w:hAnsi="Times New Roman"/>
                <w:noProof/>
                <w:sz w:val="22"/>
              </w:rPr>
              <w:t>50 x 10</w:t>
            </w:r>
            <w:r>
              <w:rPr>
                <w:rFonts w:ascii="Times New Roman" w:hAnsi="Times New Roman"/>
                <w:noProof/>
                <w:sz w:val="22"/>
                <w:szCs w:val="22"/>
                <w:vertAlign w:val="superscript"/>
              </w:rPr>
              <w:t>3</w:t>
            </w:r>
            <w:r>
              <w:rPr>
                <w:rFonts w:ascii="Times New Roman" w:hAnsi="Times New Roman"/>
                <w:noProof/>
                <w:sz w:val="22"/>
              </w:rPr>
              <w:t>/μL</w:t>
            </w:r>
          </w:p>
        </w:tc>
        <w:tc>
          <w:tcPr>
            <w:tcW w:w="3021" w:type="dxa"/>
            <w:vMerge/>
          </w:tcPr>
          <w:p>
            <w:pPr>
              <w:pStyle w:val="Standard1"/>
              <w:spacing w:line="280" w:lineRule="atLeast"/>
              <w:rPr>
                <w:rFonts w:ascii="Times New Roman" w:eastAsia="MS Mincho" w:hAnsi="Times New Roman"/>
                <w:noProof/>
                <w:sz w:val="22"/>
                <w:szCs w:val="22"/>
                <w:u w:val="single"/>
              </w:rPr>
            </w:pPr>
          </w:p>
        </w:tc>
      </w:tr>
    </w:tbl>
    <w:p>
      <w:pPr>
        <w:ind w:left="567" w:hanging="567"/>
        <w:rPr>
          <w:bCs/>
          <w:noProof/>
          <w:u w:val="single"/>
          <w:lang w:val="it-IT"/>
        </w:rPr>
      </w:pPr>
    </w:p>
    <w:p>
      <w:pPr>
        <w:keepNext/>
        <w:keepLines/>
        <w:rPr>
          <w:del w:id="188" w:author="Author"/>
          <w:i/>
          <w:iCs/>
          <w:noProof/>
          <w:lang w:val="it-IT"/>
        </w:rPr>
      </w:pPr>
      <w:r>
        <w:rPr>
          <w:i/>
          <w:iCs/>
          <w:noProof/>
          <w:lang w:val="it-IT"/>
        </w:rPr>
        <w:t>Sindrome da rilascio di citochine (CRS) (adulti e pazienti pediatrici)</w:t>
      </w:r>
    </w:p>
    <w:p>
      <w:pPr>
        <w:keepNext/>
        <w:keepLines/>
        <w:rPr>
          <w:i/>
          <w:iCs/>
          <w:noProof/>
          <w:lang w:val="it-IT"/>
        </w:rPr>
      </w:pPr>
    </w:p>
    <w:p>
      <w:pPr>
        <w:keepNext/>
        <w:keepLines/>
        <w:rPr>
          <w:noProof/>
          <w:lang w:val="it-IT"/>
        </w:rPr>
      </w:pPr>
      <w:r>
        <w:rPr>
          <w:noProof/>
          <w:lang w:val="it-IT"/>
        </w:rPr>
        <w:t>La posologia raccomandata per il trattamento della CRS mediante infusione endovenosa della durata di 60 minuti è pari a 8 mg/kg nei pazienti di peso uguale o superiore a 30 kg o a 12 mg/kg nei pazienti di peso inferiore a 30 kg. Tocilizumab può essere somministrato in monoterapia o in associazione con corticosteroidi.</w:t>
      </w:r>
    </w:p>
    <w:p>
      <w:pPr>
        <w:rPr>
          <w:noProof/>
          <w:lang w:val="it-IT"/>
        </w:rPr>
      </w:pPr>
    </w:p>
    <w:p>
      <w:pPr>
        <w:rPr>
          <w:noProof/>
          <w:lang w:val="it-IT"/>
        </w:rPr>
      </w:pPr>
      <w:r>
        <w:rPr>
          <w:noProof/>
          <w:lang w:val="it-IT"/>
        </w:rPr>
        <w:t xml:space="preserve">In assenza di miglioramento clinico dei segni e dei sintomi di CRS dopo la prima dose, possono essere somministrate fino a 3 dosi supplementari di tocilizumab. L’intervallo tra dosi consecutive deve essere di almeno 8 ore. Nei pazienti affetti da CRS </w:t>
      </w:r>
      <w:ins w:id="189" w:author="Author">
        <w:r>
          <w:rPr>
            <w:noProof/>
            <w:lang w:val="it-IT"/>
          </w:rPr>
          <w:t xml:space="preserve">non </w:t>
        </w:r>
      </w:ins>
      <w:r>
        <w:rPr>
          <w:noProof/>
          <w:lang w:val="it-IT"/>
        </w:rPr>
        <w:t xml:space="preserve">sono </w:t>
      </w:r>
      <w:del w:id="190" w:author="Author">
        <w:r>
          <w:rPr>
            <w:noProof/>
            <w:lang w:val="it-IT"/>
          </w:rPr>
          <w:delText xml:space="preserve">sconsigliate </w:delText>
        </w:r>
      </w:del>
      <w:ins w:id="191" w:author="Author">
        <w:r>
          <w:rPr>
            <w:noProof/>
            <w:lang w:val="it-IT"/>
          </w:rPr>
          <w:t xml:space="preserve">raccomandate </w:t>
        </w:r>
      </w:ins>
      <w:r>
        <w:rPr>
          <w:noProof/>
          <w:lang w:val="it-IT"/>
        </w:rPr>
        <w:t>dosi superiori a 800 mg per infusione.</w:t>
      </w:r>
    </w:p>
    <w:p>
      <w:pPr>
        <w:ind w:left="567" w:hanging="567"/>
        <w:rPr>
          <w:bCs/>
          <w:noProof/>
          <w:u w:val="single"/>
          <w:lang w:val="it-IT"/>
        </w:rPr>
      </w:pPr>
    </w:p>
    <w:p>
      <w:pPr>
        <w:rPr>
          <w:bCs/>
          <w:noProof/>
          <w:lang w:val="it-IT"/>
        </w:rPr>
      </w:pPr>
      <w:r>
        <w:rPr>
          <w:bCs/>
          <w:noProof/>
          <w:lang w:val="it-IT"/>
        </w:rPr>
        <w:t xml:space="preserve">I pazienti affetti da CRS severa o potenzialmente letale presentano spesso citopenia o livelli elevati di ALT o AST dovuti al tumore maligno sottostante, a una precedente chemioterapia mirata alla deplezione dei linfociti o alla CRS. </w:t>
      </w:r>
    </w:p>
    <w:p>
      <w:pPr>
        <w:tabs>
          <w:tab w:val="left" w:pos="180"/>
        </w:tabs>
        <w:rPr>
          <w:noProof/>
          <w:lang w:val="it-IT"/>
        </w:rPr>
      </w:pPr>
    </w:p>
    <w:p>
      <w:pPr>
        <w:keepLines/>
        <w:tabs>
          <w:tab w:val="left" w:pos="180"/>
        </w:tabs>
        <w:rPr>
          <w:noProof/>
          <w:u w:val="single"/>
          <w:lang w:val="it-IT"/>
        </w:rPr>
        <w:pPrChange w:id="192" w:author="Author">
          <w:pPr>
            <w:tabs>
              <w:tab w:val="left" w:pos="180"/>
            </w:tabs>
          </w:pPr>
        </w:pPrChange>
      </w:pPr>
      <w:r>
        <w:rPr>
          <w:noProof/>
          <w:u w:val="single"/>
          <w:lang w:val="it-IT"/>
        </w:rPr>
        <w:t xml:space="preserve">Popolazioni </w:t>
      </w:r>
      <w:del w:id="193" w:author="Author">
        <w:r>
          <w:rPr>
            <w:noProof/>
            <w:u w:val="single"/>
            <w:lang w:val="it-IT"/>
          </w:rPr>
          <w:delText>particolari</w:delText>
        </w:r>
      </w:del>
      <w:ins w:id="194" w:author="Author">
        <w:r>
          <w:rPr>
            <w:noProof/>
            <w:u w:val="single"/>
            <w:lang w:val="it-IT"/>
          </w:rPr>
          <w:t>speciali</w:t>
        </w:r>
      </w:ins>
    </w:p>
    <w:p>
      <w:pPr>
        <w:keepLines/>
        <w:tabs>
          <w:tab w:val="left" w:pos="180"/>
        </w:tabs>
        <w:rPr>
          <w:noProof/>
          <w:u w:val="single"/>
          <w:lang w:val="it-IT"/>
        </w:rPr>
        <w:pPrChange w:id="195" w:author="Author">
          <w:pPr>
            <w:tabs>
              <w:tab w:val="left" w:pos="180"/>
            </w:tabs>
          </w:pPr>
        </w:pPrChange>
      </w:pPr>
    </w:p>
    <w:p>
      <w:pPr>
        <w:keepLines/>
        <w:tabs>
          <w:tab w:val="left" w:pos="180"/>
        </w:tabs>
        <w:rPr>
          <w:i/>
          <w:iCs/>
          <w:noProof/>
          <w:lang w:val="it-IT"/>
        </w:rPr>
        <w:pPrChange w:id="196" w:author="Author">
          <w:pPr>
            <w:tabs>
              <w:tab w:val="left" w:pos="180"/>
            </w:tabs>
          </w:pPr>
        </w:pPrChange>
      </w:pPr>
      <w:r>
        <w:rPr>
          <w:i/>
          <w:iCs/>
          <w:noProof/>
          <w:lang w:val="it-IT"/>
        </w:rPr>
        <w:t>Anziani</w:t>
      </w:r>
    </w:p>
    <w:p>
      <w:pPr>
        <w:tabs>
          <w:tab w:val="left" w:pos="180"/>
        </w:tabs>
        <w:rPr>
          <w:noProof/>
          <w:szCs w:val="22"/>
          <w:lang w:val="it-IT"/>
        </w:rPr>
      </w:pPr>
      <w:r>
        <w:rPr>
          <w:noProof/>
          <w:lang w:val="it-IT"/>
        </w:rPr>
        <w:t xml:space="preserve">Nei pazienti anziani di età </w:t>
      </w:r>
      <w:r>
        <w:rPr>
          <w:rFonts w:ascii="Arial" w:hAnsi="Arial" w:cs="Arial"/>
          <w:noProof/>
          <w:szCs w:val="22"/>
          <w:lang w:val="it-IT"/>
        </w:rPr>
        <w:sym w:font="Symbol" w:char="F03E"/>
      </w:r>
      <w:r>
        <w:rPr>
          <w:rFonts w:ascii="Arial" w:hAnsi="Arial" w:cs="Arial"/>
          <w:noProof/>
          <w:sz w:val="10"/>
          <w:szCs w:val="22"/>
          <w:lang w:val="it-IT"/>
        </w:rPr>
        <w:t> </w:t>
      </w:r>
      <w:r>
        <w:rPr>
          <w:noProof/>
          <w:szCs w:val="22"/>
          <w:lang w:val="it-IT"/>
        </w:rPr>
        <w:t>65 anni non è necessario effettuare alcun</w:t>
      </w:r>
      <w:ins w:id="197" w:author="Author">
        <w:r>
          <w:rPr>
            <w:noProof/>
            <w:szCs w:val="22"/>
            <w:lang w:val="it-IT"/>
          </w:rPr>
          <w:t xml:space="preserve"> aggiustamento</w:t>
        </w:r>
      </w:ins>
      <w:del w:id="198" w:author="Author">
        <w:r>
          <w:rPr>
            <w:noProof/>
            <w:szCs w:val="22"/>
            <w:lang w:val="it-IT"/>
          </w:rPr>
          <w:delText>a correzione</w:delText>
        </w:r>
      </w:del>
      <w:r>
        <w:rPr>
          <w:noProof/>
          <w:szCs w:val="22"/>
          <w:lang w:val="it-IT"/>
        </w:rPr>
        <w:t xml:space="preserve"> del dosaggio.</w:t>
      </w:r>
    </w:p>
    <w:p>
      <w:pPr>
        <w:tabs>
          <w:tab w:val="left" w:pos="180"/>
        </w:tabs>
        <w:rPr>
          <w:noProof/>
          <w:szCs w:val="22"/>
          <w:lang w:val="it-IT"/>
        </w:rPr>
      </w:pPr>
    </w:p>
    <w:p>
      <w:pPr>
        <w:tabs>
          <w:tab w:val="left" w:pos="180"/>
        </w:tabs>
        <w:rPr>
          <w:i/>
          <w:iCs/>
          <w:noProof/>
          <w:szCs w:val="22"/>
          <w:lang w:val="it-IT"/>
        </w:rPr>
      </w:pPr>
      <w:r>
        <w:rPr>
          <w:i/>
          <w:iCs/>
          <w:noProof/>
          <w:szCs w:val="22"/>
          <w:lang w:val="it-IT"/>
        </w:rPr>
        <w:t>Compromissione renale</w:t>
      </w:r>
    </w:p>
    <w:p>
      <w:pPr>
        <w:tabs>
          <w:tab w:val="left" w:pos="180"/>
        </w:tabs>
        <w:rPr>
          <w:noProof/>
          <w:szCs w:val="22"/>
          <w:lang w:val="it-IT"/>
        </w:rPr>
      </w:pPr>
      <w:r>
        <w:rPr>
          <w:noProof/>
          <w:lang w:val="it-IT"/>
        </w:rPr>
        <w:t>Nei pazienti con compromissione renale lieve</w:t>
      </w:r>
      <w:r>
        <w:rPr>
          <w:noProof/>
          <w:szCs w:val="22"/>
          <w:lang w:val="it-IT"/>
        </w:rPr>
        <w:t xml:space="preserve"> non è necessario effettuare alcun</w:t>
      </w:r>
      <w:ins w:id="199" w:author="Author">
        <w:r>
          <w:rPr>
            <w:noProof/>
            <w:szCs w:val="22"/>
            <w:lang w:val="it-IT"/>
          </w:rPr>
          <w:t xml:space="preserve"> aggiustamento</w:t>
        </w:r>
      </w:ins>
      <w:del w:id="200" w:author="Author">
        <w:r>
          <w:rPr>
            <w:noProof/>
            <w:szCs w:val="22"/>
            <w:lang w:val="it-IT"/>
          </w:rPr>
          <w:delText>a correzione</w:delText>
        </w:r>
      </w:del>
      <w:r>
        <w:rPr>
          <w:noProof/>
          <w:szCs w:val="22"/>
          <w:lang w:val="it-IT"/>
        </w:rPr>
        <w:t xml:space="preserve"> del dosaggio. Tocilizumab non è stato studiato in pazienti con compromissione renale da moderata a severa (vedere paragrafo 5.2). La funzionalità renale deve essere attentamente monitorata in questi pazienti.</w:t>
      </w:r>
    </w:p>
    <w:p>
      <w:pPr>
        <w:tabs>
          <w:tab w:val="left" w:pos="180"/>
        </w:tabs>
        <w:rPr>
          <w:i/>
          <w:iCs/>
          <w:noProof/>
          <w:lang w:val="it-IT"/>
        </w:rPr>
      </w:pPr>
    </w:p>
    <w:p>
      <w:pPr>
        <w:tabs>
          <w:tab w:val="left" w:pos="180"/>
        </w:tabs>
        <w:rPr>
          <w:i/>
          <w:iCs/>
          <w:noProof/>
          <w:szCs w:val="22"/>
          <w:lang w:val="it-IT"/>
        </w:rPr>
      </w:pPr>
      <w:r>
        <w:rPr>
          <w:i/>
          <w:iCs/>
          <w:noProof/>
          <w:szCs w:val="22"/>
          <w:lang w:val="it-IT"/>
        </w:rPr>
        <w:t>Compromissione epatica</w:t>
      </w:r>
    </w:p>
    <w:p>
      <w:pPr>
        <w:tabs>
          <w:tab w:val="left" w:pos="180"/>
        </w:tabs>
        <w:rPr>
          <w:noProof/>
          <w:szCs w:val="22"/>
          <w:lang w:val="it-IT"/>
        </w:rPr>
      </w:pPr>
      <w:r>
        <w:rPr>
          <w:noProof/>
          <w:szCs w:val="22"/>
          <w:lang w:val="it-IT"/>
        </w:rPr>
        <w:t>Tocilizumab non è stato studiato in pazienti con compromissione epatica. Pertanto, non può essere fatta alcuna raccomandazione riguardante la posologia.</w:t>
      </w:r>
    </w:p>
    <w:p>
      <w:pPr>
        <w:tabs>
          <w:tab w:val="left" w:pos="180"/>
        </w:tabs>
        <w:rPr>
          <w:i/>
          <w:iCs/>
          <w:noProof/>
          <w:lang w:val="it-IT"/>
        </w:rPr>
      </w:pPr>
    </w:p>
    <w:p>
      <w:pPr>
        <w:keepNext/>
        <w:tabs>
          <w:tab w:val="left" w:pos="180"/>
        </w:tabs>
        <w:ind w:left="567" w:hanging="567"/>
        <w:rPr>
          <w:del w:id="201" w:author="Author"/>
          <w:i/>
          <w:noProof/>
          <w:lang w:val="it-IT"/>
        </w:rPr>
        <w:pPrChange w:id="202" w:author="Author">
          <w:pPr>
            <w:tabs>
              <w:tab w:val="left" w:pos="180"/>
            </w:tabs>
            <w:ind w:left="567" w:hanging="567"/>
          </w:pPr>
        </w:pPrChange>
      </w:pPr>
      <w:r>
        <w:rPr>
          <w:i/>
          <w:noProof/>
          <w:lang w:val="it-IT"/>
        </w:rPr>
        <w:t>Popolazione pediatrica</w:t>
      </w:r>
    </w:p>
    <w:p>
      <w:pPr>
        <w:keepNext/>
        <w:tabs>
          <w:tab w:val="left" w:pos="180"/>
        </w:tabs>
        <w:ind w:left="567" w:hanging="567"/>
        <w:rPr>
          <w:i/>
          <w:noProof/>
          <w:lang w:val="it-IT"/>
        </w:rPr>
        <w:pPrChange w:id="203" w:author="Author">
          <w:pPr>
            <w:tabs>
              <w:tab w:val="left" w:pos="180"/>
            </w:tabs>
          </w:pPr>
        </w:pPrChange>
      </w:pPr>
    </w:p>
    <w:p>
      <w:pPr>
        <w:keepNext/>
        <w:tabs>
          <w:tab w:val="left" w:pos="180"/>
        </w:tabs>
        <w:ind w:left="567" w:hanging="567"/>
        <w:rPr>
          <w:del w:id="204" w:author="Author"/>
          <w:i/>
          <w:noProof/>
          <w:szCs w:val="22"/>
          <w:u w:val="single"/>
          <w:lang w:val="it-IT"/>
        </w:rPr>
        <w:pPrChange w:id="205" w:author="Author">
          <w:pPr>
            <w:tabs>
              <w:tab w:val="left" w:pos="180"/>
            </w:tabs>
            <w:ind w:left="567" w:hanging="567"/>
          </w:pPr>
        </w:pPrChange>
      </w:pPr>
      <w:r>
        <w:rPr>
          <w:i/>
          <w:noProof/>
          <w:szCs w:val="22"/>
          <w:u w:val="single"/>
          <w:lang w:val="it-IT"/>
        </w:rPr>
        <w:t>Pazienti affetti da AIGs:</w:t>
      </w:r>
    </w:p>
    <w:p>
      <w:pPr>
        <w:keepNext/>
        <w:tabs>
          <w:tab w:val="left" w:pos="180"/>
        </w:tabs>
        <w:ind w:left="567" w:hanging="567"/>
        <w:rPr>
          <w:i/>
          <w:noProof/>
          <w:szCs w:val="22"/>
          <w:lang w:val="it-IT"/>
        </w:rPr>
        <w:pPrChange w:id="206" w:author="Author">
          <w:pPr>
            <w:tabs>
              <w:tab w:val="left" w:pos="180"/>
            </w:tabs>
            <w:ind w:left="567" w:hanging="567"/>
          </w:pPr>
        </w:pPrChange>
      </w:pPr>
    </w:p>
    <w:p>
      <w:pPr>
        <w:tabs>
          <w:tab w:val="left" w:pos="180"/>
        </w:tabs>
        <w:rPr>
          <w:noProof/>
          <w:lang w:val="it-IT"/>
        </w:rPr>
      </w:pPr>
      <w:r>
        <w:rPr>
          <w:noProof/>
          <w:lang w:val="it-IT"/>
        </w:rPr>
        <w:t>La posologia raccomandata nei pazienti di età superiore a 2 anni è di 8 mg/kg una volta ogni 2 settimane in pazienti di peso uguale o superiore a 30 kg o di 12 mg/kg una volta ogni 2 settimane in pazienti di peso inferiore a 30 kg. La dose deve essere calcolata in base al peso corporeo del paziente ad ogni somministrazione. La modificazione della dose deve avvenire esclusivamente sulla base di una variazione regolare del peso corporeo del paziente valutata nel tempo.</w:t>
      </w:r>
    </w:p>
    <w:p>
      <w:pPr>
        <w:tabs>
          <w:tab w:val="left" w:pos="180"/>
        </w:tabs>
        <w:rPr>
          <w:noProof/>
          <w:lang w:val="it-IT"/>
        </w:rPr>
      </w:pPr>
    </w:p>
    <w:p>
      <w:pPr>
        <w:tabs>
          <w:tab w:val="left" w:pos="180"/>
        </w:tabs>
        <w:rPr>
          <w:noProof/>
          <w:lang w:val="it-IT"/>
        </w:rPr>
      </w:pPr>
      <w:r>
        <w:rPr>
          <w:noProof/>
          <w:lang w:val="it-IT"/>
        </w:rPr>
        <w:t>La sicurezza e l’efficacia di tocilizumab in formulazione endovenosa nei bambini al di sotto dei 2 anni di età non sono state stabilite. I dati al momento disponibili sono riportati nei paragrafi 4.8, 5.1 e 5.2, ma non può essere fatta alcuna raccomandazione riguardante la posologia.</w:t>
      </w:r>
    </w:p>
    <w:p>
      <w:pPr>
        <w:tabs>
          <w:tab w:val="left" w:pos="180"/>
        </w:tabs>
        <w:rPr>
          <w:noProof/>
          <w:lang w:val="it-IT"/>
        </w:rPr>
      </w:pPr>
    </w:p>
    <w:p>
      <w:pPr>
        <w:tabs>
          <w:tab w:val="left" w:pos="180"/>
        </w:tabs>
        <w:rPr>
          <w:noProof/>
          <w:lang w:val="it-IT"/>
        </w:rPr>
      </w:pPr>
      <w:r>
        <w:rPr>
          <w:noProof/>
          <w:lang w:val="it-IT"/>
        </w:rPr>
        <w:t>Nei pazienti affetti da AIGs si raccomanda di interrompere la somministrazione di tocilizumab in seguito al riscontro delle anomalie nei parametri di laboratorio presenti nelle tabelle sottostanti.</w:t>
      </w:r>
    </w:p>
    <w:p>
      <w:pPr>
        <w:tabs>
          <w:tab w:val="left" w:pos="180"/>
        </w:tabs>
        <w:rPr>
          <w:noProof/>
          <w:lang w:val="it-IT"/>
        </w:rPr>
      </w:pPr>
      <w:r>
        <w:rPr>
          <w:noProof/>
          <w:lang w:val="it-IT"/>
        </w:rPr>
        <w:lastRenderedPageBreak/>
        <w:t>Se appropriato, la dose della terapia concomitante con MTX e/o con altre terapie deve essere modificata o interrotta e tocilizumab deve essere interrotto finché la situazione clinica non è stata rivalutata. Poiché nella AIGs vi sono molte co-morbidità che possono alterare i valori di laboratorio, la decisione di interrompere tocilizumab per anomalie di laboratorio si deve basare sulla valutazione medica del singolo paziente.</w:t>
      </w:r>
    </w:p>
    <w:p>
      <w:pPr>
        <w:tabs>
          <w:tab w:val="left" w:pos="180"/>
        </w:tabs>
        <w:rPr>
          <w:noProof/>
          <w:lang w:val="it-IT"/>
        </w:rPr>
      </w:pPr>
    </w:p>
    <w:p>
      <w:pPr>
        <w:keepNext/>
        <w:tabs>
          <w:tab w:val="left" w:pos="426"/>
        </w:tabs>
        <w:ind w:left="567" w:hanging="567"/>
        <w:rPr>
          <w:noProof/>
          <w:szCs w:val="22"/>
          <w:lang w:val="it-IT"/>
        </w:rPr>
      </w:pPr>
      <w:r>
        <w:rPr>
          <w:noProof/>
          <w:szCs w:val="22"/>
          <w:lang w:val="it-IT"/>
        </w:rPr>
        <w:sym w:font="Symbol" w:char="F0B7"/>
      </w:r>
      <w:r>
        <w:rPr>
          <w:noProof/>
          <w:szCs w:val="22"/>
          <w:lang w:val="it-IT"/>
        </w:rPr>
        <w:tab/>
      </w:r>
      <w:del w:id="207" w:author="Author">
        <w:r>
          <w:rPr>
            <w:noProof/>
            <w:szCs w:val="22"/>
            <w:lang w:val="it-IT"/>
          </w:rPr>
          <w:delText xml:space="preserve">Anormalità </w:delText>
        </w:r>
      </w:del>
      <w:ins w:id="208" w:author="Author">
        <w:r>
          <w:rPr>
            <w:noProof/>
            <w:szCs w:val="22"/>
            <w:lang w:val="it-IT"/>
          </w:rPr>
          <w:t xml:space="preserve">Anomalie </w:t>
        </w:r>
      </w:ins>
      <w:r>
        <w:rPr>
          <w:noProof/>
          <w:szCs w:val="22"/>
          <w:lang w:val="it-IT"/>
        </w:rPr>
        <w:t>degli enzimi epatici</w:t>
      </w:r>
    </w:p>
    <w:p>
      <w:pPr>
        <w:keepNext/>
        <w:tabs>
          <w:tab w:val="left" w:pos="180"/>
        </w:tabs>
        <w:rPr>
          <w:noProof/>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209"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55"/>
        <w:gridCol w:w="6906"/>
        <w:tblGridChange w:id="210">
          <w:tblGrid>
            <w:gridCol w:w="2030"/>
            <w:gridCol w:w="7031"/>
          </w:tblGrid>
        </w:tblGridChange>
      </w:tblGrid>
      <w:tr>
        <w:trPr>
          <w:cantSplit/>
        </w:trPr>
        <w:tc>
          <w:tcPr>
            <w:tcW w:w="1189" w:type="pct"/>
            <w:tcPrChange w:id="211" w:author="Author">
              <w:tcPr>
                <w:tcW w:w="1120" w:type="pct"/>
              </w:tcPr>
            </w:tcPrChange>
          </w:tcPr>
          <w:p>
            <w:pPr>
              <w:pStyle w:val="TextTi12"/>
              <w:keepNext/>
              <w:tabs>
                <w:tab w:val="left" w:pos="180"/>
              </w:tabs>
              <w:suppressAutoHyphens/>
              <w:spacing w:after="0" w:line="240" w:lineRule="auto"/>
              <w:jc w:val="center"/>
              <w:rPr>
                <w:del w:id="212" w:author="Author"/>
                <w:noProof/>
                <w:snapToGrid w:val="0"/>
                <w:sz w:val="22"/>
                <w:szCs w:val="22"/>
                <w:lang w:val="it-IT"/>
              </w:rPr>
              <w:pPrChange w:id="213" w:author="Author">
                <w:pPr>
                  <w:pStyle w:val="TextTi12"/>
                  <w:tabs>
                    <w:tab w:val="left" w:pos="180"/>
                  </w:tabs>
                  <w:spacing w:after="0" w:line="240" w:lineRule="auto"/>
                  <w:jc w:val="center"/>
                </w:pPr>
              </w:pPrChange>
            </w:pPr>
            <w:r>
              <w:rPr>
                <w:noProof/>
                <w:snapToGrid w:val="0"/>
                <w:sz w:val="22"/>
                <w:szCs w:val="22"/>
                <w:lang w:val="it-IT"/>
              </w:rPr>
              <w:t>Valori di laboratorio</w:t>
            </w:r>
          </w:p>
          <w:p>
            <w:pPr>
              <w:pStyle w:val="TextTi12"/>
              <w:keepNext/>
              <w:tabs>
                <w:tab w:val="left" w:pos="180"/>
              </w:tabs>
              <w:suppressAutoHyphens/>
              <w:spacing w:after="0" w:line="240" w:lineRule="auto"/>
              <w:jc w:val="center"/>
              <w:rPr>
                <w:noProof/>
                <w:snapToGrid w:val="0"/>
                <w:sz w:val="22"/>
                <w:szCs w:val="22"/>
                <w:lang w:val="it-IT"/>
              </w:rPr>
              <w:pPrChange w:id="214" w:author="Author">
                <w:pPr>
                  <w:pStyle w:val="TextTi12"/>
                  <w:tabs>
                    <w:tab w:val="left" w:pos="180"/>
                  </w:tabs>
                  <w:spacing w:after="0" w:line="240" w:lineRule="auto"/>
                  <w:jc w:val="center"/>
                </w:pPr>
              </w:pPrChange>
            </w:pPr>
          </w:p>
        </w:tc>
        <w:tc>
          <w:tcPr>
            <w:tcW w:w="3811" w:type="pct"/>
            <w:tcPrChange w:id="215" w:author="Author">
              <w:tcPr>
                <w:tcW w:w="3880" w:type="pct"/>
              </w:tcPr>
            </w:tcPrChange>
          </w:tcPr>
          <w:p>
            <w:pPr>
              <w:pStyle w:val="TextTi12"/>
              <w:keepNext/>
              <w:tabs>
                <w:tab w:val="left" w:pos="180"/>
              </w:tabs>
              <w:suppressAutoHyphens/>
              <w:spacing w:after="0" w:line="240" w:lineRule="auto"/>
              <w:jc w:val="center"/>
              <w:rPr>
                <w:noProof/>
                <w:snapToGrid w:val="0"/>
                <w:sz w:val="22"/>
                <w:szCs w:val="22"/>
                <w:lang w:val="it-IT"/>
              </w:rPr>
              <w:pPrChange w:id="216" w:author="Author">
                <w:pPr>
                  <w:pStyle w:val="TextTi12"/>
                  <w:tabs>
                    <w:tab w:val="left" w:pos="180"/>
                  </w:tabs>
                  <w:spacing w:after="0" w:line="240" w:lineRule="auto"/>
                  <w:jc w:val="center"/>
                </w:pPr>
              </w:pPrChange>
            </w:pPr>
            <w:r>
              <w:rPr>
                <w:noProof/>
                <w:snapToGrid w:val="0"/>
                <w:sz w:val="22"/>
                <w:szCs w:val="22"/>
                <w:lang w:val="it-IT"/>
              </w:rPr>
              <w:t>Azione</w:t>
            </w:r>
          </w:p>
        </w:tc>
      </w:tr>
      <w:tr>
        <w:trPr>
          <w:cantSplit/>
        </w:trPr>
        <w:tc>
          <w:tcPr>
            <w:tcW w:w="1189" w:type="pct"/>
            <w:tcPrChange w:id="217" w:author="Author">
              <w:tcPr>
                <w:tcW w:w="1120" w:type="pct"/>
              </w:tcPr>
            </w:tcPrChange>
          </w:tcPr>
          <w:p>
            <w:pPr>
              <w:pStyle w:val="TextTi12"/>
              <w:keepNext/>
              <w:tabs>
                <w:tab w:val="left" w:pos="180"/>
              </w:tabs>
              <w:suppressAutoHyphens/>
              <w:spacing w:after="0" w:line="240" w:lineRule="auto"/>
              <w:jc w:val="left"/>
              <w:rPr>
                <w:noProof/>
                <w:snapToGrid w:val="0"/>
                <w:sz w:val="22"/>
                <w:szCs w:val="22"/>
                <w:lang w:val="it-IT"/>
              </w:rPr>
              <w:pPrChange w:id="218" w:author="Author">
                <w:pPr>
                  <w:pStyle w:val="TextTi12"/>
                  <w:tabs>
                    <w:tab w:val="left" w:pos="180"/>
                  </w:tabs>
                  <w:spacing w:after="0" w:line="240" w:lineRule="auto"/>
                </w:pPr>
              </w:pPrChange>
            </w:pPr>
            <w:r>
              <w:rPr>
                <w:noProof/>
                <w:snapToGrid w:val="0"/>
                <w:sz w:val="22"/>
                <w:szCs w:val="22"/>
                <w:lang w:val="it-IT"/>
              </w:rPr>
              <w:t xml:space="preserve">Da </w:t>
            </w:r>
            <w:r>
              <w:rPr>
                <w:noProof/>
                <w:snapToGrid w:val="0"/>
                <w:sz w:val="22"/>
                <w:szCs w:val="22"/>
                <w:lang w:val="it-IT"/>
              </w:rPr>
              <w:sym w:font="Symbol" w:char="F03E"/>
            </w:r>
            <w:ins w:id="219" w:author="Author">
              <w:r>
                <w:rPr>
                  <w:noProof/>
                  <w:snapToGrid w:val="0"/>
                  <w:sz w:val="22"/>
                  <w:szCs w:val="22"/>
                  <w:lang w:val="it-IT"/>
                </w:rPr>
                <w:t xml:space="preserve"> </w:t>
              </w:r>
            </w:ins>
            <w:r>
              <w:rPr>
                <w:noProof/>
                <w:snapToGrid w:val="0"/>
                <w:sz w:val="22"/>
                <w:szCs w:val="22"/>
                <w:lang w:val="it-IT"/>
              </w:rPr>
              <w:t>1 a 3 volte ULN</w:t>
            </w:r>
          </w:p>
        </w:tc>
        <w:tc>
          <w:tcPr>
            <w:tcW w:w="3811" w:type="pct"/>
            <w:tcPrChange w:id="220" w:author="Author">
              <w:tcPr>
                <w:tcW w:w="3880" w:type="pct"/>
              </w:tcPr>
            </w:tcPrChange>
          </w:tcPr>
          <w:p>
            <w:pPr>
              <w:pStyle w:val="TextTi12"/>
              <w:keepNext/>
              <w:tabs>
                <w:tab w:val="left" w:pos="180"/>
              </w:tabs>
              <w:suppressAutoHyphens/>
              <w:spacing w:after="0" w:line="240" w:lineRule="auto"/>
              <w:jc w:val="left"/>
              <w:rPr>
                <w:noProof/>
                <w:snapToGrid w:val="0"/>
                <w:sz w:val="22"/>
                <w:szCs w:val="22"/>
                <w:lang w:val="it-IT"/>
              </w:rPr>
              <w:pPrChange w:id="221" w:author="Author">
                <w:pPr>
                  <w:pStyle w:val="TextTi12"/>
                  <w:tabs>
                    <w:tab w:val="left" w:pos="180"/>
                  </w:tabs>
                  <w:spacing w:after="0" w:line="240" w:lineRule="auto"/>
                </w:pPr>
              </w:pPrChange>
            </w:pPr>
            <w:r>
              <w:rPr>
                <w:noProof/>
                <w:snapToGrid w:val="0"/>
                <w:sz w:val="22"/>
                <w:szCs w:val="22"/>
                <w:lang w:val="it-IT"/>
              </w:rPr>
              <w:t xml:space="preserve">Modificare la dose di MTX se appropriato. </w:t>
            </w:r>
          </w:p>
          <w:p>
            <w:pPr>
              <w:pStyle w:val="TextTi12"/>
              <w:keepNext/>
              <w:tabs>
                <w:tab w:val="left" w:pos="180"/>
              </w:tabs>
              <w:suppressAutoHyphens/>
              <w:spacing w:after="0" w:line="240" w:lineRule="auto"/>
              <w:jc w:val="left"/>
              <w:rPr>
                <w:noProof/>
                <w:snapToGrid w:val="0"/>
                <w:sz w:val="22"/>
                <w:szCs w:val="22"/>
                <w:lang w:val="it-IT"/>
              </w:rPr>
              <w:pPrChange w:id="222" w:author="Author">
                <w:pPr>
                  <w:pStyle w:val="TextTi12"/>
                  <w:tabs>
                    <w:tab w:val="left" w:pos="180"/>
                  </w:tabs>
                  <w:spacing w:after="0" w:line="240" w:lineRule="auto"/>
                </w:pPr>
              </w:pPrChange>
            </w:pPr>
          </w:p>
          <w:p>
            <w:pPr>
              <w:pStyle w:val="TextTi12"/>
              <w:keepNext/>
              <w:tabs>
                <w:tab w:val="left" w:pos="180"/>
              </w:tabs>
              <w:suppressAutoHyphens/>
              <w:spacing w:after="0" w:line="240" w:lineRule="auto"/>
              <w:jc w:val="left"/>
              <w:rPr>
                <w:del w:id="223" w:author="Author"/>
                <w:noProof/>
                <w:snapToGrid w:val="0"/>
                <w:sz w:val="22"/>
                <w:szCs w:val="22"/>
                <w:lang w:val="it-IT"/>
              </w:rPr>
              <w:pPrChange w:id="224" w:author="Author">
                <w:pPr>
                  <w:pStyle w:val="TextTi12"/>
                  <w:tabs>
                    <w:tab w:val="left" w:pos="180"/>
                  </w:tabs>
                  <w:spacing w:after="0" w:line="240" w:lineRule="auto"/>
                </w:pPr>
              </w:pPrChange>
            </w:pPr>
            <w:r>
              <w:rPr>
                <w:noProof/>
                <w:snapToGrid w:val="0"/>
                <w:sz w:val="22"/>
                <w:szCs w:val="22"/>
                <w:lang w:val="it-IT"/>
              </w:rPr>
              <w:t>Per aumenti persistenti entro questo intervallo, interrompere tocilizumab fino a che l’alaninaaminotransferasi (ALT) o l’aspartatoaminotransferasi (AST) non si siano normalizzate.</w:t>
            </w:r>
          </w:p>
          <w:p>
            <w:pPr>
              <w:pStyle w:val="TextTi12"/>
              <w:keepNext/>
              <w:tabs>
                <w:tab w:val="left" w:pos="180"/>
              </w:tabs>
              <w:suppressAutoHyphens/>
              <w:spacing w:after="0" w:line="240" w:lineRule="auto"/>
              <w:jc w:val="left"/>
              <w:rPr>
                <w:noProof/>
                <w:snapToGrid w:val="0"/>
                <w:sz w:val="22"/>
                <w:szCs w:val="22"/>
                <w:lang w:val="it-IT"/>
              </w:rPr>
              <w:pPrChange w:id="225" w:author="Author">
                <w:pPr>
                  <w:pStyle w:val="TextTi12"/>
                  <w:tabs>
                    <w:tab w:val="left" w:pos="180"/>
                  </w:tabs>
                  <w:spacing w:after="0" w:line="240" w:lineRule="auto"/>
                </w:pPr>
              </w:pPrChange>
            </w:pPr>
          </w:p>
        </w:tc>
      </w:tr>
      <w:tr>
        <w:trPr>
          <w:cantSplit/>
        </w:trPr>
        <w:tc>
          <w:tcPr>
            <w:tcW w:w="1189" w:type="pct"/>
            <w:tcPrChange w:id="226" w:author="Author">
              <w:tcPr>
                <w:tcW w:w="1120" w:type="pct"/>
              </w:tcPr>
            </w:tcPrChange>
          </w:tcPr>
          <w:p>
            <w:pPr>
              <w:pStyle w:val="TextTi12"/>
              <w:keepNext/>
              <w:tabs>
                <w:tab w:val="left" w:pos="180"/>
              </w:tabs>
              <w:suppressAutoHyphens/>
              <w:spacing w:after="0" w:line="240" w:lineRule="auto"/>
              <w:jc w:val="left"/>
              <w:rPr>
                <w:del w:id="227" w:author="Author"/>
                <w:noProof/>
                <w:snapToGrid w:val="0"/>
                <w:sz w:val="22"/>
                <w:szCs w:val="22"/>
                <w:lang w:val="it-IT"/>
              </w:rPr>
              <w:pPrChange w:id="228" w:author="Author">
                <w:pPr>
                  <w:pStyle w:val="TextTi12"/>
                  <w:tabs>
                    <w:tab w:val="left" w:pos="180"/>
                  </w:tabs>
                  <w:spacing w:after="0" w:line="240" w:lineRule="auto"/>
                </w:pPr>
              </w:pPrChange>
            </w:pPr>
            <w:r>
              <w:rPr>
                <w:noProof/>
                <w:snapToGrid w:val="0"/>
                <w:sz w:val="22"/>
                <w:szCs w:val="22"/>
                <w:lang w:val="it-IT"/>
              </w:rPr>
              <w:t xml:space="preserve">Da </w:t>
            </w:r>
            <w:r>
              <w:rPr>
                <w:noProof/>
                <w:snapToGrid w:val="0"/>
                <w:sz w:val="22"/>
                <w:szCs w:val="22"/>
                <w:lang w:val="it-IT"/>
              </w:rPr>
              <w:sym w:font="Symbol" w:char="F03E"/>
            </w:r>
            <w:ins w:id="229" w:author="Author">
              <w:r>
                <w:rPr>
                  <w:noProof/>
                  <w:snapToGrid w:val="0"/>
                  <w:sz w:val="22"/>
                  <w:szCs w:val="22"/>
                  <w:lang w:val="it-IT"/>
                </w:rPr>
                <w:t xml:space="preserve"> </w:t>
              </w:r>
            </w:ins>
            <w:r>
              <w:rPr>
                <w:noProof/>
                <w:snapToGrid w:val="0"/>
                <w:sz w:val="22"/>
                <w:szCs w:val="22"/>
                <w:lang w:val="it-IT"/>
              </w:rPr>
              <w:t>3 a 5 volte ULN</w:t>
            </w:r>
          </w:p>
          <w:p>
            <w:pPr>
              <w:pStyle w:val="TextTi12"/>
              <w:keepNext/>
              <w:tabs>
                <w:tab w:val="left" w:pos="180"/>
              </w:tabs>
              <w:suppressAutoHyphens/>
              <w:spacing w:after="0" w:line="240" w:lineRule="auto"/>
              <w:jc w:val="left"/>
              <w:rPr>
                <w:noProof/>
                <w:snapToGrid w:val="0"/>
                <w:sz w:val="22"/>
                <w:szCs w:val="22"/>
                <w:lang w:val="it-IT"/>
              </w:rPr>
              <w:pPrChange w:id="230" w:author="Author">
                <w:pPr>
                  <w:pStyle w:val="TextTi12"/>
                  <w:tabs>
                    <w:tab w:val="left" w:pos="180"/>
                  </w:tabs>
                  <w:spacing w:after="0" w:line="240" w:lineRule="auto"/>
                </w:pPr>
              </w:pPrChange>
            </w:pPr>
          </w:p>
        </w:tc>
        <w:tc>
          <w:tcPr>
            <w:tcW w:w="3811" w:type="pct"/>
            <w:tcPrChange w:id="231" w:author="Author">
              <w:tcPr>
                <w:tcW w:w="3880" w:type="pct"/>
              </w:tcPr>
            </w:tcPrChange>
          </w:tcPr>
          <w:p>
            <w:pPr>
              <w:pStyle w:val="TextTi12"/>
              <w:keepNext/>
              <w:tabs>
                <w:tab w:val="left" w:pos="180"/>
              </w:tabs>
              <w:suppressAutoHyphens/>
              <w:spacing w:after="0" w:line="240" w:lineRule="auto"/>
              <w:jc w:val="left"/>
              <w:rPr>
                <w:noProof/>
                <w:snapToGrid w:val="0"/>
                <w:sz w:val="22"/>
                <w:szCs w:val="22"/>
                <w:lang w:val="it-IT"/>
              </w:rPr>
              <w:pPrChange w:id="232" w:author="Author">
                <w:pPr>
                  <w:pStyle w:val="TextTi12"/>
                  <w:tabs>
                    <w:tab w:val="left" w:pos="180"/>
                  </w:tabs>
                  <w:spacing w:after="0" w:line="240" w:lineRule="auto"/>
                </w:pPr>
              </w:pPrChange>
            </w:pPr>
            <w:r>
              <w:rPr>
                <w:noProof/>
                <w:snapToGrid w:val="0"/>
                <w:sz w:val="22"/>
                <w:szCs w:val="22"/>
                <w:lang w:val="it-IT"/>
              </w:rPr>
              <w:t>Modificare la dose di MTX se appropriato.</w:t>
            </w:r>
          </w:p>
          <w:p>
            <w:pPr>
              <w:pStyle w:val="TextTi12"/>
              <w:keepNext/>
              <w:tabs>
                <w:tab w:val="left" w:pos="180"/>
              </w:tabs>
              <w:suppressAutoHyphens/>
              <w:spacing w:after="0" w:line="240" w:lineRule="auto"/>
              <w:jc w:val="left"/>
              <w:rPr>
                <w:noProof/>
                <w:snapToGrid w:val="0"/>
                <w:sz w:val="22"/>
                <w:szCs w:val="22"/>
                <w:lang w:val="it-IT"/>
              </w:rPr>
              <w:pPrChange w:id="233" w:author="Author">
                <w:pPr>
                  <w:pStyle w:val="TextTi12"/>
                  <w:tabs>
                    <w:tab w:val="left" w:pos="180"/>
                  </w:tabs>
                  <w:spacing w:after="0" w:line="240" w:lineRule="auto"/>
                </w:pPr>
              </w:pPrChange>
            </w:pPr>
          </w:p>
          <w:p>
            <w:pPr>
              <w:pStyle w:val="TextTi12"/>
              <w:keepNext/>
              <w:tabs>
                <w:tab w:val="left" w:pos="180"/>
              </w:tabs>
              <w:suppressAutoHyphens/>
              <w:spacing w:after="0" w:line="240" w:lineRule="auto"/>
              <w:jc w:val="left"/>
              <w:rPr>
                <w:noProof/>
                <w:snapToGrid w:val="0"/>
                <w:sz w:val="22"/>
                <w:szCs w:val="22"/>
                <w:lang w:val="it-IT"/>
              </w:rPr>
            </w:pPr>
            <w:r>
              <w:rPr>
                <w:noProof/>
                <w:snapToGrid w:val="0"/>
                <w:sz w:val="22"/>
                <w:szCs w:val="22"/>
                <w:lang w:val="it-IT"/>
              </w:rPr>
              <w:t xml:space="preserve">Interrompere la somministrazione di tocilizumab fino a </w:t>
            </w:r>
            <w:r>
              <w:rPr>
                <w:rFonts w:eastAsia="MS Mincho"/>
                <w:noProof/>
                <w:sz w:val="22"/>
                <w:szCs w:val="22"/>
                <w:lang w:val="it-IT"/>
                <w:rPrChange w:id="234" w:author="Author">
                  <w:rPr>
                    <w:rFonts w:ascii="Arial" w:eastAsia="MS Mincho" w:hAnsi="Arial" w:cs="Arial"/>
                    <w:szCs w:val="22"/>
                    <w:lang w:val="en-GB"/>
                  </w:rPr>
                </w:rPrChange>
              </w:rPr>
              <w:sym w:font="Symbol" w:char="F03C"/>
            </w:r>
            <w:ins w:id="235" w:author="Author">
              <w:r>
                <w:rPr>
                  <w:rFonts w:eastAsia="MS Mincho"/>
                  <w:noProof/>
                  <w:sz w:val="22"/>
                  <w:szCs w:val="22"/>
                  <w:lang w:val="it-IT"/>
                </w:rPr>
                <w:t xml:space="preserve"> </w:t>
              </w:r>
            </w:ins>
            <w:r>
              <w:rPr>
                <w:noProof/>
                <w:snapToGrid w:val="0"/>
                <w:sz w:val="22"/>
                <w:szCs w:val="22"/>
                <w:lang w:val="it-IT"/>
              </w:rPr>
              <w:t xml:space="preserve">3 volte ULN e seguire le raccomandazioni descritte sopra (da </w:t>
            </w:r>
            <w:r>
              <w:rPr>
                <w:noProof/>
                <w:snapToGrid w:val="0"/>
                <w:sz w:val="22"/>
                <w:szCs w:val="22"/>
                <w:lang w:val="it-IT"/>
              </w:rPr>
              <w:sym w:font="Symbol" w:char="F03E"/>
            </w:r>
            <w:ins w:id="236" w:author="Author">
              <w:r>
                <w:rPr>
                  <w:noProof/>
                  <w:snapToGrid w:val="0"/>
                  <w:sz w:val="22"/>
                  <w:szCs w:val="22"/>
                  <w:lang w:val="it-IT"/>
                </w:rPr>
                <w:t xml:space="preserve"> </w:t>
              </w:r>
            </w:ins>
            <w:r>
              <w:rPr>
                <w:noProof/>
                <w:snapToGrid w:val="0"/>
                <w:sz w:val="22"/>
                <w:szCs w:val="22"/>
                <w:lang w:val="it-IT"/>
              </w:rPr>
              <w:t>1 a 3 volte ULN).</w:t>
            </w:r>
          </w:p>
          <w:p>
            <w:pPr>
              <w:pStyle w:val="TextTi12"/>
              <w:keepNext/>
              <w:tabs>
                <w:tab w:val="left" w:pos="180"/>
              </w:tabs>
              <w:suppressAutoHyphens/>
              <w:rPr>
                <w:noProof/>
                <w:snapToGrid w:val="0"/>
                <w:sz w:val="22"/>
                <w:szCs w:val="22"/>
                <w:lang w:val="it-IT"/>
              </w:rPr>
              <w:pPrChange w:id="237" w:author="Author">
                <w:pPr>
                  <w:pStyle w:val="TextTi12"/>
                  <w:tabs>
                    <w:tab w:val="left" w:pos="180"/>
                  </w:tabs>
                  <w:spacing w:after="0" w:line="240" w:lineRule="auto"/>
                </w:pPr>
              </w:pPrChange>
            </w:pPr>
          </w:p>
        </w:tc>
      </w:tr>
      <w:tr>
        <w:trPr>
          <w:cantSplit/>
        </w:trPr>
        <w:tc>
          <w:tcPr>
            <w:tcW w:w="1189" w:type="pct"/>
            <w:tcPrChange w:id="238" w:author="Author">
              <w:tcPr>
                <w:tcW w:w="1120" w:type="pct"/>
              </w:tcPr>
            </w:tcPrChange>
          </w:tcPr>
          <w:p>
            <w:pPr>
              <w:pStyle w:val="TextTi12"/>
              <w:tabs>
                <w:tab w:val="left" w:pos="180"/>
              </w:tabs>
              <w:suppressAutoHyphens/>
              <w:spacing w:after="0" w:line="240" w:lineRule="auto"/>
              <w:jc w:val="left"/>
              <w:rPr>
                <w:noProof/>
                <w:snapToGrid w:val="0"/>
                <w:sz w:val="22"/>
                <w:szCs w:val="22"/>
                <w:lang w:val="it-IT"/>
              </w:rPr>
              <w:pPrChange w:id="239" w:author="Author">
                <w:pPr>
                  <w:pStyle w:val="TextTi12"/>
                  <w:tabs>
                    <w:tab w:val="left" w:pos="180"/>
                  </w:tabs>
                  <w:spacing w:after="0" w:line="240" w:lineRule="auto"/>
                </w:pPr>
              </w:pPrChange>
            </w:pPr>
            <w:r>
              <w:rPr>
                <w:noProof/>
                <w:snapToGrid w:val="0"/>
                <w:sz w:val="22"/>
                <w:szCs w:val="22"/>
                <w:lang w:val="it-IT"/>
              </w:rPr>
              <w:sym w:font="Symbol" w:char="F03E"/>
            </w:r>
            <w:ins w:id="240" w:author="Author">
              <w:r>
                <w:rPr>
                  <w:noProof/>
                  <w:snapToGrid w:val="0"/>
                  <w:sz w:val="22"/>
                  <w:szCs w:val="22"/>
                  <w:lang w:val="it-IT"/>
                </w:rPr>
                <w:t xml:space="preserve"> </w:t>
              </w:r>
            </w:ins>
            <w:r>
              <w:rPr>
                <w:noProof/>
                <w:snapToGrid w:val="0"/>
                <w:sz w:val="22"/>
                <w:szCs w:val="22"/>
                <w:lang w:val="it-IT"/>
              </w:rPr>
              <w:t>5 volte ULN</w:t>
            </w:r>
          </w:p>
        </w:tc>
        <w:tc>
          <w:tcPr>
            <w:tcW w:w="3811" w:type="pct"/>
            <w:tcPrChange w:id="241" w:author="Author">
              <w:tcPr>
                <w:tcW w:w="3880" w:type="pct"/>
              </w:tcPr>
            </w:tcPrChange>
          </w:tcPr>
          <w:p>
            <w:pPr>
              <w:pStyle w:val="TextTi12"/>
              <w:tabs>
                <w:tab w:val="left" w:pos="180"/>
              </w:tabs>
              <w:suppressAutoHyphens/>
              <w:spacing w:after="0" w:line="240" w:lineRule="auto"/>
              <w:jc w:val="left"/>
              <w:rPr>
                <w:noProof/>
                <w:snapToGrid w:val="0"/>
                <w:sz w:val="22"/>
                <w:szCs w:val="22"/>
                <w:lang w:val="it-IT"/>
              </w:rPr>
              <w:pPrChange w:id="242" w:author="Author">
                <w:pPr>
                  <w:pStyle w:val="TextTi12"/>
                  <w:tabs>
                    <w:tab w:val="left" w:pos="180"/>
                  </w:tabs>
                  <w:spacing w:after="0" w:line="240" w:lineRule="auto"/>
                </w:pPr>
              </w:pPrChange>
            </w:pPr>
            <w:r>
              <w:rPr>
                <w:noProof/>
                <w:snapToGrid w:val="0"/>
                <w:sz w:val="22"/>
                <w:szCs w:val="22"/>
                <w:lang w:val="it-IT"/>
              </w:rPr>
              <w:t>Sospendere tocilizumab.</w:t>
            </w:r>
          </w:p>
          <w:p>
            <w:pPr>
              <w:pStyle w:val="TextTi12"/>
              <w:tabs>
                <w:tab w:val="left" w:pos="180"/>
              </w:tabs>
              <w:suppressAutoHyphens/>
              <w:spacing w:after="0" w:line="240" w:lineRule="auto"/>
              <w:jc w:val="left"/>
              <w:rPr>
                <w:noProof/>
                <w:snapToGrid w:val="0"/>
                <w:sz w:val="22"/>
                <w:szCs w:val="22"/>
                <w:lang w:val="it-IT"/>
              </w:rPr>
              <w:pPrChange w:id="243" w:author="Author">
                <w:pPr>
                  <w:pStyle w:val="TextTi12"/>
                  <w:tabs>
                    <w:tab w:val="left" w:pos="180"/>
                  </w:tabs>
                  <w:spacing w:after="0" w:line="240" w:lineRule="auto"/>
                </w:pPr>
              </w:pPrChange>
            </w:pPr>
          </w:p>
          <w:p>
            <w:pPr>
              <w:tabs>
                <w:tab w:val="left" w:pos="180"/>
              </w:tabs>
              <w:suppressAutoHyphens/>
              <w:rPr>
                <w:noProof/>
                <w:snapToGrid w:val="0"/>
                <w:lang w:val="it-IT"/>
              </w:rPr>
              <w:pPrChange w:id="244" w:author="Author">
                <w:pPr>
                  <w:tabs>
                    <w:tab w:val="left" w:pos="180"/>
                  </w:tabs>
                </w:pPr>
              </w:pPrChange>
            </w:pPr>
            <w:r>
              <w:rPr>
                <w:noProof/>
                <w:snapToGrid w:val="0"/>
                <w:lang w:val="it-IT"/>
              </w:rPr>
              <w:t>La decisione di interrompere il trattamento nell’AIGs per anomalie di laboratorio si deve basare sulla valutazione medica del singolo paziente.</w:t>
            </w:r>
          </w:p>
        </w:tc>
      </w:tr>
    </w:tbl>
    <w:p>
      <w:pPr>
        <w:tabs>
          <w:tab w:val="left" w:pos="180"/>
        </w:tabs>
        <w:ind w:left="567" w:hanging="567"/>
        <w:rPr>
          <w:noProof/>
          <w:szCs w:val="22"/>
          <w:lang w:val="it-IT"/>
        </w:rPr>
      </w:pPr>
    </w:p>
    <w:p>
      <w:pPr>
        <w:keepNext/>
        <w:keepLines/>
        <w:tabs>
          <w:tab w:val="left" w:pos="426"/>
        </w:tabs>
        <w:rPr>
          <w:noProof/>
          <w:szCs w:val="22"/>
          <w:lang w:val="it-IT"/>
        </w:rPr>
      </w:pPr>
      <w:r>
        <w:rPr>
          <w:noProof/>
          <w:szCs w:val="22"/>
          <w:lang w:val="it-IT"/>
        </w:rPr>
        <w:sym w:font="Symbol" w:char="F0B7"/>
      </w:r>
      <w:r>
        <w:rPr>
          <w:noProof/>
          <w:szCs w:val="22"/>
          <w:lang w:val="it-IT"/>
        </w:rPr>
        <w:tab/>
        <w:t>Bassa conta assoluta dei neutrofili (ANC)</w:t>
      </w:r>
    </w:p>
    <w:p>
      <w:pPr>
        <w:keepNext/>
        <w:keepLines/>
        <w:tabs>
          <w:tab w:val="left" w:pos="180"/>
        </w:tabs>
        <w:ind w:left="567" w:hanging="567"/>
        <w:rPr>
          <w:noProof/>
          <w:szCs w:val="22"/>
          <w:lang w:val="it-IT"/>
        </w:rPr>
      </w:pPr>
    </w:p>
    <w:tbl>
      <w:tblPr>
        <w:tblW w:w="5000" w:type="pct"/>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245" w:author="Author">
          <w:tblPr>
            <w:tblW w:w="5000" w:type="pct"/>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55"/>
        <w:gridCol w:w="6906"/>
        <w:tblGridChange w:id="246">
          <w:tblGrid>
            <w:gridCol w:w="2030"/>
            <w:gridCol w:w="7031"/>
          </w:tblGrid>
        </w:tblGridChange>
      </w:tblGrid>
      <w:tr>
        <w:trPr>
          <w:cantSplit/>
        </w:trPr>
        <w:tc>
          <w:tcPr>
            <w:tcW w:w="1189" w:type="pct"/>
            <w:tcBorders>
              <w:top w:val="single" w:sz="4" w:space="0" w:color="auto"/>
            </w:tcBorders>
            <w:tcPrChange w:id="247" w:author="Author">
              <w:tcPr>
                <w:tcW w:w="1120" w:type="pct"/>
                <w:tcBorders>
                  <w:top w:val="single" w:sz="4" w:space="0" w:color="auto"/>
                </w:tcBorders>
              </w:tcPr>
            </w:tcPrChange>
          </w:tcPr>
          <w:p>
            <w:pPr>
              <w:pStyle w:val="TextTi12"/>
              <w:keepNext/>
              <w:tabs>
                <w:tab w:val="left" w:pos="180"/>
              </w:tabs>
              <w:suppressAutoHyphens/>
              <w:spacing w:after="0" w:line="240" w:lineRule="auto"/>
              <w:jc w:val="center"/>
              <w:rPr>
                <w:del w:id="248" w:author="Author"/>
                <w:noProof/>
                <w:snapToGrid w:val="0"/>
                <w:sz w:val="22"/>
                <w:szCs w:val="22"/>
                <w:lang w:val="it-IT"/>
              </w:rPr>
              <w:pPrChange w:id="249" w:author="Author">
                <w:pPr>
                  <w:pStyle w:val="TextTi12"/>
                  <w:keepNext/>
                  <w:keepLines/>
                  <w:tabs>
                    <w:tab w:val="left" w:pos="180"/>
                  </w:tabs>
                  <w:spacing w:after="0" w:line="240" w:lineRule="auto"/>
                  <w:jc w:val="center"/>
                </w:pPr>
              </w:pPrChange>
            </w:pPr>
            <w:r>
              <w:rPr>
                <w:noProof/>
                <w:snapToGrid w:val="0"/>
                <w:sz w:val="22"/>
                <w:szCs w:val="22"/>
                <w:lang w:val="it-IT"/>
              </w:rPr>
              <w:t>Valori di laboratorio</w:t>
            </w:r>
            <w:r>
              <w:rPr>
                <w:noProof/>
                <w:snapToGrid w:val="0"/>
                <w:sz w:val="22"/>
                <w:szCs w:val="22"/>
                <w:lang w:val="it-IT"/>
              </w:rPr>
              <w:br/>
              <w:t xml:space="preserve">(cellule </w:t>
            </w:r>
            <w:r>
              <w:rPr>
                <w:noProof/>
                <w:snapToGrid w:val="0"/>
                <w:sz w:val="22"/>
                <w:szCs w:val="22"/>
                <w:lang w:val="it-IT"/>
              </w:rPr>
              <w:sym w:font="Symbol" w:char="F0B4"/>
            </w:r>
            <w:ins w:id="250" w:author="Author">
              <w:r>
                <w:rPr>
                  <w:noProof/>
                  <w:snapToGrid w:val="0"/>
                  <w:sz w:val="22"/>
                  <w:szCs w:val="22"/>
                  <w:lang w:val="it-IT"/>
                </w:rPr>
                <w:t xml:space="preserve"> </w:t>
              </w:r>
            </w:ins>
            <w:r>
              <w:rPr>
                <w:noProof/>
                <w:snapToGrid w:val="0"/>
                <w:sz w:val="22"/>
                <w:szCs w:val="22"/>
                <w:lang w:val="it-IT"/>
              </w:rPr>
              <w:t>10</w:t>
            </w:r>
            <w:r>
              <w:rPr>
                <w:noProof/>
                <w:snapToGrid w:val="0"/>
                <w:sz w:val="22"/>
                <w:szCs w:val="22"/>
                <w:vertAlign w:val="superscript"/>
                <w:lang w:val="it-IT"/>
              </w:rPr>
              <w:t>9</w:t>
            </w:r>
            <w:r>
              <w:rPr>
                <w:noProof/>
                <w:snapToGrid w:val="0"/>
                <w:sz w:val="22"/>
                <w:szCs w:val="22"/>
                <w:lang w:val="it-IT"/>
              </w:rPr>
              <w:t>/L)</w:t>
            </w:r>
          </w:p>
          <w:p>
            <w:pPr>
              <w:pStyle w:val="TextTi12"/>
              <w:keepNext/>
              <w:tabs>
                <w:tab w:val="left" w:pos="180"/>
              </w:tabs>
              <w:suppressAutoHyphens/>
              <w:spacing w:after="0" w:line="240" w:lineRule="auto"/>
              <w:jc w:val="center"/>
              <w:rPr>
                <w:noProof/>
                <w:snapToGrid w:val="0"/>
                <w:sz w:val="22"/>
                <w:szCs w:val="22"/>
                <w:lang w:val="it-IT"/>
              </w:rPr>
              <w:pPrChange w:id="251" w:author="Author">
                <w:pPr>
                  <w:pStyle w:val="TextTi12"/>
                  <w:keepNext/>
                  <w:keepLines/>
                  <w:tabs>
                    <w:tab w:val="left" w:pos="180"/>
                  </w:tabs>
                  <w:spacing w:after="0" w:line="240" w:lineRule="auto"/>
                  <w:jc w:val="center"/>
                </w:pPr>
              </w:pPrChange>
            </w:pPr>
          </w:p>
        </w:tc>
        <w:tc>
          <w:tcPr>
            <w:tcW w:w="3811" w:type="pct"/>
            <w:tcBorders>
              <w:top w:val="single" w:sz="4" w:space="0" w:color="auto"/>
            </w:tcBorders>
            <w:tcPrChange w:id="252" w:author="Author">
              <w:tcPr>
                <w:tcW w:w="3880" w:type="pct"/>
                <w:tcBorders>
                  <w:top w:val="single" w:sz="4" w:space="0" w:color="auto"/>
                </w:tcBorders>
              </w:tcPr>
            </w:tcPrChange>
          </w:tcPr>
          <w:p>
            <w:pPr>
              <w:pStyle w:val="TextTi12"/>
              <w:keepNext/>
              <w:tabs>
                <w:tab w:val="left" w:pos="180"/>
              </w:tabs>
              <w:suppressAutoHyphens/>
              <w:spacing w:after="0" w:line="240" w:lineRule="auto"/>
              <w:jc w:val="center"/>
              <w:rPr>
                <w:noProof/>
                <w:snapToGrid w:val="0"/>
                <w:sz w:val="22"/>
                <w:szCs w:val="22"/>
                <w:lang w:val="it-IT"/>
              </w:rPr>
              <w:pPrChange w:id="253" w:author="Author">
                <w:pPr>
                  <w:pStyle w:val="TextTi12"/>
                  <w:keepNext/>
                  <w:keepLines/>
                  <w:tabs>
                    <w:tab w:val="left" w:pos="180"/>
                  </w:tabs>
                  <w:spacing w:after="0" w:line="240" w:lineRule="auto"/>
                  <w:jc w:val="center"/>
                </w:pPr>
              </w:pPrChange>
            </w:pPr>
            <w:r>
              <w:rPr>
                <w:noProof/>
                <w:snapToGrid w:val="0"/>
                <w:sz w:val="22"/>
                <w:szCs w:val="22"/>
                <w:lang w:val="it-IT"/>
              </w:rPr>
              <w:t>Azione</w:t>
            </w:r>
          </w:p>
        </w:tc>
      </w:tr>
      <w:tr>
        <w:trPr>
          <w:cantSplit/>
        </w:trPr>
        <w:tc>
          <w:tcPr>
            <w:tcW w:w="1189" w:type="pct"/>
            <w:tcPrChange w:id="254" w:author="Author">
              <w:tcPr>
                <w:tcW w:w="1120" w:type="pct"/>
              </w:tcPr>
            </w:tcPrChange>
          </w:tcPr>
          <w:p>
            <w:pPr>
              <w:pStyle w:val="TextTi12"/>
              <w:keepNext/>
              <w:tabs>
                <w:tab w:val="left" w:pos="180"/>
              </w:tabs>
              <w:suppressAutoHyphens/>
              <w:spacing w:after="0" w:line="240" w:lineRule="auto"/>
              <w:jc w:val="left"/>
              <w:rPr>
                <w:del w:id="255" w:author="Author"/>
                <w:noProof/>
                <w:snapToGrid w:val="0"/>
                <w:sz w:val="22"/>
                <w:szCs w:val="22"/>
                <w:lang w:val="it-IT"/>
              </w:rPr>
              <w:pPrChange w:id="256" w:author="Author">
                <w:pPr>
                  <w:pStyle w:val="TextTi12"/>
                  <w:tabs>
                    <w:tab w:val="left" w:pos="180"/>
                  </w:tabs>
                  <w:spacing w:after="0" w:line="240" w:lineRule="auto"/>
                </w:pPr>
              </w:pPrChange>
            </w:pPr>
            <w:r>
              <w:rPr>
                <w:noProof/>
                <w:snapToGrid w:val="0"/>
                <w:sz w:val="22"/>
                <w:szCs w:val="22"/>
                <w:lang w:val="it-IT"/>
              </w:rPr>
              <w:t xml:space="preserve">ANC </w:t>
            </w:r>
            <w:r>
              <w:rPr>
                <w:noProof/>
                <w:snapToGrid w:val="0"/>
                <w:sz w:val="22"/>
                <w:szCs w:val="22"/>
                <w:lang w:val="it-IT"/>
              </w:rPr>
              <w:sym w:font="Symbol" w:char="F03E"/>
            </w:r>
            <w:ins w:id="257" w:author="Author">
              <w:r>
                <w:rPr>
                  <w:noProof/>
                  <w:snapToGrid w:val="0"/>
                  <w:sz w:val="22"/>
                  <w:szCs w:val="22"/>
                  <w:lang w:val="it-IT"/>
                </w:rPr>
                <w:t xml:space="preserve"> </w:t>
              </w:r>
            </w:ins>
            <w:r>
              <w:rPr>
                <w:noProof/>
                <w:snapToGrid w:val="0"/>
                <w:sz w:val="22"/>
                <w:szCs w:val="22"/>
                <w:lang w:val="it-IT"/>
              </w:rPr>
              <w:t>1</w:t>
            </w:r>
          </w:p>
          <w:p>
            <w:pPr>
              <w:pStyle w:val="TextTi12"/>
              <w:keepNext/>
              <w:tabs>
                <w:tab w:val="left" w:pos="180"/>
              </w:tabs>
              <w:suppressAutoHyphens/>
              <w:spacing w:after="0" w:line="240" w:lineRule="auto"/>
              <w:jc w:val="left"/>
              <w:rPr>
                <w:noProof/>
                <w:snapToGrid w:val="0"/>
                <w:sz w:val="22"/>
                <w:szCs w:val="22"/>
                <w:lang w:val="it-IT"/>
              </w:rPr>
              <w:pPrChange w:id="258" w:author="Author">
                <w:pPr>
                  <w:pStyle w:val="TextTi12"/>
                  <w:tabs>
                    <w:tab w:val="left" w:pos="180"/>
                  </w:tabs>
                  <w:spacing w:after="0" w:line="240" w:lineRule="auto"/>
                </w:pPr>
              </w:pPrChange>
            </w:pPr>
          </w:p>
        </w:tc>
        <w:tc>
          <w:tcPr>
            <w:tcW w:w="3811" w:type="pct"/>
            <w:tcPrChange w:id="259" w:author="Author">
              <w:tcPr>
                <w:tcW w:w="3880" w:type="pct"/>
              </w:tcPr>
            </w:tcPrChange>
          </w:tcPr>
          <w:p>
            <w:pPr>
              <w:pStyle w:val="TextTi12"/>
              <w:keepNext/>
              <w:tabs>
                <w:tab w:val="left" w:pos="180"/>
              </w:tabs>
              <w:suppressAutoHyphens/>
              <w:spacing w:after="0" w:line="240" w:lineRule="auto"/>
              <w:jc w:val="left"/>
              <w:rPr>
                <w:noProof/>
                <w:snapToGrid w:val="0"/>
                <w:sz w:val="22"/>
                <w:szCs w:val="22"/>
                <w:lang w:val="it-IT"/>
              </w:rPr>
              <w:pPrChange w:id="260" w:author="Author">
                <w:pPr>
                  <w:pStyle w:val="TextTi12"/>
                  <w:tabs>
                    <w:tab w:val="left" w:pos="180"/>
                  </w:tabs>
                  <w:spacing w:after="0" w:line="240" w:lineRule="auto"/>
                </w:pPr>
              </w:pPrChange>
            </w:pPr>
            <w:r>
              <w:rPr>
                <w:noProof/>
                <w:snapToGrid w:val="0"/>
                <w:sz w:val="22"/>
                <w:szCs w:val="22"/>
                <w:lang w:val="it-IT"/>
              </w:rPr>
              <w:t>Mantenere la dose</w:t>
            </w:r>
          </w:p>
        </w:tc>
      </w:tr>
      <w:tr>
        <w:trPr>
          <w:cantSplit/>
        </w:trPr>
        <w:tc>
          <w:tcPr>
            <w:tcW w:w="1189" w:type="pct"/>
            <w:tcPrChange w:id="261" w:author="Author">
              <w:tcPr>
                <w:tcW w:w="1120" w:type="pct"/>
              </w:tcPr>
            </w:tcPrChange>
          </w:tcPr>
          <w:p>
            <w:pPr>
              <w:pStyle w:val="TextTi12"/>
              <w:keepNext/>
              <w:tabs>
                <w:tab w:val="left" w:pos="180"/>
              </w:tabs>
              <w:suppressAutoHyphens/>
              <w:spacing w:after="0" w:line="240" w:lineRule="auto"/>
              <w:jc w:val="left"/>
              <w:rPr>
                <w:noProof/>
                <w:snapToGrid w:val="0"/>
                <w:sz w:val="22"/>
                <w:szCs w:val="22"/>
                <w:lang w:val="it-IT"/>
              </w:rPr>
              <w:pPrChange w:id="262" w:author="Author">
                <w:pPr>
                  <w:pStyle w:val="TextTi12"/>
                  <w:tabs>
                    <w:tab w:val="left" w:pos="180"/>
                  </w:tabs>
                  <w:spacing w:after="0" w:line="240" w:lineRule="auto"/>
                </w:pPr>
              </w:pPrChange>
            </w:pPr>
            <w:r>
              <w:rPr>
                <w:noProof/>
                <w:snapToGrid w:val="0"/>
                <w:sz w:val="22"/>
                <w:szCs w:val="22"/>
                <w:lang w:val="it-IT"/>
              </w:rPr>
              <w:t>ANC da 0,5 a 1</w:t>
            </w:r>
          </w:p>
        </w:tc>
        <w:tc>
          <w:tcPr>
            <w:tcW w:w="3811" w:type="pct"/>
            <w:tcPrChange w:id="263" w:author="Author">
              <w:tcPr>
                <w:tcW w:w="3880" w:type="pct"/>
              </w:tcPr>
            </w:tcPrChange>
          </w:tcPr>
          <w:p>
            <w:pPr>
              <w:pStyle w:val="TextTi12"/>
              <w:keepNext/>
              <w:tabs>
                <w:tab w:val="left" w:pos="180"/>
              </w:tabs>
              <w:suppressAutoHyphens/>
              <w:spacing w:after="0" w:line="240" w:lineRule="auto"/>
              <w:jc w:val="left"/>
              <w:rPr>
                <w:noProof/>
                <w:snapToGrid w:val="0"/>
                <w:sz w:val="22"/>
                <w:szCs w:val="22"/>
                <w:lang w:val="it-IT"/>
              </w:rPr>
              <w:pPrChange w:id="264" w:author="Author">
                <w:pPr>
                  <w:pStyle w:val="TextTi12"/>
                  <w:tabs>
                    <w:tab w:val="left" w:pos="180"/>
                  </w:tabs>
                  <w:spacing w:after="0" w:line="240" w:lineRule="auto"/>
                </w:pPr>
              </w:pPrChange>
            </w:pPr>
            <w:r>
              <w:rPr>
                <w:noProof/>
                <w:snapToGrid w:val="0"/>
                <w:sz w:val="22"/>
                <w:szCs w:val="22"/>
                <w:lang w:val="it-IT"/>
              </w:rPr>
              <w:t>Interrompere la somministrazione di tocilizumab.</w:t>
            </w:r>
          </w:p>
          <w:p>
            <w:pPr>
              <w:pStyle w:val="TextTi12"/>
              <w:keepNext/>
              <w:tabs>
                <w:tab w:val="left" w:pos="180"/>
              </w:tabs>
              <w:suppressAutoHyphens/>
              <w:spacing w:after="0" w:line="240" w:lineRule="auto"/>
              <w:jc w:val="left"/>
              <w:rPr>
                <w:noProof/>
                <w:snapToGrid w:val="0"/>
                <w:sz w:val="22"/>
                <w:szCs w:val="22"/>
                <w:lang w:val="it-IT"/>
              </w:rPr>
              <w:pPrChange w:id="265" w:author="Author">
                <w:pPr>
                  <w:pStyle w:val="TextTi12"/>
                  <w:tabs>
                    <w:tab w:val="left" w:pos="180"/>
                  </w:tabs>
                  <w:spacing w:after="0" w:line="240" w:lineRule="auto"/>
                </w:pPr>
              </w:pPrChange>
            </w:pPr>
          </w:p>
          <w:p>
            <w:pPr>
              <w:pStyle w:val="TextTi12"/>
              <w:keepNext/>
              <w:tabs>
                <w:tab w:val="left" w:pos="180"/>
              </w:tabs>
              <w:suppressAutoHyphens/>
              <w:spacing w:after="0" w:line="240" w:lineRule="auto"/>
              <w:jc w:val="left"/>
              <w:rPr>
                <w:noProof/>
                <w:snapToGrid w:val="0"/>
                <w:sz w:val="22"/>
                <w:szCs w:val="22"/>
                <w:lang w:val="it-IT"/>
              </w:rPr>
              <w:pPrChange w:id="266" w:author="Author">
                <w:pPr>
                  <w:pStyle w:val="TextTi12"/>
                  <w:tabs>
                    <w:tab w:val="left" w:pos="180"/>
                  </w:tabs>
                  <w:spacing w:after="0" w:line="240" w:lineRule="auto"/>
                </w:pPr>
              </w:pPrChange>
            </w:pPr>
            <w:r>
              <w:rPr>
                <w:noProof/>
                <w:snapToGrid w:val="0"/>
                <w:sz w:val="22"/>
                <w:szCs w:val="22"/>
                <w:lang w:val="it-IT"/>
              </w:rPr>
              <w:t xml:space="preserve">Quando la ANC aumenta sopra 1 </w:t>
            </w:r>
            <w:r>
              <w:rPr>
                <w:noProof/>
                <w:snapToGrid w:val="0"/>
                <w:sz w:val="22"/>
                <w:szCs w:val="22"/>
                <w:lang w:val="it-IT"/>
              </w:rPr>
              <w:sym w:font="Symbol" w:char="F0B4"/>
            </w:r>
            <w:r>
              <w:rPr>
                <w:noProof/>
                <w:snapToGrid w:val="0"/>
                <w:sz w:val="22"/>
                <w:szCs w:val="22"/>
                <w:lang w:val="it-IT"/>
              </w:rPr>
              <w:t xml:space="preserve"> 10</w:t>
            </w:r>
            <w:r>
              <w:rPr>
                <w:noProof/>
                <w:snapToGrid w:val="0"/>
                <w:sz w:val="22"/>
                <w:szCs w:val="22"/>
                <w:vertAlign w:val="superscript"/>
                <w:lang w:val="it-IT"/>
              </w:rPr>
              <w:t>9</w:t>
            </w:r>
            <w:r>
              <w:rPr>
                <w:noProof/>
                <w:snapToGrid w:val="0"/>
                <w:sz w:val="22"/>
                <w:szCs w:val="22"/>
                <w:lang w:val="it-IT"/>
              </w:rPr>
              <w:t xml:space="preserve">/L riprendere il trattamento. </w:t>
            </w:r>
          </w:p>
        </w:tc>
      </w:tr>
      <w:tr>
        <w:trPr>
          <w:cantSplit/>
        </w:trPr>
        <w:tc>
          <w:tcPr>
            <w:tcW w:w="1189" w:type="pct"/>
            <w:tcPrChange w:id="267" w:author="Author">
              <w:tcPr>
                <w:tcW w:w="1120" w:type="pct"/>
              </w:tcPr>
            </w:tcPrChange>
          </w:tcPr>
          <w:p>
            <w:pPr>
              <w:pStyle w:val="TextTi12"/>
              <w:tabs>
                <w:tab w:val="left" w:pos="180"/>
              </w:tabs>
              <w:suppressAutoHyphens/>
              <w:spacing w:after="0" w:line="240" w:lineRule="auto"/>
              <w:jc w:val="left"/>
              <w:rPr>
                <w:del w:id="268" w:author="Author"/>
                <w:noProof/>
                <w:snapToGrid w:val="0"/>
                <w:sz w:val="22"/>
                <w:szCs w:val="22"/>
                <w:lang w:val="it-IT"/>
              </w:rPr>
              <w:pPrChange w:id="269" w:author="Author">
                <w:pPr>
                  <w:pStyle w:val="TextTi12"/>
                  <w:tabs>
                    <w:tab w:val="left" w:pos="180"/>
                  </w:tabs>
                  <w:spacing w:after="0" w:line="240" w:lineRule="auto"/>
                </w:pPr>
              </w:pPrChange>
            </w:pPr>
            <w:r>
              <w:rPr>
                <w:noProof/>
                <w:snapToGrid w:val="0"/>
                <w:sz w:val="22"/>
                <w:szCs w:val="22"/>
                <w:lang w:val="it-IT"/>
              </w:rPr>
              <w:t xml:space="preserve">ANC </w:t>
            </w:r>
            <w:r>
              <w:rPr>
                <w:rFonts w:eastAsia="MS Mincho"/>
                <w:noProof/>
                <w:sz w:val="22"/>
                <w:szCs w:val="22"/>
                <w:lang w:val="it-IT"/>
                <w:rPrChange w:id="270" w:author="Author">
                  <w:rPr>
                    <w:rFonts w:ascii="Arial" w:eastAsia="MS Mincho" w:hAnsi="Arial" w:cs="Arial"/>
                    <w:szCs w:val="22"/>
                    <w:lang w:val="en-GB"/>
                  </w:rPr>
                </w:rPrChange>
              </w:rPr>
              <w:sym w:font="Symbol" w:char="F03C"/>
            </w:r>
            <w:ins w:id="271" w:author="Author">
              <w:r>
                <w:rPr>
                  <w:rFonts w:eastAsia="MS Mincho"/>
                  <w:noProof/>
                  <w:sz w:val="22"/>
                  <w:szCs w:val="22"/>
                  <w:lang w:val="it-IT"/>
                </w:rPr>
                <w:t xml:space="preserve"> </w:t>
              </w:r>
            </w:ins>
            <w:r>
              <w:rPr>
                <w:noProof/>
                <w:snapToGrid w:val="0"/>
                <w:sz w:val="22"/>
                <w:szCs w:val="22"/>
                <w:lang w:val="it-IT"/>
              </w:rPr>
              <w:t>0,5</w:t>
            </w:r>
          </w:p>
          <w:p>
            <w:pPr>
              <w:pStyle w:val="TextTi12"/>
              <w:tabs>
                <w:tab w:val="left" w:pos="180"/>
              </w:tabs>
              <w:suppressAutoHyphens/>
              <w:spacing w:after="0" w:line="240" w:lineRule="auto"/>
              <w:jc w:val="left"/>
              <w:rPr>
                <w:noProof/>
                <w:snapToGrid w:val="0"/>
                <w:sz w:val="22"/>
                <w:szCs w:val="22"/>
                <w:lang w:val="it-IT"/>
              </w:rPr>
              <w:pPrChange w:id="272" w:author="Author">
                <w:pPr>
                  <w:pStyle w:val="TextTi12"/>
                  <w:tabs>
                    <w:tab w:val="left" w:pos="180"/>
                  </w:tabs>
                  <w:spacing w:after="0" w:line="240" w:lineRule="auto"/>
                </w:pPr>
              </w:pPrChange>
            </w:pPr>
          </w:p>
        </w:tc>
        <w:tc>
          <w:tcPr>
            <w:tcW w:w="3811" w:type="pct"/>
            <w:tcPrChange w:id="273" w:author="Author">
              <w:tcPr>
                <w:tcW w:w="3880" w:type="pct"/>
              </w:tcPr>
            </w:tcPrChange>
          </w:tcPr>
          <w:p>
            <w:pPr>
              <w:pStyle w:val="TextTi12"/>
              <w:tabs>
                <w:tab w:val="left" w:pos="180"/>
              </w:tabs>
              <w:suppressAutoHyphens/>
              <w:spacing w:after="0" w:line="240" w:lineRule="auto"/>
              <w:jc w:val="left"/>
              <w:rPr>
                <w:noProof/>
                <w:snapToGrid w:val="0"/>
                <w:sz w:val="22"/>
                <w:szCs w:val="22"/>
                <w:lang w:val="it-IT"/>
              </w:rPr>
              <w:pPrChange w:id="274" w:author="Author">
                <w:pPr>
                  <w:pStyle w:val="TextTi12"/>
                  <w:tabs>
                    <w:tab w:val="left" w:pos="180"/>
                  </w:tabs>
                  <w:spacing w:after="0" w:line="240" w:lineRule="auto"/>
                </w:pPr>
              </w:pPrChange>
            </w:pPr>
            <w:r>
              <w:rPr>
                <w:noProof/>
                <w:snapToGrid w:val="0"/>
                <w:sz w:val="22"/>
                <w:szCs w:val="22"/>
                <w:lang w:val="it-IT"/>
              </w:rPr>
              <w:t>Sospendere tocilizumab.</w:t>
            </w:r>
          </w:p>
          <w:p>
            <w:pPr>
              <w:pStyle w:val="TextTi12"/>
              <w:tabs>
                <w:tab w:val="left" w:pos="180"/>
              </w:tabs>
              <w:suppressAutoHyphens/>
              <w:spacing w:after="0" w:line="240" w:lineRule="auto"/>
              <w:jc w:val="left"/>
              <w:rPr>
                <w:noProof/>
                <w:snapToGrid w:val="0"/>
                <w:sz w:val="22"/>
                <w:szCs w:val="22"/>
                <w:lang w:val="it-IT"/>
              </w:rPr>
              <w:pPrChange w:id="275" w:author="Author">
                <w:pPr>
                  <w:pStyle w:val="TextTi12"/>
                  <w:tabs>
                    <w:tab w:val="left" w:pos="180"/>
                  </w:tabs>
                  <w:spacing w:after="0" w:line="240" w:lineRule="auto"/>
                </w:pPr>
              </w:pPrChange>
            </w:pPr>
          </w:p>
          <w:p>
            <w:pPr>
              <w:pStyle w:val="TextTi12"/>
              <w:tabs>
                <w:tab w:val="left" w:pos="180"/>
              </w:tabs>
              <w:suppressAutoHyphens/>
              <w:spacing w:after="0" w:line="240" w:lineRule="auto"/>
              <w:jc w:val="left"/>
              <w:rPr>
                <w:noProof/>
                <w:snapToGrid w:val="0"/>
                <w:sz w:val="22"/>
                <w:szCs w:val="22"/>
                <w:lang w:val="it-IT"/>
              </w:rPr>
              <w:pPrChange w:id="276" w:author="Author">
                <w:pPr>
                  <w:pStyle w:val="TextTi12"/>
                  <w:tabs>
                    <w:tab w:val="left" w:pos="180"/>
                  </w:tabs>
                  <w:spacing w:after="0" w:line="240" w:lineRule="auto"/>
                </w:pPr>
              </w:pPrChange>
            </w:pPr>
            <w:r>
              <w:rPr>
                <w:noProof/>
                <w:snapToGrid w:val="0"/>
                <w:sz w:val="22"/>
                <w:szCs w:val="22"/>
                <w:lang w:val="it-IT"/>
                <w:rPrChange w:id="277" w:author="Author">
                  <w:rPr>
                    <w:snapToGrid w:val="0"/>
                    <w:lang w:val="it-IT"/>
                  </w:rPr>
                </w:rPrChange>
              </w:rPr>
              <w:t>La decisione di interrompere il trattamento nell’AIGs per anomalie di laboratorio si deve basare sulla valutazione medica del singolo paziente.</w:t>
            </w:r>
          </w:p>
        </w:tc>
      </w:tr>
    </w:tbl>
    <w:p>
      <w:pPr>
        <w:tabs>
          <w:tab w:val="left" w:pos="180"/>
        </w:tabs>
        <w:ind w:left="567" w:hanging="567"/>
        <w:rPr>
          <w:noProof/>
          <w:szCs w:val="22"/>
          <w:lang w:val="it-IT"/>
        </w:rPr>
      </w:pPr>
    </w:p>
    <w:p>
      <w:pPr>
        <w:keepNext/>
        <w:keepLines/>
        <w:tabs>
          <w:tab w:val="left" w:pos="426"/>
        </w:tabs>
        <w:ind w:left="567" w:hanging="567"/>
        <w:rPr>
          <w:noProof/>
          <w:szCs w:val="22"/>
          <w:lang w:val="it-IT"/>
        </w:rPr>
      </w:pPr>
      <w:r>
        <w:rPr>
          <w:noProof/>
          <w:szCs w:val="22"/>
          <w:lang w:val="it-IT"/>
        </w:rPr>
        <w:sym w:font="Symbol" w:char="F0B7"/>
      </w:r>
      <w:r>
        <w:rPr>
          <w:noProof/>
          <w:szCs w:val="22"/>
          <w:lang w:val="it-IT"/>
        </w:rPr>
        <w:tab/>
        <w:t>Bassa conta piastrinica</w:t>
      </w:r>
    </w:p>
    <w:p>
      <w:pPr>
        <w:keepNext/>
        <w:keepLines/>
        <w:tabs>
          <w:tab w:val="left" w:pos="180"/>
        </w:tabs>
        <w:ind w:left="567" w:hanging="567"/>
        <w:rPr>
          <w:noProof/>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278"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55"/>
        <w:gridCol w:w="6906"/>
        <w:tblGridChange w:id="279">
          <w:tblGrid>
            <w:gridCol w:w="2037"/>
            <w:gridCol w:w="7024"/>
          </w:tblGrid>
        </w:tblGridChange>
      </w:tblGrid>
      <w:tr>
        <w:trPr>
          <w:cantSplit/>
        </w:trPr>
        <w:tc>
          <w:tcPr>
            <w:tcW w:w="1189" w:type="pct"/>
            <w:tcPrChange w:id="280" w:author="Author">
              <w:tcPr>
                <w:tcW w:w="1124" w:type="pct"/>
              </w:tcPr>
            </w:tcPrChange>
          </w:tcPr>
          <w:p>
            <w:pPr>
              <w:pStyle w:val="TextTi12"/>
              <w:keepNext/>
              <w:tabs>
                <w:tab w:val="left" w:pos="180"/>
              </w:tabs>
              <w:suppressAutoHyphens/>
              <w:spacing w:after="0" w:line="240" w:lineRule="auto"/>
              <w:jc w:val="center"/>
              <w:rPr>
                <w:del w:id="281" w:author="Author"/>
                <w:noProof/>
                <w:snapToGrid w:val="0"/>
                <w:sz w:val="22"/>
                <w:szCs w:val="22"/>
                <w:lang w:val="it-IT"/>
              </w:rPr>
              <w:pPrChange w:id="282" w:author="Author">
                <w:pPr>
                  <w:pStyle w:val="TextTi12"/>
                  <w:keepNext/>
                  <w:keepLines/>
                  <w:tabs>
                    <w:tab w:val="left" w:pos="180"/>
                  </w:tabs>
                  <w:spacing w:after="0" w:line="240" w:lineRule="auto"/>
                  <w:jc w:val="center"/>
                </w:pPr>
              </w:pPrChange>
            </w:pPr>
            <w:r>
              <w:rPr>
                <w:noProof/>
                <w:snapToGrid w:val="0"/>
                <w:sz w:val="22"/>
                <w:szCs w:val="22"/>
                <w:lang w:val="it-IT"/>
              </w:rPr>
              <w:t>Valori di laboratorio</w:t>
            </w:r>
            <w:r>
              <w:rPr>
                <w:noProof/>
                <w:snapToGrid w:val="0"/>
                <w:sz w:val="22"/>
                <w:szCs w:val="22"/>
                <w:lang w:val="it-IT"/>
              </w:rPr>
              <w:br/>
              <w:t xml:space="preserve">(cellule </w:t>
            </w:r>
            <w:r>
              <w:rPr>
                <w:noProof/>
                <w:snapToGrid w:val="0"/>
                <w:sz w:val="22"/>
                <w:szCs w:val="22"/>
                <w:lang w:val="it-IT"/>
              </w:rPr>
              <w:sym w:font="Symbol" w:char="F0B4"/>
            </w:r>
            <w:r>
              <w:rPr>
                <w:noProof/>
                <w:snapToGrid w:val="0"/>
                <w:sz w:val="22"/>
                <w:szCs w:val="22"/>
                <w:lang w:val="it-IT"/>
              </w:rPr>
              <w:t xml:space="preserve"> 10</w:t>
            </w:r>
            <w:r>
              <w:rPr>
                <w:noProof/>
                <w:snapToGrid w:val="0"/>
                <w:sz w:val="22"/>
                <w:szCs w:val="22"/>
                <w:vertAlign w:val="superscript"/>
                <w:lang w:val="it-IT"/>
              </w:rPr>
              <w:t>3</w:t>
            </w:r>
            <w:r>
              <w:rPr>
                <w:noProof/>
                <w:snapToGrid w:val="0"/>
                <w:sz w:val="22"/>
                <w:szCs w:val="22"/>
                <w:lang w:val="it-IT"/>
              </w:rPr>
              <w:t>/μL)</w:t>
            </w:r>
          </w:p>
          <w:p>
            <w:pPr>
              <w:pStyle w:val="TextTi12"/>
              <w:keepNext/>
              <w:tabs>
                <w:tab w:val="left" w:pos="180"/>
              </w:tabs>
              <w:suppressAutoHyphens/>
              <w:spacing w:after="0" w:line="240" w:lineRule="auto"/>
              <w:jc w:val="center"/>
              <w:rPr>
                <w:noProof/>
                <w:snapToGrid w:val="0"/>
                <w:sz w:val="22"/>
                <w:szCs w:val="22"/>
                <w:lang w:val="it-IT"/>
              </w:rPr>
              <w:pPrChange w:id="283" w:author="Author">
                <w:pPr>
                  <w:pStyle w:val="TextTi12"/>
                  <w:keepNext/>
                  <w:keepLines/>
                  <w:tabs>
                    <w:tab w:val="left" w:pos="180"/>
                  </w:tabs>
                  <w:spacing w:after="0" w:line="240" w:lineRule="auto"/>
                  <w:jc w:val="center"/>
                </w:pPr>
              </w:pPrChange>
            </w:pPr>
          </w:p>
        </w:tc>
        <w:tc>
          <w:tcPr>
            <w:tcW w:w="3811" w:type="pct"/>
            <w:tcPrChange w:id="284" w:author="Author">
              <w:tcPr>
                <w:tcW w:w="3876" w:type="pct"/>
              </w:tcPr>
            </w:tcPrChange>
          </w:tcPr>
          <w:p>
            <w:pPr>
              <w:pStyle w:val="TextTi12"/>
              <w:keepNext/>
              <w:tabs>
                <w:tab w:val="left" w:pos="180"/>
              </w:tabs>
              <w:suppressAutoHyphens/>
              <w:spacing w:after="0" w:line="240" w:lineRule="auto"/>
              <w:jc w:val="center"/>
              <w:rPr>
                <w:noProof/>
                <w:snapToGrid w:val="0"/>
                <w:sz w:val="22"/>
                <w:szCs w:val="22"/>
                <w:lang w:val="it-IT"/>
              </w:rPr>
              <w:pPrChange w:id="285" w:author="Author">
                <w:pPr>
                  <w:pStyle w:val="TextTi12"/>
                  <w:keepNext/>
                  <w:keepLines/>
                  <w:tabs>
                    <w:tab w:val="left" w:pos="180"/>
                  </w:tabs>
                  <w:spacing w:after="0" w:line="240" w:lineRule="auto"/>
                  <w:jc w:val="center"/>
                </w:pPr>
              </w:pPrChange>
            </w:pPr>
            <w:r>
              <w:rPr>
                <w:noProof/>
                <w:snapToGrid w:val="0"/>
                <w:sz w:val="22"/>
                <w:szCs w:val="22"/>
                <w:lang w:val="it-IT"/>
              </w:rPr>
              <w:t>Azione</w:t>
            </w:r>
          </w:p>
        </w:tc>
      </w:tr>
      <w:tr>
        <w:trPr>
          <w:cantSplit/>
        </w:trPr>
        <w:tc>
          <w:tcPr>
            <w:tcW w:w="1189" w:type="pct"/>
            <w:tcPrChange w:id="286" w:author="Author">
              <w:tcPr>
                <w:tcW w:w="1124" w:type="pct"/>
              </w:tcPr>
            </w:tcPrChange>
          </w:tcPr>
          <w:p>
            <w:pPr>
              <w:pStyle w:val="TextTi12"/>
              <w:keepNext/>
              <w:tabs>
                <w:tab w:val="left" w:pos="180"/>
              </w:tabs>
              <w:suppressAutoHyphens/>
              <w:spacing w:after="0" w:line="240" w:lineRule="auto"/>
              <w:jc w:val="left"/>
              <w:rPr>
                <w:noProof/>
                <w:snapToGrid w:val="0"/>
                <w:sz w:val="22"/>
                <w:szCs w:val="22"/>
                <w:lang w:val="it-IT"/>
              </w:rPr>
              <w:pPrChange w:id="287" w:author="Author">
                <w:pPr>
                  <w:pStyle w:val="TextTi12"/>
                  <w:keepNext/>
                  <w:keepLines/>
                  <w:tabs>
                    <w:tab w:val="left" w:pos="180"/>
                  </w:tabs>
                  <w:spacing w:after="0" w:line="240" w:lineRule="auto"/>
                </w:pPr>
              </w:pPrChange>
            </w:pPr>
            <w:r>
              <w:rPr>
                <w:noProof/>
                <w:snapToGrid w:val="0"/>
                <w:sz w:val="22"/>
                <w:szCs w:val="22"/>
                <w:lang w:val="it-IT"/>
              </w:rPr>
              <w:t>Da 50 a 100</w:t>
            </w:r>
          </w:p>
        </w:tc>
        <w:tc>
          <w:tcPr>
            <w:tcW w:w="3811" w:type="pct"/>
            <w:tcPrChange w:id="288" w:author="Author">
              <w:tcPr>
                <w:tcW w:w="3876" w:type="pct"/>
              </w:tcPr>
            </w:tcPrChange>
          </w:tcPr>
          <w:p>
            <w:pPr>
              <w:pStyle w:val="TextTi12"/>
              <w:keepNext/>
              <w:tabs>
                <w:tab w:val="left" w:pos="180"/>
              </w:tabs>
              <w:suppressAutoHyphens/>
              <w:spacing w:after="0" w:line="240" w:lineRule="auto"/>
              <w:jc w:val="left"/>
              <w:rPr>
                <w:noProof/>
                <w:snapToGrid w:val="0"/>
                <w:sz w:val="22"/>
                <w:szCs w:val="22"/>
                <w:lang w:val="it-IT"/>
              </w:rPr>
              <w:pPrChange w:id="289" w:author="Author">
                <w:pPr>
                  <w:pStyle w:val="TextTi12"/>
                  <w:keepNext/>
                  <w:keepLines/>
                  <w:tabs>
                    <w:tab w:val="left" w:pos="180"/>
                  </w:tabs>
                  <w:spacing w:after="0" w:line="240" w:lineRule="auto"/>
                </w:pPr>
              </w:pPrChange>
            </w:pPr>
            <w:r>
              <w:rPr>
                <w:noProof/>
                <w:snapToGrid w:val="0"/>
                <w:sz w:val="22"/>
                <w:szCs w:val="22"/>
                <w:lang w:val="it-IT"/>
              </w:rPr>
              <w:t xml:space="preserve">Modificare la dose di MTX se appropriato. </w:t>
            </w:r>
          </w:p>
          <w:p>
            <w:pPr>
              <w:pStyle w:val="TextTi12"/>
              <w:keepNext/>
              <w:tabs>
                <w:tab w:val="left" w:pos="180"/>
              </w:tabs>
              <w:suppressAutoHyphens/>
              <w:spacing w:after="0" w:line="240" w:lineRule="auto"/>
              <w:jc w:val="left"/>
              <w:rPr>
                <w:noProof/>
                <w:snapToGrid w:val="0"/>
                <w:sz w:val="22"/>
                <w:szCs w:val="22"/>
                <w:lang w:val="it-IT"/>
              </w:rPr>
              <w:pPrChange w:id="290" w:author="Author">
                <w:pPr>
                  <w:pStyle w:val="TextTi12"/>
                  <w:keepNext/>
                  <w:keepLines/>
                  <w:tabs>
                    <w:tab w:val="left" w:pos="180"/>
                  </w:tabs>
                  <w:spacing w:after="0" w:line="240" w:lineRule="auto"/>
                </w:pPr>
              </w:pPrChange>
            </w:pPr>
          </w:p>
          <w:p>
            <w:pPr>
              <w:pStyle w:val="TextTi12"/>
              <w:keepNext/>
              <w:tabs>
                <w:tab w:val="left" w:pos="180"/>
              </w:tabs>
              <w:suppressAutoHyphens/>
              <w:spacing w:after="0" w:line="240" w:lineRule="auto"/>
              <w:jc w:val="left"/>
              <w:rPr>
                <w:noProof/>
                <w:snapToGrid w:val="0"/>
                <w:sz w:val="22"/>
                <w:szCs w:val="22"/>
                <w:lang w:val="it-IT"/>
              </w:rPr>
              <w:pPrChange w:id="291" w:author="Author">
                <w:pPr>
                  <w:pStyle w:val="TextTi12"/>
                  <w:keepNext/>
                  <w:keepLines/>
                  <w:tabs>
                    <w:tab w:val="left" w:pos="180"/>
                  </w:tabs>
                  <w:spacing w:after="0" w:line="240" w:lineRule="auto"/>
                </w:pPr>
              </w:pPrChange>
            </w:pPr>
            <w:r>
              <w:rPr>
                <w:noProof/>
                <w:snapToGrid w:val="0"/>
                <w:sz w:val="22"/>
                <w:szCs w:val="22"/>
                <w:lang w:val="it-IT"/>
              </w:rPr>
              <w:t>Interrompere la somministrazione di tocilizumab.</w:t>
            </w:r>
          </w:p>
          <w:p>
            <w:pPr>
              <w:pStyle w:val="TextTi12"/>
              <w:keepNext/>
              <w:tabs>
                <w:tab w:val="left" w:pos="180"/>
              </w:tabs>
              <w:suppressAutoHyphens/>
              <w:spacing w:after="0" w:line="240" w:lineRule="auto"/>
              <w:jc w:val="left"/>
              <w:rPr>
                <w:noProof/>
                <w:snapToGrid w:val="0"/>
                <w:sz w:val="22"/>
                <w:szCs w:val="22"/>
                <w:lang w:val="it-IT"/>
              </w:rPr>
              <w:pPrChange w:id="292" w:author="Author">
                <w:pPr>
                  <w:pStyle w:val="TextTi12"/>
                  <w:keepNext/>
                  <w:keepLines/>
                  <w:tabs>
                    <w:tab w:val="left" w:pos="180"/>
                  </w:tabs>
                  <w:spacing w:after="0" w:line="240" w:lineRule="auto"/>
                </w:pPr>
              </w:pPrChange>
            </w:pPr>
          </w:p>
          <w:p>
            <w:pPr>
              <w:pStyle w:val="TextTi12"/>
              <w:keepNext/>
              <w:tabs>
                <w:tab w:val="left" w:pos="180"/>
              </w:tabs>
              <w:suppressAutoHyphens/>
              <w:spacing w:after="0" w:line="240" w:lineRule="auto"/>
              <w:jc w:val="left"/>
              <w:rPr>
                <w:noProof/>
                <w:snapToGrid w:val="0"/>
                <w:sz w:val="22"/>
                <w:szCs w:val="22"/>
                <w:lang w:val="it-IT"/>
              </w:rPr>
              <w:pPrChange w:id="293" w:author="Author">
                <w:pPr>
                  <w:pStyle w:val="TextTi12"/>
                  <w:keepNext/>
                  <w:keepLines/>
                  <w:tabs>
                    <w:tab w:val="left" w:pos="180"/>
                  </w:tabs>
                  <w:spacing w:after="0" w:line="240" w:lineRule="auto"/>
                </w:pPr>
              </w:pPrChange>
            </w:pPr>
            <w:r>
              <w:rPr>
                <w:noProof/>
                <w:snapToGrid w:val="0"/>
                <w:sz w:val="22"/>
                <w:szCs w:val="22"/>
                <w:lang w:val="it-IT"/>
              </w:rPr>
              <w:t xml:space="preserve">Quando la conta piastrinica risale a </w:t>
            </w:r>
            <w:r>
              <w:rPr>
                <w:noProof/>
                <w:snapToGrid w:val="0"/>
                <w:sz w:val="22"/>
                <w:szCs w:val="22"/>
                <w:lang w:val="it-IT"/>
              </w:rPr>
              <w:sym w:font="Symbol" w:char="F03E"/>
            </w:r>
            <w:r>
              <w:rPr>
                <w:noProof/>
                <w:snapToGrid w:val="0"/>
                <w:sz w:val="22"/>
                <w:szCs w:val="22"/>
                <w:lang w:val="it-IT"/>
              </w:rPr>
              <w:t xml:space="preserve"> 100 </w:t>
            </w:r>
            <w:r>
              <w:rPr>
                <w:noProof/>
                <w:snapToGrid w:val="0"/>
                <w:sz w:val="22"/>
                <w:szCs w:val="22"/>
                <w:lang w:val="it-IT"/>
              </w:rPr>
              <w:sym w:font="Symbol" w:char="F0B4"/>
            </w:r>
            <w:ins w:id="294" w:author="Author">
              <w:r>
                <w:rPr>
                  <w:noProof/>
                  <w:snapToGrid w:val="0"/>
                  <w:sz w:val="22"/>
                  <w:szCs w:val="22"/>
                  <w:lang w:val="it-IT"/>
                </w:rPr>
                <w:t xml:space="preserve"> </w:t>
              </w:r>
            </w:ins>
            <w:r>
              <w:rPr>
                <w:noProof/>
                <w:snapToGrid w:val="0"/>
                <w:sz w:val="22"/>
                <w:szCs w:val="22"/>
                <w:lang w:val="it-IT"/>
              </w:rPr>
              <w:t>10</w:t>
            </w:r>
            <w:r>
              <w:rPr>
                <w:noProof/>
                <w:snapToGrid w:val="0"/>
                <w:sz w:val="22"/>
                <w:szCs w:val="22"/>
                <w:vertAlign w:val="superscript"/>
                <w:lang w:val="it-IT"/>
              </w:rPr>
              <w:t>3</w:t>
            </w:r>
            <w:r>
              <w:rPr>
                <w:noProof/>
                <w:snapToGrid w:val="0"/>
                <w:sz w:val="22"/>
                <w:szCs w:val="22"/>
                <w:lang w:val="it-IT"/>
              </w:rPr>
              <w:t>/μL riprendere il tra</w:t>
            </w:r>
            <w:del w:id="295" w:author="Author">
              <w:r>
                <w:rPr>
                  <w:noProof/>
                  <w:snapToGrid w:val="0"/>
                  <w:sz w:val="22"/>
                  <w:szCs w:val="22"/>
                  <w:lang w:val="it-IT"/>
                </w:rPr>
                <w:delText>a</w:delText>
              </w:r>
            </w:del>
            <w:r>
              <w:rPr>
                <w:noProof/>
                <w:snapToGrid w:val="0"/>
                <w:sz w:val="22"/>
                <w:szCs w:val="22"/>
                <w:lang w:val="it-IT"/>
              </w:rPr>
              <w:t xml:space="preserve">ttamento. </w:t>
            </w:r>
          </w:p>
        </w:tc>
      </w:tr>
      <w:tr>
        <w:trPr>
          <w:cantSplit/>
        </w:trPr>
        <w:tc>
          <w:tcPr>
            <w:tcW w:w="1189" w:type="pct"/>
            <w:tcPrChange w:id="296" w:author="Author">
              <w:tcPr>
                <w:tcW w:w="1124" w:type="pct"/>
              </w:tcPr>
            </w:tcPrChange>
          </w:tcPr>
          <w:p>
            <w:pPr>
              <w:pStyle w:val="TextTi12"/>
              <w:tabs>
                <w:tab w:val="left" w:pos="180"/>
              </w:tabs>
              <w:suppressAutoHyphens/>
              <w:spacing w:after="0" w:line="240" w:lineRule="auto"/>
              <w:jc w:val="left"/>
              <w:rPr>
                <w:del w:id="297" w:author="Author"/>
                <w:noProof/>
                <w:snapToGrid w:val="0"/>
                <w:sz w:val="22"/>
                <w:szCs w:val="22"/>
                <w:lang w:val="it-IT"/>
              </w:rPr>
              <w:pPrChange w:id="298" w:author="Author">
                <w:pPr>
                  <w:pStyle w:val="TextTi12"/>
                  <w:keepNext/>
                  <w:keepLines/>
                  <w:tabs>
                    <w:tab w:val="left" w:pos="180"/>
                  </w:tabs>
                  <w:spacing w:after="0" w:line="240" w:lineRule="auto"/>
                </w:pPr>
              </w:pPrChange>
            </w:pPr>
            <w:r>
              <w:rPr>
                <w:noProof/>
                <w:snapToGrid w:val="0"/>
                <w:sz w:val="22"/>
                <w:szCs w:val="22"/>
                <w:lang w:val="it-IT"/>
              </w:rPr>
              <w:sym w:font="Symbol" w:char="F03C"/>
            </w:r>
            <w:r>
              <w:rPr>
                <w:noProof/>
                <w:snapToGrid w:val="0"/>
                <w:sz w:val="22"/>
                <w:szCs w:val="22"/>
                <w:lang w:val="it-IT"/>
              </w:rPr>
              <w:t> 50</w:t>
            </w:r>
          </w:p>
          <w:p>
            <w:pPr>
              <w:pStyle w:val="TextTi12"/>
              <w:tabs>
                <w:tab w:val="left" w:pos="180"/>
              </w:tabs>
              <w:suppressAutoHyphens/>
              <w:spacing w:after="0" w:line="240" w:lineRule="auto"/>
              <w:jc w:val="left"/>
              <w:rPr>
                <w:noProof/>
                <w:snapToGrid w:val="0"/>
                <w:sz w:val="22"/>
                <w:szCs w:val="22"/>
                <w:lang w:val="it-IT"/>
              </w:rPr>
              <w:pPrChange w:id="299" w:author="Author">
                <w:pPr>
                  <w:pStyle w:val="TextTi12"/>
                  <w:keepNext/>
                  <w:keepLines/>
                  <w:tabs>
                    <w:tab w:val="left" w:pos="180"/>
                  </w:tabs>
                  <w:spacing w:after="0" w:line="240" w:lineRule="auto"/>
                </w:pPr>
              </w:pPrChange>
            </w:pPr>
          </w:p>
        </w:tc>
        <w:tc>
          <w:tcPr>
            <w:tcW w:w="3811" w:type="pct"/>
            <w:tcPrChange w:id="300" w:author="Author">
              <w:tcPr>
                <w:tcW w:w="3876" w:type="pct"/>
              </w:tcPr>
            </w:tcPrChange>
          </w:tcPr>
          <w:p>
            <w:pPr>
              <w:pStyle w:val="TextTi12"/>
              <w:tabs>
                <w:tab w:val="left" w:pos="180"/>
              </w:tabs>
              <w:suppressAutoHyphens/>
              <w:spacing w:after="0" w:line="240" w:lineRule="auto"/>
              <w:jc w:val="left"/>
              <w:rPr>
                <w:noProof/>
                <w:snapToGrid w:val="0"/>
                <w:sz w:val="22"/>
                <w:szCs w:val="22"/>
                <w:lang w:val="it-IT"/>
              </w:rPr>
              <w:pPrChange w:id="301" w:author="Author">
                <w:pPr>
                  <w:pStyle w:val="TextTi12"/>
                  <w:keepNext/>
                  <w:keepLines/>
                  <w:tabs>
                    <w:tab w:val="left" w:pos="180"/>
                  </w:tabs>
                  <w:spacing w:after="0" w:line="240" w:lineRule="auto"/>
                </w:pPr>
              </w:pPrChange>
            </w:pPr>
            <w:r>
              <w:rPr>
                <w:noProof/>
                <w:snapToGrid w:val="0"/>
                <w:sz w:val="22"/>
                <w:szCs w:val="22"/>
                <w:lang w:val="it-IT"/>
              </w:rPr>
              <w:t>Sospendere tocilizumab.</w:t>
            </w:r>
          </w:p>
          <w:p>
            <w:pPr>
              <w:pStyle w:val="TextTi12"/>
              <w:tabs>
                <w:tab w:val="left" w:pos="180"/>
              </w:tabs>
              <w:suppressAutoHyphens/>
              <w:spacing w:after="0" w:line="240" w:lineRule="auto"/>
              <w:jc w:val="left"/>
              <w:rPr>
                <w:noProof/>
                <w:snapToGrid w:val="0"/>
                <w:sz w:val="22"/>
                <w:szCs w:val="22"/>
                <w:lang w:val="it-IT"/>
                <w:rPrChange w:id="302" w:author="Author">
                  <w:rPr>
                    <w:snapToGrid w:val="0"/>
                    <w:lang w:val="it-IT"/>
                  </w:rPr>
                </w:rPrChange>
              </w:rPr>
              <w:pPrChange w:id="303" w:author="Author">
                <w:pPr>
                  <w:pStyle w:val="TextTi12"/>
                  <w:keepNext/>
                  <w:keepLines/>
                  <w:tabs>
                    <w:tab w:val="left" w:pos="180"/>
                  </w:tabs>
                  <w:spacing w:after="0" w:line="240" w:lineRule="auto"/>
                </w:pPr>
              </w:pPrChange>
            </w:pPr>
          </w:p>
          <w:p>
            <w:pPr>
              <w:pStyle w:val="TextTi12"/>
              <w:tabs>
                <w:tab w:val="left" w:pos="180"/>
              </w:tabs>
              <w:suppressAutoHyphens/>
              <w:spacing w:after="0" w:line="240" w:lineRule="auto"/>
              <w:jc w:val="left"/>
              <w:rPr>
                <w:noProof/>
                <w:snapToGrid w:val="0"/>
                <w:sz w:val="22"/>
                <w:szCs w:val="22"/>
                <w:lang w:val="it-IT"/>
              </w:rPr>
              <w:pPrChange w:id="304" w:author="Author">
                <w:pPr>
                  <w:pStyle w:val="TextTi12"/>
                  <w:keepNext/>
                  <w:keepLines/>
                  <w:tabs>
                    <w:tab w:val="left" w:pos="180"/>
                  </w:tabs>
                  <w:spacing w:after="0" w:line="240" w:lineRule="auto"/>
                </w:pPr>
              </w:pPrChange>
            </w:pPr>
            <w:r>
              <w:rPr>
                <w:noProof/>
                <w:snapToGrid w:val="0"/>
                <w:sz w:val="22"/>
                <w:szCs w:val="22"/>
                <w:lang w:val="it-IT"/>
                <w:rPrChange w:id="305" w:author="Author">
                  <w:rPr>
                    <w:snapToGrid w:val="0"/>
                    <w:lang w:val="it-IT"/>
                  </w:rPr>
                </w:rPrChange>
              </w:rPr>
              <w:t>La decisione di interrompere il trattamento nell’AIGs per anomalie di laboratorio si deve basare sulla valutazione medica del singolo paziente.</w:t>
            </w:r>
          </w:p>
        </w:tc>
      </w:tr>
    </w:tbl>
    <w:p>
      <w:pPr>
        <w:keepNext/>
        <w:keepLines/>
        <w:tabs>
          <w:tab w:val="left" w:pos="180"/>
        </w:tabs>
        <w:rPr>
          <w:noProof/>
          <w:lang w:val="it-IT"/>
        </w:rPr>
      </w:pPr>
    </w:p>
    <w:p>
      <w:pPr>
        <w:tabs>
          <w:tab w:val="left" w:pos="180"/>
        </w:tabs>
        <w:rPr>
          <w:noProof/>
          <w:lang w:val="it-IT"/>
        </w:rPr>
      </w:pPr>
      <w:r>
        <w:rPr>
          <w:noProof/>
          <w:color w:val="222222"/>
          <w:lang w:val="it-IT"/>
        </w:rPr>
        <w:t>Non ci sono dati clinici sufficienti per valutare l'impatto di una riduzione della dose di tocilizumab nei pazienti con sJIA che hanno avuto anomalie di laboratorio</w:t>
      </w:r>
      <w:r>
        <w:rPr>
          <w:noProof/>
          <w:lang w:val="it-IT"/>
        </w:rPr>
        <w:t xml:space="preserve"> </w:t>
      </w:r>
    </w:p>
    <w:p>
      <w:pPr>
        <w:tabs>
          <w:tab w:val="left" w:pos="180"/>
        </w:tabs>
        <w:rPr>
          <w:noProof/>
          <w:lang w:val="it-IT"/>
        </w:rPr>
      </w:pPr>
    </w:p>
    <w:p>
      <w:pPr>
        <w:tabs>
          <w:tab w:val="left" w:pos="180"/>
        </w:tabs>
        <w:rPr>
          <w:noProof/>
          <w:lang w:val="it-IT"/>
        </w:rPr>
      </w:pPr>
      <w:r>
        <w:rPr>
          <w:noProof/>
          <w:lang w:val="it-IT"/>
        </w:rPr>
        <w:t>I dati disponibili suggeriscono che un miglioramento clinico è stato osservato entro le 6 settimane dall’inizio del trattamento con tocilizumab. Il proseguimento della terapia deve essere considerato con attenzione nei pazienti che non hanno mostrato alcun miglioramento in questo arco di tempo.</w:t>
      </w:r>
    </w:p>
    <w:p>
      <w:pPr>
        <w:tabs>
          <w:tab w:val="left" w:pos="180"/>
        </w:tabs>
        <w:rPr>
          <w:noProof/>
          <w:lang w:val="it-IT"/>
        </w:rPr>
      </w:pPr>
    </w:p>
    <w:p>
      <w:pPr>
        <w:keepNext/>
        <w:keepLines/>
        <w:tabs>
          <w:tab w:val="left" w:pos="180"/>
        </w:tabs>
        <w:rPr>
          <w:del w:id="306" w:author="Author"/>
          <w:i/>
          <w:noProof/>
          <w:u w:val="single"/>
          <w:lang w:val="it-IT"/>
        </w:rPr>
        <w:pPrChange w:id="307" w:author="Author">
          <w:pPr>
            <w:tabs>
              <w:tab w:val="left" w:pos="180"/>
            </w:tabs>
          </w:pPr>
        </w:pPrChange>
      </w:pPr>
      <w:r>
        <w:rPr>
          <w:i/>
          <w:noProof/>
          <w:u w:val="single"/>
          <w:lang w:val="it-IT"/>
        </w:rPr>
        <w:t>Pazienti affetti da AIGp</w:t>
      </w:r>
    </w:p>
    <w:p>
      <w:pPr>
        <w:keepNext/>
        <w:keepLines/>
        <w:tabs>
          <w:tab w:val="left" w:pos="180"/>
        </w:tabs>
        <w:rPr>
          <w:noProof/>
          <w:lang w:val="it-IT"/>
        </w:rPr>
        <w:pPrChange w:id="308" w:author="Author">
          <w:pPr>
            <w:tabs>
              <w:tab w:val="left" w:pos="180"/>
            </w:tabs>
          </w:pPr>
        </w:pPrChange>
      </w:pPr>
    </w:p>
    <w:p>
      <w:pPr>
        <w:tabs>
          <w:tab w:val="left" w:pos="180"/>
        </w:tabs>
        <w:rPr>
          <w:noProof/>
          <w:lang w:val="it-IT"/>
        </w:rPr>
      </w:pPr>
      <w:r>
        <w:rPr>
          <w:noProof/>
          <w:lang w:val="it-IT"/>
        </w:rPr>
        <w:t>La posologia raccomandata nei pazienti di età superiore a 2 anni è di 8 mg/kg una volta ogni 4 settimane in pazienti di peso uguale o superiore a 30 kg o di 10 mg/kg una volta ogni 4 settimane in pazienti di peso inferiore a 30 kg. La dose deve essere calcolata in base al peso corporeo del paziente ad ogni somministrazione. La modificazione della dose deve avvenire esclusivamente sulla base di una variazione regolare del peso corporeo del paziente valutata nel tempo.</w:t>
      </w:r>
    </w:p>
    <w:p>
      <w:pPr>
        <w:tabs>
          <w:tab w:val="left" w:pos="180"/>
        </w:tabs>
        <w:rPr>
          <w:noProof/>
          <w:lang w:val="it-IT"/>
        </w:rPr>
      </w:pPr>
    </w:p>
    <w:p>
      <w:pPr>
        <w:tabs>
          <w:tab w:val="left" w:pos="180"/>
        </w:tabs>
        <w:rPr>
          <w:noProof/>
          <w:lang w:val="it-IT"/>
        </w:rPr>
      </w:pPr>
      <w:r>
        <w:rPr>
          <w:noProof/>
          <w:lang w:val="it-IT"/>
        </w:rPr>
        <w:t>La sicurezza e l’efficacia di tocilizumab in formulazione endovenosa nei bambini al di sotto dei 2 anni di età non sono state stabilite. I dati al momento disponibili sono riportati nei paragrafi 4.8, 5.1 e 5.2, ma non può essere fatta alcuna raccomandazione riguardante la posologia.</w:t>
      </w:r>
    </w:p>
    <w:p>
      <w:pPr>
        <w:tabs>
          <w:tab w:val="left" w:pos="180"/>
        </w:tabs>
        <w:rPr>
          <w:noProof/>
          <w:lang w:val="it-IT"/>
        </w:rPr>
      </w:pPr>
    </w:p>
    <w:p>
      <w:pPr>
        <w:tabs>
          <w:tab w:val="left" w:pos="180"/>
        </w:tabs>
        <w:rPr>
          <w:noProof/>
          <w:lang w:val="it-IT"/>
        </w:rPr>
      </w:pPr>
      <w:r>
        <w:rPr>
          <w:noProof/>
          <w:lang w:val="it-IT"/>
        </w:rPr>
        <w:t>Nei pazienti affetti da AIGp si raccomanda di interrompere la somministrazione di tocilizumab in seguito al riscontro delle anomalie nei parametri di laboratorio presenti nelle tabelle sottostanti. Se appropriato, la dose della terapia concomitante con MTX e/o con altre terapie deve essere modificata o interrotta e tocilizumab deve essere interrotto finché la situazione clinica non è stata rivalutata. Poiché nella AIGp vi sono molte co-morbidità che possono alterare i valori di laboratorio, la decisione di interrompere tocilizumab per un’anomalia di laboratorio si deve basare sulla valutazione medica del singolo paziente.</w:t>
      </w:r>
    </w:p>
    <w:p>
      <w:pPr>
        <w:tabs>
          <w:tab w:val="left" w:pos="180"/>
        </w:tabs>
        <w:rPr>
          <w:noProof/>
          <w:lang w:val="it-IT"/>
        </w:rPr>
      </w:pPr>
    </w:p>
    <w:p>
      <w:pPr>
        <w:keepNext/>
        <w:keepLines/>
        <w:tabs>
          <w:tab w:val="left" w:pos="426"/>
        </w:tabs>
        <w:ind w:left="567" w:hanging="567"/>
        <w:rPr>
          <w:noProof/>
          <w:szCs w:val="22"/>
          <w:lang w:val="it-IT"/>
        </w:rPr>
      </w:pPr>
      <w:r>
        <w:rPr>
          <w:noProof/>
          <w:szCs w:val="22"/>
          <w:lang w:val="it-IT"/>
        </w:rPr>
        <w:sym w:font="Symbol" w:char="F0B7"/>
      </w:r>
      <w:r>
        <w:rPr>
          <w:noProof/>
          <w:szCs w:val="22"/>
          <w:lang w:val="it-IT"/>
        </w:rPr>
        <w:tab/>
      </w:r>
      <w:del w:id="309" w:author="Author">
        <w:r>
          <w:rPr>
            <w:noProof/>
            <w:szCs w:val="22"/>
            <w:lang w:val="it-IT"/>
          </w:rPr>
          <w:delText xml:space="preserve">Anormalità </w:delText>
        </w:r>
      </w:del>
      <w:ins w:id="310" w:author="Author">
        <w:r>
          <w:rPr>
            <w:noProof/>
            <w:szCs w:val="22"/>
            <w:lang w:val="it-IT"/>
          </w:rPr>
          <w:t xml:space="preserve">Anomalie </w:t>
        </w:r>
      </w:ins>
      <w:r>
        <w:rPr>
          <w:noProof/>
          <w:szCs w:val="22"/>
          <w:lang w:val="it-IT"/>
        </w:rPr>
        <w:t>degli enzimi epatici</w:t>
      </w:r>
    </w:p>
    <w:p>
      <w:pPr>
        <w:keepNext/>
        <w:keepLines/>
        <w:tabs>
          <w:tab w:val="left" w:pos="180"/>
        </w:tabs>
        <w:ind w:left="567" w:hanging="567"/>
        <w:rPr>
          <w:noProof/>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311"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55"/>
        <w:gridCol w:w="6906"/>
        <w:tblGridChange w:id="312">
          <w:tblGrid>
            <w:gridCol w:w="2030"/>
            <w:gridCol w:w="7031"/>
          </w:tblGrid>
        </w:tblGridChange>
      </w:tblGrid>
      <w:tr>
        <w:trPr>
          <w:cantSplit/>
        </w:trPr>
        <w:tc>
          <w:tcPr>
            <w:tcW w:w="1189" w:type="pct"/>
            <w:tcPrChange w:id="313" w:author="Author">
              <w:tcPr>
                <w:tcW w:w="1120" w:type="pct"/>
              </w:tcPr>
            </w:tcPrChange>
          </w:tcPr>
          <w:p>
            <w:pPr>
              <w:pStyle w:val="TextTi12"/>
              <w:keepNext/>
              <w:tabs>
                <w:tab w:val="left" w:pos="180"/>
              </w:tabs>
              <w:suppressAutoHyphens/>
              <w:spacing w:after="0" w:line="240" w:lineRule="auto"/>
              <w:jc w:val="center"/>
              <w:rPr>
                <w:del w:id="314" w:author="Author"/>
                <w:noProof/>
                <w:snapToGrid w:val="0"/>
                <w:sz w:val="22"/>
                <w:szCs w:val="22"/>
                <w:lang w:val="it-IT"/>
              </w:rPr>
              <w:pPrChange w:id="315" w:author="Author">
                <w:pPr>
                  <w:pStyle w:val="TextTi12"/>
                  <w:keepNext/>
                  <w:keepLines/>
                  <w:tabs>
                    <w:tab w:val="left" w:pos="180"/>
                  </w:tabs>
                  <w:spacing w:after="0" w:line="240" w:lineRule="auto"/>
                  <w:jc w:val="center"/>
                </w:pPr>
              </w:pPrChange>
            </w:pPr>
            <w:r>
              <w:rPr>
                <w:noProof/>
                <w:snapToGrid w:val="0"/>
                <w:sz w:val="22"/>
                <w:szCs w:val="22"/>
                <w:lang w:val="it-IT"/>
              </w:rPr>
              <w:t>Valori di laboratorio</w:t>
            </w:r>
            <w:del w:id="316" w:author="Author">
              <w:r>
                <w:rPr>
                  <w:noProof/>
                  <w:snapToGrid w:val="0"/>
                  <w:sz w:val="22"/>
                  <w:szCs w:val="22"/>
                  <w:lang w:val="it-IT"/>
                </w:rPr>
                <w:br/>
              </w:r>
            </w:del>
          </w:p>
          <w:p>
            <w:pPr>
              <w:pStyle w:val="TextTi12"/>
              <w:keepNext/>
              <w:tabs>
                <w:tab w:val="left" w:pos="180"/>
              </w:tabs>
              <w:suppressAutoHyphens/>
              <w:spacing w:after="0" w:line="240" w:lineRule="auto"/>
              <w:jc w:val="center"/>
              <w:rPr>
                <w:noProof/>
                <w:snapToGrid w:val="0"/>
                <w:sz w:val="22"/>
                <w:szCs w:val="22"/>
                <w:lang w:val="it-IT"/>
              </w:rPr>
              <w:pPrChange w:id="317" w:author="Author">
                <w:pPr>
                  <w:pStyle w:val="TextTi12"/>
                  <w:keepNext/>
                  <w:keepLines/>
                  <w:tabs>
                    <w:tab w:val="left" w:pos="180"/>
                  </w:tabs>
                  <w:spacing w:after="0" w:line="240" w:lineRule="auto"/>
                  <w:jc w:val="center"/>
                </w:pPr>
              </w:pPrChange>
            </w:pPr>
          </w:p>
        </w:tc>
        <w:tc>
          <w:tcPr>
            <w:tcW w:w="3811" w:type="pct"/>
            <w:tcPrChange w:id="318" w:author="Author">
              <w:tcPr>
                <w:tcW w:w="3880" w:type="pct"/>
              </w:tcPr>
            </w:tcPrChange>
          </w:tcPr>
          <w:p>
            <w:pPr>
              <w:pStyle w:val="TextTi12"/>
              <w:keepNext/>
              <w:tabs>
                <w:tab w:val="left" w:pos="180"/>
              </w:tabs>
              <w:suppressAutoHyphens/>
              <w:spacing w:after="0" w:line="240" w:lineRule="auto"/>
              <w:jc w:val="center"/>
              <w:rPr>
                <w:noProof/>
                <w:snapToGrid w:val="0"/>
                <w:sz w:val="22"/>
                <w:szCs w:val="22"/>
                <w:lang w:val="it-IT"/>
              </w:rPr>
              <w:pPrChange w:id="319" w:author="Author">
                <w:pPr>
                  <w:pStyle w:val="TextTi12"/>
                  <w:keepNext/>
                  <w:keepLines/>
                  <w:tabs>
                    <w:tab w:val="left" w:pos="180"/>
                  </w:tabs>
                  <w:spacing w:after="0" w:line="240" w:lineRule="auto"/>
                  <w:jc w:val="center"/>
                </w:pPr>
              </w:pPrChange>
            </w:pPr>
            <w:r>
              <w:rPr>
                <w:noProof/>
                <w:snapToGrid w:val="0"/>
                <w:sz w:val="22"/>
                <w:szCs w:val="22"/>
                <w:lang w:val="it-IT"/>
              </w:rPr>
              <w:t>Azione</w:t>
            </w:r>
          </w:p>
        </w:tc>
      </w:tr>
      <w:tr>
        <w:trPr>
          <w:cantSplit/>
        </w:trPr>
        <w:tc>
          <w:tcPr>
            <w:tcW w:w="1189" w:type="pct"/>
            <w:tcPrChange w:id="320" w:author="Author">
              <w:tcPr>
                <w:tcW w:w="1120" w:type="pct"/>
              </w:tcPr>
            </w:tcPrChange>
          </w:tcPr>
          <w:p>
            <w:pPr>
              <w:pStyle w:val="TextTi12"/>
              <w:keepNext/>
              <w:tabs>
                <w:tab w:val="left" w:pos="180"/>
              </w:tabs>
              <w:suppressAutoHyphens/>
              <w:spacing w:after="0" w:line="240" w:lineRule="auto"/>
              <w:jc w:val="left"/>
              <w:rPr>
                <w:noProof/>
                <w:snapToGrid w:val="0"/>
                <w:sz w:val="22"/>
                <w:szCs w:val="22"/>
                <w:lang w:val="it-IT"/>
              </w:rPr>
              <w:pPrChange w:id="321" w:author="Author">
                <w:pPr>
                  <w:pStyle w:val="TextTi12"/>
                  <w:keepNext/>
                  <w:keepLines/>
                  <w:tabs>
                    <w:tab w:val="left" w:pos="180"/>
                  </w:tabs>
                  <w:spacing w:after="0" w:line="240" w:lineRule="auto"/>
                </w:pPr>
              </w:pPrChange>
            </w:pPr>
            <w:r>
              <w:rPr>
                <w:noProof/>
                <w:snapToGrid w:val="0"/>
                <w:sz w:val="22"/>
                <w:szCs w:val="22"/>
                <w:lang w:val="it-IT"/>
              </w:rPr>
              <w:t xml:space="preserve">Da </w:t>
            </w:r>
            <w:r>
              <w:rPr>
                <w:noProof/>
                <w:snapToGrid w:val="0"/>
                <w:sz w:val="22"/>
                <w:szCs w:val="22"/>
                <w:lang w:val="it-IT"/>
              </w:rPr>
              <w:sym w:font="Symbol" w:char="F03E"/>
            </w:r>
            <w:r>
              <w:rPr>
                <w:noProof/>
                <w:snapToGrid w:val="0"/>
                <w:sz w:val="22"/>
                <w:szCs w:val="22"/>
                <w:lang w:val="it-IT"/>
              </w:rPr>
              <w:t> 1 a 3 volte ULN</w:t>
            </w:r>
          </w:p>
        </w:tc>
        <w:tc>
          <w:tcPr>
            <w:tcW w:w="3811" w:type="pct"/>
            <w:tcPrChange w:id="322" w:author="Author">
              <w:tcPr>
                <w:tcW w:w="3880" w:type="pct"/>
              </w:tcPr>
            </w:tcPrChange>
          </w:tcPr>
          <w:p>
            <w:pPr>
              <w:pStyle w:val="TextTi12"/>
              <w:keepNext/>
              <w:tabs>
                <w:tab w:val="left" w:pos="180"/>
              </w:tabs>
              <w:suppressAutoHyphens/>
              <w:spacing w:after="0" w:line="240" w:lineRule="auto"/>
              <w:jc w:val="left"/>
              <w:rPr>
                <w:noProof/>
                <w:snapToGrid w:val="0"/>
                <w:sz w:val="22"/>
                <w:szCs w:val="22"/>
                <w:lang w:val="it-IT"/>
              </w:rPr>
              <w:pPrChange w:id="323" w:author="Author">
                <w:pPr>
                  <w:pStyle w:val="TextTi12"/>
                  <w:keepNext/>
                  <w:keepLines/>
                  <w:tabs>
                    <w:tab w:val="left" w:pos="180"/>
                  </w:tabs>
                  <w:spacing w:after="0" w:line="240" w:lineRule="auto"/>
                </w:pPr>
              </w:pPrChange>
            </w:pPr>
            <w:r>
              <w:rPr>
                <w:noProof/>
                <w:snapToGrid w:val="0"/>
                <w:sz w:val="22"/>
                <w:szCs w:val="22"/>
                <w:lang w:val="it-IT"/>
              </w:rPr>
              <w:t xml:space="preserve">Modificare la dose di MTX se appropriato </w:t>
            </w:r>
          </w:p>
          <w:p>
            <w:pPr>
              <w:pStyle w:val="TextTi12"/>
              <w:keepNext/>
              <w:tabs>
                <w:tab w:val="left" w:pos="180"/>
              </w:tabs>
              <w:suppressAutoHyphens/>
              <w:spacing w:after="0" w:line="240" w:lineRule="auto"/>
              <w:jc w:val="left"/>
              <w:rPr>
                <w:noProof/>
                <w:snapToGrid w:val="0"/>
                <w:sz w:val="22"/>
                <w:szCs w:val="22"/>
                <w:lang w:val="it-IT"/>
              </w:rPr>
              <w:pPrChange w:id="324" w:author="Author">
                <w:pPr>
                  <w:pStyle w:val="TextTi12"/>
                  <w:keepNext/>
                  <w:keepLines/>
                  <w:tabs>
                    <w:tab w:val="left" w:pos="180"/>
                  </w:tabs>
                  <w:spacing w:after="0" w:line="240" w:lineRule="auto"/>
                </w:pPr>
              </w:pPrChange>
            </w:pPr>
          </w:p>
          <w:p>
            <w:pPr>
              <w:pStyle w:val="TextTi12"/>
              <w:keepNext/>
              <w:tabs>
                <w:tab w:val="left" w:pos="180"/>
              </w:tabs>
              <w:suppressAutoHyphens/>
              <w:spacing w:after="0" w:line="240" w:lineRule="auto"/>
              <w:jc w:val="left"/>
              <w:rPr>
                <w:noProof/>
                <w:snapToGrid w:val="0"/>
                <w:sz w:val="22"/>
                <w:szCs w:val="22"/>
                <w:lang w:val="it-IT"/>
              </w:rPr>
              <w:pPrChange w:id="325" w:author="Author">
                <w:pPr>
                  <w:pStyle w:val="TextTi12"/>
                  <w:keepNext/>
                  <w:keepLines/>
                  <w:tabs>
                    <w:tab w:val="left" w:pos="180"/>
                  </w:tabs>
                  <w:spacing w:after="0" w:line="240" w:lineRule="auto"/>
                </w:pPr>
              </w:pPrChange>
            </w:pPr>
            <w:r>
              <w:rPr>
                <w:noProof/>
                <w:snapToGrid w:val="0"/>
                <w:sz w:val="22"/>
                <w:szCs w:val="22"/>
                <w:lang w:val="it-IT"/>
              </w:rPr>
              <w:t>Per aumenti persistenti entro questo intervallo, interrompere tocilizumab fino a che ALT/AST non si siano normalizzate.</w:t>
            </w:r>
          </w:p>
          <w:p>
            <w:pPr>
              <w:pStyle w:val="TextTi12"/>
              <w:keepNext/>
              <w:tabs>
                <w:tab w:val="left" w:pos="180"/>
              </w:tabs>
              <w:suppressAutoHyphens/>
              <w:spacing w:after="0" w:line="240" w:lineRule="auto"/>
              <w:jc w:val="left"/>
              <w:rPr>
                <w:noProof/>
                <w:snapToGrid w:val="0"/>
                <w:sz w:val="22"/>
                <w:szCs w:val="22"/>
                <w:lang w:val="it-IT"/>
              </w:rPr>
              <w:pPrChange w:id="326" w:author="Author">
                <w:pPr>
                  <w:pStyle w:val="TextTi12"/>
                  <w:keepNext/>
                  <w:keepLines/>
                  <w:tabs>
                    <w:tab w:val="left" w:pos="180"/>
                  </w:tabs>
                  <w:spacing w:after="0" w:line="240" w:lineRule="auto"/>
                </w:pPr>
              </w:pPrChange>
            </w:pPr>
          </w:p>
        </w:tc>
      </w:tr>
      <w:tr>
        <w:trPr>
          <w:cantSplit/>
        </w:trPr>
        <w:tc>
          <w:tcPr>
            <w:tcW w:w="1189" w:type="pct"/>
            <w:tcPrChange w:id="327" w:author="Author">
              <w:tcPr>
                <w:tcW w:w="1120" w:type="pct"/>
              </w:tcPr>
            </w:tcPrChange>
          </w:tcPr>
          <w:p>
            <w:pPr>
              <w:pStyle w:val="TextTi12"/>
              <w:keepNext/>
              <w:tabs>
                <w:tab w:val="left" w:pos="180"/>
              </w:tabs>
              <w:suppressAutoHyphens/>
              <w:spacing w:after="0" w:line="240" w:lineRule="auto"/>
              <w:jc w:val="left"/>
              <w:rPr>
                <w:noProof/>
                <w:snapToGrid w:val="0"/>
                <w:sz w:val="22"/>
                <w:szCs w:val="22"/>
                <w:lang w:val="it-IT"/>
              </w:rPr>
              <w:pPrChange w:id="328" w:author="Author">
                <w:pPr>
                  <w:pStyle w:val="TextTi12"/>
                  <w:keepNext/>
                  <w:keepLines/>
                  <w:tabs>
                    <w:tab w:val="left" w:pos="180"/>
                  </w:tabs>
                  <w:spacing w:after="0" w:line="240" w:lineRule="auto"/>
                </w:pPr>
              </w:pPrChange>
            </w:pPr>
            <w:r>
              <w:rPr>
                <w:noProof/>
                <w:snapToGrid w:val="0"/>
                <w:sz w:val="22"/>
                <w:szCs w:val="22"/>
                <w:lang w:val="it-IT"/>
              </w:rPr>
              <w:t xml:space="preserve">Da </w:t>
            </w:r>
            <w:r>
              <w:rPr>
                <w:noProof/>
                <w:snapToGrid w:val="0"/>
                <w:sz w:val="22"/>
                <w:szCs w:val="22"/>
                <w:lang w:val="it-IT"/>
              </w:rPr>
              <w:sym w:font="Symbol" w:char="F03E"/>
            </w:r>
            <w:r>
              <w:rPr>
                <w:noProof/>
                <w:snapToGrid w:val="0"/>
                <w:sz w:val="22"/>
                <w:szCs w:val="22"/>
                <w:lang w:val="it-IT"/>
              </w:rPr>
              <w:t> 3 a 5 volte ULN</w:t>
            </w:r>
          </w:p>
          <w:p>
            <w:pPr>
              <w:pStyle w:val="TextTi12"/>
              <w:keepNext/>
              <w:tabs>
                <w:tab w:val="left" w:pos="180"/>
              </w:tabs>
              <w:suppressAutoHyphens/>
              <w:spacing w:after="0" w:line="240" w:lineRule="auto"/>
              <w:jc w:val="left"/>
              <w:rPr>
                <w:noProof/>
                <w:snapToGrid w:val="0"/>
                <w:sz w:val="22"/>
                <w:szCs w:val="22"/>
                <w:lang w:val="it-IT"/>
              </w:rPr>
              <w:pPrChange w:id="329" w:author="Author">
                <w:pPr>
                  <w:pStyle w:val="TextTi12"/>
                  <w:keepNext/>
                  <w:keepLines/>
                  <w:tabs>
                    <w:tab w:val="left" w:pos="180"/>
                  </w:tabs>
                  <w:spacing w:after="0" w:line="240" w:lineRule="auto"/>
                </w:pPr>
              </w:pPrChange>
            </w:pPr>
          </w:p>
        </w:tc>
        <w:tc>
          <w:tcPr>
            <w:tcW w:w="3811" w:type="pct"/>
            <w:tcPrChange w:id="330" w:author="Author">
              <w:tcPr>
                <w:tcW w:w="3880" w:type="pct"/>
              </w:tcPr>
            </w:tcPrChange>
          </w:tcPr>
          <w:p>
            <w:pPr>
              <w:pStyle w:val="TextTi12"/>
              <w:keepNext/>
              <w:tabs>
                <w:tab w:val="left" w:pos="180"/>
              </w:tabs>
              <w:suppressAutoHyphens/>
              <w:spacing w:after="0" w:line="240" w:lineRule="auto"/>
              <w:jc w:val="left"/>
              <w:rPr>
                <w:noProof/>
                <w:snapToGrid w:val="0"/>
                <w:sz w:val="22"/>
                <w:szCs w:val="22"/>
                <w:lang w:val="it-IT"/>
              </w:rPr>
              <w:pPrChange w:id="331" w:author="Author">
                <w:pPr>
                  <w:pStyle w:val="TextTi12"/>
                  <w:keepNext/>
                  <w:keepLines/>
                  <w:tabs>
                    <w:tab w:val="left" w:pos="180"/>
                  </w:tabs>
                  <w:spacing w:after="0" w:line="240" w:lineRule="auto"/>
                </w:pPr>
              </w:pPrChange>
            </w:pPr>
            <w:r>
              <w:rPr>
                <w:noProof/>
                <w:snapToGrid w:val="0"/>
                <w:sz w:val="22"/>
                <w:szCs w:val="22"/>
                <w:lang w:val="it-IT"/>
              </w:rPr>
              <w:t>Modificare la dose di MTX se appropriato.</w:t>
            </w:r>
          </w:p>
          <w:p>
            <w:pPr>
              <w:pStyle w:val="TextTi12"/>
              <w:keepNext/>
              <w:tabs>
                <w:tab w:val="left" w:pos="180"/>
              </w:tabs>
              <w:suppressAutoHyphens/>
              <w:spacing w:after="0" w:line="240" w:lineRule="auto"/>
              <w:jc w:val="left"/>
              <w:rPr>
                <w:noProof/>
                <w:snapToGrid w:val="0"/>
                <w:sz w:val="22"/>
                <w:szCs w:val="22"/>
                <w:lang w:val="it-IT"/>
              </w:rPr>
              <w:pPrChange w:id="332" w:author="Author">
                <w:pPr>
                  <w:pStyle w:val="TextTi12"/>
                  <w:keepNext/>
                  <w:keepLines/>
                  <w:tabs>
                    <w:tab w:val="left" w:pos="180"/>
                  </w:tabs>
                  <w:spacing w:after="0" w:line="240" w:lineRule="auto"/>
                </w:pPr>
              </w:pPrChange>
            </w:pPr>
          </w:p>
          <w:p>
            <w:pPr>
              <w:pStyle w:val="TextTi12"/>
              <w:keepNext/>
              <w:tabs>
                <w:tab w:val="left" w:pos="180"/>
              </w:tabs>
              <w:suppressAutoHyphens/>
              <w:rPr>
                <w:noProof/>
                <w:snapToGrid w:val="0"/>
                <w:sz w:val="22"/>
                <w:szCs w:val="22"/>
                <w:lang w:val="it-IT"/>
              </w:rPr>
              <w:pPrChange w:id="333" w:author="Author">
                <w:pPr>
                  <w:pStyle w:val="TextTi12"/>
                  <w:keepNext/>
                  <w:keepLines/>
                  <w:tabs>
                    <w:tab w:val="left" w:pos="180"/>
                  </w:tabs>
                  <w:spacing w:after="0" w:line="240" w:lineRule="auto"/>
                </w:pPr>
              </w:pPrChange>
            </w:pPr>
            <w:r>
              <w:rPr>
                <w:noProof/>
                <w:snapToGrid w:val="0"/>
                <w:sz w:val="22"/>
                <w:szCs w:val="22"/>
                <w:lang w:val="it-IT"/>
              </w:rPr>
              <w:t xml:space="preserve">Interrompere la somministrazione di tocilizumab fino a </w:t>
            </w:r>
            <w:r>
              <w:rPr>
                <w:noProof/>
                <w:snapToGrid w:val="0"/>
                <w:sz w:val="22"/>
                <w:szCs w:val="22"/>
                <w:lang w:val="it-IT"/>
              </w:rPr>
              <w:sym w:font="Symbol" w:char="F03C"/>
            </w:r>
            <w:r>
              <w:rPr>
                <w:noProof/>
                <w:snapToGrid w:val="0"/>
                <w:sz w:val="22"/>
                <w:szCs w:val="22"/>
                <w:lang w:val="it-IT"/>
              </w:rPr>
              <w:t xml:space="preserve"> 3 volte ULN e seguire le raccomandazioni descritte sopra (da </w:t>
            </w:r>
            <w:r>
              <w:rPr>
                <w:noProof/>
                <w:snapToGrid w:val="0"/>
                <w:sz w:val="22"/>
                <w:szCs w:val="22"/>
                <w:lang w:val="it-IT"/>
              </w:rPr>
              <w:sym w:font="Symbol" w:char="F03E"/>
            </w:r>
            <w:r>
              <w:rPr>
                <w:noProof/>
                <w:snapToGrid w:val="0"/>
                <w:sz w:val="22"/>
                <w:szCs w:val="22"/>
                <w:lang w:val="it-IT"/>
              </w:rPr>
              <w:t>1 a 3 volte ULN).</w:t>
            </w:r>
          </w:p>
        </w:tc>
      </w:tr>
      <w:tr>
        <w:trPr>
          <w:cantSplit/>
        </w:trPr>
        <w:tc>
          <w:tcPr>
            <w:tcW w:w="1189" w:type="pct"/>
            <w:tcPrChange w:id="334" w:author="Author">
              <w:tcPr>
                <w:tcW w:w="1120" w:type="pct"/>
              </w:tcPr>
            </w:tcPrChange>
          </w:tcPr>
          <w:p>
            <w:pPr>
              <w:pStyle w:val="TextTi12"/>
              <w:tabs>
                <w:tab w:val="left" w:pos="180"/>
              </w:tabs>
              <w:suppressAutoHyphens/>
              <w:spacing w:after="0" w:line="240" w:lineRule="auto"/>
              <w:jc w:val="left"/>
              <w:rPr>
                <w:noProof/>
                <w:snapToGrid w:val="0"/>
                <w:sz w:val="22"/>
                <w:szCs w:val="22"/>
                <w:lang w:val="it-IT"/>
              </w:rPr>
              <w:pPrChange w:id="335" w:author="Author">
                <w:pPr>
                  <w:pStyle w:val="TextTi12"/>
                  <w:keepNext/>
                  <w:keepLines/>
                  <w:tabs>
                    <w:tab w:val="left" w:pos="180"/>
                  </w:tabs>
                  <w:spacing w:after="0" w:line="240" w:lineRule="auto"/>
                </w:pPr>
              </w:pPrChange>
            </w:pPr>
            <w:r>
              <w:rPr>
                <w:noProof/>
                <w:snapToGrid w:val="0"/>
                <w:sz w:val="22"/>
                <w:szCs w:val="22"/>
                <w:lang w:val="it-IT"/>
              </w:rPr>
              <w:sym w:font="Symbol" w:char="F03E"/>
            </w:r>
            <w:r>
              <w:rPr>
                <w:noProof/>
                <w:snapToGrid w:val="0"/>
                <w:sz w:val="22"/>
                <w:szCs w:val="22"/>
                <w:lang w:val="it-IT"/>
              </w:rPr>
              <w:t xml:space="preserve"> 5 volte ULN</w:t>
            </w:r>
          </w:p>
        </w:tc>
        <w:tc>
          <w:tcPr>
            <w:tcW w:w="3811" w:type="pct"/>
            <w:tcPrChange w:id="336" w:author="Author">
              <w:tcPr>
                <w:tcW w:w="3880" w:type="pct"/>
              </w:tcPr>
            </w:tcPrChange>
          </w:tcPr>
          <w:p>
            <w:pPr>
              <w:pStyle w:val="TextTi12"/>
              <w:tabs>
                <w:tab w:val="left" w:pos="180"/>
              </w:tabs>
              <w:suppressAutoHyphens/>
              <w:spacing w:after="0" w:line="240" w:lineRule="auto"/>
              <w:jc w:val="left"/>
              <w:rPr>
                <w:noProof/>
                <w:snapToGrid w:val="0"/>
                <w:sz w:val="22"/>
                <w:szCs w:val="22"/>
                <w:lang w:val="it-IT"/>
              </w:rPr>
              <w:pPrChange w:id="337" w:author="Author">
                <w:pPr>
                  <w:pStyle w:val="TextTi12"/>
                  <w:keepNext/>
                  <w:keepLines/>
                  <w:tabs>
                    <w:tab w:val="left" w:pos="180"/>
                  </w:tabs>
                  <w:spacing w:after="0" w:line="240" w:lineRule="auto"/>
                </w:pPr>
              </w:pPrChange>
            </w:pPr>
            <w:r>
              <w:rPr>
                <w:noProof/>
                <w:snapToGrid w:val="0"/>
                <w:sz w:val="22"/>
                <w:szCs w:val="22"/>
                <w:lang w:val="it-IT"/>
              </w:rPr>
              <w:t>Sospendere tocilizumab.</w:t>
            </w:r>
          </w:p>
          <w:p>
            <w:pPr>
              <w:pStyle w:val="TextTi12"/>
              <w:tabs>
                <w:tab w:val="left" w:pos="180"/>
              </w:tabs>
              <w:suppressAutoHyphens/>
              <w:spacing w:after="0" w:line="240" w:lineRule="auto"/>
              <w:jc w:val="left"/>
              <w:rPr>
                <w:noProof/>
                <w:snapToGrid w:val="0"/>
                <w:sz w:val="22"/>
                <w:szCs w:val="22"/>
                <w:lang w:val="it-IT"/>
              </w:rPr>
              <w:pPrChange w:id="338" w:author="Author">
                <w:pPr>
                  <w:pStyle w:val="TextTi12"/>
                  <w:keepNext/>
                  <w:keepLines/>
                  <w:tabs>
                    <w:tab w:val="left" w:pos="180"/>
                  </w:tabs>
                  <w:spacing w:after="0" w:line="240" w:lineRule="auto"/>
                </w:pPr>
              </w:pPrChange>
            </w:pPr>
          </w:p>
          <w:p>
            <w:pPr>
              <w:tabs>
                <w:tab w:val="left" w:pos="180"/>
              </w:tabs>
              <w:suppressAutoHyphens/>
              <w:rPr>
                <w:noProof/>
                <w:snapToGrid w:val="0"/>
                <w:lang w:val="it-IT"/>
              </w:rPr>
              <w:pPrChange w:id="339" w:author="Author">
                <w:pPr>
                  <w:keepNext/>
                  <w:keepLines/>
                  <w:tabs>
                    <w:tab w:val="left" w:pos="180"/>
                  </w:tabs>
                </w:pPr>
              </w:pPrChange>
            </w:pPr>
            <w:r>
              <w:rPr>
                <w:noProof/>
                <w:snapToGrid w:val="0"/>
                <w:lang w:val="it-IT"/>
              </w:rPr>
              <w:t>La decisione di interrompere il trattamento nell’AIGp per un’anomalia di laboratorio si deve basare sulla valutazione medica del singolo paziente.</w:t>
            </w:r>
          </w:p>
        </w:tc>
      </w:tr>
    </w:tbl>
    <w:p>
      <w:pPr>
        <w:keepNext/>
        <w:keepLines/>
        <w:tabs>
          <w:tab w:val="left" w:pos="180"/>
        </w:tabs>
        <w:ind w:left="567" w:hanging="567"/>
        <w:rPr>
          <w:noProof/>
          <w:szCs w:val="22"/>
          <w:lang w:val="it-IT"/>
        </w:rPr>
      </w:pPr>
    </w:p>
    <w:p>
      <w:pPr>
        <w:keepNext/>
        <w:keepLines/>
        <w:tabs>
          <w:tab w:val="left" w:pos="426"/>
        </w:tabs>
        <w:ind w:left="567" w:hanging="567"/>
        <w:rPr>
          <w:noProof/>
          <w:szCs w:val="22"/>
          <w:lang w:val="it-IT"/>
        </w:rPr>
      </w:pPr>
      <w:r>
        <w:rPr>
          <w:noProof/>
          <w:szCs w:val="22"/>
          <w:lang w:val="it-IT"/>
        </w:rPr>
        <w:sym w:font="Symbol" w:char="F0B7"/>
      </w:r>
      <w:r>
        <w:rPr>
          <w:noProof/>
          <w:szCs w:val="22"/>
          <w:lang w:val="it-IT"/>
        </w:rPr>
        <w:tab/>
        <w:t>Bassa conta assoluta dei neutrofili (ANC)</w:t>
      </w:r>
    </w:p>
    <w:p>
      <w:pPr>
        <w:keepNext/>
        <w:keepLines/>
        <w:tabs>
          <w:tab w:val="left" w:pos="180"/>
        </w:tabs>
        <w:ind w:left="567" w:hanging="567"/>
        <w:rPr>
          <w:noProof/>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340"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55"/>
        <w:gridCol w:w="6906"/>
        <w:tblGridChange w:id="341">
          <w:tblGrid>
            <w:gridCol w:w="2030"/>
            <w:gridCol w:w="7031"/>
          </w:tblGrid>
        </w:tblGridChange>
      </w:tblGrid>
      <w:tr>
        <w:trPr>
          <w:cantSplit/>
        </w:trPr>
        <w:tc>
          <w:tcPr>
            <w:tcW w:w="1189" w:type="pct"/>
            <w:tcPrChange w:id="342" w:author="Author">
              <w:tcPr>
                <w:tcW w:w="1120" w:type="pct"/>
              </w:tcPr>
            </w:tcPrChange>
          </w:tcPr>
          <w:p>
            <w:pPr>
              <w:pStyle w:val="TextTi12"/>
              <w:keepNext/>
              <w:tabs>
                <w:tab w:val="left" w:pos="180"/>
              </w:tabs>
              <w:suppressAutoHyphens/>
              <w:spacing w:after="0" w:line="240" w:lineRule="auto"/>
              <w:jc w:val="center"/>
              <w:rPr>
                <w:noProof/>
                <w:snapToGrid w:val="0"/>
                <w:sz w:val="22"/>
                <w:szCs w:val="22"/>
                <w:lang w:val="it-IT"/>
              </w:rPr>
              <w:pPrChange w:id="343" w:author="Author">
                <w:pPr>
                  <w:pStyle w:val="TextTi12"/>
                  <w:keepNext/>
                  <w:keepLines/>
                  <w:tabs>
                    <w:tab w:val="left" w:pos="180"/>
                  </w:tabs>
                  <w:spacing w:after="0" w:line="240" w:lineRule="auto"/>
                  <w:jc w:val="center"/>
                </w:pPr>
              </w:pPrChange>
            </w:pPr>
            <w:r>
              <w:rPr>
                <w:noProof/>
                <w:snapToGrid w:val="0"/>
                <w:sz w:val="22"/>
                <w:szCs w:val="22"/>
                <w:lang w:val="it-IT"/>
              </w:rPr>
              <w:t>Valori di laboratorio</w:t>
            </w:r>
          </w:p>
          <w:p>
            <w:pPr>
              <w:pStyle w:val="TextTi12"/>
              <w:keepNext/>
              <w:tabs>
                <w:tab w:val="left" w:pos="180"/>
              </w:tabs>
              <w:suppressAutoHyphens/>
              <w:spacing w:after="0" w:line="240" w:lineRule="auto"/>
              <w:jc w:val="center"/>
              <w:rPr>
                <w:del w:id="344" w:author="Author"/>
                <w:noProof/>
                <w:snapToGrid w:val="0"/>
                <w:sz w:val="22"/>
                <w:szCs w:val="22"/>
                <w:lang w:val="it-IT"/>
              </w:rPr>
              <w:pPrChange w:id="345" w:author="Author">
                <w:pPr>
                  <w:pStyle w:val="TextTi12"/>
                  <w:keepNext/>
                  <w:keepLines/>
                  <w:tabs>
                    <w:tab w:val="left" w:pos="180"/>
                  </w:tabs>
                  <w:spacing w:after="0" w:line="240" w:lineRule="auto"/>
                  <w:jc w:val="center"/>
                </w:pPr>
              </w:pPrChange>
            </w:pPr>
            <w:r>
              <w:rPr>
                <w:noProof/>
                <w:snapToGrid w:val="0"/>
                <w:sz w:val="22"/>
                <w:szCs w:val="22"/>
                <w:lang w:val="it-IT"/>
              </w:rPr>
              <w:t xml:space="preserve">(cellule </w:t>
            </w:r>
            <w:r>
              <w:rPr>
                <w:noProof/>
                <w:snapToGrid w:val="0"/>
                <w:sz w:val="22"/>
                <w:szCs w:val="22"/>
                <w:lang w:val="it-IT"/>
              </w:rPr>
              <w:sym w:font="Symbol" w:char="F0B4"/>
            </w:r>
            <w:ins w:id="346" w:author="Author">
              <w:r>
                <w:rPr>
                  <w:noProof/>
                  <w:snapToGrid w:val="0"/>
                  <w:sz w:val="22"/>
                  <w:szCs w:val="22"/>
                  <w:lang w:val="it-IT"/>
                </w:rPr>
                <w:t xml:space="preserve"> </w:t>
              </w:r>
            </w:ins>
            <w:r>
              <w:rPr>
                <w:noProof/>
                <w:snapToGrid w:val="0"/>
                <w:sz w:val="22"/>
                <w:szCs w:val="22"/>
                <w:lang w:val="it-IT"/>
              </w:rPr>
              <w:t>10</w:t>
            </w:r>
            <w:r>
              <w:rPr>
                <w:noProof/>
                <w:snapToGrid w:val="0"/>
                <w:sz w:val="22"/>
                <w:szCs w:val="22"/>
                <w:vertAlign w:val="superscript"/>
                <w:lang w:val="it-IT"/>
              </w:rPr>
              <w:t>9</w:t>
            </w:r>
            <w:r>
              <w:rPr>
                <w:noProof/>
                <w:snapToGrid w:val="0"/>
                <w:sz w:val="22"/>
                <w:szCs w:val="22"/>
                <w:lang w:val="it-IT"/>
              </w:rPr>
              <w:t>/L)</w:t>
            </w:r>
          </w:p>
          <w:p>
            <w:pPr>
              <w:pStyle w:val="TextTi12"/>
              <w:keepNext/>
              <w:tabs>
                <w:tab w:val="left" w:pos="180"/>
              </w:tabs>
              <w:suppressAutoHyphens/>
              <w:spacing w:after="0" w:line="240" w:lineRule="auto"/>
              <w:jc w:val="center"/>
              <w:rPr>
                <w:noProof/>
                <w:snapToGrid w:val="0"/>
                <w:sz w:val="22"/>
                <w:szCs w:val="22"/>
                <w:lang w:val="it-IT"/>
              </w:rPr>
              <w:pPrChange w:id="347" w:author="Author">
                <w:pPr>
                  <w:pStyle w:val="TextTi12"/>
                  <w:keepNext/>
                  <w:keepLines/>
                  <w:tabs>
                    <w:tab w:val="left" w:pos="180"/>
                  </w:tabs>
                  <w:spacing w:after="0" w:line="240" w:lineRule="auto"/>
                  <w:jc w:val="center"/>
                </w:pPr>
              </w:pPrChange>
            </w:pPr>
          </w:p>
        </w:tc>
        <w:tc>
          <w:tcPr>
            <w:tcW w:w="3811" w:type="pct"/>
            <w:tcPrChange w:id="348" w:author="Author">
              <w:tcPr>
                <w:tcW w:w="3880" w:type="pct"/>
              </w:tcPr>
            </w:tcPrChange>
          </w:tcPr>
          <w:p>
            <w:pPr>
              <w:pStyle w:val="TextTi12"/>
              <w:keepNext/>
              <w:tabs>
                <w:tab w:val="left" w:pos="180"/>
              </w:tabs>
              <w:suppressAutoHyphens/>
              <w:spacing w:after="0" w:line="240" w:lineRule="auto"/>
              <w:jc w:val="center"/>
              <w:rPr>
                <w:noProof/>
                <w:snapToGrid w:val="0"/>
                <w:sz w:val="22"/>
                <w:szCs w:val="22"/>
                <w:lang w:val="it-IT"/>
              </w:rPr>
              <w:pPrChange w:id="349" w:author="Author">
                <w:pPr>
                  <w:pStyle w:val="TextTi12"/>
                  <w:keepNext/>
                  <w:keepLines/>
                  <w:tabs>
                    <w:tab w:val="left" w:pos="180"/>
                  </w:tabs>
                  <w:spacing w:after="0" w:line="240" w:lineRule="auto"/>
                  <w:jc w:val="center"/>
                </w:pPr>
              </w:pPrChange>
            </w:pPr>
            <w:r>
              <w:rPr>
                <w:noProof/>
                <w:snapToGrid w:val="0"/>
                <w:sz w:val="22"/>
                <w:szCs w:val="22"/>
                <w:lang w:val="it-IT"/>
              </w:rPr>
              <w:t>Azione</w:t>
            </w:r>
          </w:p>
        </w:tc>
      </w:tr>
      <w:tr>
        <w:trPr>
          <w:cantSplit/>
        </w:trPr>
        <w:tc>
          <w:tcPr>
            <w:tcW w:w="1189" w:type="pct"/>
            <w:tcPrChange w:id="350" w:author="Author">
              <w:tcPr>
                <w:tcW w:w="1120" w:type="pct"/>
              </w:tcPr>
            </w:tcPrChange>
          </w:tcPr>
          <w:p>
            <w:pPr>
              <w:pStyle w:val="TextTi12"/>
              <w:keepNext/>
              <w:tabs>
                <w:tab w:val="left" w:pos="180"/>
              </w:tabs>
              <w:suppressAutoHyphens/>
              <w:spacing w:after="0" w:line="240" w:lineRule="auto"/>
              <w:jc w:val="left"/>
              <w:rPr>
                <w:del w:id="351" w:author="Author"/>
                <w:noProof/>
                <w:snapToGrid w:val="0"/>
                <w:sz w:val="22"/>
                <w:szCs w:val="22"/>
                <w:lang w:val="it-IT"/>
              </w:rPr>
              <w:pPrChange w:id="352" w:author="Author">
                <w:pPr>
                  <w:pStyle w:val="TextTi12"/>
                  <w:keepNext/>
                  <w:keepLines/>
                  <w:tabs>
                    <w:tab w:val="left" w:pos="180"/>
                  </w:tabs>
                  <w:spacing w:after="0" w:line="240" w:lineRule="auto"/>
                </w:pPr>
              </w:pPrChange>
            </w:pPr>
            <w:r>
              <w:rPr>
                <w:noProof/>
                <w:snapToGrid w:val="0"/>
                <w:sz w:val="22"/>
                <w:szCs w:val="22"/>
                <w:lang w:val="it-IT"/>
              </w:rPr>
              <w:t xml:space="preserve">ANC </w:t>
            </w:r>
            <w:r>
              <w:rPr>
                <w:noProof/>
                <w:snapToGrid w:val="0"/>
                <w:sz w:val="22"/>
                <w:szCs w:val="22"/>
                <w:lang w:val="it-IT"/>
              </w:rPr>
              <w:sym w:font="Symbol" w:char="F03E"/>
            </w:r>
            <w:ins w:id="353" w:author="Author">
              <w:r>
                <w:rPr>
                  <w:noProof/>
                  <w:snapToGrid w:val="0"/>
                  <w:sz w:val="22"/>
                  <w:szCs w:val="22"/>
                  <w:lang w:val="it-IT"/>
                </w:rPr>
                <w:t xml:space="preserve"> </w:t>
              </w:r>
            </w:ins>
            <w:r>
              <w:rPr>
                <w:noProof/>
                <w:snapToGrid w:val="0"/>
                <w:sz w:val="22"/>
                <w:szCs w:val="22"/>
                <w:lang w:val="it-IT"/>
              </w:rPr>
              <w:t>1</w:t>
            </w:r>
          </w:p>
          <w:p>
            <w:pPr>
              <w:pStyle w:val="TextTi12"/>
              <w:keepNext/>
              <w:tabs>
                <w:tab w:val="left" w:pos="180"/>
              </w:tabs>
              <w:suppressAutoHyphens/>
              <w:spacing w:after="0" w:line="240" w:lineRule="auto"/>
              <w:jc w:val="left"/>
              <w:rPr>
                <w:noProof/>
                <w:snapToGrid w:val="0"/>
                <w:sz w:val="22"/>
                <w:szCs w:val="22"/>
                <w:lang w:val="it-IT"/>
              </w:rPr>
              <w:pPrChange w:id="354" w:author="Author">
                <w:pPr>
                  <w:pStyle w:val="TextTi12"/>
                  <w:keepNext/>
                  <w:keepLines/>
                  <w:tabs>
                    <w:tab w:val="left" w:pos="180"/>
                  </w:tabs>
                  <w:spacing w:after="0" w:line="240" w:lineRule="auto"/>
                </w:pPr>
              </w:pPrChange>
            </w:pPr>
          </w:p>
        </w:tc>
        <w:tc>
          <w:tcPr>
            <w:tcW w:w="3811" w:type="pct"/>
            <w:tcPrChange w:id="355" w:author="Author">
              <w:tcPr>
                <w:tcW w:w="3880" w:type="pct"/>
              </w:tcPr>
            </w:tcPrChange>
          </w:tcPr>
          <w:p>
            <w:pPr>
              <w:pStyle w:val="TextTi12"/>
              <w:keepNext/>
              <w:tabs>
                <w:tab w:val="left" w:pos="180"/>
              </w:tabs>
              <w:suppressAutoHyphens/>
              <w:spacing w:after="0" w:line="240" w:lineRule="auto"/>
              <w:jc w:val="left"/>
              <w:rPr>
                <w:noProof/>
                <w:snapToGrid w:val="0"/>
                <w:sz w:val="22"/>
                <w:szCs w:val="22"/>
                <w:lang w:val="it-IT"/>
              </w:rPr>
              <w:pPrChange w:id="356" w:author="Author">
                <w:pPr>
                  <w:pStyle w:val="TextTi12"/>
                  <w:keepNext/>
                  <w:keepLines/>
                  <w:tabs>
                    <w:tab w:val="left" w:pos="180"/>
                  </w:tabs>
                  <w:spacing w:after="0" w:line="240" w:lineRule="auto"/>
                </w:pPr>
              </w:pPrChange>
            </w:pPr>
            <w:r>
              <w:rPr>
                <w:noProof/>
                <w:snapToGrid w:val="0"/>
                <w:sz w:val="22"/>
                <w:szCs w:val="22"/>
                <w:lang w:val="it-IT"/>
              </w:rPr>
              <w:t>Mantenere la dose.</w:t>
            </w:r>
          </w:p>
        </w:tc>
      </w:tr>
      <w:tr>
        <w:trPr>
          <w:cantSplit/>
        </w:trPr>
        <w:tc>
          <w:tcPr>
            <w:tcW w:w="1189" w:type="pct"/>
            <w:tcPrChange w:id="357" w:author="Author">
              <w:tcPr>
                <w:tcW w:w="1120" w:type="pct"/>
              </w:tcPr>
            </w:tcPrChange>
          </w:tcPr>
          <w:p>
            <w:pPr>
              <w:pStyle w:val="TextTi12"/>
              <w:keepNext/>
              <w:tabs>
                <w:tab w:val="left" w:pos="180"/>
              </w:tabs>
              <w:suppressAutoHyphens/>
              <w:spacing w:after="0" w:line="240" w:lineRule="auto"/>
              <w:jc w:val="left"/>
              <w:rPr>
                <w:noProof/>
                <w:snapToGrid w:val="0"/>
                <w:sz w:val="22"/>
                <w:szCs w:val="22"/>
                <w:lang w:val="it-IT"/>
              </w:rPr>
              <w:pPrChange w:id="358" w:author="Author">
                <w:pPr>
                  <w:pStyle w:val="TextTi12"/>
                  <w:keepNext/>
                  <w:keepLines/>
                  <w:tabs>
                    <w:tab w:val="left" w:pos="180"/>
                  </w:tabs>
                  <w:spacing w:after="0" w:line="240" w:lineRule="auto"/>
                </w:pPr>
              </w:pPrChange>
            </w:pPr>
            <w:r>
              <w:rPr>
                <w:noProof/>
                <w:snapToGrid w:val="0"/>
                <w:sz w:val="22"/>
                <w:szCs w:val="22"/>
                <w:lang w:val="it-IT"/>
              </w:rPr>
              <w:t>ANC da 0,5 a 1</w:t>
            </w:r>
          </w:p>
        </w:tc>
        <w:tc>
          <w:tcPr>
            <w:tcW w:w="3811" w:type="pct"/>
            <w:tcPrChange w:id="359" w:author="Author">
              <w:tcPr>
                <w:tcW w:w="3880" w:type="pct"/>
              </w:tcPr>
            </w:tcPrChange>
          </w:tcPr>
          <w:p>
            <w:pPr>
              <w:pStyle w:val="TextTi12"/>
              <w:keepNext/>
              <w:tabs>
                <w:tab w:val="left" w:pos="180"/>
              </w:tabs>
              <w:suppressAutoHyphens/>
              <w:spacing w:after="0" w:line="240" w:lineRule="auto"/>
              <w:jc w:val="left"/>
              <w:rPr>
                <w:noProof/>
                <w:snapToGrid w:val="0"/>
                <w:sz w:val="22"/>
                <w:szCs w:val="22"/>
                <w:lang w:val="it-IT"/>
              </w:rPr>
              <w:pPrChange w:id="360" w:author="Author">
                <w:pPr>
                  <w:pStyle w:val="TextTi12"/>
                  <w:keepNext/>
                  <w:keepLines/>
                  <w:tabs>
                    <w:tab w:val="left" w:pos="180"/>
                  </w:tabs>
                  <w:spacing w:after="0" w:line="240" w:lineRule="auto"/>
                </w:pPr>
              </w:pPrChange>
            </w:pPr>
            <w:r>
              <w:rPr>
                <w:noProof/>
                <w:snapToGrid w:val="0"/>
                <w:sz w:val="22"/>
                <w:szCs w:val="22"/>
                <w:lang w:val="it-IT"/>
              </w:rPr>
              <w:t>Interrompere la somministrazione di tocilizumab.</w:t>
            </w:r>
          </w:p>
          <w:p>
            <w:pPr>
              <w:pStyle w:val="TextTi12"/>
              <w:keepNext/>
              <w:tabs>
                <w:tab w:val="left" w:pos="180"/>
              </w:tabs>
              <w:suppressAutoHyphens/>
              <w:spacing w:after="0" w:line="240" w:lineRule="auto"/>
              <w:jc w:val="left"/>
              <w:rPr>
                <w:noProof/>
                <w:snapToGrid w:val="0"/>
                <w:sz w:val="22"/>
                <w:szCs w:val="22"/>
                <w:lang w:val="it-IT"/>
              </w:rPr>
              <w:pPrChange w:id="361" w:author="Author">
                <w:pPr>
                  <w:pStyle w:val="TextTi12"/>
                  <w:keepNext/>
                  <w:keepLines/>
                  <w:tabs>
                    <w:tab w:val="left" w:pos="180"/>
                  </w:tabs>
                  <w:spacing w:after="0" w:line="240" w:lineRule="auto"/>
                </w:pPr>
              </w:pPrChange>
            </w:pPr>
          </w:p>
          <w:p>
            <w:pPr>
              <w:pStyle w:val="TextTi12"/>
              <w:keepNext/>
              <w:tabs>
                <w:tab w:val="left" w:pos="180"/>
              </w:tabs>
              <w:suppressAutoHyphens/>
              <w:spacing w:after="0" w:line="240" w:lineRule="auto"/>
              <w:jc w:val="left"/>
              <w:rPr>
                <w:noProof/>
                <w:snapToGrid w:val="0"/>
                <w:sz w:val="22"/>
                <w:szCs w:val="22"/>
                <w:lang w:val="it-IT"/>
              </w:rPr>
              <w:pPrChange w:id="362" w:author="Author">
                <w:pPr>
                  <w:pStyle w:val="TextTi12"/>
                  <w:keepNext/>
                  <w:keepLines/>
                  <w:tabs>
                    <w:tab w:val="left" w:pos="180"/>
                  </w:tabs>
                  <w:spacing w:after="0" w:line="240" w:lineRule="auto"/>
                </w:pPr>
              </w:pPrChange>
            </w:pPr>
            <w:r>
              <w:rPr>
                <w:noProof/>
                <w:snapToGrid w:val="0"/>
                <w:sz w:val="22"/>
                <w:szCs w:val="22"/>
                <w:lang w:val="it-IT"/>
              </w:rPr>
              <w:t xml:space="preserve">Quando la ANC aumenta sopra 1 </w:t>
            </w:r>
            <w:r>
              <w:rPr>
                <w:noProof/>
                <w:snapToGrid w:val="0"/>
                <w:sz w:val="22"/>
                <w:szCs w:val="22"/>
                <w:lang w:val="it-IT"/>
              </w:rPr>
              <w:sym w:font="Symbol" w:char="F0B4"/>
            </w:r>
            <w:ins w:id="363" w:author="Author">
              <w:r>
                <w:rPr>
                  <w:noProof/>
                  <w:snapToGrid w:val="0"/>
                  <w:sz w:val="22"/>
                  <w:szCs w:val="22"/>
                  <w:lang w:val="it-IT"/>
                </w:rPr>
                <w:t xml:space="preserve"> </w:t>
              </w:r>
            </w:ins>
            <w:r>
              <w:rPr>
                <w:noProof/>
                <w:snapToGrid w:val="0"/>
                <w:sz w:val="22"/>
                <w:szCs w:val="22"/>
                <w:lang w:val="it-IT"/>
              </w:rPr>
              <w:t>10</w:t>
            </w:r>
            <w:r>
              <w:rPr>
                <w:noProof/>
                <w:snapToGrid w:val="0"/>
                <w:sz w:val="22"/>
                <w:szCs w:val="22"/>
                <w:vertAlign w:val="superscript"/>
                <w:lang w:val="it-IT"/>
              </w:rPr>
              <w:t>9</w:t>
            </w:r>
            <w:r>
              <w:rPr>
                <w:noProof/>
                <w:snapToGrid w:val="0"/>
                <w:sz w:val="22"/>
                <w:szCs w:val="22"/>
                <w:lang w:val="it-IT"/>
              </w:rPr>
              <w:t xml:space="preserve">/L riprendere il trattamento. </w:t>
            </w:r>
          </w:p>
        </w:tc>
      </w:tr>
      <w:tr>
        <w:trPr>
          <w:cantSplit/>
        </w:trPr>
        <w:tc>
          <w:tcPr>
            <w:tcW w:w="1189" w:type="pct"/>
            <w:tcPrChange w:id="364" w:author="Author">
              <w:tcPr>
                <w:tcW w:w="1120" w:type="pct"/>
              </w:tcPr>
            </w:tcPrChange>
          </w:tcPr>
          <w:p>
            <w:pPr>
              <w:pStyle w:val="TextTi12"/>
              <w:tabs>
                <w:tab w:val="left" w:pos="180"/>
              </w:tabs>
              <w:suppressAutoHyphens/>
              <w:spacing w:after="0" w:line="240" w:lineRule="auto"/>
              <w:jc w:val="left"/>
              <w:rPr>
                <w:noProof/>
                <w:snapToGrid w:val="0"/>
                <w:sz w:val="22"/>
                <w:szCs w:val="22"/>
                <w:lang w:val="it-IT"/>
              </w:rPr>
              <w:pPrChange w:id="365" w:author="Author">
                <w:pPr>
                  <w:pStyle w:val="TextTi12"/>
                  <w:tabs>
                    <w:tab w:val="left" w:pos="180"/>
                  </w:tabs>
                  <w:spacing w:after="0" w:line="240" w:lineRule="auto"/>
                </w:pPr>
              </w:pPrChange>
            </w:pPr>
            <w:r>
              <w:rPr>
                <w:noProof/>
                <w:snapToGrid w:val="0"/>
                <w:sz w:val="22"/>
                <w:szCs w:val="22"/>
                <w:lang w:val="it-IT"/>
              </w:rPr>
              <w:t xml:space="preserve">ANC </w:t>
            </w:r>
            <w:r>
              <w:rPr>
                <w:noProof/>
                <w:snapToGrid w:val="0"/>
                <w:sz w:val="22"/>
                <w:szCs w:val="22"/>
                <w:lang w:val="it-IT"/>
              </w:rPr>
              <w:sym w:font="Symbol" w:char="F03C"/>
            </w:r>
            <w:ins w:id="366" w:author="Author">
              <w:r>
                <w:rPr>
                  <w:noProof/>
                  <w:snapToGrid w:val="0"/>
                  <w:sz w:val="22"/>
                  <w:szCs w:val="22"/>
                  <w:lang w:val="it-IT"/>
                </w:rPr>
                <w:t xml:space="preserve"> </w:t>
              </w:r>
            </w:ins>
            <w:r>
              <w:rPr>
                <w:noProof/>
                <w:snapToGrid w:val="0"/>
                <w:sz w:val="22"/>
                <w:szCs w:val="22"/>
                <w:lang w:val="it-IT"/>
              </w:rPr>
              <w:t>0,5</w:t>
            </w:r>
          </w:p>
          <w:p>
            <w:pPr>
              <w:pStyle w:val="TextTi12"/>
              <w:tabs>
                <w:tab w:val="left" w:pos="180"/>
              </w:tabs>
              <w:suppressAutoHyphens/>
              <w:spacing w:after="0" w:line="240" w:lineRule="auto"/>
              <w:jc w:val="left"/>
              <w:rPr>
                <w:noProof/>
                <w:snapToGrid w:val="0"/>
                <w:sz w:val="22"/>
                <w:szCs w:val="22"/>
                <w:lang w:val="it-IT"/>
              </w:rPr>
              <w:pPrChange w:id="367" w:author="Author">
                <w:pPr>
                  <w:pStyle w:val="TextTi12"/>
                  <w:tabs>
                    <w:tab w:val="left" w:pos="180"/>
                  </w:tabs>
                  <w:spacing w:after="0" w:line="240" w:lineRule="auto"/>
                </w:pPr>
              </w:pPrChange>
            </w:pPr>
          </w:p>
        </w:tc>
        <w:tc>
          <w:tcPr>
            <w:tcW w:w="3811" w:type="pct"/>
            <w:tcPrChange w:id="368" w:author="Author">
              <w:tcPr>
                <w:tcW w:w="3880" w:type="pct"/>
              </w:tcPr>
            </w:tcPrChange>
          </w:tcPr>
          <w:p>
            <w:pPr>
              <w:pStyle w:val="TextTi12"/>
              <w:tabs>
                <w:tab w:val="left" w:pos="180"/>
              </w:tabs>
              <w:suppressAutoHyphens/>
              <w:spacing w:after="0" w:line="240" w:lineRule="auto"/>
              <w:jc w:val="left"/>
              <w:rPr>
                <w:noProof/>
                <w:snapToGrid w:val="0"/>
                <w:sz w:val="22"/>
                <w:szCs w:val="22"/>
                <w:lang w:val="it-IT"/>
              </w:rPr>
              <w:pPrChange w:id="369" w:author="Author">
                <w:pPr>
                  <w:pStyle w:val="TextTi12"/>
                  <w:tabs>
                    <w:tab w:val="left" w:pos="180"/>
                  </w:tabs>
                  <w:spacing w:after="0" w:line="240" w:lineRule="auto"/>
                </w:pPr>
              </w:pPrChange>
            </w:pPr>
            <w:r>
              <w:rPr>
                <w:noProof/>
                <w:snapToGrid w:val="0"/>
                <w:sz w:val="22"/>
                <w:szCs w:val="22"/>
                <w:lang w:val="it-IT"/>
              </w:rPr>
              <w:t>Sospendere tocilizumab.</w:t>
            </w:r>
          </w:p>
          <w:p>
            <w:pPr>
              <w:pStyle w:val="TextTi12"/>
              <w:tabs>
                <w:tab w:val="left" w:pos="180"/>
              </w:tabs>
              <w:suppressAutoHyphens/>
              <w:spacing w:after="0" w:line="240" w:lineRule="auto"/>
              <w:jc w:val="left"/>
              <w:rPr>
                <w:noProof/>
                <w:snapToGrid w:val="0"/>
                <w:sz w:val="22"/>
                <w:szCs w:val="22"/>
                <w:lang w:val="it-IT"/>
                <w:rPrChange w:id="370" w:author="Author">
                  <w:rPr>
                    <w:snapToGrid w:val="0"/>
                    <w:lang w:val="it-IT"/>
                  </w:rPr>
                </w:rPrChange>
              </w:rPr>
              <w:pPrChange w:id="371" w:author="Author">
                <w:pPr>
                  <w:pStyle w:val="TextTi12"/>
                  <w:tabs>
                    <w:tab w:val="left" w:pos="180"/>
                  </w:tabs>
                  <w:spacing w:after="0" w:line="240" w:lineRule="auto"/>
                </w:pPr>
              </w:pPrChange>
            </w:pPr>
          </w:p>
          <w:p>
            <w:pPr>
              <w:pStyle w:val="TextTi12"/>
              <w:tabs>
                <w:tab w:val="left" w:pos="180"/>
              </w:tabs>
              <w:suppressAutoHyphens/>
              <w:spacing w:after="0" w:line="240" w:lineRule="auto"/>
              <w:jc w:val="left"/>
              <w:rPr>
                <w:noProof/>
                <w:snapToGrid w:val="0"/>
                <w:sz w:val="22"/>
                <w:szCs w:val="22"/>
                <w:lang w:val="it-IT"/>
              </w:rPr>
              <w:pPrChange w:id="372" w:author="Author">
                <w:pPr>
                  <w:pStyle w:val="TextTi12"/>
                  <w:tabs>
                    <w:tab w:val="left" w:pos="180"/>
                  </w:tabs>
                  <w:spacing w:after="0" w:line="240" w:lineRule="auto"/>
                </w:pPr>
              </w:pPrChange>
            </w:pPr>
            <w:r>
              <w:rPr>
                <w:noProof/>
                <w:snapToGrid w:val="0"/>
                <w:sz w:val="22"/>
                <w:szCs w:val="22"/>
                <w:lang w:val="it-IT"/>
              </w:rPr>
              <w:t>La decisione di interrompere il trattamento nell’AIGp per un’anomalia di laboratorio si deve basare sulla valutazione medica del singolo paziente</w:t>
            </w:r>
            <w:r>
              <w:rPr>
                <w:noProof/>
                <w:snapToGrid w:val="0"/>
                <w:sz w:val="22"/>
                <w:szCs w:val="22"/>
                <w:lang w:val="it-IT"/>
                <w:rPrChange w:id="373" w:author="Author">
                  <w:rPr>
                    <w:snapToGrid w:val="0"/>
                    <w:lang w:val="it-IT"/>
                  </w:rPr>
                </w:rPrChange>
              </w:rPr>
              <w:t>.</w:t>
            </w:r>
          </w:p>
        </w:tc>
      </w:tr>
    </w:tbl>
    <w:p>
      <w:pPr>
        <w:tabs>
          <w:tab w:val="left" w:pos="180"/>
        </w:tabs>
        <w:ind w:left="567" w:hanging="567"/>
        <w:rPr>
          <w:noProof/>
          <w:szCs w:val="22"/>
          <w:lang w:val="it-IT"/>
        </w:rPr>
      </w:pPr>
    </w:p>
    <w:p>
      <w:pPr>
        <w:keepNext/>
        <w:tabs>
          <w:tab w:val="left" w:pos="426"/>
        </w:tabs>
        <w:ind w:left="567" w:hanging="567"/>
        <w:rPr>
          <w:noProof/>
          <w:szCs w:val="22"/>
          <w:lang w:val="it-IT"/>
        </w:rPr>
      </w:pPr>
      <w:r>
        <w:rPr>
          <w:noProof/>
          <w:szCs w:val="22"/>
          <w:lang w:val="it-IT"/>
        </w:rPr>
        <w:sym w:font="Symbol" w:char="F0B7"/>
      </w:r>
      <w:r>
        <w:rPr>
          <w:noProof/>
          <w:szCs w:val="22"/>
          <w:lang w:val="it-IT"/>
        </w:rPr>
        <w:tab/>
        <w:t>Bassa conta piastrinica</w:t>
      </w:r>
    </w:p>
    <w:p>
      <w:pPr>
        <w:keepNext/>
        <w:tabs>
          <w:tab w:val="left" w:pos="180"/>
        </w:tabs>
        <w:ind w:left="567" w:hanging="567"/>
        <w:rPr>
          <w:noProof/>
          <w:szCs w:val="22"/>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374"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037"/>
        <w:gridCol w:w="7024"/>
        <w:tblGridChange w:id="375">
          <w:tblGrid>
            <w:gridCol w:w="2037"/>
            <w:gridCol w:w="7024"/>
          </w:tblGrid>
        </w:tblGridChange>
      </w:tblGrid>
      <w:tr>
        <w:trPr>
          <w:cantSplit/>
        </w:trPr>
        <w:tc>
          <w:tcPr>
            <w:tcW w:w="1124" w:type="pct"/>
            <w:tcPrChange w:id="376" w:author="Author">
              <w:tcPr>
                <w:tcW w:w="1124" w:type="pct"/>
              </w:tcPr>
            </w:tcPrChange>
          </w:tcPr>
          <w:p>
            <w:pPr>
              <w:pStyle w:val="TextTi12"/>
              <w:keepNext/>
              <w:tabs>
                <w:tab w:val="left" w:pos="180"/>
              </w:tabs>
              <w:suppressAutoHyphens/>
              <w:spacing w:after="0" w:line="240" w:lineRule="auto"/>
              <w:jc w:val="center"/>
              <w:rPr>
                <w:del w:id="377" w:author="Author"/>
                <w:noProof/>
                <w:snapToGrid w:val="0"/>
                <w:sz w:val="22"/>
                <w:szCs w:val="22"/>
                <w:lang w:val="it-IT"/>
              </w:rPr>
              <w:pPrChange w:id="378" w:author="Author">
                <w:pPr>
                  <w:pStyle w:val="TextTi12"/>
                  <w:keepNext/>
                  <w:tabs>
                    <w:tab w:val="left" w:pos="180"/>
                  </w:tabs>
                  <w:spacing w:after="0" w:line="240" w:lineRule="auto"/>
                  <w:jc w:val="center"/>
                </w:pPr>
              </w:pPrChange>
            </w:pPr>
            <w:r>
              <w:rPr>
                <w:noProof/>
                <w:snapToGrid w:val="0"/>
                <w:sz w:val="22"/>
                <w:szCs w:val="22"/>
                <w:lang w:val="it-IT"/>
              </w:rPr>
              <w:t>Valori di laboratorio</w:t>
            </w:r>
            <w:r>
              <w:rPr>
                <w:noProof/>
                <w:snapToGrid w:val="0"/>
                <w:sz w:val="22"/>
                <w:szCs w:val="22"/>
                <w:lang w:val="it-IT"/>
              </w:rPr>
              <w:br/>
              <w:t xml:space="preserve">(cellule </w:t>
            </w:r>
            <w:r>
              <w:rPr>
                <w:noProof/>
                <w:snapToGrid w:val="0"/>
                <w:sz w:val="22"/>
                <w:szCs w:val="22"/>
                <w:lang w:val="it-IT"/>
              </w:rPr>
              <w:sym w:font="Symbol" w:char="F0B4"/>
            </w:r>
            <w:r>
              <w:rPr>
                <w:noProof/>
                <w:snapToGrid w:val="0"/>
                <w:sz w:val="22"/>
                <w:szCs w:val="22"/>
                <w:lang w:val="it-IT"/>
              </w:rPr>
              <w:t>10</w:t>
            </w:r>
            <w:r>
              <w:rPr>
                <w:noProof/>
                <w:snapToGrid w:val="0"/>
                <w:sz w:val="22"/>
                <w:szCs w:val="22"/>
                <w:vertAlign w:val="superscript"/>
                <w:lang w:val="it-IT"/>
              </w:rPr>
              <w:t>3</w:t>
            </w:r>
            <w:r>
              <w:rPr>
                <w:noProof/>
                <w:snapToGrid w:val="0"/>
                <w:sz w:val="22"/>
                <w:szCs w:val="22"/>
                <w:lang w:val="it-IT"/>
              </w:rPr>
              <w:t>/μL)</w:t>
            </w:r>
          </w:p>
          <w:p>
            <w:pPr>
              <w:pStyle w:val="TextTi12"/>
              <w:keepNext/>
              <w:tabs>
                <w:tab w:val="left" w:pos="180"/>
              </w:tabs>
              <w:suppressAutoHyphens/>
              <w:spacing w:after="0" w:line="240" w:lineRule="auto"/>
              <w:jc w:val="center"/>
              <w:rPr>
                <w:noProof/>
                <w:snapToGrid w:val="0"/>
                <w:sz w:val="22"/>
                <w:szCs w:val="22"/>
                <w:lang w:val="it-IT"/>
              </w:rPr>
              <w:pPrChange w:id="379" w:author="Author">
                <w:pPr>
                  <w:pStyle w:val="TextTi12"/>
                  <w:keepNext/>
                  <w:tabs>
                    <w:tab w:val="left" w:pos="180"/>
                  </w:tabs>
                  <w:spacing w:after="0" w:line="240" w:lineRule="auto"/>
                  <w:jc w:val="center"/>
                </w:pPr>
              </w:pPrChange>
            </w:pPr>
          </w:p>
        </w:tc>
        <w:tc>
          <w:tcPr>
            <w:tcW w:w="3876" w:type="pct"/>
            <w:tcPrChange w:id="380" w:author="Author">
              <w:tcPr>
                <w:tcW w:w="3876" w:type="pct"/>
              </w:tcPr>
            </w:tcPrChange>
          </w:tcPr>
          <w:p>
            <w:pPr>
              <w:pStyle w:val="TextTi12"/>
              <w:keepNext/>
              <w:tabs>
                <w:tab w:val="left" w:pos="180"/>
              </w:tabs>
              <w:suppressAutoHyphens/>
              <w:spacing w:after="0" w:line="240" w:lineRule="auto"/>
              <w:jc w:val="center"/>
              <w:rPr>
                <w:noProof/>
                <w:snapToGrid w:val="0"/>
                <w:sz w:val="22"/>
                <w:szCs w:val="22"/>
                <w:lang w:val="it-IT"/>
              </w:rPr>
              <w:pPrChange w:id="381" w:author="Author">
                <w:pPr>
                  <w:pStyle w:val="TextTi12"/>
                  <w:keepNext/>
                  <w:tabs>
                    <w:tab w:val="left" w:pos="180"/>
                  </w:tabs>
                  <w:spacing w:after="0" w:line="240" w:lineRule="auto"/>
                  <w:jc w:val="center"/>
                </w:pPr>
              </w:pPrChange>
            </w:pPr>
            <w:r>
              <w:rPr>
                <w:noProof/>
                <w:snapToGrid w:val="0"/>
                <w:sz w:val="22"/>
                <w:szCs w:val="22"/>
                <w:lang w:val="it-IT"/>
              </w:rPr>
              <w:t>Azione</w:t>
            </w:r>
          </w:p>
        </w:tc>
      </w:tr>
      <w:tr>
        <w:trPr>
          <w:cantSplit/>
        </w:trPr>
        <w:tc>
          <w:tcPr>
            <w:tcW w:w="1124" w:type="pct"/>
            <w:tcPrChange w:id="382" w:author="Author">
              <w:tcPr>
                <w:tcW w:w="1124" w:type="pct"/>
              </w:tcPr>
            </w:tcPrChange>
          </w:tcPr>
          <w:p>
            <w:pPr>
              <w:pStyle w:val="TextTi12"/>
              <w:keepNext/>
              <w:tabs>
                <w:tab w:val="left" w:pos="180"/>
              </w:tabs>
              <w:suppressAutoHyphens/>
              <w:spacing w:after="0" w:line="240" w:lineRule="auto"/>
              <w:jc w:val="left"/>
              <w:rPr>
                <w:noProof/>
                <w:snapToGrid w:val="0"/>
                <w:sz w:val="22"/>
                <w:szCs w:val="22"/>
                <w:lang w:val="it-IT"/>
              </w:rPr>
              <w:pPrChange w:id="383" w:author="Author">
                <w:pPr>
                  <w:pStyle w:val="TextTi12"/>
                  <w:keepNext/>
                  <w:tabs>
                    <w:tab w:val="left" w:pos="180"/>
                  </w:tabs>
                  <w:spacing w:after="0" w:line="240" w:lineRule="auto"/>
                </w:pPr>
              </w:pPrChange>
            </w:pPr>
            <w:r>
              <w:rPr>
                <w:noProof/>
                <w:snapToGrid w:val="0"/>
                <w:sz w:val="22"/>
                <w:szCs w:val="22"/>
                <w:lang w:val="it-IT"/>
              </w:rPr>
              <w:t>Da 50 a 100</w:t>
            </w:r>
          </w:p>
        </w:tc>
        <w:tc>
          <w:tcPr>
            <w:tcW w:w="3876" w:type="pct"/>
            <w:tcPrChange w:id="384" w:author="Author">
              <w:tcPr>
                <w:tcW w:w="3876" w:type="pct"/>
              </w:tcPr>
            </w:tcPrChange>
          </w:tcPr>
          <w:p>
            <w:pPr>
              <w:pStyle w:val="TextTi12"/>
              <w:keepNext/>
              <w:tabs>
                <w:tab w:val="left" w:pos="180"/>
              </w:tabs>
              <w:suppressAutoHyphens/>
              <w:spacing w:after="0" w:line="240" w:lineRule="auto"/>
              <w:jc w:val="left"/>
              <w:rPr>
                <w:noProof/>
                <w:snapToGrid w:val="0"/>
                <w:sz w:val="22"/>
                <w:szCs w:val="22"/>
                <w:lang w:val="it-IT"/>
              </w:rPr>
              <w:pPrChange w:id="385" w:author="Author">
                <w:pPr>
                  <w:pStyle w:val="TextTi12"/>
                  <w:tabs>
                    <w:tab w:val="left" w:pos="180"/>
                  </w:tabs>
                  <w:spacing w:after="0" w:line="240" w:lineRule="auto"/>
                </w:pPr>
              </w:pPrChange>
            </w:pPr>
            <w:r>
              <w:rPr>
                <w:noProof/>
                <w:snapToGrid w:val="0"/>
                <w:sz w:val="22"/>
                <w:szCs w:val="22"/>
                <w:lang w:val="it-IT"/>
              </w:rPr>
              <w:t xml:space="preserve">Modificare la dose di MTX se appropriato. </w:t>
            </w:r>
          </w:p>
          <w:p>
            <w:pPr>
              <w:pStyle w:val="TextTi12"/>
              <w:keepNext/>
              <w:tabs>
                <w:tab w:val="left" w:pos="180"/>
              </w:tabs>
              <w:suppressAutoHyphens/>
              <w:spacing w:after="0" w:line="240" w:lineRule="auto"/>
              <w:jc w:val="left"/>
              <w:rPr>
                <w:noProof/>
                <w:snapToGrid w:val="0"/>
                <w:sz w:val="22"/>
                <w:szCs w:val="22"/>
                <w:lang w:val="it-IT"/>
              </w:rPr>
              <w:pPrChange w:id="386" w:author="Author">
                <w:pPr>
                  <w:pStyle w:val="TextTi12"/>
                  <w:keepNext/>
                  <w:tabs>
                    <w:tab w:val="left" w:pos="180"/>
                  </w:tabs>
                  <w:spacing w:after="0" w:line="240" w:lineRule="auto"/>
                </w:pPr>
              </w:pPrChange>
            </w:pPr>
          </w:p>
          <w:p>
            <w:pPr>
              <w:pStyle w:val="TextTi12"/>
              <w:keepNext/>
              <w:tabs>
                <w:tab w:val="left" w:pos="180"/>
              </w:tabs>
              <w:suppressAutoHyphens/>
              <w:spacing w:after="0" w:line="240" w:lineRule="auto"/>
              <w:jc w:val="left"/>
              <w:rPr>
                <w:noProof/>
                <w:snapToGrid w:val="0"/>
                <w:sz w:val="22"/>
                <w:szCs w:val="22"/>
                <w:lang w:val="it-IT"/>
              </w:rPr>
              <w:pPrChange w:id="387" w:author="Author">
                <w:pPr>
                  <w:pStyle w:val="TextTi12"/>
                  <w:keepNext/>
                  <w:tabs>
                    <w:tab w:val="left" w:pos="180"/>
                  </w:tabs>
                  <w:spacing w:after="0" w:line="240" w:lineRule="auto"/>
                </w:pPr>
              </w:pPrChange>
            </w:pPr>
            <w:r>
              <w:rPr>
                <w:noProof/>
                <w:snapToGrid w:val="0"/>
                <w:sz w:val="22"/>
                <w:szCs w:val="22"/>
                <w:lang w:val="it-IT"/>
              </w:rPr>
              <w:t>Interrompere la somministrazione di tocilizumab.</w:t>
            </w:r>
          </w:p>
          <w:p>
            <w:pPr>
              <w:pStyle w:val="TextTi12"/>
              <w:keepNext/>
              <w:tabs>
                <w:tab w:val="left" w:pos="180"/>
              </w:tabs>
              <w:suppressAutoHyphens/>
              <w:spacing w:after="0" w:line="240" w:lineRule="auto"/>
              <w:jc w:val="left"/>
              <w:rPr>
                <w:noProof/>
                <w:snapToGrid w:val="0"/>
                <w:sz w:val="22"/>
                <w:szCs w:val="22"/>
                <w:lang w:val="it-IT"/>
              </w:rPr>
              <w:pPrChange w:id="388" w:author="Author">
                <w:pPr>
                  <w:pStyle w:val="TextTi12"/>
                  <w:keepNext/>
                  <w:tabs>
                    <w:tab w:val="left" w:pos="180"/>
                  </w:tabs>
                  <w:spacing w:after="0" w:line="240" w:lineRule="auto"/>
                </w:pPr>
              </w:pPrChange>
            </w:pPr>
          </w:p>
          <w:p>
            <w:pPr>
              <w:pStyle w:val="TextTi12"/>
              <w:keepNext/>
              <w:tabs>
                <w:tab w:val="left" w:pos="180"/>
              </w:tabs>
              <w:suppressAutoHyphens/>
              <w:spacing w:after="0" w:line="240" w:lineRule="auto"/>
              <w:jc w:val="left"/>
              <w:rPr>
                <w:noProof/>
                <w:snapToGrid w:val="0"/>
                <w:sz w:val="22"/>
                <w:szCs w:val="22"/>
                <w:lang w:val="it-IT"/>
              </w:rPr>
              <w:pPrChange w:id="389" w:author="Author">
                <w:pPr>
                  <w:pStyle w:val="TextTi12"/>
                  <w:keepNext/>
                  <w:tabs>
                    <w:tab w:val="left" w:pos="180"/>
                  </w:tabs>
                  <w:spacing w:after="0" w:line="240" w:lineRule="auto"/>
                </w:pPr>
              </w:pPrChange>
            </w:pPr>
            <w:r>
              <w:rPr>
                <w:noProof/>
                <w:snapToGrid w:val="0"/>
                <w:sz w:val="22"/>
                <w:szCs w:val="22"/>
                <w:lang w:val="it-IT"/>
              </w:rPr>
              <w:t xml:space="preserve">Quando la conta piastrinica risale a </w:t>
            </w:r>
            <w:r>
              <w:rPr>
                <w:noProof/>
                <w:snapToGrid w:val="0"/>
                <w:sz w:val="22"/>
                <w:szCs w:val="22"/>
                <w:lang w:val="it-IT"/>
              </w:rPr>
              <w:sym w:font="Symbol" w:char="F03E"/>
            </w:r>
            <w:ins w:id="390" w:author="Author">
              <w:r>
                <w:rPr>
                  <w:noProof/>
                  <w:snapToGrid w:val="0"/>
                  <w:sz w:val="22"/>
                  <w:szCs w:val="22"/>
                  <w:lang w:val="it-IT"/>
                </w:rPr>
                <w:t xml:space="preserve"> </w:t>
              </w:r>
            </w:ins>
            <w:r>
              <w:rPr>
                <w:noProof/>
                <w:snapToGrid w:val="0"/>
                <w:sz w:val="22"/>
                <w:szCs w:val="22"/>
                <w:lang w:val="it-IT"/>
              </w:rPr>
              <w:t>100 x 10</w:t>
            </w:r>
            <w:r>
              <w:rPr>
                <w:noProof/>
                <w:snapToGrid w:val="0"/>
                <w:sz w:val="22"/>
                <w:szCs w:val="22"/>
                <w:vertAlign w:val="superscript"/>
                <w:lang w:val="it-IT"/>
              </w:rPr>
              <w:t>3</w:t>
            </w:r>
            <w:r>
              <w:rPr>
                <w:noProof/>
                <w:snapToGrid w:val="0"/>
                <w:sz w:val="22"/>
                <w:szCs w:val="22"/>
                <w:lang w:val="it-IT"/>
              </w:rPr>
              <w:t xml:space="preserve">/μl riprendere il trattamento. </w:t>
            </w:r>
          </w:p>
        </w:tc>
      </w:tr>
      <w:tr>
        <w:trPr>
          <w:cantSplit/>
        </w:trPr>
        <w:tc>
          <w:tcPr>
            <w:tcW w:w="1124" w:type="pct"/>
            <w:tcPrChange w:id="391" w:author="Author">
              <w:tcPr>
                <w:tcW w:w="1124" w:type="pct"/>
              </w:tcPr>
            </w:tcPrChange>
          </w:tcPr>
          <w:p>
            <w:pPr>
              <w:pStyle w:val="TextTi12"/>
              <w:tabs>
                <w:tab w:val="left" w:pos="180"/>
              </w:tabs>
              <w:suppressAutoHyphens/>
              <w:spacing w:after="0" w:line="240" w:lineRule="auto"/>
              <w:jc w:val="left"/>
              <w:rPr>
                <w:noProof/>
                <w:snapToGrid w:val="0"/>
                <w:sz w:val="22"/>
                <w:szCs w:val="22"/>
                <w:lang w:val="it-IT"/>
              </w:rPr>
              <w:pPrChange w:id="392" w:author="Author">
                <w:pPr>
                  <w:pStyle w:val="TextTi12"/>
                  <w:tabs>
                    <w:tab w:val="left" w:pos="180"/>
                  </w:tabs>
                  <w:spacing w:after="0" w:line="240" w:lineRule="auto"/>
                </w:pPr>
              </w:pPrChange>
            </w:pPr>
            <w:r>
              <w:rPr>
                <w:noProof/>
                <w:snapToGrid w:val="0"/>
                <w:sz w:val="22"/>
                <w:szCs w:val="22"/>
                <w:lang w:val="it-IT"/>
              </w:rPr>
              <w:sym w:font="Symbol" w:char="F03C"/>
            </w:r>
            <w:r>
              <w:rPr>
                <w:noProof/>
                <w:snapToGrid w:val="0"/>
                <w:sz w:val="22"/>
                <w:szCs w:val="22"/>
                <w:lang w:val="it-IT"/>
              </w:rPr>
              <w:t> 50</w:t>
            </w:r>
          </w:p>
          <w:p>
            <w:pPr>
              <w:pStyle w:val="TextTi12"/>
              <w:tabs>
                <w:tab w:val="left" w:pos="180"/>
              </w:tabs>
              <w:suppressAutoHyphens/>
              <w:spacing w:after="0" w:line="240" w:lineRule="auto"/>
              <w:jc w:val="left"/>
              <w:rPr>
                <w:noProof/>
                <w:snapToGrid w:val="0"/>
                <w:sz w:val="22"/>
                <w:szCs w:val="22"/>
                <w:lang w:val="it-IT"/>
              </w:rPr>
              <w:pPrChange w:id="393" w:author="Author">
                <w:pPr>
                  <w:pStyle w:val="TextTi12"/>
                  <w:tabs>
                    <w:tab w:val="left" w:pos="180"/>
                  </w:tabs>
                  <w:spacing w:after="0" w:line="240" w:lineRule="auto"/>
                </w:pPr>
              </w:pPrChange>
            </w:pPr>
          </w:p>
        </w:tc>
        <w:tc>
          <w:tcPr>
            <w:tcW w:w="3876" w:type="pct"/>
            <w:tcPrChange w:id="394" w:author="Author">
              <w:tcPr>
                <w:tcW w:w="3876" w:type="pct"/>
              </w:tcPr>
            </w:tcPrChange>
          </w:tcPr>
          <w:p>
            <w:pPr>
              <w:pStyle w:val="TextTi12"/>
              <w:tabs>
                <w:tab w:val="left" w:pos="180"/>
              </w:tabs>
              <w:suppressAutoHyphens/>
              <w:spacing w:after="0" w:line="240" w:lineRule="auto"/>
              <w:jc w:val="left"/>
              <w:rPr>
                <w:noProof/>
                <w:snapToGrid w:val="0"/>
                <w:sz w:val="22"/>
                <w:szCs w:val="22"/>
                <w:lang w:val="it-IT"/>
              </w:rPr>
              <w:pPrChange w:id="395" w:author="Author">
                <w:pPr>
                  <w:pStyle w:val="TextTi12"/>
                  <w:tabs>
                    <w:tab w:val="left" w:pos="180"/>
                  </w:tabs>
                  <w:spacing w:after="0" w:line="240" w:lineRule="auto"/>
                </w:pPr>
              </w:pPrChange>
            </w:pPr>
            <w:r>
              <w:rPr>
                <w:noProof/>
                <w:snapToGrid w:val="0"/>
                <w:sz w:val="22"/>
                <w:szCs w:val="22"/>
                <w:lang w:val="it-IT"/>
              </w:rPr>
              <w:t>Sospendere tocilizumab.</w:t>
            </w:r>
          </w:p>
          <w:p>
            <w:pPr>
              <w:pStyle w:val="TextTi12"/>
              <w:tabs>
                <w:tab w:val="left" w:pos="180"/>
              </w:tabs>
              <w:suppressAutoHyphens/>
              <w:spacing w:after="0" w:line="240" w:lineRule="auto"/>
              <w:jc w:val="left"/>
              <w:rPr>
                <w:noProof/>
                <w:snapToGrid w:val="0"/>
                <w:sz w:val="22"/>
                <w:szCs w:val="22"/>
                <w:lang w:val="it-IT"/>
                <w:rPrChange w:id="396" w:author="Author">
                  <w:rPr>
                    <w:snapToGrid w:val="0"/>
                    <w:lang w:val="it-IT"/>
                  </w:rPr>
                </w:rPrChange>
              </w:rPr>
              <w:pPrChange w:id="397" w:author="Author">
                <w:pPr>
                  <w:pStyle w:val="TextTi12"/>
                  <w:tabs>
                    <w:tab w:val="left" w:pos="180"/>
                  </w:tabs>
                  <w:spacing w:after="0" w:line="240" w:lineRule="auto"/>
                </w:pPr>
              </w:pPrChange>
            </w:pPr>
          </w:p>
          <w:p>
            <w:pPr>
              <w:pStyle w:val="TextTi12"/>
              <w:tabs>
                <w:tab w:val="left" w:pos="180"/>
              </w:tabs>
              <w:suppressAutoHyphens/>
              <w:spacing w:after="0" w:line="240" w:lineRule="auto"/>
              <w:jc w:val="left"/>
              <w:rPr>
                <w:noProof/>
                <w:snapToGrid w:val="0"/>
                <w:sz w:val="22"/>
                <w:szCs w:val="22"/>
                <w:lang w:val="it-IT"/>
              </w:rPr>
              <w:pPrChange w:id="398" w:author="Author">
                <w:pPr>
                  <w:pStyle w:val="TextTi12"/>
                  <w:tabs>
                    <w:tab w:val="left" w:pos="180"/>
                  </w:tabs>
                  <w:spacing w:after="0" w:line="240" w:lineRule="auto"/>
                </w:pPr>
              </w:pPrChange>
            </w:pPr>
            <w:r>
              <w:rPr>
                <w:noProof/>
                <w:snapToGrid w:val="0"/>
                <w:sz w:val="22"/>
                <w:szCs w:val="22"/>
                <w:lang w:val="it-IT"/>
                <w:rPrChange w:id="399" w:author="Author">
                  <w:rPr>
                    <w:snapToGrid w:val="0"/>
                    <w:lang w:val="it-IT"/>
                  </w:rPr>
                </w:rPrChange>
              </w:rPr>
              <w:t>La decisione di interrompere il trattamento nell’AIGs per un’anomalia di laboratorio si deve basare sulla valutazione medica del singolo paziente.</w:t>
            </w:r>
          </w:p>
        </w:tc>
      </w:tr>
    </w:tbl>
    <w:p>
      <w:pPr>
        <w:tabs>
          <w:tab w:val="left" w:pos="180"/>
        </w:tabs>
        <w:rPr>
          <w:noProof/>
          <w:lang w:val="it-IT"/>
        </w:rPr>
      </w:pPr>
    </w:p>
    <w:p>
      <w:pPr>
        <w:tabs>
          <w:tab w:val="left" w:pos="180"/>
        </w:tabs>
        <w:rPr>
          <w:noProof/>
          <w:lang w:val="it-IT"/>
        </w:rPr>
      </w:pPr>
      <w:r>
        <w:rPr>
          <w:noProof/>
          <w:lang w:val="it-IT"/>
        </w:rPr>
        <w:t>La riduzione della dose di tocilizumab dovuta ad anomalie nei parametri di laboratorio non è stata studiata in pazienti affetti da AIGp.</w:t>
      </w:r>
    </w:p>
    <w:p>
      <w:pPr>
        <w:tabs>
          <w:tab w:val="left" w:pos="180"/>
        </w:tabs>
        <w:rPr>
          <w:noProof/>
          <w:lang w:val="it-IT"/>
        </w:rPr>
      </w:pPr>
    </w:p>
    <w:p>
      <w:pPr>
        <w:tabs>
          <w:tab w:val="left" w:pos="180"/>
        </w:tabs>
        <w:rPr>
          <w:noProof/>
          <w:lang w:val="it-IT"/>
        </w:rPr>
      </w:pPr>
      <w:r>
        <w:rPr>
          <w:noProof/>
          <w:lang w:val="it-IT"/>
        </w:rPr>
        <w:t>I dati disponibili suggeriscono che un miglioramento clinico è stato osservato entro le 12 settimane dall’inizio del trattamento con tocilizumab. Il proseguimento della terapia deve essere considerato con attenzione nei pazienti che non hanno mostrato alcun miglioramento in questo arco di tempo.</w:t>
      </w:r>
    </w:p>
    <w:p>
      <w:pPr>
        <w:tabs>
          <w:tab w:val="left" w:pos="180"/>
        </w:tabs>
        <w:rPr>
          <w:noProof/>
          <w:lang w:val="it-IT"/>
        </w:rPr>
      </w:pPr>
    </w:p>
    <w:p>
      <w:pPr>
        <w:tabs>
          <w:tab w:val="left" w:pos="180"/>
        </w:tabs>
        <w:rPr>
          <w:noProof/>
          <w:u w:val="single"/>
          <w:lang w:val="it-IT"/>
        </w:rPr>
      </w:pPr>
      <w:r>
        <w:rPr>
          <w:noProof/>
          <w:u w:val="single"/>
          <w:lang w:val="it-IT"/>
        </w:rPr>
        <w:t>CRS</w:t>
      </w:r>
    </w:p>
    <w:p>
      <w:pPr>
        <w:tabs>
          <w:tab w:val="left" w:pos="180"/>
        </w:tabs>
        <w:rPr>
          <w:noProof/>
          <w:lang w:val="it-IT"/>
        </w:rPr>
      </w:pPr>
      <w:r>
        <w:rPr>
          <w:noProof/>
          <w:lang w:val="it-IT"/>
        </w:rPr>
        <w:t>Tocilizumab può essere usato nei pazienti pediatrici (di età uguale o superiore a 2 anni) con la stessa posologia degli adulti con CRS. Vedere paragrafo 4.2 Posologia e modo di somministrazione, sottosezione Sindrome da rilascio di citochine (CRS) (adulti e pazienti pediatrici)</w:t>
      </w:r>
      <w:del w:id="400" w:author="Author">
        <w:r>
          <w:rPr>
            <w:noProof/>
            <w:lang w:val="it-IT"/>
          </w:rPr>
          <w:delText xml:space="preserve"> </w:delText>
        </w:r>
      </w:del>
      <w:r>
        <w:rPr>
          <w:noProof/>
          <w:lang w:val="it-IT"/>
        </w:rPr>
        <w:t>.</w:t>
      </w:r>
    </w:p>
    <w:p>
      <w:pPr>
        <w:tabs>
          <w:tab w:val="left" w:pos="180"/>
        </w:tabs>
        <w:rPr>
          <w:noProof/>
          <w:lang w:val="it-IT"/>
        </w:rPr>
      </w:pPr>
    </w:p>
    <w:p>
      <w:pPr>
        <w:tabs>
          <w:tab w:val="left" w:pos="180"/>
        </w:tabs>
        <w:rPr>
          <w:del w:id="401" w:author="Author"/>
          <w:noProof/>
          <w:u w:val="single"/>
          <w:lang w:val="it-IT"/>
        </w:rPr>
      </w:pPr>
      <w:r>
        <w:rPr>
          <w:noProof/>
          <w:u w:val="single"/>
          <w:lang w:val="it-IT"/>
        </w:rPr>
        <w:t>Modo di somministrazione</w:t>
      </w:r>
    </w:p>
    <w:p>
      <w:pPr>
        <w:tabs>
          <w:tab w:val="left" w:pos="180"/>
        </w:tabs>
        <w:rPr>
          <w:noProof/>
          <w:u w:val="single"/>
          <w:lang w:val="it-IT"/>
        </w:rPr>
      </w:pPr>
    </w:p>
    <w:p>
      <w:pPr>
        <w:tabs>
          <w:tab w:val="left" w:pos="180"/>
        </w:tabs>
        <w:rPr>
          <w:noProof/>
          <w:lang w:val="it-IT"/>
        </w:rPr>
      </w:pPr>
      <w:r>
        <w:rPr>
          <w:noProof/>
          <w:lang w:val="it-IT"/>
        </w:rPr>
        <w:t>Dopo diluizione, questo medicinale deve essere somministrato come infusione endovenosa della durata di un’ora. Se si manifestano segni e sintomi di una reazione correlata all’infusione, rallentare o interrompere l’infusione e somministrare subito medicinali/cure di supporto appropriati; (</w:t>
      </w:r>
      <w:r>
        <w:rPr>
          <w:noProof/>
          <w:szCs w:val="22"/>
          <w:lang w:val="it-IT"/>
        </w:rPr>
        <w:t>vedere paragrafo 4.4).</w:t>
      </w:r>
    </w:p>
    <w:p>
      <w:pPr>
        <w:tabs>
          <w:tab w:val="left" w:pos="180"/>
        </w:tabs>
        <w:rPr>
          <w:noProof/>
          <w:lang w:val="it-IT"/>
        </w:rPr>
      </w:pPr>
    </w:p>
    <w:p>
      <w:pPr>
        <w:keepNext/>
        <w:tabs>
          <w:tab w:val="left" w:pos="180"/>
        </w:tabs>
        <w:rPr>
          <w:i/>
          <w:noProof/>
          <w:lang w:val="it-IT"/>
        </w:rPr>
      </w:pPr>
      <w:r>
        <w:rPr>
          <w:i/>
          <w:noProof/>
          <w:lang w:val="it-IT"/>
        </w:rPr>
        <w:t>Pazienti affetti da AR, AIGs, AIGp, CRS e COVID-19 di peso ≥ 30 kg</w:t>
      </w:r>
    </w:p>
    <w:p>
      <w:pPr>
        <w:tabs>
          <w:tab w:val="left" w:pos="180"/>
        </w:tabs>
        <w:rPr>
          <w:noProof/>
          <w:lang w:val="it-IT"/>
        </w:rPr>
      </w:pPr>
      <w:r>
        <w:rPr>
          <w:noProof/>
          <w:lang w:val="it-IT"/>
        </w:rPr>
        <w:t xml:space="preserve">Questo medicinale deve essere diluito fino ad un volume finale di 100 mL con una soluzione di </w:t>
      </w:r>
      <w:ins w:id="402" w:author="Author">
        <w:r>
          <w:rPr>
            <w:noProof/>
            <w:lang w:val="it-IT"/>
          </w:rPr>
          <w:t xml:space="preserve">sodio </w:t>
        </w:r>
      </w:ins>
      <w:r>
        <w:rPr>
          <w:noProof/>
          <w:lang w:val="it-IT"/>
        </w:rPr>
        <w:t xml:space="preserve">cloruro </w:t>
      </w:r>
      <w:del w:id="403" w:author="Author">
        <w:r>
          <w:rPr>
            <w:noProof/>
            <w:lang w:val="it-IT"/>
          </w:rPr>
          <w:delText xml:space="preserve">di sodio </w:delText>
        </w:r>
      </w:del>
      <w:r>
        <w:rPr>
          <w:noProof/>
          <w:lang w:val="it-IT"/>
        </w:rPr>
        <w:t>9 mg/mL (0,9%), iniettabile, sterile, non pirogenica, mediante tecnica asettica.</w:t>
      </w:r>
    </w:p>
    <w:p>
      <w:pPr>
        <w:tabs>
          <w:tab w:val="left" w:pos="180"/>
        </w:tabs>
        <w:rPr>
          <w:noProof/>
          <w:lang w:val="it-IT"/>
        </w:rPr>
      </w:pPr>
    </w:p>
    <w:p>
      <w:pPr>
        <w:tabs>
          <w:tab w:val="left" w:pos="180"/>
        </w:tabs>
        <w:rPr>
          <w:noProof/>
          <w:lang w:val="it-IT"/>
        </w:rPr>
      </w:pPr>
      <w:r>
        <w:rPr>
          <w:noProof/>
          <w:lang w:val="it-IT"/>
        </w:rPr>
        <w:t>Per informazioni sulla diluizione del medicinale prima della somministrazione, vedere paragrafo 6.6.</w:t>
      </w:r>
    </w:p>
    <w:p>
      <w:pPr>
        <w:tabs>
          <w:tab w:val="left" w:pos="180"/>
        </w:tabs>
        <w:rPr>
          <w:noProof/>
          <w:lang w:val="it-IT"/>
        </w:rPr>
      </w:pPr>
    </w:p>
    <w:p>
      <w:pPr>
        <w:keepNext/>
        <w:keepLines/>
        <w:tabs>
          <w:tab w:val="left" w:pos="180"/>
        </w:tabs>
        <w:rPr>
          <w:i/>
          <w:noProof/>
          <w:lang w:val="it-IT"/>
        </w:rPr>
      </w:pPr>
      <w:r>
        <w:rPr>
          <w:i/>
          <w:noProof/>
          <w:lang w:val="it-IT"/>
        </w:rPr>
        <w:lastRenderedPageBreak/>
        <w:t xml:space="preserve">Pazienti affetti da AIGs, AIGp e CRS di peso </w:t>
      </w:r>
      <w:r>
        <w:rPr>
          <w:i/>
          <w:noProof/>
          <w:lang w:val="it-IT"/>
        </w:rPr>
        <w:sym w:font="Symbol" w:char="F03C"/>
      </w:r>
      <w:r>
        <w:rPr>
          <w:i/>
          <w:noProof/>
          <w:lang w:val="it-IT"/>
        </w:rPr>
        <w:t> 30 kg</w:t>
      </w:r>
    </w:p>
    <w:p>
      <w:pPr>
        <w:keepNext/>
        <w:keepLines/>
        <w:tabs>
          <w:tab w:val="left" w:pos="180"/>
        </w:tabs>
        <w:rPr>
          <w:noProof/>
          <w:lang w:val="it-IT"/>
        </w:rPr>
      </w:pPr>
      <w:r>
        <w:rPr>
          <w:noProof/>
          <w:lang w:val="it-IT"/>
        </w:rPr>
        <w:t xml:space="preserve">Questo medicinale deve essere diluito fino ad un volume finale di 50 mL con una soluzione iniettabile sterile, non pirogenica, di </w:t>
      </w:r>
      <w:ins w:id="404" w:author="Author">
        <w:r>
          <w:rPr>
            <w:noProof/>
            <w:lang w:val="it-IT"/>
          </w:rPr>
          <w:t xml:space="preserve">sodio </w:t>
        </w:r>
      </w:ins>
      <w:r>
        <w:rPr>
          <w:noProof/>
          <w:lang w:val="it-IT"/>
        </w:rPr>
        <w:t xml:space="preserve">cloruro </w:t>
      </w:r>
      <w:del w:id="405" w:author="Author">
        <w:r>
          <w:rPr>
            <w:noProof/>
            <w:lang w:val="it-IT"/>
          </w:rPr>
          <w:delText xml:space="preserve">di sodio </w:delText>
        </w:r>
      </w:del>
      <w:r>
        <w:rPr>
          <w:noProof/>
          <w:lang w:val="it-IT"/>
        </w:rPr>
        <w:t>9 mg/mL (0,9</w:t>
      </w:r>
      <w:ins w:id="406" w:author="Author">
        <w:r>
          <w:rPr>
            <w:noProof/>
            <w:lang w:val="it-IT"/>
          </w:rPr>
          <w:t xml:space="preserve"> </w:t>
        </w:r>
      </w:ins>
      <w:r>
        <w:rPr>
          <w:noProof/>
          <w:lang w:val="it-IT"/>
        </w:rPr>
        <w:t>%), mediante tecnica asettica.</w:t>
      </w:r>
    </w:p>
    <w:p>
      <w:pPr>
        <w:tabs>
          <w:tab w:val="left" w:pos="180"/>
        </w:tabs>
        <w:rPr>
          <w:noProof/>
          <w:lang w:val="it-IT"/>
        </w:rPr>
      </w:pPr>
    </w:p>
    <w:p>
      <w:pPr>
        <w:tabs>
          <w:tab w:val="left" w:pos="180"/>
        </w:tabs>
        <w:rPr>
          <w:noProof/>
          <w:lang w:val="it-IT"/>
        </w:rPr>
      </w:pPr>
      <w:r>
        <w:rPr>
          <w:noProof/>
          <w:lang w:val="it-IT"/>
        </w:rPr>
        <w:t>Per informazioni sulla diluizione del medicinale prima della somministrazione, vedere paragrafo 6.6.</w:t>
      </w:r>
    </w:p>
    <w:p>
      <w:pPr>
        <w:tabs>
          <w:tab w:val="left" w:pos="180"/>
        </w:tabs>
        <w:rPr>
          <w:noProof/>
          <w:lang w:val="it-IT"/>
        </w:rPr>
      </w:pPr>
    </w:p>
    <w:p>
      <w:pPr>
        <w:tabs>
          <w:tab w:val="left" w:pos="180"/>
        </w:tabs>
        <w:ind w:left="567" w:hanging="567"/>
        <w:rPr>
          <w:noProof/>
          <w:lang w:val="it-IT"/>
        </w:rPr>
      </w:pPr>
      <w:r>
        <w:rPr>
          <w:b/>
          <w:noProof/>
          <w:lang w:val="it-IT"/>
        </w:rPr>
        <w:t>4.3</w:t>
      </w:r>
      <w:r>
        <w:rPr>
          <w:b/>
          <w:noProof/>
          <w:lang w:val="it-IT"/>
        </w:rPr>
        <w:tab/>
        <w:t>Controindicazioni</w:t>
      </w:r>
    </w:p>
    <w:p>
      <w:pPr>
        <w:tabs>
          <w:tab w:val="left" w:pos="180"/>
        </w:tabs>
        <w:rPr>
          <w:noProof/>
          <w:lang w:val="it-IT"/>
        </w:rPr>
      </w:pPr>
    </w:p>
    <w:p>
      <w:pPr>
        <w:tabs>
          <w:tab w:val="left" w:pos="180"/>
        </w:tabs>
        <w:rPr>
          <w:noProof/>
          <w:szCs w:val="22"/>
          <w:lang w:val="it-IT"/>
        </w:rPr>
      </w:pPr>
      <w:r>
        <w:rPr>
          <w:noProof/>
          <w:szCs w:val="22"/>
          <w:lang w:val="it-IT"/>
        </w:rPr>
        <w:t xml:space="preserve">Ipersensibilità al principio attivo o ad uno qualsiasi degli eccipienti elencati </w:t>
      </w:r>
      <w:r>
        <w:rPr>
          <w:noProof/>
          <w:snapToGrid w:val="0"/>
          <w:szCs w:val="24"/>
          <w:lang w:val="it-IT"/>
        </w:rPr>
        <w:t>al paragrafo 6.1</w:t>
      </w:r>
      <w:r>
        <w:rPr>
          <w:noProof/>
          <w:szCs w:val="22"/>
          <w:lang w:val="it-IT"/>
        </w:rPr>
        <w:t>.</w:t>
      </w:r>
    </w:p>
    <w:p>
      <w:pPr>
        <w:tabs>
          <w:tab w:val="left" w:pos="180"/>
        </w:tabs>
        <w:rPr>
          <w:noProof/>
          <w:szCs w:val="22"/>
          <w:lang w:val="it-IT"/>
        </w:rPr>
      </w:pPr>
    </w:p>
    <w:p>
      <w:pPr>
        <w:tabs>
          <w:tab w:val="left" w:pos="180"/>
        </w:tabs>
        <w:rPr>
          <w:noProof/>
          <w:szCs w:val="22"/>
          <w:lang w:val="it-IT"/>
        </w:rPr>
      </w:pPr>
      <w:r>
        <w:rPr>
          <w:noProof/>
          <w:szCs w:val="22"/>
          <w:lang w:val="it-IT"/>
        </w:rPr>
        <w:t xml:space="preserve">Infezioni attive, </w:t>
      </w:r>
      <w:del w:id="407" w:author="Author">
        <w:r>
          <w:rPr>
            <w:noProof/>
            <w:szCs w:val="22"/>
            <w:lang w:val="it-IT"/>
          </w:rPr>
          <w:delText>gravi</w:delText>
        </w:r>
      </w:del>
      <w:ins w:id="408" w:author="Author">
        <w:r>
          <w:rPr>
            <w:noProof/>
            <w:szCs w:val="22"/>
            <w:lang w:val="it-IT"/>
          </w:rPr>
          <w:t>severe</w:t>
        </w:r>
      </w:ins>
      <w:r>
        <w:rPr>
          <w:noProof/>
          <w:szCs w:val="22"/>
          <w:lang w:val="it-IT"/>
        </w:rPr>
        <w:t>, ad eccezione di COVID-19 (vedere paragrafo 4.4).</w:t>
      </w:r>
    </w:p>
    <w:p>
      <w:pPr>
        <w:tabs>
          <w:tab w:val="left" w:pos="180"/>
        </w:tabs>
        <w:ind w:left="567" w:hanging="567"/>
        <w:outlineLvl w:val="0"/>
        <w:rPr>
          <w:b/>
          <w:noProof/>
          <w:szCs w:val="22"/>
          <w:lang w:val="it-IT"/>
        </w:rPr>
      </w:pPr>
    </w:p>
    <w:p>
      <w:pPr>
        <w:keepNext/>
        <w:keepLines/>
        <w:tabs>
          <w:tab w:val="left" w:pos="180"/>
        </w:tabs>
        <w:ind w:left="567" w:hanging="567"/>
        <w:outlineLvl w:val="0"/>
        <w:rPr>
          <w:b/>
          <w:noProof/>
          <w:szCs w:val="22"/>
          <w:lang w:val="it-IT"/>
        </w:rPr>
        <w:pPrChange w:id="409" w:author="Author">
          <w:pPr>
            <w:tabs>
              <w:tab w:val="left" w:pos="180"/>
            </w:tabs>
            <w:ind w:left="567" w:hanging="567"/>
            <w:outlineLvl w:val="0"/>
          </w:pPr>
        </w:pPrChange>
      </w:pPr>
      <w:r>
        <w:rPr>
          <w:b/>
          <w:noProof/>
          <w:szCs w:val="22"/>
          <w:lang w:val="it-IT"/>
        </w:rPr>
        <w:t>4.4</w:t>
      </w:r>
      <w:r>
        <w:rPr>
          <w:b/>
          <w:noProof/>
          <w:szCs w:val="22"/>
          <w:lang w:val="it-IT"/>
        </w:rPr>
        <w:tab/>
        <w:t>Avvertenze speciali e precauzioni di impiego</w:t>
      </w:r>
    </w:p>
    <w:p>
      <w:pPr>
        <w:keepNext/>
        <w:keepLines/>
        <w:tabs>
          <w:tab w:val="left" w:pos="180"/>
        </w:tabs>
        <w:rPr>
          <w:noProof/>
          <w:szCs w:val="22"/>
          <w:lang w:val="it-IT"/>
        </w:rPr>
        <w:pPrChange w:id="410" w:author="Author">
          <w:pPr>
            <w:tabs>
              <w:tab w:val="left" w:pos="180"/>
            </w:tabs>
          </w:pPr>
        </w:pPrChange>
      </w:pPr>
    </w:p>
    <w:p>
      <w:pPr>
        <w:keepNext/>
        <w:keepLines/>
        <w:tabs>
          <w:tab w:val="left" w:pos="180"/>
        </w:tabs>
        <w:rPr>
          <w:iCs/>
          <w:noProof/>
          <w:szCs w:val="22"/>
          <w:u w:val="single"/>
          <w:lang w:val="it-IT"/>
          <w:rPrChange w:id="411" w:author="Author">
            <w:rPr>
              <w:i/>
              <w:szCs w:val="22"/>
              <w:lang w:val="it-IT"/>
            </w:rPr>
          </w:rPrChange>
        </w:rPr>
        <w:pPrChange w:id="412" w:author="Author">
          <w:pPr>
            <w:tabs>
              <w:tab w:val="left" w:pos="180"/>
            </w:tabs>
          </w:pPr>
        </w:pPrChange>
      </w:pPr>
      <w:r>
        <w:rPr>
          <w:iCs/>
          <w:noProof/>
          <w:szCs w:val="22"/>
          <w:u w:val="single"/>
          <w:lang w:val="it-IT"/>
          <w:rPrChange w:id="413" w:author="Author">
            <w:rPr>
              <w:i/>
              <w:szCs w:val="22"/>
              <w:lang w:val="it-IT"/>
            </w:rPr>
          </w:rPrChange>
        </w:rPr>
        <w:t>Tracciabilità</w:t>
      </w:r>
    </w:p>
    <w:p>
      <w:pPr>
        <w:keepNext/>
        <w:keepLines/>
        <w:tabs>
          <w:tab w:val="left" w:pos="180"/>
        </w:tabs>
        <w:rPr>
          <w:ins w:id="414" w:author="Author"/>
          <w:noProof/>
          <w:szCs w:val="22"/>
          <w:lang w:val="it-IT"/>
        </w:rPr>
        <w:pPrChange w:id="415" w:author="Author">
          <w:pPr>
            <w:tabs>
              <w:tab w:val="left" w:pos="180"/>
            </w:tabs>
          </w:pPr>
        </w:pPrChange>
      </w:pPr>
    </w:p>
    <w:p>
      <w:pPr>
        <w:tabs>
          <w:tab w:val="left" w:pos="180"/>
        </w:tabs>
        <w:rPr>
          <w:noProof/>
          <w:szCs w:val="22"/>
          <w:lang w:val="it-IT"/>
        </w:rPr>
      </w:pPr>
      <w:r>
        <w:rPr>
          <w:noProof/>
          <w:szCs w:val="22"/>
          <w:lang w:val="it-IT"/>
        </w:rPr>
        <w:t>Al fine di migliorare la tracciabilità dei medicinali biologici, il nome e il numero di lotto del medicinale somministrato devono essere chiaramente registrati.</w:t>
      </w:r>
    </w:p>
    <w:p>
      <w:pPr>
        <w:tabs>
          <w:tab w:val="left" w:pos="180"/>
        </w:tabs>
        <w:rPr>
          <w:noProof/>
          <w:szCs w:val="22"/>
          <w:lang w:val="it-IT"/>
        </w:rPr>
      </w:pPr>
    </w:p>
    <w:p>
      <w:pPr>
        <w:keepNext/>
        <w:keepLines/>
        <w:tabs>
          <w:tab w:val="left" w:pos="180"/>
        </w:tabs>
        <w:rPr>
          <w:noProof/>
          <w:szCs w:val="22"/>
          <w:u w:val="single"/>
          <w:lang w:val="it-IT"/>
        </w:rPr>
        <w:pPrChange w:id="416" w:author="Author">
          <w:pPr>
            <w:tabs>
              <w:tab w:val="left" w:pos="180"/>
            </w:tabs>
          </w:pPr>
        </w:pPrChange>
      </w:pPr>
      <w:r>
        <w:rPr>
          <w:noProof/>
          <w:szCs w:val="22"/>
          <w:u w:val="single"/>
          <w:lang w:val="it-IT"/>
        </w:rPr>
        <w:t>Pazienti affetti da AR, AIGp e AIGs</w:t>
      </w:r>
    </w:p>
    <w:p>
      <w:pPr>
        <w:keepNext/>
        <w:keepLines/>
        <w:tabs>
          <w:tab w:val="left" w:pos="180"/>
        </w:tabs>
        <w:ind w:left="567" w:hanging="567"/>
        <w:outlineLvl w:val="0"/>
        <w:rPr>
          <w:b/>
          <w:noProof/>
          <w:szCs w:val="22"/>
          <w:lang w:val="it-IT"/>
        </w:rPr>
        <w:pPrChange w:id="417" w:author="Author">
          <w:pPr>
            <w:tabs>
              <w:tab w:val="left" w:pos="180"/>
            </w:tabs>
            <w:ind w:left="567" w:hanging="567"/>
            <w:outlineLvl w:val="0"/>
          </w:pPr>
        </w:pPrChange>
      </w:pPr>
    </w:p>
    <w:p>
      <w:pPr>
        <w:keepNext/>
        <w:keepLines/>
        <w:tabs>
          <w:tab w:val="left" w:pos="180"/>
        </w:tabs>
        <w:ind w:left="567" w:hanging="567"/>
        <w:outlineLvl w:val="0"/>
        <w:rPr>
          <w:i/>
          <w:noProof/>
          <w:szCs w:val="22"/>
          <w:lang w:val="it-IT"/>
        </w:rPr>
        <w:pPrChange w:id="418" w:author="Author">
          <w:pPr>
            <w:tabs>
              <w:tab w:val="left" w:pos="180"/>
            </w:tabs>
            <w:ind w:left="567" w:hanging="567"/>
            <w:outlineLvl w:val="0"/>
          </w:pPr>
        </w:pPrChange>
      </w:pPr>
      <w:r>
        <w:rPr>
          <w:i/>
          <w:noProof/>
          <w:szCs w:val="22"/>
          <w:lang w:val="it-IT"/>
        </w:rPr>
        <w:t>Infezioni</w:t>
      </w:r>
    </w:p>
    <w:p>
      <w:pPr>
        <w:tabs>
          <w:tab w:val="left" w:pos="180"/>
        </w:tabs>
        <w:rPr>
          <w:noProof/>
          <w:szCs w:val="22"/>
          <w:lang w:val="it-IT"/>
        </w:rPr>
      </w:pPr>
      <w:r>
        <w:rPr>
          <w:noProof/>
          <w:szCs w:val="22"/>
          <w:lang w:val="it-IT"/>
        </w:rPr>
        <w:t xml:space="preserve">In pazienti in terapia con agenti immunosoppressivi incluso tocilizumab sono state riportate infezioni gravi e a volte fatali (vedere paragrafo 4.8). Il trattamento con tocilizumab non deve essere iniziato in pazienti con infezioni attive (vedere paragrafo 4.3). La somministrazione di tocilizumaab deve essere interrotta nei pazienti che sviluppano un’infezione </w:t>
      </w:r>
      <w:del w:id="419" w:author="Author">
        <w:r>
          <w:rPr>
            <w:noProof/>
            <w:szCs w:val="22"/>
            <w:lang w:val="it-IT"/>
          </w:rPr>
          <w:delText>severa</w:delText>
        </w:r>
      </w:del>
      <w:ins w:id="420" w:author="Author">
        <w:r>
          <w:rPr>
            <w:noProof/>
            <w:szCs w:val="22"/>
            <w:lang w:val="it-IT"/>
          </w:rPr>
          <w:t>grave</w:t>
        </w:r>
      </w:ins>
      <w:r>
        <w:rPr>
          <w:noProof/>
          <w:szCs w:val="22"/>
          <w:lang w:val="it-IT"/>
        </w:rPr>
        <w:t>, fino a quando questa non risulti controllata (vedere paragrafo 4.8). Gli operatori sanitari devono essere cauti nel considerare l’uso di questo medicinale nei pazienti con una storia di infezioni ricorrenti o croniche o con patologie preesistenti (quali diverticolite, diabete e patologia polmonare interstiziale) che potrebbero predisporre i pazienti alle infezioni.</w:t>
      </w:r>
    </w:p>
    <w:p>
      <w:pPr>
        <w:tabs>
          <w:tab w:val="left" w:pos="180"/>
        </w:tabs>
        <w:rPr>
          <w:noProof/>
          <w:szCs w:val="22"/>
          <w:lang w:val="it-IT"/>
        </w:rPr>
      </w:pPr>
    </w:p>
    <w:p>
      <w:pPr>
        <w:tabs>
          <w:tab w:val="left" w:pos="180"/>
        </w:tabs>
        <w:rPr>
          <w:noProof/>
          <w:szCs w:val="22"/>
          <w:lang w:val="it-IT"/>
        </w:rPr>
      </w:pPr>
      <w:r>
        <w:rPr>
          <w:noProof/>
          <w:szCs w:val="22"/>
          <w:lang w:val="it-IT"/>
        </w:rPr>
        <w:t>Si raccomanda di attuare un monitoraggio per rilevare tempestivamente infezioni gravi nei pazienti in terapia con trattamenti biologici, poiché segni e sintomi di un’infiammazione acuta potrebbero risultare mitigati e potrebbe essere soppressa la reazione di fase acuta. Gli effetti di tocilizumab sulla proteina C reattiva (PCR), sui neutrofili e sui segni e sintomi delle infezioni devono essere considerati quando si valuta un paziente per una potenziale infezione. I pazienti (inclusi bambini più giovani con l’AIGs o l’AIGp che possono essere meno in grado di comunicare i loro sintomi) e i genitori/tutori legali di pazienti affetti da AIGs o AIGp, devono essere invitati a contattare immediatamente il medico in presenza di sintomi che indichino un’infezione, in modo da consentire una rapida valutazione e l’istituzione di un trattamento adeguato.</w:t>
      </w:r>
    </w:p>
    <w:p>
      <w:pPr>
        <w:tabs>
          <w:tab w:val="left" w:pos="180"/>
        </w:tabs>
        <w:rPr>
          <w:noProof/>
          <w:szCs w:val="22"/>
          <w:lang w:val="it-IT"/>
        </w:rPr>
      </w:pPr>
    </w:p>
    <w:p>
      <w:pPr>
        <w:tabs>
          <w:tab w:val="left" w:pos="180"/>
        </w:tabs>
        <w:rPr>
          <w:i/>
          <w:noProof/>
          <w:szCs w:val="22"/>
          <w:lang w:val="it-IT"/>
        </w:rPr>
      </w:pPr>
      <w:r>
        <w:rPr>
          <w:i/>
          <w:noProof/>
          <w:szCs w:val="22"/>
          <w:lang w:val="it-IT"/>
        </w:rPr>
        <w:t>Tubercolosi (TB)</w:t>
      </w:r>
    </w:p>
    <w:p>
      <w:pPr>
        <w:tabs>
          <w:tab w:val="left" w:pos="180"/>
        </w:tabs>
        <w:rPr>
          <w:noProof/>
          <w:szCs w:val="22"/>
          <w:lang w:val="it-IT"/>
        </w:rPr>
      </w:pPr>
      <w:r>
        <w:rPr>
          <w:noProof/>
          <w:szCs w:val="22"/>
          <w:lang w:val="it-IT"/>
        </w:rPr>
        <w:t>Come raccomandato per altre terapie biologiche, prima di iniziare la terapia con tocilizumab i pazienti affetti da AR, AIGs e AIGp devono essere sottoposti a screening per escludere un’infezione TB latente. I pazienti con TB latente devono essere sottoposti a terapia antimicobatterica standard prima di iniziare il trattamento. Si ricorda ai medici prescrittori il rischio di risultati falsi negativi dei test cutaneo della tubercolina ed ematico dell’interferone-gamma per l’infezione tubercolare, soprattutto in pazienti gravemente ammalati o immunocompromessi.</w:t>
      </w:r>
      <w:r>
        <w:rPr>
          <w:noProof/>
          <w:szCs w:val="22"/>
          <w:lang w:val="it-IT"/>
        </w:rPr>
        <w:br/>
      </w:r>
      <w:r>
        <w:rPr>
          <w:noProof/>
          <w:szCs w:val="22"/>
          <w:lang w:val="it-IT"/>
        </w:rPr>
        <w:br/>
      </w:r>
      <w:bookmarkStart w:id="421" w:name="_Hlk12046724"/>
      <w:r>
        <w:rPr>
          <w:noProof/>
          <w:szCs w:val="22"/>
          <w:lang w:val="it-IT"/>
        </w:rPr>
        <w:t xml:space="preserve">I pazienti devono essere istruiti a rivolgersi al medico se </w:t>
      </w:r>
      <w:ins w:id="422" w:author="Author">
        <w:r>
          <w:rPr>
            <w:noProof/>
            <w:szCs w:val="22"/>
            <w:lang w:val="it-IT"/>
          </w:rPr>
          <w:t xml:space="preserve">si verificano </w:t>
        </w:r>
      </w:ins>
      <w:r>
        <w:rPr>
          <w:noProof/>
          <w:szCs w:val="22"/>
          <w:lang w:val="it-IT"/>
        </w:rPr>
        <w:t xml:space="preserve">segni/sintomi (ad esempio, tosse persistente, deperimento/perdita di peso, febbre moderata), indicativi di infezione tubercolare, </w:t>
      </w:r>
      <w:del w:id="423" w:author="Author">
        <w:r>
          <w:rPr>
            <w:noProof/>
            <w:szCs w:val="22"/>
            <w:lang w:val="it-IT"/>
          </w:rPr>
          <w:delText xml:space="preserve">si verificano </w:delText>
        </w:r>
      </w:del>
      <w:r>
        <w:rPr>
          <w:noProof/>
          <w:szCs w:val="22"/>
          <w:lang w:val="it-IT"/>
        </w:rPr>
        <w:t>durante o dopo la terapia con questo medicinale.</w:t>
      </w:r>
    </w:p>
    <w:bookmarkEnd w:id="421"/>
    <w:p>
      <w:pPr>
        <w:keepNext/>
        <w:keepLines/>
        <w:tabs>
          <w:tab w:val="left" w:pos="180"/>
        </w:tabs>
        <w:rPr>
          <w:noProof/>
          <w:szCs w:val="22"/>
          <w:lang w:val="it-IT"/>
        </w:rPr>
      </w:pPr>
    </w:p>
    <w:p>
      <w:pPr>
        <w:keepNext/>
        <w:keepLines/>
        <w:tabs>
          <w:tab w:val="left" w:pos="180"/>
        </w:tabs>
        <w:rPr>
          <w:i/>
          <w:noProof/>
          <w:szCs w:val="22"/>
          <w:lang w:val="it-IT"/>
        </w:rPr>
      </w:pPr>
      <w:r>
        <w:rPr>
          <w:i/>
          <w:noProof/>
          <w:szCs w:val="22"/>
          <w:lang w:val="it-IT"/>
        </w:rPr>
        <w:t>Riattivazione virale</w:t>
      </w:r>
    </w:p>
    <w:p>
      <w:pPr>
        <w:keepNext/>
        <w:keepLines/>
        <w:tabs>
          <w:tab w:val="left" w:pos="180"/>
        </w:tabs>
        <w:rPr>
          <w:noProof/>
          <w:szCs w:val="22"/>
          <w:lang w:val="it-IT"/>
        </w:rPr>
      </w:pPr>
      <w:r>
        <w:rPr>
          <w:noProof/>
          <w:szCs w:val="22"/>
          <w:lang w:val="it-IT"/>
        </w:rPr>
        <w:t>Riattivazione virale (ad esempio virus dell’epatite B) è stata riportata durante le terapie con medicinali biologici per l’AR. Negli studi clinici con tocilizumab, i pazienti risultati positivi allo screening per l’epatite sono stati esclusi.</w:t>
      </w:r>
    </w:p>
    <w:p>
      <w:pPr>
        <w:keepNext/>
        <w:keepLines/>
        <w:tabs>
          <w:tab w:val="left" w:pos="180"/>
        </w:tabs>
        <w:rPr>
          <w:noProof/>
          <w:szCs w:val="22"/>
          <w:lang w:val="it-IT"/>
        </w:rPr>
      </w:pPr>
    </w:p>
    <w:p>
      <w:pPr>
        <w:keepNext/>
        <w:keepLines/>
        <w:tabs>
          <w:tab w:val="left" w:pos="180"/>
        </w:tabs>
        <w:rPr>
          <w:i/>
          <w:noProof/>
          <w:szCs w:val="22"/>
          <w:lang w:val="it-IT"/>
        </w:rPr>
      </w:pPr>
      <w:r>
        <w:rPr>
          <w:i/>
          <w:noProof/>
          <w:szCs w:val="22"/>
          <w:lang w:val="it-IT"/>
        </w:rPr>
        <w:t>Complicanze della diverticolite</w:t>
      </w:r>
    </w:p>
    <w:p>
      <w:pPr>
        <w:keepNext/>
        <w:keepLines/>
        <w:tabs>
          <w:tab w:val="left" w:pos="180"/>
        </w:tabs>
        <w:rPr>
          <w:noProof/>
          <w:szCs w:val="22"/>
          <w:lang w:val="it-IT"/>
        </w:rPr>
      </w:pPr>
      <w:r>
        <w:rPr>
          <w:noProof/>
          <w:szCs w:val="22"/>
          <w:lang w:val="it-IT"/>
        </w:rPr>
        <w:t>Eventi di perforazione diverticolare come complicanza di una diverticolite sono stati riportati non comunemente con tocilizumab in pazienti affetti da AR (vedere paragrafo 4.8). Questo medicinale deve essere usato con cautela nei pazienti con una storia di ulcerazione intestinale o diverticolite. I pazienti che presentino sintomi potenzialmente indicativi di una diverticolite complicata, quali dolore addominale, emorragia e/o alterazione inspiegata degli abituali movimenti intestinali associata a febbre, devono essere valutati tempestivamente per poter identificare precocemente una diverticolite che potrebbe essere associata a perforazione gastrointestinale.</w:t>
      </w:r>
    </w:p>
    <w:p>
      <w:pPr>
        <w:keepNext/>
        <w:keepLines/>
        <w:tabs>
          <w:tab w:val="left" w:pos="180"/>
        </w:tabs>
        <w:ind w:left="567" w:hanging="567"/>
        <w:outlineLvl w:val="0"/>
        <w:rPr>
          <w:b/>
          <w:noProof/>
          <w:szCs w:val="22"/>
          <w:lang w:val="it-IT"/>
        </w:rPr>
      </w:pPr>
    </w:p>
    <w:p>
      <w:pPr>
        <w:keepNext/>
        <w:keepLines/>
        <w:tabs>
          <w:tab w:val="left" w:pos="180"/>
        </w:tabs>
        <w:ind w:left="567" w:hanging="567"/>
        <w:outlineLvl w:val="0"/>
        <w:rPr>
          <w:b/>
          <w:i/>
          <w:noProof/>
          <w:szCs w:val="22"/>
          <w:lang w:val="it-IT"/>
        </w:rPr>
      </w:pPr>
      <w:r>
        <w:rPr>
          <w:i/>
          <w:noProof/>
          <w:szCs w:val="22"/>
          <w:lang w:val="it-IT"/>
        </w:rPr>
        <w:t>Reazioni di ipersensibilità</w:t>
      </w:r>
    </w:p>
    <w:p>
      <w:pPr>
        <w:tabs>
          <w:tab w:val="left" w:pos="180"/>
        </w:tabs>
        <w:rPr>
          <w:noProof/>
          <w:szCs w:val="22"/>
          <w:lang w:val="it-IT"/>
        </w:rPr>
      </w:pPr>
      <w:del w:id="424" w:author="Author">
        <w:r>
          <w:rPr>
            <w:noProof/>
            <w:szCs w:val="22"/>
            <w:lang w:val="it-IT"/>
          </w:rPr>
          <w:delText xml:space="preserve">Gravi </w:delText>
        </w:r>
      </w:del>
      <w:ins w:id="425" w:author="Author">
        <w:r>
          <w:rPr>
            <w:noProof/>
            <w:szCs w:val="22"/>
            <w:lang w:val="it-IT"/>
          </w:rPr>
          <w:t>R</w:t>
        </w:r>
      </w:ins>
      <w:del w:id="426" w:author="Author">
        <w:r>
          <w:rPr>
            <w:noProof/>
            <w:szCs w:val="22"/>
            <w:lang w:val="it-IT"/>
          </w:rPr>
          <w:delText>r</w:delText>
        </w:r>
      </w:del>
      <w:r>
        <w:rPr>
          <w:noProof/>
          <w:szCs w:val="22"/>
          <w:lang w:val="it-IT"/>
        </w:rPr>
        <w:t xml:space="preserve">eazioni di ipersensibilità </w:t>
      </w:r>
      <w:ins w:id="427" w:author="Author">
        <w:r>
          <w:rPr>
            <w:noProof/>
            <w:szCs w:val="22"/>
            <w:lang w:val="it-IT"/>
          </w:rPr>
          <w:t xml:space="preserve">gravi </w:t>
        </w:r>
      </w:ins>
      <w:r>
        <w:rPr>
          <w:noProof/>
          <w:szCs w:val="22"/>
          <w:lang w:val="it-IT"/>
        </w:rPr>
        <w:t xml:space="preserve">sono state riportate in associazione all'infusione di tocilizumab (vedere paragrafo 4.8). Queste reazioni possono essere più gravi e potenzialmente fatali in pazienti che hanno avuto reazioni di ipersensibilità durante precedenti infusioni, sebbene abbiano ricevuto premedicazione con steroidi ed antistaminici. Si deve disporre di un trattamento adeguato per l’uso immediato in caso di reazione anafilattica durante il trattamento. Se si verifica una reazione anafilattica o un’altra </w:t>
      </w:r>
      <w:del w:id="428" w:author="Author">
        <w:r>
          <w:rPr>
            <w:noProof/>
            <w:szCs w:val="22"/>
            <w:lang w:val="it-IT"/>
          </w:rPr>
          <w:delText xml:space="preserve">severa </w:delText>
        </w:r>
      </w:del>
      <w:r>
        <w:rPr>
          <w:noProof/>
          <w:szCs w:val="22"/>
          <w:lang w:val="it-IT"/>
        </w:rPr>
        <w:t>reazione di ipersensibilità</w:t>
      </w:r>
      <w:ins w:id="429" w:author="Author">
        <w:r>
          <w:rPr>
            <w:noProof/>
            <w:szCs w:val="22"/>
            <w:lang w:val="it-IT"/>
          </w:rPr>
          <w:t xml:space="preserve"> grave</w:t>
        </w:r>
      </w:ins>
      <w:r>
        <w:rPr>
          <w:noProof/>
          <w:szCs w:val="22"/>
          <w:lang w:val="it-IT"/>
        </w:rPr>
        <w:t>/</w:t>
      </w:r>
      <w:del w:id="430" w:author="Author">
        <w:r>
          <w:rPr>
            <w:noProof/>
            <w:szCs w:val="22"/>
            <w:lang w:val="it-IT"/>
          </w:rPr>
          <w:delText>severa</w:delText>
        </w:r>
      </w:del>
      <w:r>
        <w:rPr>
          <w:noProof/>
          <w:szCs w:val="22"/>
          <w:lang w:val="it-IT"/>
        </w:rPr>
        <w:t xml:space="preserve"> reazione correlata all’infusione</w:t>
      </w:r>
      <w:ins w:id="431" w:author="Author">
        <w:r>
          <w:rPr>
            <w:noProof/>
            <w:szCs w:val="22"/>
            <w:lang w:val="it-IT"/>
          </w:rPr>
          <w:t xml:space="preserve"> grave</w:t>
        </w:r>
      </w:ins>
      <w:r>
        <w:rPr>
          <w:noProof/>
          <w:szCs w:val="22"/>
          <w:lang w:val="it-IT"/>
        </w:rPr>
        <w:t>, la somministrazione di tocilizumab deve essere interrotta immediatamente e il trattamento deve essere interrotto in modo permanente.</w:t>
      </w:r>
    </w:p>
    <w:p>
      <w:pPr>
        <w:tabs>
          <w:tab w:val="left" w:pos="180"/>
        </w:tabs>
        <w:ind w:left="567" w:hanging="567"/>
        <w:outlineLvl w:val="0"/>
        <w:rPr>
          <w:i/>
          <w:noProof/>
          <w:szCs w:val="22"/>
          <w:lang w:val="it-IT"/>
        </w:rPr>
      </w:pPr>
    </w:p>
    <w:p>
      <w:pPr>
        <w:tabs>
          <w:tab w:val="left" w:pos="180"/>
        </w:tabs>
        <w:ind w:left="567" w:hanging="567"/>
        <w:outlineLvl w:val="0"/>
        <w:rPr>
          <w:i/>
          <w:noProof/>
          <w:szCs w:val="22"/>
          <w:lang w:val="it-IT"/>
        </w:rPr>
      </w:pPr>
      <w:r>
        <w:rPr>
          <w:i/>
          <w:noProof/>
          <w:szCs w:val="22"/>
          <w:lang w:val="it-IT"/>
        </w:rPr>
        <w:t>Epatopatia attiva e compromissione epatica</w:t>
      </w:r>
    </w:p>
    <w:p>
      <w:pPr>
        <w:tabs>
          <w:tab w:val="left" w:pos="180"/>
        </w:tabs>
        <w:rPr>
          <w:noProof/>
          <w:szCs w:val="22"/>
          <w:lang w:val="it-IT"/>
        </w:rPr>
      </w:pPr>
      <w:r>
        <w:rPr>
          <w:noProof/>
          <w:szCs w:val="22"/>
          <w:lang w:val="it-IT"/>
        </w:rPr>
        <w:t>Il trattamento con tocilizumab, soprattutto se somministrato in concomitanza con MTX, può associarsi ad incrementi delle transaminasi epatiche; occorre quindi una certa cautela nel considerare il trattamento di pazienti con epatopatia attiva o compromissione epatica (vedere paragrafi 4.2 e 4.8).</w:t>
      </w:r>
    </w:p>
    <w:p>
      <w:pPr>
        <w:tabs>
          <w:tab w:val="left" w:pos="180"/>
        </w:tabs>
        <w:rPr>
          <w:noProof/>
          <w:szCs w:val="22"/>
          <w:lang w:val="it-IT"/>
        </w:rPr>
      </w:pPr>
    </w:p>
    <w:p>
      <w:pPr>
        <w:tabs>
          <w:tab w:val="left" w:pos="180"/>
        </w:tabs>
        <w:rPr>
          <w:i/>
          <w:noProof/>
          <w:szCs w:val="22"/>
          <w:lang w:val="it-IT"/>
        </w:rPr>
      </w:pPr>
      <w:r>
        <w:rPr>
          <w:i/>
          <w:noProof/>
          <w:szCs w:val="22"/>
          <w:lang w:val="it-IT"/>
        </w:rPr>
        <w:t>Epatotossicità</w:t>
      </w:r>
    </w:p>
    <w:p>
      <w:pPr>
        <w:tabs>
          <w:tab w:val="left" w:pos="180"/>
        </w:tabs>
        <w:rPr>
          <w:noProof/>
          <w:szCs w:val="22"/>
          <w:lang w:val="it-IT"/>
        </w:rPr>
      </w:pPr>
      <w:r>
        <w:rPr>
          <w:noProof/>
          <w:szCs w:val="22"/>
          <w:lang w:val="it-IT"/>
        </w:rPr>
        <w:t>Durante il trattamento con tocilizumab sono stati osservati comunemente aumenti transitori o intermittenti, di entità da lieve a moderata, delle transaminasi epatiche (vedere paragrafo 4.8). Un aumento della frequenza di tali aumenti è stato rilevato quando tocilizumab è stato somministrato in associazione con medicinali potenzialmente epatotossici (ad esempio MTX). Quando clinicamente indicato, devono essere considerate ulteriori analisi della funzione epatica, inclusa la determinazione della bilirubina.</w:t>
      </w:r>
    </w:p>
    <w:p>
      <w:pPr>
        <w:rPr>
          <w:noProof/>
          <w:lang w:val="it-IT"/>
        </w:rPr>
      </w:pPr>
    </w:p>
    <w:p>
      <w:pPr>
        <w:rPr>
          <w:noProof/>
          <w:lang w:val="it-IT"/>
        </w:rPr>
      </w:pPr>
      <w:r>
        <w:rPr>
          <w:noProof/>
          <w:lang w:val="it-IT"/>
        </w:rPr>
        <w:t xml:space="preserve">Durante il trattamento con tocilizumab è stato osservato </w:t>
      </w:r>
      <w:del w:id="432" w:author="Author">
        <w:r>
          <w:rPr>
            <w:noProof/>
            <w:lang w:val="it-IT"/>
          </w:rPr>
          <w:delText xml:space="preserve">severo </w:delText>
        </w:r>
      </w:del>
      <w:r>
        <w:rPr>
          <w:noProof/>
          <w:lang w:val="it-IT"/>
        </w:rPr>
        <w:t xml:space="preserve">danno epatico </w:t>
      </w:r>
      <w:ins w:id="433" w:author="Author">
        <w:r>
          <w:rPr>
            <w:noProof/>
            <w:lang w:val="it-IT"/>
          </w:rPr>
          <w:t xml:space="preserve">grave </w:t>
        </w:r>
      </w:ins>
      <w:r>
        <w:rPr>
          <w:noProof/>
          <w:lang w:val="it-IT"/>
        </w:rPr>
        <w:t>indotto da farmaco, tra cui insufficienza epatica acuta, epatite e ittero (vedere paragrafo 4.8). Casi di danno epatico severo si sono verificati tra le 2 settimane e oltre i 5 anni successivi all’inizio del trattamento</w:t>
      </w:r>
      <w:del w:id="434" w:author="Author">
        <w:r>
          <w:rPr>
            <w:noProof/>
            <w:lang w:val="it-IT"/>
          </w:rPr>
          <w:delText xml:space="preserve"> </w:delText>
        </w:r>
      </w:del>
      <w:r>
        <w:rPr>
          <w:noProof/>
          <w:lang w:val="it-IT"/>
        </w:rPr>
        <w:t>. Sono stati riportati casi di insufficienza epatica che hanno comportato il trapianto di fegato. I pazienti devono essere istruiti a rivolgersi immediatamente al medico in caso di manifestazione di segni e sintomi di danno epatico.</w:t>
      </w:r>
    </w:p>
    <w:p>
      <w:pPr>
        <w:tabs>
          <w:tab w:val="left" w:pos="180"/>
        </w:tabs>
        <w:rPr>
          <w:noProof/>
          <w:szCs w:val="22"/>
          <w:lang w:val="it-IT"/>
        </w:rPr>
      </w:pPr>
    </w:p>
    <w:p>
      <w:pPr>
        <w:tabs>
          <w:tab w:val="left" w:pos="180"/>
        </w:tabs>
        <w:rPr>
          <w:noProof/>
          <w:szCs w:val="22"/>
          <w:lang w:val="it-IT"/>
        </w:rPr>
      </w:pPr>
      <w:bookmarkStart w:id="435" w:name="_Hlk12052119"/>
      <w:r>
        <w:rPr>
          <w:noProof/>
          <w:szCs w:val="22"/>
          <w:lang w:val="it-IT"/>
        </w:rPr>
        <w:t xml:space="preserve">Occorre cautela nel considerare l’avvio del trattamento in pazienti che presentano livelli elevati di ALT o AST </w:t>
      </w:r>
      <w:r>
        <w:rPr>
          <w:noProof/>
          <w:szCs w:val="22"/>
          <w:lang w:val="it-IT"/>
        </w:rPr>
        <w:sym w:font="Symbol" w:char="F03E"/>
      </w:r>
      <w:ins w:id="436" w:author="Author">
        <w:r>
          <w:rPr>
            <w:noProof/>
            <w:szCs w:val="22"/>
            <w:lang w:val="it-IT"/>
          </w:rPr>
          <w:t xml:space="preserve"> </w:t>
        </w:r>
      </w:ins>
      <w:r>
        <w:rPr>
          <w:noProof/>
          <w:szCs w:val="22"/>
          <w:lang w:val="it-IT"/>
        </w:rPr>
        <w:t xml:space="preserve">1,5 volte ULN. Nei pazienti affetti da AR, AIGp e AIGs con ALT o AST al basale </w:t>
      </w:r>
      <w:r>
        <w:rPr>
          <w:noProof/>
          <w:szCs w:val="22"/>
          <w:lang w:val="it-IT"/>
        </w:rPr>
        <w:sym w:font="Symbol" w:char="F03E"/>
      </w:r>
      <w:ins w:id="437" w:author="Author">
        <w:r>
          <w:rPr>
            <w:noProof/>
            <w:szCs w:val="22"/>
            <w:lang w:val="it-IT"/>
          </w:rPr>
          <w:t xml:space="preserve"> </w:t>
        </w:r>
      </w:ins>
      <w:r>
        <w:rPr>
          <w:noProof/>
          <w:szCs w:val="22"/>
          <w:lang w:val="it-IT"/>
        </w:rPr>
        <w:t>5 volte ULN, il trattamento non è raccomandato</w:t>
      </w:r>
      <w:bookmarkEnd w:id="435"/>
      <w:r>
        <w:rPr>
          <w:noProof/>
          <w:szCs w:val="22"/>
          <w:lang w:val="it-IT"/>
        </w:rPr>
        <w:t>.</w:t>
      </w:r>
    </w:p>
    <w:p>
      <w:pPr>
        <w:tabs>
          <w:tab w:val="left" w:pos="180"/>
        </w:tabs>
        <w:rPr>
          <w:noProof/>
          <w:szCs w:val="22"/>
          <w:lang w:val="it-IT"/>
        </w:rPr>
      </w:pPr>
    </w:p>
    <w:p>
      <w:pPr>
        <w:tabs>
          <w:tab w:val="left" w:pos="180"/>
        </w:tabs>
        <w:rPr>
          <w:noProof/>
          <w:szCs w:val="22"/>
          <w:lang w:val="it-IT"/>
        </w:rPr>
      </w:pPr>
      <w:bookmarkStart w:id="438" w:name="_Hlk12052276"/>
      <w:r>
        <w:rPr>
          <w:noProof/>
          <w:szCs w:val="22"/>
          <w:lang w:val="it-IT"/>
        </w:rPr>
        <w:t>Nei pazienti affetti da AR, AIGp e AIGs i valori di ALT/AST devono essere monitorati ogni 4</w:t>
      </w:r>
      <w:ins w:id="439" w:author="Author">
        <w:r>
          <w:rPr>
            <w:noProof/>
            <w:szCs w:val="22"/>
            <w:lang w:val="it-IT"/>
          </w:rPr>
          <w:noBreakHyphen/>
        </w:r>
      </w:ins>
      <w:del w:id="440" w:author="Author">
        <w:r>
          <w:rPr>
            <w:noProof/>
            <w:szCs w:val="22"/>
            <w:lang w:val="it-IT"/>
          </w:rPr>
          <w:delText>-</w:delText>
        </w:r>
      </w:del>
      <w:r>
        <w:rPr>
          <w:noProof/>
          <w:szCs w:val="22"/>
          <w:lang w:val="it-IT"/>
        </w:rPr>
        <w:t xml:space="preserve">8 settimane per i primi 6 mesi di trattamento e in seguito ogni 12 settimane. Per le modifiche raccomandate in base ai livelli delle transaminasi, ivi inclusa la sospensione del trattamento con tocilizumab, vedere il paragrafo 4.2. Per incrementi di ALT o AST </w:t>
      </w:r>
      <w:r>
        <w:rPr>
          <w:noProof/>
          <w:szCs w:val="22"/>
          <w:lang w:val="it-IT"/>
        </w:rPr>
        <w:sym w:font="Symbol" w:char="F03E"/>
      </w:r>
      <w:ins w:id="441" w:author="Author">
        <w:r>
          <w:rPr>
            <w:noProof/>
            <w:szCs w:val="22"/>
            <w:lang w:val="it-IT"/>
          </w:rPr>
          <w:t xml:space="preserve"> </w:t>
        </w:r>
      </w:ins>
      <w:r>
        <w:rPr>
          <w:noProof/>
          <w:szCs w:val="22"/>
          <w:lang w:val="it-IT"/>
        </w:rPr>
        <w:t>3-5 volte ULN, confermati da un test ripetuto, il trattamento deve essere interrotto</w:t>
      </w:r>
      <w:bookmarkEnd w:id="438"/>
      <w:r>
        <w:rPr>
          <w:noProof/>
          <w:szCs w:val="22"/>
          <w:lang w:val="it-IT"/>
        </w:rPr>
        <w:t xml:space="preserve">. </w:t>
      </w:r>
    </w:p>
    <w:p>
      <w:pPr>
        <w:tabs>
          <w:tab w:val="left" w:pos="180"/>
        </w:tabs>
        <w:rPr>
          <w:noProof/>
          <w:szCs w:val="22"/>
          <w:lang w:val="it-IT"/>
        </w:rPr>
      </w:pPr>
    </w:p>
    <w:p>
      <w:pPr>
        <w:tabs>
          <w:tab w:val="left" w:pos="180"/>
        </w:tabs>
        <w:rPr>
          <w:i/>
          <w:noProof/>
          <w:szCs w:val="22"/>
          <w:lang w:val="it-IT"/>
        </w:rPr>
      </w:pPr>
      <w:del w:id="442" w:author="Author">
        <w:r>
          <w:rPr>
            <w:i/>
            <w:noProof/>
            <w:szCs w:val="22"/>
            <w:lang w:val="it-IT"/>
          </w:rPr>
          <w:delText xml:space="preserve">Anormalità </w:delText>
        </w:r>
      </w:del>
      <w:ins w:id="443" w:author="Author">
        <w:r>
          <w:rPr>
            <w:i/>
            <w:noProof/>
            <w:szCs w:val="22"/>
            <w:lang w:val="it-IT"/>
          </w:rPr>
          <w:t xml:space="preserve">Anomalie </w:t>
        </w:r>
      </w:ins>
      <w:r>
        <w:rPr>
          <w:i/>
          <w:noProof/>
          <w:szCs w:val="22"/>
          <w:lang w:val="it-IT"/>
        </w:rPr>
        <w:t>ematologiche</w:t>
      </w:r>
    </w:p>
    <w:p>
      <w:pPr>
        <w:tabs>
          <w:tab w:val="left" w:pos="180"/>
        </w:tabs>
        <w:rPr>
          <w:noProof/>
          <w:szCs w:val="22"/>
          <w:lang w:val="it-IT"/>
        </w:rPr>
      </w:pPr>
      <w:r>
        <w:rPr>
          <w:noProof/>
          <w:szCs w:val="22"/>
          <w:lang w:val="it-IT"/>
        </w:rPr>
        <w:lastRenderedPageBreak/>
        <w:t>In seguito al trattamento con tocilizumab 8 mg/kg associato a MTX, si sono verificate riduzioni della conta di neutrofili e piastrine (vedere paragrafo 4.8). Ci può essere un rischio maggiore di neutropenia nei pazienti precedentemente trattati con un antagonista del TNF.</w:t>
      </w:r>
    </w:p>
    <w:p>
      <w:pPr>
        <w:tabs>
          <w:tab w:val="left" w:pos="180"/>
        </w:tabs>
        <w:rPr>
          <w:noProof/>
          <w:szCs w:val="22"/>
          <w:lang w:val="it-IT"/>
        </w:rPr>
      </w:pPr>
    </w:p>
    <w:p>
      <w:pPr>
        <w:tabs>
          <w:tab w:val="left" w:pos="180"/>
        </w:tabs>
        <w:rPr>
          <w:noProof/>
          <w:szCs w:val="22"/>
          <w:lang w:val="it-IT"/>
        </w:rPr>
      </w:pPr>
      <w:r>
        <w:rPr>
          <w:noProof/>
          <w:szCs w:val="22"/>
          <w:lang w:val="it-IT"/>
        </w:rPr>
        <w:t>Nei pazienti non precedentemente trattati con tocilizumab, non è raccomandato l’inizio del trattamento se il paziente presenta una ANC inferiore a 2 </w:t>
      </w:r>
      <w:r>
        <w:rPr>
          <w:noProof/>
          <w:szCs w:val="22"/>
          <w:lang w:val="it-IT"/>
        </w:rPr>
        <w:sym w:font="Symbol" w:char="F0B4"/>
      </w:r>
      <w:r>
        <w:rPr>
          <w:noProof/>
          <w:szCs w:val="22"/>
          <w:lang w:val="it-IT"/>
        </w:rPr>
        <w:t> 10</w:t>
      </w:r>
      <w:r>
        <w:rPr>
          <w:noProof/>
          <w:szCs w:val="22"/>
          <w:vertAlign w:val="superscript"/>
          <w:lang w:val="it-IT"/>
        </w:rPr>
        <w:t>9</w:t>
      </w:r>
      <w:r>
        <w:rPr>
          <w:noProof/>
          <w:szCs w:val="22"/>
          <w:lang w:val="it-IT"/>
        </w:rPr>
        <w:t>/L. Occorre cautela nel considerare di iniziare il trattamento in pazienti che presentano una bassa conta di piastrine (cioè conta piastrinica inferiore a 100 </w:t>
      </w:r>
      <w:r>
        <w:rPr>
          <w:noProof/>
          <w:szCs w:val="22"/>
          <w:lang w:val="it-IT"/>
        </w:rPr>
        <w:sym w:font="Symbol" w:char="F0B4"/>
      </w:r>
      <w:ins w:id="444" w:author="Author">
        <w:r>
          <w:rPr>
            <w:noProof/>
            <w:szCs w:val="22"/>
            <w:lang w:val="it-IT"/>
          </w:rPr>
          <w:t> </w:t>
        </w:r>
      </w:ins>
      <w:r>
        <w:rPr>
          <w:noProof/>
          <w:szCs w:val="22"/>
          <w:lang w:val="it-IT"/>
        </w:rPr>
        <w:t>10</w:t>
      </w:r>
      <w:r>
        <w:rPr>
          <w:noProof/>
          <w:szCs w:val="22"/>
          <w:vertAlign w:val="superscript"/>
          <w:lang w:val="it-IT"/>
        </w:rPr>
        <w:t>3</w:t>
      </w:r>
      <w:r>
        <w:rPr>
          <w:noProof/>
          <w:szCs w:val="22"/>
          <w:lang w:val="it-IT"/>
        </w:rPr>
        <w:t>/</w:t>
      </w:r>
      <w:r>
        <w:rPr>
          <w:rFonts w:ascii="Symbol" w:eastAsia="MS Mincho" w:hAnsi="Symbol"/>
          <w:noProof/>
          <w:szCs w:val="22"/>
          <w:lang w:val="it-IT"/>
        </w:rPr>
        <w:sym w:font="Symbol" w:char="F06D"/>
      </w:r>
      <w:r>
        <w:rPr>
          <w:noProof/>
          <w:szCs w:val="22"/>
          <w:lang w:val="it-IT"/>
        </w:rPr>
        <w:t xml:space="preserve">L). Nei pazienti affetti da AR, AIGp e AIGs che sviluppano una ANC </w:t>
      </w:r>
      <w:r>
        <w:rPr>
          <w:noProof/>
          <w:szCs w:val="22"/>
          <w:lang w:val="it-IT"/>
        </w:rPr>
        <w:sym w:font="Symbol" w:char="F03C"/>
      </w:r>
      <w:r>
        <w:rPr>
          <w:noProof/>
          <w:szCs w:val="22"/>
          <w:lang w:val="it-IT"/>
        </w:rPr>
        <w:t> 0,5 </w:t>
      </w:r>
      <w:r>
        <w:rPr>
          <w:noProof/>
          <w:szCs w:val="22"/>
          <w:lang w:val="it-IT"/>
        </w:rPr>
        <w:sym w:font="Symbol" w:char="F0B4"/>
      </w:r>
      <w:ins w:id="445" w:author="Author">
        <w:r>
          <w:rPr>
            <w:noProof/>
            <w:szCs w:val="22"/>
            <w:lang w:val="it-IT"/>
          </w:rPr>
          <w:t> </w:t>
        </w:r>
      </w:ins>
      <w:r>
        <w:rPr>
          <w:noProof/>
          <w:szCs w:val="22"/>
          <w:lang w:val="it-IT"/>
        </w:rPr>
        <w:t>10</w:t>
      </w:r>
      <w:r>
        <w:rPr>
          <w:noProof/>
          <w:szCs w:val="22"/>
          <w:vertAlign w:val="superscript"/>
          <w:lang w:val="it-IT"/>
        </w:rPr>
        <w:t>9</w:t>
      </w:r>
      <w:r>
        <w:rPr>
          <w:noProof/>
          <w:szCs w:val="22"/>
          <w:lang w:val="it-IT"/>
        </w:rPr>
        <w:t xml:space="preserve">/L o una conta piastrinica </w:t>
      </w:r>
      <w:r>
        <w:rPr>
          <w:noProof/>
          <w:szCs w:val="22"/>
          <w:lang w:val="it-IT"/>
        </w:rPr>
        <w:sym w:font="Symbol" w:char="F03C"/>
      </w:r>
      <w:ins w:id="446" w:author="Author">
        <w:r>
          <w:rPr>
            <w:noProof/>
            <w:szCs w:val="22"/>
            <w:lang w:val="it-IT"/>
          </w:rPr>
          <w:t xml:space="preserve"> </w:t>
        </w:r>
      </w:ins>
      <w:r>
        <w:rPr>
          <w:noProof/>
          <w:szCs w:val="22"/>
          <w:lang w:val="it-IT"/>
        </w:rPr>
        <w:t>50 </w:t>
      </w:r>
      <w:r>
        <w:rPr>
          <w:noProof/>
          <w:szCs w:val="22"/>
          <w:lang w:val="it-IT"/>
        </w:rPr>
        <w:sym w:font="Symbol" w:char="F0B4"/>
      </w:r>
      <w:ins w:id="447" w:author="Author">
        <w:r>
          <w:rPr>
            <w:noProof/>
            <w:szCs w:val="22"/>
            <w:lang w:val="it-IT"/>
          </w:rPr>
          <w:t> </w:t>
        </w:r>
      </w:ins>
      <w:r>
        <w:rPr>
          <w:noProof/>
          <w:szCs w:val="22"/>
          <w:lang w:val="it-IT"/>
        </w:rPr>
        <w:t>10</w:t>
      </w:r>
      <w:r>
        <w:rPr>
          <w:noProof/>
          <w:szCs w:val="22"/>
          <w:vertAlign w:val="superscript"/>
          <w:lang w:val="it-IT"/>
        </w:rPr>
        <w:t>3</w:t>
      </w:r>
      <w:r>
        <w:rPr>
          <w:noProof/>
          <w:szCs w:val="22"/>
          <w:lang w:val="it-IT"/>
        </w:rPr>
        <w:t>/</w:t>
      </w:r>
      <w:r>
        <w:rPr>
          <w:rFonts w:ascii="Symbol" w:eastAsia="MS Mincho" w:hAnsi="Symbol"/>
          <w:noProof/>
          <w:szCs w:val="22"/>
          <w:lang w:val="it-IT"/>
        </w:rPr>
        <w:sym w:font="Symbol" w:char="F06D"/>
      </w:r>
      <w:r>
        <w:rPr>
          <w:noProof/>
          <w:szCs w:val="22"/>
          <w:lang w:val="it-IT"/>
        </w:rPr>
        <w:t>L, il proseguimento del trattamento non è raccomandato.</w:t>
      </w:r>
    </w:p>
    <w:p>
      <w:pPr>
        <w:tabs>
          <w:tab w:val="left" w:pos="180"/>
        </w:tabs>
        <w:rPr>
          <w:noProof/>
          <w:szCs w:val="22"/>
          <w:lang w:val="it-IT"/>
        </w:rPr>
      </w:pPr>
    </w:p>
    <w:p>
      <w:pPr>
        <w:tabs>
          <w:tab w:val="left" w:pos="180"/>
        </w:tabs>
        <w:rPr>
          <w:noProof/>
          <w:szCs w:val="22"/>
          <w:lang w:val="it-IT"/>
        </w:rPr>
      </w:pPr>
      <w:r>
        <w:rPr>
          <w:noProof/>
          <w:szCs w:val="22"/>
          <w:lang w:val="it-IT"/>
        </w:rPr>
        <w:t>Una neutropenia severa può essere associata ad un aumento del rischio di infezioni gravi, sebbene ad oggi non vi sia stata una chiara associazione tra la riduzione dei livelli dei neutrofili e l’insorgenza di infezioni gravi negli studi clinici con tocilizumab.</w:t>
      </w:r>
    </w:p>
    <w:p>
      <w:pPr>
        <w:tabs>
          <w:tab w:val="left" w:pos="180"/>
        </w:tabs>
        <w:rPr>
          <w:noProof/>
          <w:szCs w:val="22"/>
          <w:lang w:val="it-IT"/>
        </w:rPr>
      </w:pPr>
    </w:p>
    <w:p>
      <w:pPr>
        <w:tabs>
          <w:tab w:val="left" w:pos="180"/>
        </w:tabs>
        <w:rPr>
          <w:noProof/>
          <w:szCs w:val="22"/>
          <w:lang w:val="it-IT"/>
        </w:rPr>
      </w:pPr>
      <w:r>
        <w:rPr>
          <w:noProof/>
          <w:szCs w:val="22"/>
          <w:lang w:val="it-IT"/>
        </w:rPr>
        <w:t>Nei pazienti affetti da AR i livelli di neutrofili e piastrine devono essere monitorati 4-8 settimane dopo l’inizio della terapia e successivamente secondo gli standard di pratica clinica. Per le modifiche del dosaggio raccomandate in base alla ANC e alla conta piastrinica, vedere il paragrafo 4.2.</w:t>
      </w:r>
    </w:p>
    <w:p>
      <w:pPr>
        <w:tabs>
          <w:tab w:val="left" w:pos="180"/>
        </w:tabs>
        <w:rPr>
          <w:noProof/>
          <w:szCs w:val="22"/>
          <w:lang w:val="it-IT"/>
        </w:rPr>
      </w:pPr>
    </w:p>
    <w:p>
      <w:pPr>
        <w:tabs>
          <w:tab w:val="left" w:pos="180"/>
        </w:tabs>
        <w:rPr>
          <w:noProof/>
          <w:szCs w:val="22"/>
          <w:lang w:val="it-IT"/>
        </w:rPr>
      </w:pPr>
      <w:r>
        <w:rPr>
          <w:noProof/>
          <w:szCs w:val="22"/>
          <w:lang w:val="it-IT"/>
        </w:rPr>
        <w:t>Nei pazienti affetti da AIGp e AIGs i livelli di neutrofili e piastrine devono essere monitorati al momento della seconda infusione e successivamente, secondo gli standard di buona pratica clinica, vedere paragrafo 4.2.</w:t>
      </w:r>
    </w:p>
    <w:p>
      <w:pPr>
        <w:tabs>
          <w:tab w:val="left" w:pos="180"/>
        </w:tabs>
        <w:rPr>
          <w:noProof/>
          <w:szCs w:val="22"/>
          <w:lang w:val="it-IT"/>
        </w:rPr>
      </w:pPr>
    </w:p>
    <w:p>
      <w:pPr>
        <w:keepNext/>
        <w:keepLines/>
        <w:tabs>
          <w:tab w:val="left" w:pos="180"/>
        </w:tabs>
        <w:rPr>
          <w:i/>
          <w:noProof/>
          <w:szCs w:val="22"/>
          <w:lang w:val="it-IT"/>
        </w:rPr>
      </w:pPr>
      <w:r>
        <w:rPr>
          <w:i/>
          <w:noProof/>
          <w:szCs w:val="22"/>
          <w:lang w:val="it-IT"/>
        </w:rPr>
        <w:t>Parametri lipidici</w:t>
      </w:r>
    </w:p>
    <w:p>
      <w:pPr>
        <w:tabs>
          <w:tab w:val="left" w:pos="180"/>
        </w:tabs>
        <w:rPr>
          <w:noProof/>
          <w:szCs w:val="22"/>
          <w:lang w:val="it-IT"/>
        </w:rPr>
      </w:pPr>
      <w:r>
        <w:rPr>
          <w:noProof/>
          <w:szCs w:val="22"/>
          <w:lang w:val="it-IT"/>
        </w:rPr>
        <w:t>Sono stati osservati aumenti nei parametri lipidici, quali colesterolo totale, lipoproteine a bassa densità (LDL), lipoproteine ad alta densità (HDL) e trigliceridi nei pazienti trattati con tocilizumab (vedere paragrafo 4.8). Nella maggior parte dei pazienti non c’è stato un incremento dell’indice aterogenico, e l’incremento del colesterolo totale ha risposto al trattamento con agenti ipolipemizzanti.</w:t>
      </w:r>
    </w:p>
    <w:p>
      <w:pPr>
        <w:tabs>
          <w:tab w:val="left" w:pos="180"/>
        </w:tabs>
        <w:rPr>
          <w:noProof/>
          <w:szCs w:val="22"/>
          <w:lang w:val="it-IT"/>
        </w:rPr>
      </w:pPr>
    </w:p>
    <w:p>
      <w:pPr>
        <w:tabs>
          <w:tab w:val="left" w:pos="180"/>
        </w:tabs>
        <w:rPr>
          <w:noProof/>
          <w:szCs w:val="22"/>
          <w:lang w:val="it-IT"/>
        </w:rPr>
      </w:pPr>
      <w:r>
        <w:rPr>
          <w:noProof/>
          <w:szCs w:val="22"/>
          <w:lang w:val="it-IT"/>
        </w:rPr>
        <w:t>Nei pazienti affetti da AR, AIGp e AIGs i parametri lipidici devono essere valutati a 4-8 settimane dall’inizio della terapia. Per il trattamento dell’iperlipidemia, i pazienti devono essere trattati in accordo alle linee guida cliniche locali.</w:t>
      </w:r>
    </w:p>
    <w:p>
      <w:pPr>
        <w:tabs>
          <w:tab w:val="left" w:pos="180"/>
        </w:tabs>
        <w:rPr>
          <w:noProof/>
          <w:szCs w:val="22"/>
          <w:lang w:val="it-IT"/>
        </w:rPr>
      </w:pPr>
    </w:p>
    <w:p>
      <w:pPr>
        <w:keepNext/>
        <w:tabs>
          <w:tab w:val="left" w:pos="180"/>
        </w:tabs>
        <w:rPr>
          <w:i/>
          <w:noProof/>
          <w:szCs w:val="22"/>
          <w:lang w:val="it-IT"/>
        </w:rPr>
      </w:pPr>
      <w:del w:id="448" w:author="Author">
        <w:r>
          <w:rPr>
            <w:i/>
            <w:noProof/>
            <w:szCs w:val="22"/>
            <w:lang w:val="it-IT"/>
          </w:rPr>
          <w:delText xml:space="preserve">Disordini </w:delText>
        </w:r>
      </w:del>
      <w:ins w:id="449" w:author="Author">
        <w:r>
          <w:rPr>
            <w:i/>
            <w:noProof/>
            <w:szCs w:val="22"/>
            <w:lang w:val="it-IT"/>
          </w:rPr>
          <w:t xml:space="preserve">Disturbi </w:t>
        </w:r>
      </w:ins>
      <w:r>
        <w:rPr>
          <w:i/>
          <w:noProof/>
          <w:szCs w:val="22"/>
          <w:lang w:val="it-IT"/>
        </w:rPr>
        <w:t>neurologici</w:t>
      </w:r>
    </w:p>
    <w:p>
      <w:pPr>
        <w:tabs>
          <w:tab w:val="left" w:pos="180"/>
        </w:tabs>
        <w:rPr>
          <w:noProof/>
          <w:szCs w:val="22"/>
          <w:lang w:val="it-IT"/>
        </w:rPr>
      </w:pPr>
      <w:r>
        <w:rPr>
          <w:noProof/>
          <w:szCs w:val="22"/>
          <w:lang w:val="it-IT"/>
        </w:rPr>
        <w:t>I medici devono prestare attenzione alla presenza di sintomi che potenzialmente indichino l’insorgenza di disturbi da demielinizzazione centrale. Non è al momento nota la potenzialità di demielinizzazione centrale associata a tocilizumab.</w:t>
      </w:r>
    </w:p>
    <w:p>
      <w:pPr>
        <w:tabs>
          <w:tab w:val="left" w:pos="180"/>
        </w:tabs>
        <w:ind w:left="567" w:hanging="567"/>
        <w:outlineLvl w:val="0"/>
        <w:rPr>
          <w:noProof/>
          <w:szCs w:val="22"/>
          <w:lang w:val="it-IT"/>
        </w:rPr>
      </w:pPr>
    </w:p>
    <w:p>
      <w:pPr>
        <w:keepNext/>
        <w:keepLines/>
        <w:tabs>
          <w:tab w:val="left" w:pos="180"/>
        </w:tabs>
        <w:ind w:left="567" w:hanging="567"/>
        <w:outlineLvl w:val="0"/>
        <w:rPr>
          <w:i/>
          <w:noProof/>
          <w:szCs w:val="22"/>
          <w:lang w:val="it-IT"/>
        </w:rPr>
      </w:pPr>
      <w:r>
        <w:rPr>
          <w:i/>
          <w:noProof/>
          <w:szCs w:val="22"/>
          <w:lang w:val="it-IT"/>
        </w:rPr>
        <w:t>Neoplasie</w:t>
      </w:r>
    </w:p>
    <w:p>
      <w:pPr>
        <w:autoSpaceDE w:val="0"/>
        <w:autoSpaceDN w:val="0"/>
        <w:adjustRightInd w:val="0"/>
        <w:rPr>
          <w:rFonts w:eastAsia="SimSun"/>
          <w:noProof/>
          <w:szCs w:val="22"/>
          <w:lang w:val="it-IT" w:eastAsia="en-US"/>
        </w:rPr>
      </w:pPr>
      <w:r>
        <w:rPr>
          <w:noProof/>
          <w:szCs w:val="22"/>
          <w:lang w:val="it-IT"/>
        </w:rPr>
        <w:t xml:space="preserve">Nei pazienti affetti da AR il rischio di neoplasie è aumentato. I medicinali immunomodulatori possono aumentare il rischio di neoplasie. </w:t>
      </w:r>
      <w:r>
        <w:rPr>
          <w:rFonts w:eastAsia="Calibri"/>
          <w:noProof/>
          <w:szCs w:val="22"/>
          <w:lang w:val="it-IT" w:eastAsia="en-US"/>
        </w:rPr>
        <w:t>I dati clinici disponibili sono insufficienti per valutare la potenziale incidenza di neoplasie successivamente all’esposizione a tocilizumab. Sono in corso valutazioni sulla sicurezza a lungo termine.</w:t>
      </w:r>
    </w:p>
    <w:p>
      <w:pPr>
        <w:tabs>
          <w:tab w:val="left" w:pos="180"/>
        </w:tabs>
        <w:rPr>
          <w:i/>
          <w:noProof/>
          <w:szCs w:val="22"/>
          <w:lang w:val="it-IT"/>
        </w:rPr>
      </w:pPr>
    </w:p>
    <w:p>
      <w:pPr>
        <w:keepNext/>
        <w:keepLines/>
        <w:tabs>
          <w:tab w:val="left" w:pos="180"/>
        </w:tabs>
        <w:rPr>
          <w:i/>
          <w:noProof/>
          <w:szCs w:val="22"/>
          <w:lang w:val="it-IT"/>
        </w:rPr>
      </w:pPr>
      <w:r>
        <w:rPr>
          <w:i/>
          <w:noProof/>
          <w:szCs w:val="22"/>
          <w:lang w:val="it-IT"/>
        </w:rPr>
        <w:t>Vaccinazioni</w:t>
      </w:r>
    </w:p>
    <w:p>
      <w:pPr>
        <w:keepNext/>
        <w:keepLines/>
        <w:tabs>
          <w:tab w:val="left" w:pos="180"/>
        </w:tabs>
        <w:rPr>
          <w:noProof/>
          <w:szCs w:val="22"/>
          <w:lang w:val="it-IT"/>
        </w:rPr>
      </w:pPr>
      <w:r>
        <w:rPr>
          <w:noProof/>
          <w:szCs w:val="22"/>
          <w:lang w:val="it-IT"/>
        </w:rPr>
        <w:t xml:space="preserve">Vaccini vivi e vivi attenuati non devono essere somministrati in concomitanza con questo medicinale poiché non è stata stabilita la sicurezza clinica. In uno studio </w:t>
      </w:r>
      <w:ins w:id="450" w:author="Author">
        <w:r>
          <w:rPr>
            <w:noProof/>
            <w:szCs w:val="22"/>
            <w:lang w:val="it-IT"/>
          </w:rPr>
          <w:t xml:space="preserve">clinico </w:t>
        </w:r>
      </w:ins>
      <w:r>
        <w:rPr>
          <w:noProof/>
          <w:szCs w:val="22"/>
          <w:lang w:val="it-IT"/>
        </w:rPr>
        <w:t xml:space="preserve">randomizzato in aperto, i pazienti adulti con artrite reumatoide trattati con tocilizumab e MTX sono stati in grado di produrre una risposta efficace sia al vaccino pneumococcico polisaccaridico 23-valente che al vaccino tossoide del tetano, paragonabile alla risposta osservata nei pazienti trattati con solo MTX. </w:t>
      </w:r>
      <w:r>
        <w:rPr>
          <w:noProof/>
          <w:lang w:val="it-IT"/>
        </w:rPr>
        <w:t>In tutti i pazienti, in particolare nei soggetti affetti da AIGp e AIGs, prima di iniziare la terapia, si raccomanda di attuare il programma di vaccinazioni previsto dalle linee guida in vigore sulle vaccinazioni. L’intervallo tra la somministrazione di vaccini vivi e l’inizio della terapia deve essere conforme alle linee guida in vigore sulle vaccinazioni in merito agli agenti immunosoppressori.</w:t>
      </w:r>
    </w:p>
    <w:p>
      <w:pPr>
        <w:tabs>
          <w:tab w:val="left" w:pos="180"/>
        </w:tabs>
        <w:ind w:left="567" w:hanging="567"/>
        <w:outlineLvl w:val="0"/>
        <w:rPr>
          <w:noProof/>
          <w:szCs w:val="22"/>
          <w:lang w:val="it-IT"/>
        </w:rPr>
      </w:pPr>
    </w:p>
    <w:p>
      <w:pPr>
        <w:keepNext/>
        <w:keepLines/>
        <w:tabs>
          <w:tab w:val="left" w:pos="180"/>
        </w:tabs>
        <w:rPr>
          <w:i/>
          <w:noProof/>
          <w:szCs w:val="22"/>
          <w:lang w:val="it-IT"/>
        </w:rPr>
      </w:pPr>
      <w:r>
        <w:rPr>
          <w:i/>
          <w:noProof/>
          <w:szCs w:val="22"/>
          <w:lang w:val="it-IT"/>
        </w:rPr>
        <w:lastRenderedPageBreak/>
        <w:t xml:space="preserve">Rischio cardiovascolare </w:t>
      </w:r>
    </w:p>
    <w:p>
      <w:pPr>
        <w:keepNext/>
        <w:keepLines/>
        <w:tabs>
          <w:tab w:val="left" w:pos="180"/>
        </w:tabs>
        <w:rPr>
          <w:noProof/>
          <w:szCs w:val="22"/>
          <w:lang w:val="it-IT"/>
        </w:rPr>
      </w:pPr>
      <w:r>
        <w:rPr>
          <w:noProof/>
          <w:szCs w:val="22"/>
          <w:lang w:val="it-IT"/>
        </w:rPr>
        <w:t xml:space="preserve">I pazienti affetti da AR presentano un rischio aumentato di </w:t>
      </w:r>
      <w:del w:id="451" w:author="Author">
        <w:r>
          <w:rPr>
            <w:noProof/>
            <w:szCs w:val="22"/>
            <w:lang w:val="it-IT"/>
          </w:rPr>
          <w:delText xml:space="preserve">disordini </w:delText>
        </w:r>
      </w:del>
      <w:ins w:id="452" w:author="Author">
        <w:r>
          <w:rPr>
            <w:noProof/>
            <w:szCs w:val="22"/>
            <w:lang w:val="it-IT"/>
          </w:rPr>
          <w:t xml:space="preserve">disturbi </w:t>
        </w:r>
      </w:ins>
      <w:r>
        <w:rPr>
          <w:noProof/>
          <w:szCs w:val="22"/>
          <w:lang w:val="it-IT"/>
        </w:rPr>
        <w:t>cardiovascolari e nel loro trattamento standard deve rientrare la gestione dei fattori di rischio (quali ipertensione, iperlipidemia).</w:t>
      </w:r>
    </w:p>
    <w:p>
      <w:pPr>
        <w:tabs>
          <w:tab w:val="left" w:pos="180"/>
        </w:tabs>
        <w:rPr>
          <w:noProof/>
          <w:szCs w:val="22"/>
          <w:lang w:val="it-IT"/>
        </w:rPr>
      </w:pPr>
    </w:p>
    <w:p>
      <w:pPr>
        <w:keepNext/>
        <w:keepLines/>
        <w:tabs>
          <w:tab w:val="left" w:pos="180"/>
        </w:tabs>
        <w:rPr>
          <w:i/>
          <w:noProof/>
          <w:szCs w:val="22"/>
          <w:lang w:val="it-IT"/>
        </w:rPr>
      </w:pPr>
      <w:r>
        <w:rPr>
          <w:i/>
          <w:iCs/>
          <w:noProof/>
          <w:szCs w:val="22"/>
          <w:lang w:val="it-IT"/>
        </w:rPr>
        <w:t>Associazione</w:t>
      </w:r>
      <w:r>
        <w:rPr>
          <w:i/>
          <w:noProof/>
          <w:szCs w:val="22"/>
          <w:lang w:val="it-IT"/>
        </w:rPr>
        <w:t xml:space="preserve"> con antagonisti del TNF</w:t>
      </w:r>
    </w:p>
    <w:p>
      <w:pPr>
        <w:tabs>
          <w:tab w:val="left" w:pos="180"/>
        </w:tabs>
        <w:rPr>
          <w:noProof/>
          <w:szCs w:val="22"/>
          <w:lang w:val="it-IT"/>
        </w:rPr>
      </w:pPr>
      <w:r>
        <w:rPr>
          <w:noProof/>
          <w:szCs w:val="22"/>
          <w:lang w:val="it-IT"/>
        </w:rPr>
        <w:t>Non c’è esperienza sull’uso di tocilizumab unitamente agli antagonisti del TNF o ad altri trattamenti biologici per i pazienti affetti da AR, AIGp o AIGs. Questo medicinale non è raccomandato in associazione ad altri agenti biologici.</w:t>
      </w:r>
    </w:p>
    <w:p>
      <w:pPr>
        <w:tabs>
          <w:tab w:val="left" w:pos="180"/>
        </w:tabs>
        <w:rPr>
          <w:noProof/>
          <w:szCs w:val="22"/>
          <w:lang w:val="it-IT"/>
        </w:rPr>
      </w:pPr>
    </w:p>
    <w:p>
      <w:pPr>
        <w:tabs>
          <w:tab w:val="left" w:pos="180"/>
        </w:tabs>
        <w:rPr>
          <w:del w:id="453" w:author="Author"/>
          <w:i/>
          <w:noProof/>
          <w:szCs w:val="22"/>
          <w:lang w:val="it-IT"/>
        </w:rPr>
      </w:pPr>
      <w:del w:id="454" w:author="Author">
        <w:r>
          <w:rPr>
            <w:i/>
            <w:noProof/>
            <w:szCs w:val="22"/>
            <w:lang w:val="it-IT"/>
          </w:rPr>
          <w:delText>Sodio</w:delText>
        </w:r>
      </w:del>
    </w:p>
    <w:p>
      <w:pPr>
        <w:tabs>
          <w:tab w:val="left" w:pos="180"/>
        </w:tabs>
        <w:rPr>
          <w:del w:id="455" w:author="Author"/>
          <w:noProof/>
          <w:szCs w:val="22"/>
          <w:lang w:val="it-IT"/>
        </w:rPr>
      </w:pPr>
      <w:del w:id="456" w:author="Author">
        <w:r>
          <w:rPr>
            <w:noProof/>
            <w:szCs w:val="22"/>
            <w:lang w:val="it-IT"/>
          </w:rPr>
          <w:delText>Dopo diluzione con una soluzione di cloruro di sodio allo 0,9%, questo medicinale contiene 230,6 mg di sodio per dose massima di 800 mg equivalente a 11,5% dell’assunzione massima giornaliera raccomandata dall’OMS che corrisponde a 2 g di sodio per un adulto</w:delText>
        </w:r>
      </w:del>
    </w:p>
    <w:p>
      <w:pPr>
        <w:tabs>
          <w:tab w:val="left" w:pos="180"/>
        </w:tabs>
        <w:rPr>
          <w:del w:id="457" w:author="Author"/>
          <w:noProof/>
          <w:szCs w:val="22"/>
          <w:lang w:val="it-IT"/>
        </w:rPr>
      </w:pPr>
    </w:p>
    <w:p>
      <w:pPr>
        <w:tabs>
          <w:tab w:val="left" w:pos="180"/>
        </w:tabs>
        <w:rPr>
          <w:del w:id="458" w:author="Author"/>
          <w:i/>
          <w:iCs/>
          <w:noProof/>
          <w:szCs w:val="22"/>
          <w:lang w:val="it-IT"/>
        </w:rPr>
      </w:pPr>
      <w:del w:id="459" w:author="Author">
        <w:r>
          <w:rPr>
            <w:i/>
            <w:iCs/>
            <w:noProof/>
            <w:szCs w:val="22"/>
            <w:lang w:val="it-IT"/>
          </w:rPr>
          <w:delText>Polisorbato</w:delText>
        </w:r>
      </w:del>
    </w:p>
    <w:p>
      <w:pPr>
        <w:tabs>
          <w:tab w:val="left" w:pos="180"/>
        </w:tabs>
        <w:rPr>
          <w:del w:id="460" w:author="Author"/>
          <w:noProof/>
          <w:szCs w:val="22"/>
          <w:lang w:val="it-IT"/>
        </w:rPr>
      </w:pPr>
      <w:del w:id="461" w:author="Author">
        <w:r>
          <w:rPr>
            <w:noProof/>
            <w:szCs w:val="22"/>
            <w:lang w:val="it-IT"/>
          </w:rPr>
          <w:delText>Questo medicinale contiene 2 mg di polisorbato 80 per ogni flaconcino da 80 mg, 5 mg di polisorbato 80 per ogni flaconcino da 200 mg e 10 mg di polisorbato 80 per ogni flaconcino da 400 mg, equivalenti a  0,5 mg/mL. I polisorbati possono provocare reazioni allergiche. Si deve tener conto dei pazienti con allergie note.</w:delText>
        </w:r>
      </w:del>
    </w:p>
    <w:p>
      <w:pPr>
        <w:tabs>
          <w:tab w:val="left" w:pos="180"/>
        </w:tabs>
        <w:rPr>
          <w:del w:id="462" w:author="Author"/>
          <w:noProof/>
          <w:szCs w:val="22"/>
          <w:lang w:val="it-IT"/>
        </w:rPr>
      </w:pPr>
    </w:p>
    <w:p>
      <w:pPr>
        <w:tabs>
          <w:tab w:val="left" w:pos="180"/>
        </w:tabs>
        <w:rPr>
          <w:noProof/>
          <w:szCs w:val="22"/>
          <w:lang w:val="it-IT"/>
        </w:rPr>
      </w:pPr>
      <w:r>
        <w:rPr>
          <w:noProof/>
          <w:szCs w:val="22"/>
          <w:u w:val="single"/>
          <w:lang w:val="it-IT"/>
        </w:rPr>
        <w:t>Pazienti affetti da COVID-19</w:t>
      </w:r>
    </w:p>
    <w:p>
      <w:pPr>
        <w:pStyle w:val="ListParagraph"/>
        <w:ind w:left="567" w:hanging="567"/>
        <w:rPr>
          <w:noProof/>
          <w:sz w:val="22"/>
          <w:szCs w:val="22"/>
        </w:rPr>
        <w:pPrChange w:id="463" w:author="Author">
          <w:pPr>
            <w:pStyle w:val="ListParagraph"/>
            <w:ind w:hanging="720"/>
          </w:pPr>
        </w:pPrChange>
      </w:pPr>
      <w:r>
        <w:rPr>
          <w:noProof/>
          <w:sz w:val="22"/>
          <w:szCs w:val="22"/>
          <w:rPrChange w:id="464" w:author="Author">
            <w:rPr>
              <w:szCs w:val="22"/>
            </w:rPr>
          </w:rPrChange>
        </w:rPr>
        <w:sym w:font="Symbol" w:char="F0B7"/>
      </w:r>
      <w:r>
        <w:rPr>
          <w:noProof/>
          <w:sz w:val="22"/>
          <w:szCs w:val="22"/>
          <w:rPrChange w:id="465" w:author="Author">
            <w:rPr>
              <w:szCs w:val="22"/>
            </w:rPr>
          </w:rPrChange>
        </w:rPr>
        <w:tab/>
      </w:r>
      <w:r>
        <w:rPr>
          <w:noProof/>
          <w:sz w:val="22"/>
          <w:szCs w:val="22"/>
        </w:rPr>
        <w:t>L’efficacia di</w:t>
      </w:r>
      <w:del w:id="466" w:author="Author">
        <w:r>
          <w:rPr>
            <w:noProof/>
            <w:sz w:val="22"/>
            <w:szCs w:val="22"/>
          </w:rPr>
          <w:delText xml:space="preserve"> </w:delText>
        </w:r>
      </w:del>
      <w:r>
        <w:rPr>
          <w:noProof/>
          <w:sz w:val="22"/>
          <w:szCs w:val="22"/>
        </w:rPr>
        <w:t xml:space="preserve"> questo medicinale nei pazienti affetti da COVID 19 che non presentano livelli elevati di PCR (proteina C reattiva) non è stata stabilita; vede</w:t>
      </w:r>
      <w:ins w:id="467" w:author="Author">
        <w:r>
          <w:rPr>
            <w:noProof/>
            <w:sz w:val="22"/>
            <w:szCs w:val="22"/>
          </w:rPr>
          <w:t>r</w:t>
        </w:r>
      </w:ins>
      <w:r>
        <w:rPr>
          <w:noProof/>
          <w:sz w:val="22"/>
          <w:szCs w:val="22"/>
        </w:rPr>
        <w:t>e paragrafo 5.1.</w:t>
      </w:r>
    </w:p>
    <w:p>
      <w:pPr>
        <w:pStyle w:val="ListParagraph"/>
        <w:tabs>
          <w:tab w:val="left" w:pos="709"/>
        </w:tabs>
        <w:ind w:left="567" w:hanging="567"/>
        <w:rPr>
          <w:noProof/>
          <w:sz w:val="22"/>
          <w:szCs w:val="22"/>
          <w:rPrChange w:id="468" w:author="Author">
            <w:rPr>
              <w:szCs w:val="22"/>
            </w:rPr>
          </w:rPrChange>
        </w:rPr>
        <w:pPrChange w:id="469" w:author="Author">
          <w:pPr>
            <w:pStyle w:val="ListParagraph"/>
            <w:tabs>
              <w:tab w:val="left" w:pos="709"/>
            </w:tabs>
            <w:ind w:hanging="720"/>
          </w:pPr>
        </w:pPrChange>
      </w:pPr>
      <w:r>
        <w:rPr>
          <w:noProof/>
          <w:sz w:val="22"/>
          <w:szCs w:val="22"/>
          <w:rPrChange w:id="470" w:author="Author">
            <w:rPr>
              <w:szCs w:val="22"/>
            </w:rPr>
          </w:rPrChange>
        </w:rPr>
        <w:sym w:font="Symbol" w:char="F0B7"/>
      </w:r>
      <w:r>
        <w:rPr>
          <w:noProof/>
          <w:sz w:val="22"/>
          <w:szCs w:val="22"/>
          <w:rPrChange w:id="471" w:author="Author">
            <w:rPr>
              <w:szCs w:val="22"/>
            </w:rPr>
          </w:rPrChange>
        </w:rPr>
        <w:tab/>
      </w:r>
      <w:r>
        <w:rPr>
          <w:noProof/>
          <w:sz w:val="22"/>
          <w:szCs w:val="22"/>
        </w:rPr>
        <w:t>Questo medicinale non deve</w:t>
      </w:r>
      <w:del w:id="472" w:author="Author">
        <w:r>
          <w:rPr>
            <w:noProof/>
            <w:sz w:val="22"/>
            <w:szCs w:val="22"/>
          </w:rPr>
          <w:delText>re</w:delText>
        </w:r>
      </w:del>
      <w:r>
        <w:rPr>
          <w:noProof/>
          <w:sz w:val="22"/>
          <w:szCs w:val="22"/>
        </w:rPr>
        <w:t xml:space="preserve"> essere somministrato nei pazienti affetti da COVID 19 che non sono in trattamento con corticosteroidi sistemici poiché un aumento di mortalità non può essere escluso in questo sottogruppo, vedere paragrafo 5.1.</w:t>
      </w:r>
    </w:p>
    <w:p>
      <w:pPr>
        <w:tabs>
          <w:tab w:val="left" w:pos="180"/>
        </w:tabs>
        <w:rPr>
          <w:noProof/>
          <w:szCs w:val="22"/>
          <w:lang w:val="it-IT"/>
        </w:rPr>
      </w:pPr>
    </w:p>
    <w:p>
      <w:pPr>
        <w:tabs>
          <w:tab w:val="left" w:pos="180"/>
        </w:tabs>
        <w:rPr>
          <w:i/>
          <w:noProof/>
          <w:szCs w:val="22"/>
          <w:lang w:val="it-IT"/>
        </w:rPr>
      </w:pPr>
      <w:r>
        <w:rPr>
          <w:i/>
          <w:noProof/>
          <w:szCs w:val="22"/>
          <w:lang w:val="it-IT"/>
        </w:rPr>
        <w:t>Infezioni</w:t>
      </w:r>
    </w:p>
    <w:p>
      <w:pPr>
        <w:tabs>
          <w:tab w:val="left" w:pos="180"/>
        </w:tabs>
        <w:rPr>
          <w:noProof/>
          <w:szCs w:val="22"/>
          <w:lang w:val="it-IT"/>
        </w:rPr>
      </w:pPr>
      <w:r>
        <w:rPr>
          <w:noProof/>
          <w:szCs w:val="22"/>
          <w:lang w:val="it-IT"/>
        </w:rPr>
        <w:t>Questo medicinale non deve essere somministrato nei pazienti affetti da COVID-19 che presentano qualsiasi altra infezione attiva severa concomitante. Gli operatori sanitari devono prestare attenzione nel considerare l’uso di tocilizumab nei pazienti con un’anamnesi di infezioni ricorrenti o croniche o con patologie preesistenti (quali diverticolite, diabete e malattia polmonare interstiziale) che potrebbero predisporre i pazienti alle infezioni.</w:t>
      </w:r>
    </w:p>
    <w:p>
      <w:pPr>
        <w:tabs>
          <w:tab w:val="left" w:pos="180"/>
        </w:tabs>
        <w:rPr>
          <w:noProof/>
          <w:szCs w:val="22"/>
          <w:lang w:val="it-IT"/>
        </w:rPr>
      </w:pPr>
    </w:p>
    <w:p>
      <w:pPr>
        <w:keepNext/>
        <w:keepLines/>
        <w:tabs>
          <w:tab w:val="left" w:pos="180"/>
        </w:tabs>
        <w:rPr>
          <w:i/>
          <w:noProof/>
          <w:szCs w:val="22"/>
          <w:lang w:val="it-IT"/>
        </w:rPr>
      </w:pPr>
      <w:r>
        <w:rPr>
          <w:i/>
          <w:noProof/>
          <w:szCs w:val="22"/>
          <w:lang w:val="it-IT"/>
        </w:rPr>
        <w:t>Epatotossicità</w:t>
      </w:r>
    </w:p>
    <w:p>
      <w:pPr>
        <w:keepNext/>
        <w:keepLines/>
        <w:tabs>
          <w:tab w:val="left" w:pos="180"/>
        </w:tabs>
        <w:rPr>
          <w:noProof/>
          <w:szCs w:val="22"/>
          <w:lang w:val="it-IT"/>
        </w:rPr>
      </w:pPr>
      <w:r>
        <w:rPr>
          <w:noProof/>
          <w:szCs w:val="22"/>
          <w:lang w:val="it-IT"/>
        </w:rPr>
        <w:t xml:space="preserve">I pazienti affetti da COVID-19 </w:t>
      </w:r>
      <w:ins w:id="473" w:author="Author">
        <w:r>
          <w:rPr>
            <w:noProof/>
            <w:szCs w:val="22"/>
            <w:lang w:val="it-IT"/>
          </w:rPr>
          <w:t xml:space="preserve">ospedalizzati </w:t>
        </w:r>
      </w:ins>
      <w:del w:id="474" w:author="Author">
        <w:r>
          <w:rPr>
            <w:noProof/>
            <w:szCs w:val="22"/>
            <w:lang w:val="it-IT"/>
          </w:rPr>
          <w:delText xml:space="preserve">ricoverati in ospedale </w:delText>
        </w:r>
      </w:del>
      <w:r>
        <w:rPr>
          <w:noProof/>
          <w:szCs w:val="22"/>
          <w:lang w:val="it-IT"/>
        </w:rPr>
        <w:t>possono presentare livelli elevati di ALT o AST. L’insufficienza multiorgano con interessamento del fegato è una nota complicanza di COVID-19 severo. Nel decidere di somministrare tocilizumab si deve soppesare il beneficio potenziale apportato dal trattamento di COVID-19 rispetto ai rischi potenziali del trattamento acuto con tocilizumab. La somministrazione del trattamento con tocilizumab è non raccomandata nei pazienti affetti da</w:t>
      </w:r>
      <w:del w:id="475" w:author="Author">
        <w:r>
          <w:rPr>
            <w:noProof/>
            <w:szCs w:val="22"/>
            <w:lang w:val="it-IT"/>
          </w:rPr>
          <w:delText xml:space="preserve"> </w:delText>
        </w:r>
      </w:del>
      <w:r>
        <w:rPr>
          <w:noProof/>
          <w:szCs w:val="22"/>
          <w:lang w:val="it-IT"/>
        </w:rPr>
        <w:t xml:space="preserve"> COVID-19 con livelli elevati di ALT o AST superiori a 10 volte ULN. Nei pazienti affetti da COVID-19 i valori di ALT/AST devono essere monitorati secondo la pratica clinica standard.</w:t>
      </w:r>
    </w:p>
    <w:p>
      <w:pPr>
        <w:tabs>
          <w:tab w:val="left" w:pos="180"/>
        </w:tabs>
        <w:rPr>
          <w:noProof/>
          <w:szCs w:val="22"/>
          <w:lang w:val="it-IT"/>
        </w:rPr>
      </w:pPr>
    </w:p>
    <w:p>
      <w:pPr>
        <w:keepNext/>
        <w:keepLines/>
        <w:tabs>
          <w:tab w:val="left" w:pos="180"/>
        </w:tabs>
        <w:rPr>
          <w:i/>
          <w:noProof/>
          <w:szCs w:val="22"/>
          <w:lang w:val="it-IT"/>
        </w:rPr>
      </w:pPr>
      <w:r>
        <w:rPr>
          <w:i/>
          <w:noProof/>
          <w:szCs w:val="22"/>
          <w:lang w:val="it-IT"/>
        </w:rPr>
        <w:t>Anomalie di laboratorio</w:t>
      </w:r>
    </w:p>
    <w:p>
      <w:pPr>
        <w:keepNext/>
        <w:keepLines/>
        <w:tabs>
          <w:tab w:val="left" w:pos="180"/>
        </w:tabs>
        <w:rPr>
          <w:noProof/>
          <w:szCs w:val="22"/>
          <w:lang w:val="it-IT"/>
        </w:rPr>
      </w:pPr>
      <w:r>
        <w:rPr>
          <w:noProof/>
          <w:szCs w:val="22"/>
          <w:lang w:val="it-IT"/>
        </w:rPr>
        <w:t xml:space="preserve">La somministrazione del trattamento non è raccomandata nei pazienti affetti da COVID-19 che sviluppano una ANC </w:t>
      </w:r>
      <w:r>
        <w:rPr>
          <w:noProof/>
          <w:szCs w:val="22"/>
          <w:lang w:val="it-IT"/>
        </w:rPr>
        <w:sym w:font="Symbol" w:char="F03C"/>
      </w:r>
      <w:r>
        <w:rPr>
          <w:noProof/>
          <w:szCs w:val="22"/>
          <w:lang w:val="it-IT"/>
        </w:rPr>
        <w:t> 1 </w:t>
      </w:r>
      <w:r>
        <w:rPr>
          <w:noProof/>
          <w:szCs w:val="22"/>
          <w:lang w:val="it-IT"/>
        </w:rPr>
        <w:sym w:font="Symbol" w:char="F0B4"/>
      </w:r>
      <w:ins w:id="476" w:author="Author">
        <w:r>
          <w:rPr>
            <w:noProof/>
            <w:szCs w:val="22"/>
            <w:lang w:val="it-IT"/>
          </w:rPr>
          <w:t xml:space="preserve"> </w:t>
        </w:r>
      </w:ins>
      <w:r>
        <w:rPr>
          <w:noProof/>
          <w:szCs w:val="22"/>
          <w:lang w:val="it-IT"/>
        </w:rPr>
        <w:t>10</w:t>
      </w:r>
      <w:r>
        <w:rPr>
          <w:noProof/>
          <w:szCs w:val="22"/>
          <w:vertAlign w:val="superscript"/>
          <w:lang w:val="it-IT"/>
        </w:rPr>
        <w:t>9</w:t>
      </w:r>
      <w:r>
        <w:rPr>
          <w:noProof/>
          <w:szCs w:val="22"/>
          <w:lang w:val="it-IT"/>
        </w:rPr>
        <w:t xml:space="preserve">/L o una conta piastrinica </w:t>
      </w:r>
      <w:r>
        <w:rPr>
          <w:noProof/>
          <w:szCs w:val="22"/>
          <w:lang w:val="it-IT"/>
        </w:rPr>
        <w:sym w:font="Symbol" w:char="F03C"/>
      </w:r>
      <w:ins w:id="477" w:author="Author">
        <w:r>
          <w:rPr>
            <w:noProof/>
            <w:szCs w:val="22"/>
            <w:lang w:val="it-IT"/>
          </w:rPr>
          <w:t xml:space="preserve"> </w:t>
        </w:r>
      </w:ins>
      <w:r>
        <w:rPr>
          <w:noProof/>
          <w:szCs w:val="22"/>
          <w:lang w:val="it-IT"/>
        </w:rPr>
        <w:t>50 x 10</w:t>
      </w:r>
      <w:r>
        <w:rPr>
          <w:noProof/>
          <w:szCs w:val="22"/>
          <w:vertAlign w:val="superscript"/>
          <w:lang w:val="it-IT"/>
        </w:rPr>
        <w:t>3</w:t>
      </w:r>
      <w:r>
        <w:rPr>
          <w:noProof/>
          <w:szCs w:val="22"/>
          <w:lang w:val="it-IT"/>
        </w:rPr>
        <w:t>/</w:t>
      </w:r>
      <w:r>
        <w:rPr>
          <w:rFonts w:ascii="Symbol" w:eastAsia="MS Mincho" w:hAnsi="Symbol"/>
          <w:noProof/>
          <w:szCs w:val="22"/>
          <w:lang w:val="it-IT"/>
        </w:rPr>
        <w:sym w:font="Symbol" w:char="F06D"/>
      </w:r>
      <w:r>
        <w:rPr>
          <w:noProof/>
          <w:szCs w:val="22"/>
          <w:lang w:val="it-IT"/>
        </w:rPr>
        <w:t>L. La conta di neutrofili e piastrine deve essere monitorata secondo la</w:t>
      </w:r>
      <w:del w:id="478" w:author="Author">
        <w:r>
          <w:rPr>
            <w:noProof/>
            <w:szCs w:val="22"/>
            <w:lang w:val="it-IT"/>
          </w:rPr>
          <w:delText xml:space="preserve"> </w:delText>
        </w:r>
      </w:del>
      <w:r>
        <w:rPr>
          <w:noProof/>
          <w:szCs w:val="22"/>
          <w:lang w:val="it-IT"/>
        </w:rPr>
        <w:t xml:space="preserve"> pratica clinica standard; vedere paragrafo 4.2.</w:t>
      </w:r>
    </w:p>
    <w:p>
      <w:pPr>
        <w:tabs>
          <w:tab w:val="left" w:pos="180"/>
        </w:tabs>
        <w:rPr>
          <w:noProof/>
          <w:szCs w:val="22"/>
          <w:lang w:val="it-IT"/>
        </w:rPr>
      </w:pPr>
    </w:p>
    <w:p>
      <w:pPr>
        <w:keepNext/>
        <w:tabs>
          <w:tab w:val="left" w:pos="180"/>
        </w:tabs>
        <w:rPr>
          <w:noProof/>
          <w:szCs w:val="22"/>
          <w:u w:val="single"/>
          <w:lang w:val="it-IT"/>
        </w:rPr>
        <w:pPrChange w:id="479" w:author="Author">
          <w:pPr>
            <w:tabs>
              <w:tab w:val="left" w:pos="180"/>
            </w:tabs>
          </w:pPr>
        </w:pPrChange>
      </w:pPr>
      <w:r>
        <w:rPr>
          <w:noProof/>
          <w:szCs w:val="22"/>
          <w:u w:val="single"/>
          <w:lang w:val="it-IT"/>
        </w:rPr>
        <w:t>Popolazione pediatrica</w:t>
      </w:r>
    </w:p>
    <w:p>
      <w:pPr>
        <w:keepNext/>
        <w:tabs>
          <w:tab w:val="left" w:pos="180"/>
        </w:tabs>
        <w:rPr>
          <w:del w:id="480" w:author="Author"/>
          <w:b/>
          <w:noProof/>
          <w:u w:val="single"/>
          <w:lang w:val="it-IT"/>
        </w:rPr>
        <w:pPrChange w:id="481" w:author="Author">
          <w:pPr>
            <w:tabs>
              <w:tab w:val="left" w:pos="180"/>
            </w:tabs>
          </w:pPr>
        </w:pPrChange>
      </w:pPr>
    </w:p>
    <w:p>
      <w:pPr>
        <w:keepNext/>
        <w:keepLines/>
        <w:tabs>
          <w:tab w:val="left" w:pos="180"/>
        </w:tabs>
        <w:rPr>
          <w:del w:id="482" w:author="Author"/>
          <w:i/>
          <w:noProof/>
          <w:lang w:val="it-IT"/>
        </w:rPr>
      </w:pPr>
      <w:r>
        <w:rPr>
          <w:i/>
          <w:noProof/>
          <w:lang w:val="it-IT"/>
        </w:rPr>
        <w:t>Pazienti affetti da AIGs</w:t>
      </w:r>
    </w:p>
    <w:p>
      <w:pPr>
        <w:keepNext/>
        <w:keepLines/>
        <w:tabs>
          <w:tab w:val="left" w:pos="180"/>
        </w:tabs>
        <w:rPr>
          <w:noProof/>
          <w:lang w:val="it-IT"/>
        </w:rPr>
      </w:pPr>
    </w:p>
    <w:p>
      <w:pPr>
        <w:keepNext/>
        <w:keepLines/>
        <w:tabs>
          <w:tab w:val="left" w:pos="180"/>
        </w:tabs>
        <w:rPr>
          <w:noProof/>
          <w:szCs w:val="22"/>
          <w:lang w:val="it-IT"/>
        </w:rPr>
      </w:pPr>
      <w:r>
        <w:rPr>
          <w:noProof/>
          <w:lang w:val="it-IT"/>
        </w:rPr>
        <w:t>La sindrome da attivazione macrofagica (</w:t>
      </w:r>
      <w:r>
        <w:rPr>
          <w:i/>
          <w:noProof/>
          <w:lang w:val="it-IT"/>
        </w:rPr>
        <w:t>macrophage activation syndrome</w:t>
      </w:r>
      <w:r>
        <w:rPr>
          <w:noProof/>
          <w:lang w:val="it-IT"/>
        </w:rPr>
        <w:t>, MAS) è un disturbo grave potenzialmente letale che i pazienti affetti da AIGs potrebbero sviluppare. Negli studi clinici, tocilizumab non è stato studiato nei pazienti che presentavano un episodio di MAS attiva.</w:t>
      </w:r>
    </w:p>
    <w:p>
      <w:pPr>
        <w:tabs>
          <w:tab w:val="left" w:pos="180"/>
        </w:tabs>
        <w:rPr>
          <w:ins w:id="483" w:author="Author"/>
          <w:i/>
          <w:noProof/>
          <w:szCs w:val="22"/>
          <w:lang w:val="it-IT"/>
        </w:rPr>
      </w:pPr>
    </w:p>
    <w:p>
      <w:pPr>
        <w:keepNext/>
        <w:keepLines/>
        <w:tabs>
          <w:tab w:val="left" w:pos="180"/>
        </w:tabs>
        <w:rPr>
          <w:ins w:id="484" w:author="Author"/>
          <w:i/>
          <w:noProof/>
          <w:szCs w:val="22"/>
          <w:lang w:val="it-IT"/>
        </w:rPr>
        <w:pPrChange w:id="485" w:author="Author">
          <w:pPr>
            <w:tabs>
              <w:tab w:val="left" w:pos="180"/>
            </w:tabs>
          </w:pPr>
        </w:pPrChange>
      </w:pPr>
      <w:ins w:id="486" w:author="Author">
        <w:r>
          <w:rPr>
            <w:i/>
            <w:noProof/>
            <w:szCs w:val="22"/>
            <w:lang w:val="it-IT"/>
          </w:rPr>
          <w:t>Sodio</w:t>
        </w:r>
      </w:ins>
    </w:p>
    <w:p>
      <w:pPr>
        <w:tabs>
          <w:tab w:val="left" w:pos="180"/>
        </w:tabs>
        <w:rPr>
          <w:ins w:id="487" w:author="Author"/>
          <w:noProof/>
          <w:szCs w:val="22"/>
          <w:lang w:val="it-IT"/>
        </w:rPr>
      </w:pPr>
      <w:ins w:id="488" w:author="Author">
        <w:r>
          <w:rPr>
            <w:noProof/>
            <w:szCs w:val="22"/>
            <w:lang w:val="it-IT"/>
          </w:rPr>
          <w:t xml:space="preserve">Dopo diluizione con una soluzione di sodio cloruro </w:t>
        </w:r>
        <w:del w:id="489" w:author="Author">
          <w:r>
            <w:rPr>
              <w:noProof/>
              <w:szCs w:val="22"/>
              <w:lang w:val="it-IT"/>
            </w:rPr>
            <w:delText xml:space="preserve">di sodio </w:delText>
          </w:r>
        </w:del>
        <w:r>
          <w:rPr>
            <w:noProof/>
            <w:szCs w:val="22"/>
            <w:lang w:val="it-IT"/>
          </w:rPr>
          <w:t>allo 0,9%, questo medicinale contiene 230,6 mg di sodio per dose massima di 800 mg, equivalenti all’11,5% dell’assunzione massima giornaliera raccomandata dall’OMS che corrisponde a 2 g di sodio per un adulto.</w:t>
        </w:r>
      </w:ins>
    </w:p>
    <w:p>
      <w:pPr>
        <w:tabs>
          <w:tab w:val="left" w:pos="180"/>
        </w:tabs>
        <w:rPr>
          <w:ins w:id="490" w:author="Author"/>
          <w:noProof/>
          <w:szCs w:val="22"/>
          <w:lang w:val="it-IT"/>
        </w:rPr>
      </w:pPr>
    </w:p>
    <w:p>
      <w:pPr>
        <w:keepNext/>
        <w:keepLines/>
        <w:tabs>
          <w:tab w:val="left" w:pos="180"/>
        </w:tabs>
        <w:rPr>
          <w:ins w:id="491" w:author="Author"/>
          <w:i/>
          <w:iCs/>
          <w:noProof/>
          <w:szCs w:val="22"/>
          <w:lang w:val="it-IT"/>
        </w:rPr>
        <w:pPrChange w:id="492" w:author="Author">
          <w:pPr>
            <w:tabs>
              <w:tab w:val="left" w:pos="180"/>
            </w:tabs>
          </w:pPr>
        </w:pPrChange>
      </w:pPr>
      <w:ins w:id="493" w:author="Author">
        <w:r>
          <w:rPr>
            <w:i/>
            <w:iCs/>
            <w:noProof/>
            <w:szCs w:val="22"/>
            <w:lang w:val="it-IT"/>
          </w:rPr>
          <w:t>Polisorbato 80 (E 433)</w:t>
        </w:r>
      </w:ins>
    </w:p>
    <w:p>
      <w:pPr>
        <w:tabs>
          <w:tab w:val="left" w:pos="180"/>
        </w:tabs>
        <w:rPr>
          <w:ins w:id="494" w:author="Author"/>
          <w:noProof/>
          <w:szCs w:val="22"/>
          <w:lang w:val="it-IT"/>
        </w:rPr>
      </w:pPr>
      <w:ins w:id="495" w:author="Author">
        <w:r>
          <w:rPr>
            <w:noProof/>
            <w:szCs w:val="22"/>
            <w:lang w:val="it-IT"/>
          </w:rPr>
          <w:t>Questo medicinale contiene 2 mg di polisorbato 80 per ogni flaconcino da 80 mg, 5 mg di polisorbato 80 per ogni flaconcino da 200 mg e 10 mg di polisorbato 80 per ogni flaconcino da 400 mg, equivalenti a 0,5 mg/mL.</w:t>
        </w:r>
      </w:ins>
    </w:p>
    <w:p>
      <w:pPr>
        <w:tabs>
          <w:tab w:val="left" w:pos="180"/>
        </w:tabs>
        <w:rPr>
          <w:ins w:id="496" w:author="Author"/>
          <w:noProof/>
          <w:szCs w:val="22"/>
          <w:lang w:val="it-IT"/>
        </w:rPr>
      </w:pPr>
      <w:ins w:id="497" w:author="Author">
        <w:r>
          <w:rPr>
            <w:noProof/>
            <w:szCs w:val="22"/>
            <w:lang w:val="it-IT"/>
          </w:rPr>
          <w:t xml:space="preserve">I polisorbati possono provocare reazioni allergiche. </w:t>
        </w:r>
        <w:del w:id="498" w:author="Author">
          <w:r>
            <w:rPr>
              <w:noProof/>
              <w:szCs w:val="22"/>
              <w:lang w:val="it-IT"/>
            </w:rPr>
            <w:delText>Occorre</w:delText>
          </w:r>
        </w:del>
        <w:r>
          <w:rPr>
            <w:noProof/>
            <w:szCs w:val="22"/>
            <w:lang w:val="it-IT"/>
            <w:rPrChange w:id="499" w:author="Author">
              <w:rPr>
                <w:noProof/>
                <w:szCs w:val="22"/>
                <w:highlight w:val="yellow"/>
                <w:lang w:val="it-IT"/>
              </w:rPr>
            </w:rPrChange>
          </w:rPr>
          <w:t>Si deve</w:t>
        </w:r>
        <w:r>
          <w:rPr>
            <w:noProof/>
            <w:szCs w:val="22"/>
            <w:lang w:val="it-IT"/>
          </w:rPr>
          <w:t xml:space="preserve"> tenere </w:t>
        </w:r>
        <w:del w:id="500" w:author="Author">
          <w:r>
            <w:rPr>
              <w:noProof/>
              <w:szCs w:val="22"/>
              <w:lang w:val="it-IT"/>
            </w:rPr>
            <w:delText xml:space="preserve">in considerazione </w:delText>
          </w:r>
        </w:del>
        <w:r>
          <w:rPr>
            <w:noProof/>
            <w:szCs w:val="22"/>
            <w:lang w:val="it-IT"/>
            <w:rPrChange w:id="501" w:author="Author">
              <w:rPr>
                <w:noProof/>
                <w:szCs w:val="22"/>
                <w:highlight w:val="yellow"/>
                <w:lang w:val="it-IT"/>
              </w:rPr>
            </w:rPrChange>
          </w:rPr>
          <w:t>conto dei pazienti con</w:t>
        </w:r>
        <w:del w:id="502" w:author="Author">
          <w:r>
            <w:rPr>
              <w:noProof/>
              <w:szCs w:val="22"/>
              <w:lang w:val="it-IT"/>
            </w:rPr>
            <w:delText>le</w:delText>
          </w:r>
        </w:del>
        <w:r>
          <w:rPr>
            <w:noProof/>
            <w:szCs w:val="22"/>
            <w:lang w:val="it-IT"/>
          </w:rPr>
          <w:t xml:space="preserve"> allergie note</w:t>
        </w:r>
        <w:del w:id="503" w:author="Author">
          <w:r>
            <w:rPr>
              <w:noProof/>
              <w:szCs w:val="22"/>
              <w:lang w:val="it-IT"/>
            </w:rPr>
            <w:delText xml:space="preserve"> dei pazienti</w:delText>
          </w:r>
        </w:del>
        <w:r>
          <w:rPr>
            <w:noProof/>
            <w:szCs w:val="22"/>
            <w:lang w:val="it-IT"/>
          </w:rPr>
          <w:t>.</w:t>
        </w:r>
      </w:ins>
    </w:p>
    <w:p>
      <w:pPr>
        <w:tabs>
          <w:tab w:val="left" w:pos="180"/>
        </w:tabs>
        <w:rPr>
          <w:noProof/>
          <w:szCs w:val="22"/>
          <w:lang w:val="it-IT"/>
        </w:rPr>
      </w:pPr>
    </w:p>
    <w:p>
      <w:pPr>
        <w:keepNext/>
        <w:keepLines/>
        <w:tabs>
          <w:tab w:val="left" w:pos="180"/>
        </w:tabs>
        <w:ind w:left="567" w:hanging="567"/>
        <w:outlineLvl w:val="0"/>
        <w:rPr>
          <w:noProof/>
          <w:szCs w:val="22"/>
          <w:lang w:val="it-IT"/>
        </w:rPr>
      </w:pPr>
      <w:r>
        <w:rPr>
          <w:b/>
          <w:noProof/>
          <w:szCs w:val="22"/>
          <w:lang w:val="it-IT"/>
        </w:rPr>
        <w:t>4.5</w:t>
      </w:r>
      <w:r>
        <w:rPr>
          <w:b/>
          <w:noProof/>
          <w:szCs w:val="22"/>
          <w:lang w:val="it-IT"/>
        </w:rPr>
        <w:tab/>
        <w:t>Interazioni con altri medicinali ed altre forme di interazione</w:t>
      </w:r>
    </w:p>
    <w:p>
      <w:pPr>
        <w:tabs>
          <w:tab w:val="left" w:pos="180"/>
        </w:tabs>
        <w:rPr>
          <w:noProof/>
          <w:szCs w:val="22"/>
          <w:lang w:val="it-IT"/>
        </w:rPr>
      </w:pPr>
    </w:p>
    <w:p>
      <w:pPr>
        <w:tabs>
          <w:tab w:val="left" w:pos="180"/>
        </w:tabs>
        <w:rPr>
          <w:noProof/>
          <w:szCs w:val="22"/>
          <w:lang w:val="it-IT"/>
        </w:rPr>
      </w:pPr>
      <w:r>
        <w:rPr>
          <w:noProof/>
          <w:szCs w:val="22"/>
          <w:lang w:val="it-IT"/>
        </w:rPr>
        <w:t>Gli studi di interazione sono stati condotti solo negli adulti.</w:t>
      </w:r>
    </w:p>
    <w:p>
      <w:pPr>
        <w:tabs>
          <w:tab w:val="left" w:pos="180"/>
        </w:tabs>
        <w:rPr>
          <w:noProof/>
          <w:szCs w:val="22"/>
          <w:lang w:val="it-IT"/>
        </w:rPr>
      </w:pPr>
    </w:p>
    <w:p>
      <w:pPr>
        <w:tabs>
          <w:tab w:val="left" w:pos="180"/>
        </w:tabs>
        <w:rPr>
          <w:noProof/>
          <w:szCs w:val="22"/>
          <w:lang w:val="it-IT"/>
        </w:rPr>
      </w:pPr>
      <w:r>
        <w:rPr>
          <w:noProof/>
          <w:szCs w:val="22"/>
          <w:lang w:val="it-IT"/>
        </w:rPr>
        <w:t>La somministrazione concomitante di una singola dose di 10 mg/kg di tocilizumab con 10-25 mg di MTX una volta a settimana non ha avuto effetti clinicamente significativi sull’esposizione a MTX.</w:t>
      </w:r>
    </w:p>
    <w:p>
      <w:pPr>
        <w:tabs>
          <w:tab w:val="left" w:pos="180"/>
        </w:tabs>
        <w:rPr>
          <w:noProof/>
          <w:szCs w:val="22"/>
          <w:lang w:val="it-IT"/>
        </w:rPr>
      </w:pPr>
    </w:p>
    <w:p>
      <w:pPr>
        <w:tabs>
          <w:tab w:val="left" w:pos="180"/>
        </w:tabs>
        <w:rPr>
          <w:noProof/>
          <w:szCs w:val="22"/>
          <w:lang w:val="it-IT"/>
        </w:rPr>
      </w:pPr>
      <w:r>
        <w:rPr>
          <w:noProof/>
          <w:szCs w:val="22"/>
          <w:lang w:val="it-IT"/>
        </w:rPr>
        <w:t>Le analisi di farmacocinetica di popolazione non hanno evidenziato alcun effetto di MTX, FANS o corticosteroidi sulla clearance di tocilizumab.</w:t>
      </w:r>
    </w:p>
    <w:p>
      <w:pPr>
        <w:tabs>
          <w:tab w:val="left" w:pos="180"/>
        </w:tabs>
        <w:rPr>
          <w:noProof/>
          <w:szCs w:val="22"/>
          <w:lang w:val="it-IT"/>
        </w:rPr>
      </w:pPr>
    </w:p>
    <w:p>
      <w:pPr>
        <w:tabs>
          <w:tab w:val="left" w:pos="180"/>
        </w:tabs>
        <w:rPr>
          <w:noProof/>
          <w:szCs w:val="22"/>
          <w:lang w:val="it-IT"/>
        </w:rPr>
      </w:pPr>
      <w:r>
        <w:rPr>
          <w:noProof/>
          <w:szCs w:val="22"/>
          <w:lang w:val="it-IT"/>
        </w:rPr>
        <w:t>L’espressione degli enzimi epatici CYP450 è soppressa dalle citochine, come la IL-6, che stimolano l’infiammazione cronica. Pertanto, l’espressione di CYP450 può essere invertita quando si introduce una potente terapia di inibizione citochinica, come tocilizumab.</w:t>
      </w:r>
    </w:p>
    <w:p>
      <w:pPr>
        <w:tabs>
          <w:tab w:val="left" w:pos="180"/>
        </w:tabs>
        <w:rPr>
          <w:noProof/>
          <w:szCs w:val="22"/>
          <w:lang w:val="it-IT"/>
        </w:rPr>
      </w:pPr>
    </w:p>
    <w:p>
      <w:pPr>
        <w:tabs>
          <w:tab w:val="left" w:pos="180"/>
        </w:tabs>
        <w:rPr>
          <w:noProof/>
          <w:szCs w:val="22"/>
          <w:lang w:val="it-IT"/>
        </w:rPr>
      </w:pPr>
      <w:r>
        <w:rPr>
          <w:noProof/>
          <w:szCs w:val="22"/>
          <w:lang w:val="it-IT"/>
        </w:rPr>
        <w:t xml:space="preserve">Gli studi condotti </w:t>
      </w:r>
      <w:r>
        <w:rPr>
          <w:i/>
          <w:noProof/>
          <w:szCs w:val="22"/>
          <w:lang w:val="it-IT"/>
        </w:rPr>
        <w:t>in vitro</w:t>
      </w:r>
      <w:r>
        <w:rPr>
          <w:noProof/>
          <w:szCs w:val="22"/>
          <w:lang w:val="it-IT"/>
        </w:rPr>
        <w:t xml:space="preserve"> con epatociti umani in coltura hanno dimostrato che IL-6 causa una riduzione dell’espressione degli enzimi CYP1A2, CYP2C9, CYP2C19 e CYP3A4. Tocilizumab normalizza l’espressione di questi enzimi.</w:t>
      </w:r>
    </w:p>
    <w:p>
      <w:pPr>
        <w:tabs>
          <w:tab w:val="left" w:pos="180"/>
        </w:tabs>
        <w:rPr>
          <w:noProof/>
          <w:szCs w:val="22"/>
          <w:lang w:val="it-IT"/>
        </w:rPr>
      </w:pPr>
    </w:p>
    <w:p>
      <w:pPr>
        <w:tabs>
          <w:tab w:val="left" w:pos="180"/>
        </w:tabs>
        <w:rPr>
          <w:noProof/>
          <w:szCs w:val="22"/>
          <w:lang w:val="it-IT"/>
        </w:rPr>
      </w:pPr>
      <w:r>
        <w:rPr>
          <w:noProof/>
          <w:szCs w:val="22"/>
          <w:lang w:val="it-IT"/>
        </w:rPr>
        <w:t>In uno studio</w:t>
      </w:r>
      <w:ins w:id="504" w:author="Author">
        <w:r>
          <w:rPr>
            <w:noProof/>
            <w:szCs w:val="22"/>
            <w:lang w:val="it-IT"/>
          </w:rPr>
          <w:t xml:space="preserve"> clinico</w:t>
        </w:r>
      </w:ins>
      <w:r>
        <w:rPr>
          <w:noProof/>
          <w:szCs w:val="22"/>
          <w:lang w:val="it-IT"/>
        </w:rPr>
        <w:t xml:space="preserve"> in pazienti con AR, i livelli di simvastatina (CYP3A4) si sono ridotti del 57% una settimana dopo la somministrazione di una dose singola di tocilizumab, a livelli simili, o lievemente superiori, a quelli osservati nei volontari sani.</w:t>
      </w:r>
    </w:p>
    <w:p>
      <w:pPr>
        <w:tabs>
          <w:tab w:val="left" w:pos="180"/>
        </w:tabs>
        <w:rPr>
          <w:noProof/>
          <w:szCs w:val="22"/>
          <w:lang w:val="it-IT"/>
        </w:rPr>
      </w:pPr>
    </w:p>
    <w:p>
      <w:pPr>
        <w:tabs>
          <w:tab w:val="left" w:pos="180"/>
        </w:tabs>
        <w:rPr>
          <w:noProof/>
          <w:szCs w:val="22"/>
          <w:lang w:val="it-IT"/>
        </w:rPr>
      </w:pPr>
      <w:r>
        <w:rPr>
          <w:noProof/>
          <w:szCs w:val="22"/>
          <w:lang w:val="it-IT"/>
        </w:rPr>
        <w:t xml:space="preserve">Quando si inizia o si interrompe la terapia con tocilizumab, i pazienti in trattamento con medicinali il cui dosaggio deve essere aggiustato su base individuale e che sono metabolizzati mediante CYP450 3A4, 1A2 o 2C9 </w:t>
      </w:r>
      <w:ins w:id="505" w:author="Author">
        <w:r>
          <w:rPr>
            <w:noProof/>
            <w:szCs w:val="22"/>
            <w:lang w:val="it-IT"/>
          </w:rPr>
          <w:t>[</w:t>
        </w:r>
      </w:ins>
      <w:del w:id="506" w:author="Author">
        <w:r>
          <w:rPr>
            <w:noProof/>
            <w:szCs w:val="22"/>
            <w:lang w:val="it-IT"/>
          </w:rPr>
          <w:delText>(</w:delText>
        </w:r>
      </w:del>
      <w:r>
        <w:rPr>
          <w:noProof/>
          <w:szCs w:val="22"/>
          <w:lang w:val="it-IT"/>
        </w:rPr>
        <w:t>quali</w:t>
      </w:r>
      <w:r>
        <w:rPr>
          <w:noProof/>
          <w:lang w:val="it-IT"/>
        </w:rPr>
        <w:t xml:space="preserve"> metilprednisolone, desametasone, (con la possibilità della sindrome da sospensione del glucocorticoide orale), </w:t>
      </w:r>
      <w:r>
        <w:rPr>
          <w:noProof/>
          <w:szCs w:val="22"/>
          <w:lang w:val="it-IT"/>
        </w:rPr>
        <w:t>atorvastatina, bloccanti dei canali del calcio, teofillina, warfarin, fenprocumone, fenitoina, ciclosporina o benzodiazepine</w:t>
      </w:r>
      <w:ins w:id="507" w:author="Author">
        <w:r>
          <w:rPr>
            <w:noProof/>
            <w:szCs w:val="22"/>
            <w:lang w:val="it-IT"/>
          </w:rPr>
          <w:t>]</w:t>
        </w:r>
      </w:ins>
      <w:del w:id="508" w:author="Author">
        <w:r>
          <w:rPr>
            <w:noProof/>
            <w:szCs w:val="22"/>
            <w:lang w:val="it-IT"/>
          </w:rPr>
          <w:delText>)</w:delText>
        </w:r>
      </w:del>
      <w:r>
        <w:rPr>
          <w:noProof/>
          <w:szCs w:val="22"/>
          <w:lang w:val="it-IT"/>
        </w:rPr>
        <w:t xml:space="preserve"> devono essere monitorati, poiché potrebbe essere necessario un incremento della dose per mantenere l’effetto terapeutico. In considerazione della sua lunga emivita (t</w:t>
      </w:r>
      <w:r>
        <w:rPr>
          <w:noProof/>
          <w:szCs w:val="22"/>
          <w:vertAlign w:val="subscript"/>
          <w:lang w:val="it-IT"/>
        </w:rPr>
        <w:t>1/2</w:t>
      </w:r>
      <w:r>
        <w:rPr>
          <w:noProof/>
          <w:szCs w:val="22"/>
          <w:lang w:val="it-IT"/>
        </w:rPr>
        <w:t>) di eliminazione, l’effetto di tocilizumab sull’attività dell’enzima CYP450 può persistere per diverse settimane dopo l’interruzione della terapia.</w:t>
      </w:r>
    </w:p>
    <w:p>
      <w:pPr>
        <w:tabs>
          <w:tab w:val="left" w:pos="180"/>
        </w:tabs>
        <w:rPr>
          <w:noProof/>
          <w:szCs w:val="22"/>
          <w:lang w:val="it-IT"/>
        </w:rPr>
      </w:pPr>
    </w:p>
    <w:p>
      <w:pPr>
        <w:keepNext/>
        <w:keepLines/>
        <w:tabs>
          <w:tab w:val="left" w:pos="180"/>
        </w:tabs>
        <w:ind w:left="567" w:hanging="567"/>
        <w:outlineLvl w:val="0"/>
        <w:rPr>
          <w:b/>
          <w:noProof/>
          <w:szCs w:val="22"/>
          <w:lang w:val="it-IT"/>
        </w:rPr>
      </w:pPr>
      <w:r>
        <w:rPr>
          <w:b/>
          <w:noProof/>
          <w:szCs w:val="22"/>
          <w:lang w:val="it-IT"/>
        </w:rPr>
        <w:t>4.6</w:t>
      </w:r>
      <w:r>
        <w:rPr>
          <w:b/>
          <w:noProof/>
          <w:szCs w:val="22"/>
          <w:lang w:val="it-IT"/>
        </w:rPr>
        <w:tab/>
        <w:t>Fertilità, gravidanza e allattamento</w:t>
      </w:r>
    </w:p>
    <w:p>
      <w:pPr>
        <w:keepNext/>
        <w:keepLines/>
        <w:tabs>
          <w:tab w:val="left" w:pos="180"/>
        </w:tabs>
        <w:outlineLvl w:val="0"/>
        <w:rPr>
          <w:noProof/>
          <w:szCs w:val="22"/>
          <w:u w:val="single"/>
          <w:lang w:val="it-IT"/>
        </w:rPr>
      </w:pPr>
    </w:p>
    <w:p>
      <w:pPr>
        <w:keepNext/>
        <w:keepLines/>
        <w:tabs>
          <w:tab w:val="left" w:pos="180"/>
        </w:tabs>
        <w:outlineLvl w:val="0"/>
        <w:rPr>
          <w:noProof/>
          <w:szCs w:val="22"/>
          <w:u w:val="single"/>
          <w:lang w:val="it-IT"/>
        </w:rPr>
      </w:pPr>
      <w:r>
        <w:rPr>
          <w:noProof/>
          <w:szCs w:val="22"/>
          <w:u w:val="single"/>
          <w:lang w:val="it-IT"/>
        </w:rPr>
        <w:t>Donne in età fertile</w:t>
      </w:r>
    </w:p>
    <w:p>
      <w:pPr>
        <w:keepNext/>
        <w:keepLines/>
        <w:tabs>
          <w:tab w:val="left" w:pos="180"/>
        </w:tabs>
        <w:outlineLvl w:val="0"/>
        <w:rPr>
          <w:noProof/>
          <w:szCs w:val="22"/>
          <w:lang w:val="it-IT"/>
        </w:rPr>
      </w:pPr>
      <w:r>
        <w:rPr>
          <w:noProof/>
          <w:szCs w:val="22"/>
          <w:lang w:val="it-IT"/>
        </w:rPr>
        <w:t>Le donne in età fertile devono usare un contraccettivo efficace durante e fino a 3 mesi dopo il trattamento.</w:t>
      </w:r>
    </w:p>
    <w:p>
      <w:pPr>
        <w:tabs>
          <w:tab w:val="left" w:pos="180"/>
        </w:tabs>
        <w:outlineLvl w:val="0"/>
        <w:rPr>
          <w:i/>
          <w:noProof/>
          <w:szCs w:val="22"/>
          <w:lang w:val="it-IT"/>
        </w:rPr>
      </w:pPr>
    </w:p>
    <w:p>
      <w:pPr>
        <w:keepNext/>
        <w:keepLines/>
        <w:tabs>
          <w:tab w:val="left" w:pos="180"/>
        </w:tabs>
        <w:outlineLvl w:val="0"/>
        <w:rPr>
          <w:noProof/>
          <w:szCs w:val="22"/>
          <w:u w:val="single"/>
          <w:lang w:val="it-IT"/>
        </w:rPr>
      </w:pPr>
      <w:r>
        <w:rPr>
          <w:noProof/>
          <w:szCs w:val="22"/>
          <w:u w:val="single"/>
          <w:lang w:val="it-IT"/>
        </w:rPr>
        <w:t>Gravidanza</w:t>
      </w:r>
    </w:p>
    <w:p>
      <w:pPr>
        <w:tabs>
          <w:tab w:val="left" w:pos="180"/>
        </w:tabs>
        <w:outlineLvl w:val="0"/>
        <w:rPr>
          <w:noProof/>
          <w:szCs w:val="22"/>
          <w:lang w:val="it-IT"/>
        </w:rPr>
      </w:pPr>
      <w:r>
        <w:rPr>
          <w:noProof/>
          <w:szCs w:val="22"/>
          <w:lang w:val="it-IT"/>
        </w:rPr>
        <w:t xml:space="preserve">Non vi sono dati adeguati riguardanti l’uso di tocilizumab in donne in gravidanza. Uno studio </w:t>
      </w:r>
      <w:ins w:id="509" w:author="Author">
        <w:del w:id="510" w:author="Author">
          <w:r>
            <w:rPr>
              <w:noProof/>
              <w:szCs w:val="22"/>
              <w:lang w:val="it-IT"/>
            </w:rPr>
            <w:delText xml:space="preserve">pre-clinico </w:delText>
          </w:r>
        </w:del>
      </w:ins>
      <w:r>
        <w:rPr>
          <w:noProof/>
          <w:szCs w:val="22"/>
          <w:lang w:val="it-IT"/>
        </w:rPr>
        <w:t xml:space="preserve">condotto su animali ha evidenziato un rischio aumentato di aborto spontaneo/morte embrio-fetale a dosi elevate (vedere paragrafo 5.3). Il rischio potenziale per gli esseri umani non è noto. </w:t>
      </w:r>
    </w:p>
    <w:p>
      <w:pPr>
        <w:tabs>
          <w:tab w:val="left" w:pos="180"/>
        </w:tabs>
        <w:outlineLvl w:val="0"/>
        <w:rPr>
          <w:noProof/>
          <w:szCs w:val="22"/>
          <w:lang w:val="it-IT"/>
        </w:rPr>
      </w:pPr>
    </w:p>
    <w:p>
      <w:pPr>
        <w:tabs>
          <w:tab w:val="left" w:pos="180"/>
        </w:tabs>
        <w:outlineLvl w:val="0"/>
        <w:rPr>
          <w:noProof/>
          <w:szCs w:val="22"/>
          <w:lang w:val="it-IT"/>
        </w:rPr>
      </w:pPr>
      <w:r>
        <w:rPr>
          <w:noProof/>
          <w:szCs w:val="22"/>
          <w:lang w:val="it-IT"/>
        </w:rPr>
        <w:t>RoActemra non deve essere usato durante la gravidanza, se non in caso di assoluta necessità.</w:t>
      </w:r>
    </w:p>
    <w:p>
      <w:pPr>
        <w:tabs>
          <w:tab w:val="left" w:pos="180"/>
        </w:tabs>
        <w:outlineLvl w:val="0"/>
        <w:rPr>
          <w:i/>
          <w:noProof/>
          <w:szCs w:val="22"/>
          <w:lang w:val="it-IT"/>
        </w:rPr>
      </w:pPr>
    </w:p>
    <w:p>
      <w:pPr>
        <w:tabs>
          <w:tab w:val="left" w:pos="180"/>
        </w:tabs>
        <w:outlineLvl w:val="0"/>
        <w:rPr>
          <w:noProof/>
          <w:szCs w:val="22"/>
          <w:u w:val="single"/>
          <w:lang w:val="it-IT"/>
        </w:rPr>
      </w:pPr>
      <w:r>
        <w:rPr>
          <w:noProof/>
          <w:szCs w:val="22"/>
          <w:u w:val="single"/>
          <w:lang w:val="it-IT"/>
        </w:rPr>
        <w:t>Allattamento</w:t>
      </w:r>
    </w:p>
    <w:p>
      <w:pPr>
        <w:tabs>
          <w:tab w:val="left" w:pos="180"/>
        </w:tabs>
        <w:rPr>
          <w:noProof/>
          <w:szCs w:val="22"/>
          <w:lang w:val="it-IT"/>
        </w:rPr>
      </w:pPr>
      <w:r>
        <w:rPr>
          <w:noProof/>
          <w:szCs w:val="22"/>
          <w:lang w:val="it-IT"/>
        </w:rPr>
        <w:t>Non è noto se tocilizumab sia escreto nel latte materno. L’escrezione di tocilizumab nel latte non è stata studiata negli animali. La decisione di interrompere l’allattamento al seno o interrompere/astenersi dalla terapia con RoActemra deve essere presa tenendo conto del beneficio dell’allattamento al seno per il bambino e del beneficio della terapia per la donna.</w:t>
      </w:r>
    </w:p>
    <w:p>
      <w:pPr>
        <w:tabs>
          <w:tab w:val="left" w:pos="180"/>
        </w:tabs>
        <w:rPr>
          <w:noProof/>
          <w:szCs w:val="22"/>
          <w:lang w:val="it-IT"/>
        </w:rPr>
      </w:pPr>
    </w:p>
    <w:p>
      <w:pPr>
        <w:keepNext/>
        <w:keepLines/>
        <w:tabs>
          <w:tab w:val="left" w:pos="180"/>
        </w:tabs>
        <w:rPr>
          <w:noProof/>
          <w:szCs w:val="22"/>
          <w:u w:val="single"/>
          <w:lang w:val="it-IT"/>
        </w:rPr>
      </w:pPr>
      <w:r>
        <w:rPr>
          <w:noProof/>
          <w:szCs w:val="22"/>
          <w:u w:val="single"/>
          <w:lang w:val="it-IT"/>
        </w:rPr>
        <w:t>Fertilità</w:t>
      </w:r>
    </w:p>
    <w:p>
      <w:pPr>
        <w:keepNext/>
        <w:keepLines/>
        <w:tabs>
          <w:tab w:val="left" w:pos="180"/>
        </w:tabs>
        <w:outlineLvl w:val="0"/>
        <w:rPr>
          <w:noProof/>
          <w:szCs w:val="22"/>
          <w:lang w:val="it-IT"/>
        </w:rPr>
      </w:pPr>
      <w:r>
        <w:rPr>
          <w:noProof/>
          <w:szCs w:val="22"/>
          <w:lang w:val="it-IT"/>
        </w:rPr>
        <w:t>I dati non clinici disponibili non suggeriscono effetti sulla fertilità durante il trattamento con tocilizumab.</w:t>
      </w:r>
    </w:p>
    <w:p>
      <w:pPr>
        <w:keepNext/>
        <w:keepLines/>
        <w:tabs>
          <w:tab w:val="left" w:pos="180"/>
        </w:tabs>
        <w:rPr>
          <w:noProof/>
          <w:szCs w:val="22"/>
          <w:lang w:val="it-IT"/>
        </w:rPr>
      </w:pPr>
    </w:p>
    <w:p>
      <w:pPr>
        <w:tabs>
          <w:tab w:val="left" w:pos="180"/>
        </w:tabs>
        <w:ind w:left="567" w:hanging="567"/>
        <w:outlineLvl w:val="0"/>
        <w:rPr>
          <w:noProof/>
          <w:szCs w:val="22"/>
          <w:lang w:val="it-IT"/>
        </w:rPr>
      </w:pPr>
      <w:r>
        <w:rPr>
          <w:b/>
          <w:noProof/>
          <w:szCs w:val="22"/>
          <w:lang w:val="it-IT"/>
        </w:rPr>
        <w:t>4.7</w:t>
      </w:r>
      <w:r>
        <w:rPr>
          <w:b/>
          <w:noProof/>
          <w:szCs w:val="22"/>
          <w:lang w:val="it-IT"/>
        </w:rPr>
        <w:tab/>
        <w:t>Effetti sulla capacità di guidare veicoli e sull'uso di macchinari</w:t>
      </w:r>
    </w:p>
    <w:p>
      <w:pPr>
        <w:tabs>
          <w:tab w:val="left" w:pos="180"/>
        </w:tabs>
        <w:outlineLvl w:val="0"/>
        <w:rPr>
          <w:noProof/>
          <w:szCs w:val="22"/>
          <w:lang w:val="it-IT"/>
        </w:rPr>
      </w:pPr>
    </w:p>
    <w:p>
      <w:pPr>
        <w:tabs>
          <w:tab w:val="left" w:pos="180"/>
        </w:tabs>
        <w:outlineLvl w:val="0"/>
        <w:rPr>
          <w:noProof/>
          <w:szCs w:val="22"/>
          <w:lang w:val="it-IT"/>
        </w:rPr>
      </w:pPr>
      <w:r>
        <w:rPr>
          <w:noProof/>
          <w:lang w:val="it-IT"/>
        </w:rPr>
        <w:t>RoActemra</w:t>
      </w:r>
      <w:r>
        <w:rPr>
          <w:noProof/>
          <w:szCs w:val="22"/>
          <w:lang w:val="it-IT"/>
        </w:rPr>
        <w:t xml:space="preserve"> altera lievemente </w:t>
      </w:r>
      <w:r>
        <w:rPr>
          <w:noProof/>
          <w:lang w:val="it-IT"/>
        </w:rPr>
        <w:t>la</w:t>
      </w:r>
      <w:r>
        <w:rPr>
          <w:noProof/>
          <w:szCs w:val="22"/>
          <w:lang w:val="it-IT"/>
        </w:rPr>
        <w:t xml:space="preserve"> </w:t>
      </w:r>
      <w:r>
        <w:rPr>
          <w:noProof/>
          <w:lang w:val="it-IT"/>
        </w:rPr>
        <w:t>capacità di guidare veicoli</w:t>
      </w:r>
      <w:r>
        <w:rPr>
          <w:noProof/>
          <w:szCs w:val="22"/>
          <w:lang w:val="it-IT"/>
        </w:rPr>
        <w:t xml:space="preserve"> </w:t>
      </w:r>
      <w:r>
        <w:rPr>
          <w:noProof/>
          <w:lang w:val="it-IT"/>
        </w:rPr>
        <w:t>e di usare macchinari</w:t>
      </w:r>
      <w:r>
        <w:rPr>
          <w:noProof/>
          <w:szCs w:val="22"/>
          <w:lang w:val="it-IT"/>
        </w:rPr>
        <w:t>, ad es. capogiri</w:t>
      </w:r>
      <w:r>
        <w:rPr>
          <w:noProof/>
          <w:lang w:val="it-IT"/>
        </w:rPr>
        <w:t>(</w:t>
      </w:r>
      <w:r>
        <w:rPr>
          <w:noProof/>
          <w:szCs w:val="22"/>
          <w:lang w:val="it-IT"/>
        </w:rPr>
        <w:t>vedere paragrafo 4.8).</w:t>
      </w:r>
    </w:p>
    <w:p>
      <w:pPr>
        <w:keepNext/>
        <w:keepLines/>
        <w:tabs>
          <w:tab w:val="left" w:pos="180"/>
        </w:tabs>
        <w:ind w:left="567" w:hanging="567"/>
        <w:outlineLvl w:val="0"/>
        <w:rPr>
          <w:b/>
          <w:noProof/>
          <w:szCs w:val="22"/>
          <w:lang w:val="it-IT"/>
        </w:rPr>
      </w:pPr>
    </w:p>
    <w:p>
      <w:pPr>
        <w:keepNext/>
        <w:keepLines/>
        <w:tabs>
          <w:tab w:val="left" w:pos="180"/>
        </w:tabs>
        <w:ind w:left="567" w:hanging="567"/>
        <w:outlineLvl w:val="0"/>
        <w:rPr>
          <w:b/>
          <w:noProof/>
          <w:szCs w:val="22"/>
          <w:lang w:val="it-IT"/>
        </w:rPr>
      </w:pPr>
      <w:r>
        <w:rPr>
          <w:b/>
          <w:noProof/>
          <w:szCs w:val="22"/>
          <w:lang w:val="it-IT"/>
        </w:rPr>
        <w:t>4.8</w:t>
      </w:r>
      <w:r>
        <w:rPr>
          <w:b/>
          <w:noProof/>
          <w:szCs w:val="22"/>
          <w:lang w:val="it-IT"/>
        </w:rPr>
        <w:tab/>
        <w:t>Effetti indesiderati</w:t>
      </w:r>
    </w:p>
    <w:p>
      <w:pPr>
        <w:tabs>
          <w:tab w:val="left" w:pos="180"/>
        </w:tabs>
        <w:ind w:left="567" w:hanging="567"/>
        <w:outlineLvl w:val="0"/>
        <w:rPr>
          <w:noProof/>
          <w:szCs w:val="22"/>
          <w:lang w:val="it-IT"/>
        </w:rPr>
      </w:pPr>
    </w:p>
    <w:p>
      <w:pPr>
        <w:tabs>
          <w:tab w:val="left" w:pos="180"/>
        </w:tabs>
        <w:rPr>
          <w:del w:id="511" w:author="Author"/>
          <w:noProof/>
          <w:u w:val="single"/>
          <w:lang w:val="it-IT"/>
        </w:rPr>
      </w:pPr>
      <w:r>
        <w:rPr>
          <w:noProof/>
          <w:u w:val="single"/>
          <w:lang w:val="it-IT"/>
        </w:rPr>
        <w:t>Riassunto del profilo di</w:t>
      </w:r>
      <w:r>
        <w:rPr>
          <w:noProof/>
          <w:szCs w:val="22"/>
          <w:u w:val="single"/>
          <w:lang w:val="it-IT"/>
        </w:rPr>
        <w:t xml:space="preserve"> </w:t>
      </w:r>
      <w:r>
        <w:rPr>
          <w:noProof/>
          <w:u w:val="single"/>
          <w:lang w:val="it-IT"/>
        </w:rPr>
        <w:t>sicurezza</w:t>
      </w:r>
    </w:p>
    <w:p>
      <w:pPr>
        <w:tabs>
          <w:tab w:val="left" w:pos="180"/>
        </w:tabs>
        <w:rPr>
          <w:noProof/>
          <w:szCs w:val="22"/>
          <w:u w:val="single"/>
          <w:lang w:val="it-IT"/>
        </w:rPr>
      </w:pPr>
    </w:p>
    <w:p>
      <w:pPr>
        <w:tabs>
          <w:tab w:val="left" w:pos="180"/>
        </w:tabs>
        <w:rPr>
          <w:noProof/>
          <w:szCs w:val="22"/>
          <w:lang w:val="it-IT"/>
        </w:rPr>
      </w:pPr>
      <w:r>
        <w:rPr>
          <w:i/>
          <w:iCs/>
          <w:noProof/>
          <w:szCs w:val="22"/>
          <w:lang w:val="it-IT"/>
        </w:rPr>
        <w:t>AR, AIGs, AIGp e CRS</w:t>
      </w:r>
      <w:r>
        <w:rPr>
          <w:noProof/>
          <w:szCs w:val="22"/>
          <w:u w:val="single"/>
          <w:lang w:val="it-IT"/>
        </w:rPr>
        <w:br/>
      </w:r>
      <w:r>
        <w:rPr>
          <w:noProof/>
          <w:szCs w:val="22"/>
          <w:lang w:val="it-IT"/>
        </w:rPr>
        <w:t>Le reazioni avverse più comunemente riportate sono leinfezioni alle vie aeree superiori, nasofaringite, cefalea, ipertensione e aumenti dell’ALT.</w:t>
      </w:r>
    </w:p>
    <w:p>
      <w:pPr>
        <w:tabs>
          <w:tab w:val="left" w:pos="180"/>
        </w:tabs>
        <w:rPr>
          <w:noProof/>
          <w:szCs w:val="22"/>
          <w:lang w:val="it-IT"/>
        </w:rPr>
      </w:pPr>
    </w:p>
    <w:p>
      <w:pPr>
        <w:tabs>
          <w:tab w:val="left" w:pos="180"/>
        </w:tabs>
        <w:rPr>
          <w:noProof/>
          <w:lang w:val="it-IT"/>
        </w:rPr>
      </w:pPr>
      <w:r>
        <w:rPr>
          <w:noProof/>
          <w:lang w:val="it-IT"/>
        </w:rPr>
        <w:t>Le</w:t>
      </w:r>
      <w:r>
        <w:rPr>
          <w:noProof/>
          <w:szCs w:val="22"/>
          <w:lang w:val="it-IT"/>
        </w:rPr>
        <w:t xml:space="preserve"> </w:t>
      </w:r>
      <w:del w:id="512" w:author="Author">
        <w:r>
          <w:rPr>
            <w:noProof/>
            <w:lang w:val="it-IT"/>
          </w:rPr>
          <w:delText>più gravi</w:delText>
        </w:r>
        <w:r>
          <w:rPr>
            <w:noProof/>
            <w:szCs w:val="22"/>
            <w:lang w:val="it-IT"/>
          </w:rPr>
          <w:delText xml:space="preserve"> </w:delText>
        </w:r>
      </w:del>
      <w:r>
        <w:rPr>
          <w:noProof/>
          <w:lang w:val="it-IT"/>
        </w:rPr>
        <w:t>reazioni avverse</w:t>
      </w:r>
      <w:r>
        <w:rPr>
          <w:noProof/>
          <w:szCs w:val="22"/>
          <w:lang w:val="it-IT"/>
        </w:rPr>
        <w:t xml:space="preserve"> </w:t>
      </w:r>
      <w:ins w:id="513" w:author="Author">
        <w:r>
          <w:rPr>
            <w:noProof/>
            <w:lang w:val="it-IT"/>
          </w:rPr>
          <w:t>più gravi</w:t>
        </w:r>
        <w:r>
          <w:rPr>
            <w:noProof/>
            <w:szCs w:val="22"/>
            <w:lang w:val="it-IT"/>
          </w:rPr>
          <w:t xml:space="preserve"> </w:t>
        </w:r>
      </w:ins>
      <w:r>
        <w:rPr>
          <w:noProof/>
          <w:lang w:val="it-IT"/>
        </w:rPr>
        <w:t>sono le</w:t>
      </w:r>
      <w:r>
        <w:rPr>
          <w:noProof/>
          <w:szCs w:val="22"/>
          <w:lang w:val="it-IT"/>
        </w:rPr>
        <w:t xml:space="preserve"> </w:t>
      </w:r>
      <w:r>
        <w:rPr>
          <w:noProof/>
          <w:lang w:val="it-IT"/>
        </w:rPr>
        <w:t>infezioni</w:t>
      </w:r>
      <w:r>
        <w:rPr>
          <w:noProof/>
          <w:szCs w:val="22"/>
          <w:lang w:val="it-IT"/>
        </w:rPr>
        <w:t xml:space="preserve"> gravi</w:t>
      </w:r>
      <w:r>
        <w:rPr>
          <w:noProof/>
          <w:lang w:val="it-IT"/>
        </w:rPr>
        <w:t>, le</w:t>
      </w:r>
      <w:r>
        <w:rPr>
          <w:noProof/>
          <w:szCs w:val="22"/>
          <w:lang w:val="it-IT"/>
        </w:rPr>
        <w:t xml:space="preserve"> </w:t>
      </w:r>
      <w:r>
        <w:rPr>
          <w:noProof/>
          <w:lang w:val="it-IT"/>
        </w:rPr>
        <w:t>complicanze della</w:t>
      </w:r>
      <w:r>
        <w:rPr>
          <w:noProof/>
          <w:szCs w:val="22"/>
          <w:lang w:val="it-IT"/>
        </w:rPr>
        <w:t xml:space="preserve"> </w:t>
      </w:r>
      <w:r>
        <w:rPr>
          <w:noProof/>
          <w:lang w:val="it-IT"/>
        </w:rPr>
        <w:t>diverticolite</w:t>
      </w:r>
      <w:r>
        <w:rPr>
          <w:noProof/>
          <w:szCs w:val="22"/>
          <w:lang w:val="it-IT"/>
        </w:rPr>
        <w:t xml:space="preserve"> </w:t>
      </w:r>
      <w:r>
        <w:rPr>
          <w:noProof/>
          <w:lang w:val="it-IT"/>
        </w:rPr>
        <w:t xml:space="preserve">e le </w:t>
      </w:r>
      <w:r>
        <w:rPr>
          <w:noProof/>
          <w:szCs w:val="22"/>
          <w:lang w:val="it-IT"/>
        </w:rPr>
        <w:t xml:space="preserve">reazioni di </w:t>
      </w:r>
      <w:r>
        <w:rPr>
          <w:noProof/>
          <w:lang w:val="it-IT"/>
        </w:rPr>
        <w:t>ipersensibilità.</w:t>
      </w:r>
    </w:p>
    <w:p>
      <w:pPr>
        <w:tabs>
          <w:tab w:val="left" w:pos="180"/>
        </w:tabs>
        <w:rPr>
          <w:noProof/>
          <w:lang w:val="it-IT"/>
        </w:rPr>
      </w:pPr>
    </w:p>
    <w:p>
      <w:pPr>
        <w:tabs>
          <w:tab w:val="left" w:pos="180"/>
        </w:tabs>
        <w:rPr>
          <w:i/>
          <w:iCs/>
          <w:noProof/>
          <w:lang w:val="it-IT"/>
          <w:rPrChange w:id="514" w:author="Author">
            <w:rPr>
              <w:lang w:val="it-IT"/>
            </w:rPr>
          </w:rPrChange>
        </w:rPr>
      </w:pPr>
      <w:r>
        <w:rPr>
          <w:i/>
          <w:iCs/>
          <w:noProof/>
          <w:lang w:val="it-IT"/>
          <w:rPrChange w:id="515" w:author="Author">
            <w:rPr>
              <w:lang w:val="it-IT"/>
            </w:rPr>
          </w:rPrChange>
        </w:rPr>
        <w:t>COVID-19</w:t>
      </w:r>
    </w:p>
    <w:p>
      <w:pPr>
        <w:tabs>
          <w:tab w:val="left" w:pos="180"/>
        </w:tabs>
        <w:rPr>
          <w:noProof/>
          <w:szCs w:val="22"/>
          <w:lang w:val="it-IT"/>
        </w:rPr>
      </w:pPr>
      <w:r>
        <w:rPr>
          <w:noProof/>
          <w:szCs w:val="22"/>
          <w:lang w:val="it-IT"/>
        </w:rPr>
        <w:t xml:space="preserve">Le reazioni avverse più comunemente riportate sono l’ aumento delle transaminasi epatiche, la stipsi e le </w:t>
      </w:r>
      <w:del w:id="516" w:author="Author">
        <w:r>
          <w:rPr>
            <w:noProof/>
            <w:szCs w:val="22"/>
            <w:lang w:val="it-IT"/>
          </w:rPr>
          <w:delText xml:space="preserve">infezione </w:delText>
        </w:r>
      </w:del>
      <w:ins w:id="517" w:author="Author">
        <w:r>
          <w:rPr>
            <w:noProof/>
            <w:szCs w:val="22"/>
            <w:lang w:val="it-IT"/>
          </w:rPr>
          <w:t xml:space="preserve">infezioni </w:t>
        </w:r>
      </w:ins>
      <w:r>
        <w:rPr>
          <w:noProof/>
          <w:szCs w:val="22"/>
          <w:lang w:val="it-IT"/>
        </w:rPr>
        <w:t>delle vie urinarie.</w:t>
      </w:r>
    </w:p>
    <w:p>
      <w:pPr>
        <w:tabs>
          <w:tab w:val="left" w:pos="180"/>
        </w:tabs>
        <w:rPr>
          <w:noProof/>
          <w:szCs w:val="22"/>
          <w:lang w:val="it-IT"/>
        </w:rPr>
      </w:pPr>
    </w:p>
    <w:p>
      <w:pPr>
        <w:keepNext/>
        <w:tabs>
          <w:tab w:val="left" w:pos="180"/>
        </w:tabs>
        <w:rPr>
          <w:ins w:id="518" w:author="Author"/>
          <w:noProof/>
          <w:u w:val="single"/>
          <w:lang w:val="it-IT"/>
        </w:rPr>
        <w:pPrChange w:id="519" w:author="Author">
          <w:pPr>
            <w:tabs>
              <w:tab w:val="left" w:pos="180"/>
            </w:tabs>
          </w:pPr>
        </w:pPrChange>
      </w:pPr>
      <w:del w:id="520" w:author="Author">
        <w:r>
          <w:rPr>
            <w:noProof/>
            <w:u w:val="single"/>
            <w:lang w:val="it-IT"/>
          </w:rPr>
          <w:delText>Elenco in forma t</w:delText>
        </w:r>
      </w:del>
      <w:ins w:id="521" w:author="Author">
        <w:r>
          <w:rPr>
            <w:noProof/>
            <w:u w:val="single"/>
            <w:lang w:val="it-IT"/>
          </w:rPr>
          <w:t>T</w:t>
        </w:r>
      </w:ins>
      <w:r>
        <w:rPr>
          <w:noProof/>
          <w:u w:val="single"/>
          <w:lang w:val="it-IT"/>
        </w:rPr>
        <w:t>abella</w:t>
      </w:r>
      <w:del w:id="522" w:author="Author">
        <w:r>
          <w:rPr>
            <w:noProof/>
            <w:u w:val="single"/>
            <w:lang w:val="it-IT"/>
          </w:rPr>
          <w:delText>re</w:delText>
        </w:r>
      </w:del>
      <w:r>
        <w:rPr>
          <w:noProof/>
          <w:u w:val="single"/>
          <w:lang w:val="it-IT"/>
        </w:rPr>
        <w:t xml:space="preserve"> delle reazioni avverse</w:t>
      </w:r>
    </w:p>
    <w:p>
      <w:pPr>
        <w:tabs>
          <w:tab w:val="left" w:pos="180"/>
        </w:tabs>
        <w:rPr>
          <w:noProof/>
          <w:szCs w:val="22"/>
          <w:lang w:val="it-IT"/>
        </w:rPr>
      </w:pPr>
      <w:r>
        <w:rPr>
          <w:noProof/>
          <w:szCs w:val="22"/>
          <w:lang w:val="it-IT"/>
        </w:rPr>
        <w:t xml:space="preserve">Le reazioni avverse osservate con tocilizumab nelle sperimentazioni cliniche e/o nell’esperienza post-marketing basate su segnalazioni spontanee, casi di letteratura e casi tratti da programmi di studi non interventistici sono elencate nelle Tabelle 1 e 2 in funzione della classificazione per sistemi e organi (SOC) secondo MedDRA. La categoria di frequenza corrispondente di ogni reazione avversa si basa sulla seguente convenzione: molto comune (≥ 1/10), comune (≥ 1/100, </w:t>
      </w:r>
      <w:r>
        <w:rPr>
          <w:rFonts w:eastAsia="MS Mincho"/>
          <w:noProof/>
          <w:szCs w:val="22"/>
          <w:lang w:val="it-IT"/>
        </w:rPr>
        <w:sym w:font="Symbol" w:char="F03C"/>
      </w:r>
      <w:r>
        <w:rPr>
          <w:noProof/>
          <w:szCs w:val="22"/>
          <w:lang w:val="it-IT"/>
        </w:rPr>
        <w:t> 1/10), non comune (≥ 1/1</w:t>
      </w:r>
      <w:del w:id="523" w:author="Author">
        <w:r>
          <w:rPr>
            <w:noProof/>
            <w:szCs w:val="22"/>
            <w:lang w:val="it-IT"/>
          </w:rPr>
          <w:delText>.</w:delText>
        </w:r>
      </w:del>
      <w:ins w:id="524" w:author="Author">
        <w:r>
          <w:rPr>
            <w:noProof/>
            <w:szCs w:val="22"/>
            <w:lang w:val="it-IT"/>
          </w:rPr>
          <w:t> </w:t>
        </w:r>
      </w:ins>
      <w:r>
        <w:rPr>
          <w:noProof/>
          <w:szCs w:val="22"/>
          <w:lang w:val="it-IT"/>
        </w:rPr>
        <w:t xml:space="preserve">000, </w:t>
      </w:r>
      <w:r>
        <w:rPr>
          <w:rFonts w:eastAsia="MS Mincho"/>
          <w:noProof/>
          <w:szCs w:val="22"/>
          <w:lang w:val="it-IT"/>
        </w:rPr>
        <w:sym w:font="Symbol" w:char="F03C"/>
      </w:r>
      <w:r>
        <w:rPr>
          <w:rFonts w:eastAsia="MS Mincho"/>
          <w:noProof/>
          <w:szCs w:val="22"/>
          <w:lang w:val="it-IT"/>
          <w:rPrChange w:id="525" w:author="Author">
            <w:rPr>
              <w:rFonts w:ascii="Arial" w:eastAsia="MS Mincho" w:hAnsi="Arial" w:cs="Arial"/>
              <w:sz w:val="10"/>
              <w:szCs w:val="22"/>
              <w:lang w:val="it-IT"/>
            </w:rPr>
          </w:rPrChange>
        </w:rPr>
        <w:t> </w:t>
      </w:r>
      <w:r>
        <w:rPr>
          <w:noProof/>
          <w:szCs w:val="22"/>
          <w:lang w:val="it-IT"/>
        </w:rPr>
        <w:t>1/100), raro (≥ 1/10</w:t>
      </w:r>
      <w:del w:id="526" w:author="Author">
        <w:r>
          <w:rPr>
            <w:noProof/>
            <w:szCs w:val="22"/>
            <w:lang w:val="it-IT"/>
          </w:rPr>
          <w:delText>.</w:delText>
        </w:r>
      </w:del>
      <w:ins w:id="527" w:author="Author">
        <w:r>
          <w:rPr>
            <w:noProof/>
            <w:szCs w:val="22"/>
            <w:lang w:val="it-IT"/>
          </w:rPr>
          <w:t> </w:t>
        </w:r>
      </w:ins>
      <w:r>
        <w:rPr>
          <w:noProof/>
          <w:szCs w:val="22"/>
          <w:lang w:val="it-IT"/>
        </w:rPr>
        <w:t xml:space="preserve">000, </w:t>
      </w:r>
      <w:r>
        <w:rPr>
          <w:rFonts w:eastAsia="MS Mincho"/>
          <w:noProof/>
          <w:szCs w:val="22"/>
          <w:lang w:val="it-IT"/>
        </w:rPr>
        <w:sym w:font="Symbol" w:char="F03C"/>
      </w:r>
      <w:r>
        <w:rPr>
          <w:rFonts w:eastAsia="MS Mincho"/>
          <w:noProof/>
          <w:szCs w:val="22"/>
          <w:lang w:val="it-IT"/>
          <w:rPrChange w:id="528" w:author="Author">
            <w:rPr>
              <w:rFonts w:ascii="Arial" w:eastAsia="MS Mincho" w:hAnsi="Arial" w:cs="Arial"/>
              <w:sz w:val="10"/>
              <w:szCs w:val="22"/>
              <w:lang w:val="it-IT"/>
            </w:rPr>
          </w:rPrChange>
        </w:rPr>
        <w:t> </w:t>
      </w:r>
      <w:r>
        <w:rPr>
          <w:noProof/>
          <w:szCs w:val="22"/>
          <w:lang w:val="it-IT"/>
        </w:rPr>
        <w:t>1/1</w:t>
      </w:r>
      <w:del w:id="529" w:author="Author">
        <w:r>
          <w:rPr>
            <w:noProof/>
            <w:szCs w:val="22"/>
            <w:lang w:val="it-IT"/>
          </w:rPr>
          <w:delText>.</w:delText>
        </w:r>
      </w:del>
      <w:ins w:id="530" w:author="Author">
        <w:r>
          <w:rPr>
            <w:noProof/>
            <w:szCs w:val="22"/>
            <w:lang w:val="it-IT"/>
          </w:rPr>
          <w:t> </w:t>
        </w:r>
      </w:ins>
      <w:r>
        <w:rPr>
          <w:noProof/>
          <w:szCs w:val="22"/>
          <w:lang w:val="it-IT"/>
        </w:rPr>
        <w:t xml:space="preserve">000) o molto raro </w:t>
      </w:r>
      <w:r>
        <w:rPr>
          <w:rFonts w:eastAsia="MS Mincho"/>
          <w:noProof/>
          <w:szCs w:val="22"/>
          <w:lang w:val="it-IT"/>
        </w:rPr>
        <w:sym w:font="Symbol" w:char="F03C"/>
      </w:r>
      <w:r>
        <w:rPr>
          <w:noProof/>
          <w:szCs w:val="22"/>
          <w:lang w:val="it-IT"/>
        </w:rPr>
        <w:t xml:space="preserve"> 1/10</w:t>
      </w:r>
      <w:del w:id="531" w:author="Author">
        <w:r>
          <w:rPr>
            <w:noProof/>
            <w:szCs w:val="22"/>
            <w:lang w:val="it-IT"/>
          </w:rPr>
          <w:delText>.</w:delText>
        </w:r>
      </w:del>
      <w:ins w:id="532" w:author="Author">
        <w:r>
          <w:rPr>
            <w:noProof/>
            <w:szCs w:val="22"/>
            <w:lang w:val="it-IT"/>
          </w:rPr>
          <w:t> </w:t>
        </w:r>
      </w:ins>
      <w:r>
        <w:rPr>
          <w:noProof/>
          <w:szCs w:val="22"/>
          <w:lang w:val="it-IT"/>
        </w:rPr>
        <w:t>000) e non nota (la frequenza non pu</w:t>
      </w:r>
      <w:r>
        <w:rPr>
          <w:bCs/>
          <w:noProof/>
          <w:szCs w:val="22"/>
          <w:lang w:val="it-IT"/>
        </w:rPr>
        <w:t>ò</w:t>
      </w:r>
      <w:r>
        <w:rPr>
          <w:noProof/>
          <w:szCs w:val="22"/>
          <w:lang w:val="it-IT"/>
        </w:rPr>
        <w:t xml:space="preserve"> essere definita sulla base dei dati disponibili). All’interno di ciascuna classe di frequenza, le reazioni avverse sono riportate in ordine decrescente di gravità.</w:t>
      </w:r>
    </w:p>
    <w:p>
      <w:pPr>
        <w:tabs>
          <w:tab w:val="left" w:pos="180"/>
        </w:tabs>
        <w:rPr>
          <w:noProof/>
          <w:szCs w:val="22"/>
          <w:lang w:val="it-IT"/>
        </w:rPr>
      </w:pPr>
    </w:p>
    <w:p>
      <w:pPr>
        <w:keepNext/>
        <w:keepLines/>
        <w:tabs>
          <w:tab w:val="left" w:pos="180"/>
        </w:tabs>
        <w:ind w:left="567" w:hanging="567"/>
        <w:outlineLvl w:val="0"/>
        <w:rPr>
          <w:i/>
          <w:iCs/>
          <w:noProof/>
          <w:szCs w:val="22"/>
          <w:lang w:val="it-IT"/>
        </w:rPr>
      </w:pPr>
      <w:r>
        <w:rPr>
          <w:i/>
          <w:iCs/>
          <w:noProof/>
          <w:szCs w:val="22"/>
          <w:lang w:val="it-IT"/>
        </w:rPr>
        <w:t>Pazienti affetti da AR</w:t>
      </w:r>
    </w:p>
    <w:p>
      <w:pPr>
        <w:keepNext/>
        <w:keepLines/>
        <w:tabs>
          <w:tab w:val="left" w:pos="180"/>
        </w:tabs>
        <w:rPr>
          <w:noProof/>
          <w:szCs w:val="22"/>
          <w:lang w:val="it-IT"/>
        </w:rPr>
      </w:pPr>
    </w:p>
    <w:p>
      <w:pPr>
        <w:keepNext/>
        <w:keepLines/>
        <w:tabs>
          <w:tab w:val="left" w:pos="180"/>
        </w:tabs>
        <w:ind w:left="924" w:hanging="924"/>
        <w:rPr>
          <w:i/>
          <w:noProof/>
          <w:szCs w:val="22"/>
          <w:lang w:val="it-IT"/>
        </w:rPr>
      </w:pPr>
      <w:r>
        <w:rPr>
          <w:i/>
          <w:noProof/>
          <w:szCs w:val="22"/>
          <w:lang w:val="it-IT"/>
        </w:rPr>
        <w:t>Tabella 1. Elenco delle rea</w:t>
      </w:r>
      <w:del w:id="533" w:author="Author">
        <w:r>
          <w:rPr>
            <w:i/>
            <w:noProof/>
            <w:szCs w:val="22"/>
            <w:lang w:val="it-IT"/>
          </w:rPr>
          <w:delText>a</w:delText>
        </w:r>
      </w:del>
      <w:r>
        <w:rPr>
          <w:i/>
          <w:noProof/>
          <w:szCs w:val="22"/>
          <w:lang w:val="it-IT"/>
        </w:rPr>
        <w:t>zioni avverse verificatesi nei pazienti affetti da AR trattati con tocilizumab in monoterapia o in associazione con MTX o altri DMARD nel periodo di doppio cieco controllato o durante l’esperienza post-marketing</w:t>
      </w:r>
    </w:p>
    <w:p>
      <w:pPr>
        <w:keepNext/>
        <w:keepLines/>
        <w:tabs>
          <w:tab w:val="left" w:pos="180"/>
        </w:tabs>
        <w:ind w:left="924" w:hanging="924"/>
        <w:rPr>
          <w:b/>
          <w:noProof/>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1E0" w:firstRow="1" w:lastRow="1" w:firstColumn="1" w:lastColumn="1" w:noHBand="0" w:noVBand="0"/>
        <w:tblPrChange w:id="534"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629"/>
        <w:gridCol w:w="1761"/>
        <w:gridCol w:w="1650"/>
        <w:gridCol w:w="1687"/>
        <w:gridCol w:w="1109"/>
        <w:gridCol w:w="1225"/>
        <w:tblGridChange w:id="535">
          <w:tblGrid>
            <w:gridCol w:w="1626"/>
            <w:gridCol w:w="3"/>
            <w:gridCol w:w="1761"/>
            <w:gridCol w:w="1650"/>
            <w:gridCol w:w="1787"/>
            <w:gridCol w:w="994"/>
            <w:gridCol w:w="14"/>
            <w:gridCol w:w="1226"/>
          </w:tblGrid>
        </w:tblGridChange>
      </w:tblGrid>
      <w:tr>
        <w:trPr>
          <w:trHeight w:val="253"/>
          <w:tblHeader/>
          <w:trPrChange w:id="536" w:author="Author">
            <w:trPr>
              <w:trHeight w:val="253"/>
              <w:tblHeader/>
            </w:trPr>
          </w:trPrChange>
        </w:trPr>
        <w:tc>
          <w:tcPr>
            <w:tcW w:w="899" w:type="pct"/>
            <w:vMerge w:val="restart"/>
            <w:tcBorders>
              <w:top w:val="single" w:sz="4" w:space="0" w:color="auto"/>
              <w:left w:val="single" w:sz="4" w:space="0" w:color="auto"/>
              <w:right w:val="single" w:sz="4" w:space="0" w:color="auto"/>
            </w:tcBorders>
            <w:tcPrChange w:id="537" w:author="Author">
              <w:tcPr>
                <w:tcW w:w="929" w:type="pct"/>
                <w:vMerge w:val="restart"/>
                <w:tcBorders>
                  <w:top w:val="single" w:sz="4" w:space="0" w:color="auto"/>
                  <w:left w:val="single" w:sz="4" w:space="0" w:color="auto"/>
                  <w:right w:val="single" w:sz="4" w:space="0" w:color="auto"/>
                </w:tcBorders>
              </w:tcPr>
            </w:tcPrChange>
          </w:tcPr>
          <w:p>
            <w:pPr>
              <w:keepNext/>
              <w:keepLines/>
              <w:tabs>
                <w:tab w:val="left" w:pos="180"/>
              </w:tabs>
              <w:jc w:val="center"/>
              <w:rPr>
                <w:b/>
                <w:noProof/>
                <w:sz w:val="20"/>
                <w:lang w:val="it-IT"/>
                <w:rPrChange w:id="538" w:author="Author">
                  <w:rPr>
                    <w:b/>
                    <w:sz w:val="21"/>
                    <w:szCs w:val="21"/>
                    <w:lang w:val="it-IT"/>
                  </w:rPr>
                </w:rPrChange>
              </w:rPr>
            </w:pPr>
            <w:r>
              <w:rPr>
                <w:b/>
                <w:noProof/>
                <w:sz w:val="20"/>
                <w:lang w:val="it-IT"/>
                <w:rPrChange w:id="539" w:author="Author">
                  <w:rPr>
                    <w:b/>
                    <w:sz w:val="21"/>
                    <w:szCs w:val="21"/>
                    <w:lang w:val="it-IT"/>
                  </w:rPr>
                </w:rPrChange>
              </w:rPr>
              <w:t xml:space="preserve">SOC MedDRA </w:t>
            </w:r>
          </w:p>
        </w:tc>
        <w:tc>
          <w:tcPr>
            <w:tcW w:w="3425" w:type="pct"/>
            <w:gridSpan w:val="4"/>
            <w:tcBorders>
              <w:top w:val="single" w:sz="4" w:space="0" w:color="auto"/>
              <w:left w:val="single" w:sz="4" w:space="0" w:color="auto"/>
              <w:bottom w:val="single" w:sz="4" w:space="0" w:color="auto"/>
            </w:tcBorders>
            <w:tcPrChange w:id="540" w:author="Author">
              <w:tcPr>
                <w:tcW w:w="3449" w:type="pct"/>
                <w:gridSpan w:val="5"/>
                <w:tcBorders>
                  <w:top w:val="single" w:sz="4" w:space="0" w:color="auto"/>
                  <w:left w:val="single" w:sz="4" w:space="0" w:color="auto"/>
                  <w:bottom w:val="single" w:sz="4" w:space="0" w:color="auto"/>
                </w:tcBorders>
              </w:tcPr>
            </w:tcPrChange>
          </w:tcPr>
          <w:p>
            <w:pPr>
              <w:keepNext/>
              <w:keepLines/>
              <w:tabs>
                <w:tab w:val="left" w:pos="180"/>
              </w:tabs>
              <w:jc w:val="center"/>
              <w:rPr>
                <w:b/>
                <w:noProof/>
                <w:sz w:val="20"/>
                <w:lang w:val="it-IT"/>
                <w:rPrChange w:id="541" w:author="Author">
                  <w:rPr>
                    <w:b/>
                    <w:sz w:val="21"/>
                    <w:szCs w:val="21"/>
                    <w:lang w:val="it-IT"/>
                  </w:rPr>
                </w:rPrChange>
              </w:rPr>
            </w:pPr>
            <w:r>
              <w:rPr>
                <w:b/>
                <w:noProof/>
                <w:sz w:val="20"/>
                <w:lang w:val="it-IT"/>
                <w:rPrChange w:id="542" w:author="Author">
                  <w:rPr>
                    <w:b/>
                    <w:sz w:val="21"/>
                    <w:szCs w:val="21"/>
                    <w:lang w:val="it-IT"/>
                  </w:rPr>
                </w:rPrChange>
              </w:rPr>
              <w:t>Categorie di frequenza con termini preferiti (PT)</w:t>
            </w:r>
          </w:p>
        </w:tc>
        <w:tc>
          <w:tcPr>
            <w:tcW w:w="677" w:type="pct"/>
            <w:tcBorders>
              <w:top w:val="single" w:sz="4" w:space="0" w:color="auto"/>
              <w:left w:val="single" w:sz="4" w:space="0" w:color="auto"/>
              <w:bottom w:val="single" w:sz="4" w:space="0" w:color="auto"/>
            </w:tcBorders>
            <w:tcPrChange w:id="543" w:author="Author">
              <w:tcPr>
                <w:tcW w:w="622" w:type="pct"/>
                <w:gridSpan w:val="2"/>
                <w:tcBorders>
                  <w:top w:val="single" w:sz="4" w:space="0" w:color="auto"/>
                  <w:left w:val="single" w:sz="4" w:space="0" w:color="auto"/>
                  <w:bottom w:val="single" w:sz="4" w:space="0" w:color="auto"/>
                </w:tcBorders>
              </w:tcPr>
            </w:tcPrChange>
          </w:tcPr>
          <w:p>
            <w:pPr>
              <w:keepNext/>
              <w:keepLines/>
              <w:tabs>
                <w:tab w:val="left" w:pos="180"/>
              </w:tabs>
              <w:jc w:val="center"/>
              <w:rPr>
                <w:b/>
                <w:noProof/>
                <w:sz w:val="20"/>
                <w:lang w:val="it-IT"/>
                <w:rPrChange w:id="544" w:author="Author">
                  <w:rPr>
                    <w:b/>
                    <w:sz w:val="21"/>
                    <w:szCs w:val="21"/>
                    <w:lang w:val="it-IT"/>
                  </w:rPr>
                </w:rPrChange>
              </w:rPr>
            </w:pPr>
          </w:p>
        </w:tc>
      </w:tr>
      <w:tr>
        <w:tblPrEx>
          <w:tblPrExChange w:id="545" w:author="Author">
            <w:tblPrEx>
              <w:tblCellMar>
                <w:left w:w="86" w:type="dxa"/>
                <w:right w:w="86" w:type="dxa"/>
              </w:tblCellMar>
            </w:tblPrEx>
          </w:tblPrExChange>
        </w:tblPrEx>
        <w:trPr>
          <w:trHeight w:val="253"/>
          <w:tblHeader/>
          <w:trPrChange w:id="546" w:author="Author">
            <w:trPr>
              <w:trHeight w:val="253"/>
              <w:tblHeader/>
            </w:trPr>
          </w:trPrChange>
        </w:trPr>
        <w:tc>
          <w:tcPr>
            <w:tcW w:w="899" w:type="pct"/>
            <w:vMerge/>
            <w:tcBorders>
              <w:left w:val="single" w:sz="4" w:space="0" w:color="auto"/>
              <w:bottom w:val="single" w:sz="4" w:space="0" w:color="auto"/>
              <w:right w:val="single" w:sz="4" w:space="0" w:color="auto"/>
            </w:tcBorders>
            <w:tcPrChange w:id="547" w:author="Author">
              <w:tcPr>
                <w:tcW w:w="900" w:type="pct"/>
                <w:gridSpan w:val="2"/>
                <w:vMerge/>
                <w:tcBorders>
                  <w:left w:val="single" w:sz="4" w:space="0" w:color="auto"/>
                  <w:bottom w:val="single" w:sz="4" w:space="0" w:color="auto"/>
                  <w:right w:val="single" w:sz="4" w:space="0" w:color="auto"/>
                </w:tcBorders>
              </w:tcPr>
            </w:tcPrChange>
          </w:tcPr>
          <w:p>
            <w:pPr>
              <w:keepNext/>
              <w:keepLines/>
              <w:tabs>
                <w:tab w:val="left" w:pos="180"/>
              </w:tabs>
              <w:jc w:val="center"/>
              <w:rPr>
                <w:b/>
                <w:noProof/>
                <w:sz w:val="20"/>
                <w:lang w:val="it-IT"/>
                <w:rPrChange w:id="548" w:author="Author">
                  <w:rPr>
                    <w:b/>
                    <w:sz w:val="21"/>
                    <w:szCs w:val="21"/>
                    <w:lang w:val="it-IT"/>
                  </w:rPr>
                </w:rPrChange>
              </w:rPr>
            </w:pPr>
          </w:p>
        </w:tc>
        <w:tc>
          <w:tcPr>
            <w:tcW w:w="972" w:type="pct"/>
            <w:tcBorders>
              <w:top w:val="single" w:sz="4" w:space="0" w:color="auto"/>
              <w:left w:val="single" w:sz="4" w:space="0" w:color="auto"/>
              <w:bottom w:val="single" w:sz="4" w:space="0" w:color="auto"/>
            </w:tcBorders>
            <w:tcPrChange w:id="549" w:author="Author">
              <w:tcPr>
                <w:tcW w:w="972" w:type="pct"/>
                <w:tcBorders>
                  <w:top w:val="single" w:sz="4" w:space="0" w:color="auto"/>
                  <w:left w:val="single" w:sz="4" w:space="0" w:color="auto"/>
                  <w:bottom w:val="single" w:sz="4" w:space="0" w:color="auto"/>
                </w:tcBorders>
              </w:tcPr>
            </w:tcPrChange>
          </w:tcPr>
          <w:p>
            <w:pPr>
              <w:keepNext/>
              <w:keepLines/>
              <w:tabs>
                <w:tab w:val="left" w:pos="180"/>
              </w:tabs>
              <w:jc w:val="center"/>
              <w:rPr>
                <w:b/>
                <w:noProof/>
                <w:sz w:val="20"/>
                <w:lang w:val="it-IT"/>
                <w:rPrChange w:id="550" w:author="Author">
                  <w:rPr>
                    <w:b/>
                    <w:sz w:val="21"/>
                    <w:szCs w:val="21"/>
                    <w:lang w:val="it-IT"/>
                  </w:rPr>
                </w:rPrChange>
              </w:rPr>
            </w:pPr>
            <w:r>
              <w:rPr>
                <w:b/>
                <w:noProof/>
                <w:sz w:val="20"/>
                <w:lang w:val="it-IT"/>
                <w:rPrChange w:id="551" w:author="Author">
                  <w:rPr>
                    <w:b/>
                    <w:sz w:val="21"/>
                    <w:szCs w:val="21"/>
                    <w:lang w:val="it-IT"/>
                  </w:rPr>
                </w:rPrChange>
              </w:rPr>
              <w:t>Molto comune</w:t>
            </w:r>
          </w:p>
        </w:tc>
        <w:tc>
          <w:tcPr>
            <w:tcW w:w="910" w:type="pct"/>
            <w:tcBorders>
              <w:top w:val="single" w:sz="4" w:space="0" w:color="auto"/>
              <w:left w:val="single" w:sz="4" w:space="0" w:color="auto"/>
              <w:bottom w:val="single" w:sz="4" w:space="0" w:color="auto"/>
            </w:tcBorders>
            <w:tcPrChange w:id="552" w:author="Author">
              <w:tcPr>
                <w:tcW w:w="907" w:type="pct"/>
                <w:tcBorders>
                  <w:top w:val="single" w:sz="4" w:space="0" w:color="auto"/>
                  <w:left w:val="single" w:sz="4" w:space="0" w:color="auto"/>
                  <w:bottom w:val="single" w:sz="4" w:space="0" w:color="auto"/>
                </w:tcBorders>
              </w:tcPr>
            </w:tcPrChange>
          </w:tcPr>
          <w:p>
            <w:pPr>
              <w:keepNext/>
              <w:keepLines/>
              <w:tabs>
                <w:tab w:val="left" w:pos="180"/>
              </w:tabs>
              <w:jc w:val="center"/>
              <w:rPr>
                <w:b/>
                <w:noProof/>
                <w:sz w:val="20"/>
                <w:lang w:val="it-IT"/>
                <w:rPrChange w:id="553" w:author="Author">
                  <w:rPr>
                    <w:b/>
                    <w:sz w:val="21"/>
                    <w:szCs w:val="21"/>
                    <w:lang w:val="it-IT"/>
                  </w:rPr>
                </w:rPrChange>
              </w:rPr>
            </w:pPr>
            <w:r>
              <w:rPr>
                <w:b/>
                <w:noProof/>
                <w:sz w:val="20"/>
                <w:lang w:val="it-IT"/>
                <w:rPrChange w:id="554" w:author="Author">
                  <w:rPr>
                    <w:b/>
                    <w:sz w:val="21"/>
                    <w:szCs w:val="21"/>
                    <w:lang w:val="it-IT"/>
                  </w:rPr>
                </w:rPrChange>
              </w:rPr>
              <w:t>Comune</w:t>
            </w:r>
          </w:p>
        </w:tc>
        <w:tc>
          <w:tcPr>
            <w:tcW w:w="931" w:type="pct"/>
            <w:tcBorders>
              <w:top w:val="single" w:sz="4" w:space="0" w:color="auto"/>
              <w:left w:val="single" w:sz="4" w:space="0" w:color="auto"/>
              <w:bottom w:val="single" w:sz="4" w:space="0" w:color="auto"/>
            </w:tcBorders>
            <w:tcPrChange w:id="555" w:author="Author">
              <w:tcPr>
                <w:tcW w:w="987" w:type="pct"/>
                <w:tcBorders>
                  <w:top w:val="single" w:sz="4" w:space="0" w:color="auto"/>
                  <w:left w:val="single" w:sz="4" w:space="0" w:color="auto"/>
                  <w:bottom w:val="single" w:sz="4" w:space="0" w:color="auto"/>
                </w:tcBorders>
              </w:tcPr>
            </w:tcPrChange>
          </w:tcPr>
          <w:p>
            <w:pPr>
              <w:keepNext/>
              <w:keepLines/>
              <w:tabs>
                <w:tab w:val="left" w:pos="180"/>
              </w:tabs>
              <w:jc w:val="center"/>
              <w:rPr>
                <w:b/>
                <w:noProof/>
                <w:sz w:val="20"/>
                <w:lang w:val="it-IT"/>
                <w:rPrChange w:id="556" w:author="Author">
                  <w:rPr>
                    <w:b/>
                    <w:sz w:val="21"/>
                    <w:szCs w:val="21"/>
                    <w:lang w:val="it-IT"/>
                  </w:rPr>
                </w:rPrChange>
              </w:rPr>
            </w:pPr>
            <w:r>
              <w:rPr>
                <w:b/>
                <w:noProof/>
                <w:sz w:val="20"/>
                <w:lang w:val="it-IT"/>
                <w:rPrChange w:id="557" w:author="Author">
                  <w:rPr>
                    <w:b/>
                    <w:sz w:val="21"/>
                    <w:szCs w:val="21"/>
                    <w:lang w:val="it-IT"/>
                  </w:rPr>
                </w:rPrChange>
              </w:rPr>
              <w:t>Non comune</w:t>
            </w:r>
          </w:p>
        </w:tc>
        <w:tc>
          <w:tcPr>
            <w:tcW w:w="611" w:type="pct"/>
            <w:tcBorders>
              <w:top w:val="single" w:sz="4" w:space="0" w:color="auto"/>
              <w:left w:val="single" w:sz="4" w:space="0" w:color="auto"/>
              <w:bottom w:val="single" w:sz="4" w:space="0" w:color="auto"/>
            </w:tcBorders>
            <w:tcPrChange w:id="558" w:author="Author">
              <w:tcPr>
                <w:tcW w:w="557" w:type="pct"/>
                <w:gridSpan w:val="2"/>
                <w:tcBorders>
                  <w:top w:val="single" w:sz="4" w:space="0" w:color="auto"/>
                  <w:left w:val="single" w:sz="4" w:space="0" w:color="auto"/>
                  <w:bottom w:val="single" w:sz="4" w:space="0" w:color="auto"/>
                </w:tcBorders>
              </w:tcPr>
            </w:tcPrChange>
          </w:tcPr>
          <w:p>
            <w:pPr>
              <w:keepNext/>
              <w:keepLines/>
              <w:tabs>
                <w:tab w:val="left" w:pos="180"/>
              </w:tabs>
              <w:jc w:val="center"/>
              <w:rPr>
                <w:b/>
                <w:noProof/>
                <w:sz w:val="20"/>
                <w:lang w:val="it-IT"/>
                <w:rPrChange w:id="559" w:author="Author">
                  <w:rPr>
                    <w:b/>
                    <w:sz w:val="21"/>
                    <w:szCs w:val="21"/>
                    <w:lang w:val="it-IT"/>
                  </w:rPr>
                </w:rPrChange>
              </w:rPr>
            </w:pPr>
            <w:r>
              <w:rPr>
                <w:b/>
                <w:noProof/>
                <w:sz w:val="20"/>
                <w:lang w:val="it-IT"/>
                <w:rPrChange w:id="560" w:author="Author">
                  <w:rPr>
                    <w:b/>
                    <w:sz w:val="21"/>
                    <w:szCs w:val="21"/>
                    <w:lang w:val="it-IT"/>
                  </w:rPr>
                </w:rPrChange>
              </w:rPr>
              <w:t>Raro</w:t>
            </w:r>
          </w:p>
        </w:tc>
        <w:tc>
          <w:tcPr>
            <w:tcW w:w="677" w:type="pct"/>
            <w:tcBorders>
              <w:top w:val="single" w:sz="4" w:space="0" w:color="auto"/>
              <w:left w:val="single" w:sz="4" w:space="0" w:color="auto"/>
              <w:bottom w:val="single" w:sz="4" w:space="0" w:color="auto"/>
            </w:tcBorders>
            <w:tcPrChange w:id="561" w:author="Author">
              <w:tcPr>
                <w:tcW w:w="678" w:type="pct"/>
                <w:tcBorders>
                  <w:top w:val="single" w:sz="4" w:space="0" w:color="auto"/>
                  <w:left w:val="single" w:sz="4" w:space="0" w:color="auto"/>
                  <w:bottom w:val="single" w:sz="4" w:space="0" w:color="auto"/>
                </w:tcBorders>
              </w:tcPr>
            </w:tcPrChange>
          </w:tcPr>
          <w:p>
            <w:pPr>
              <w:keepNext/>
              <w:keepLines/>
              <w:tabs>
                <w:tab w:val="left" w:pos="180"/>
              </w:tabs>
              <w:jc w:val="center"/>
              <w:rPr>
                <w:b/>
                <w:noProof/>
                <w:sz w:val="20"/>
                <w:lang w:val="it-IT"/>
                <w:rPrChange w:id="562" w:author="Author">
                  <w:rPr>
                    <w:b/>
                    <w:sz w:val="21"/>
                    <w:szCs w:val="21"/>
                    <w:lang w:val="it-IT"/>
                  </w:rPr>
                </w:rPrChange>
              </w:rPr>
            </w:pPr>
            <w:r>
              <w:rPr>
                <w:b/>
                <w:noProof/>
                <w:sz w:val="20"/>
                <w:lang w:val="it-IT"/>
                <w:rPrChange w:id="563" w:author="Author">
                  <w:rPr>
                    <w:b/>
                    <w:sz w:val="21"/>
                    <w:szCs w:val="21"/>
                    <w:lang w:val="it-IT"/>
                  </w:rPr>
                </w:rPrChange>
              </w:rPr>
              <w:t>Molto raro</w:t>
            </w:r>
          </w:p>
        </w:tc>
      </w:tr>
      <w:tr>
        <w:tblPrEx>
          <w:tblPrExChange w:id="564" w:author="Author">
            <w:tblPrEx>
              <w:tblCellMar>
                <w:left w:w="86" w:type="dxa"/>
                <w:right w:w="86" w:type="dxa"/>
              </w:tblCellMar>
            </w:tblPrEx>
          </w:tblPrExChange>
        </w:tblPrEx>
        <w:tc>
          <w:tcPr>
            <w:tcW w:w="899" w:type="pct"/>
            <w:tcBorders>
              <w:top w:val="single" w:sz="4" w:space="0" w:color="auto"/>
              <w:left w:val="single" w:sz="4" w:space="0" w:color="auto"/>
              <w:bottom w:val="single" w:sz="4" w:space="0" w:color="auto"/>
              <w:right w:val="single" w:sz="4" w:space="0" w:color="auto"/>
            </w:tcBorders>
            <w:tcPrChange w:id="565" w:author="Author">
              <w:tcPr>
                <w:tcW w:w="900" w:type="pct"/>
                <w:gridSpan w:val="2"/>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566" w:author="Author">
                  <w:rPr>
                    <w:sz w:val="21"/>
                    <w:szCs w:val="21"/>
                    <w:lang w:val="it-IT"/>
                  </w:rPr>
                </w:rPrChange>
              </w:rPr>
            </w:pPr>
            <w:r>
              <w:rPr>
                <w:noProof/>
                <w:sz w:val="20"/>
                <w:lang w:val="it-IT"/>
                <w:rPrChange w:id="567" w:author="Author">
                  <w:rPr>
                    <w:sz w:val="21"/>
                    <w:szCs w:val="21"/>
                    <w:lang w:val="it-IT"/>
                  </w:rPr>
                </w:rPrChange>
              </w:rPr>
              <w:t>Infezioni ed infestazioni</w:t>
            </w:r>
          </w:p>
        </w:tc>
        <w:tc>
          <w:tcPr>
            <w:tcW w:w="972" w:type="pct"/>
            <w:tcBorders>
              <w:top w:val="single" w:sz="4" w:space="0" w:color="auto"/>
              <w:left w:val="single" w:sz="4" w:space="0" w:color="auto"/>
              <w:bottom w:val="single" w:sz="4" w:space="0" w:color="auto"/>
              <w:right w:val="single" w:sz="4" w:space="0" w:color="auto"/>
            </w:tcBorders>
            <w:tcPrChange w:id="568" w:author="Author">
              <w:tcPr>
                <w:tcW w:w="972"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569" w:author="Author">
                  <w:rPr>
                    <w:sz w:val="21"/>
                    <w:szCs w:val="21"/>
                    <w:lang w:val="it-IT"/>
                  </w:rPr>
                </w:rPrChange>
              </w:rPr>
            </w:pPr>
            <w:r>
              <w:rPr>
                <w:noProof/>
                <w:sz w:val="20"/>
                <w:lang w:val="it-IT"/>
                <w:rPrChange w:id="570" w:author="Author">
                  <w:rPr>
                    <w:sz w:val="21"/>
                    <w:szCs w:val="21"/>
                    <w:lang w:val="it-IT"/>
                  </w:rPr>
                </w:rPrChange>
              </w:rPr>
              <w:t xml:space="preserve">Infezioni delle vie </w:t>
            </w:r>
            <w:r>
              <w:rPr>
                <w:noProof/>
                <w:sz w:val="20"/>
                <w:lang w:val="it-IT"/>
                <w:rPrChange w:id="571" w:author="Author">
                  <w:rPr>
                    <w:lang w:val="it-IT"/>
                  </w:rPr>
                </w:rPrChange>
              </w:rPr>
              <w:t xml:space="preserve">aeree </w:t>
            </w:r>
            <w:r>
              <w:rPr>
                <w:noProof/>
                <w:sz w:val="20"/>
                <w:lang w:val="it-IT"/>
                <w:rPrChange w:id="572" w:author="Author">
                  <w:rPr>
                    <w:sz w:val="21"/>
                    <w:szCs w:val="21"/>
                    <w:lang w:val="it-IT"/>
                  </w:rPr>
                </w:rPrChange>
              </w:rPr>
              <w:t>superiori</w:t>
            </w:r>
          </w:p>
        </w:tc>
        <w:tc>
          <w:tcPr>
            <w:tcW w:w="910" w:type="pct"/>
            <w:tcBorders>
              <w:top w:val="single" w:sz="4" w:space="0" w:color="auto"/>
              <w:left w:val="single" w:sz="4" w:space="0" w:color="auto"/>
              <w:bottom w:val="single" w:sz="4" w:space="0" w:color="auto"/>
              <w:right w:val="single" w:sz="4" w:space="0" w:color="auto"/>
            </w:tcBorders>
            <w:tcPrChange w:id="573" w:author="Author">
              <w:tcPr>
                <w:tcW w:w="907"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574" w:author="Author">
                  <w:rPr>
                    <w:sz w:val="21"/>
                    <w:szCs w:val="21"/>
                    <w:lang w:val="it-IT"/>
                  </w:rPr>
                </w:rPrChange>
              </w:rPr>
            </w:pPr>
            <w:r>
              <w:rPr>
                <w:noProof/>
                <w:sz w:val="20"/>
                <w:lang w:val="it-IT"/>
                <w:rPrChange w:id="575" w:author="Author">
                  <w:rPr>
                    <w:sz w:val="21"/>
                    <w:szCs w:val="21"/>
                    <w:lang w:val="it-IT"/>
                  </w:rPr>
                </w:rPrChange>
              </w:rPr>
              <w:t>Cellulite, polmonite, herpes simplex orale, herpes zoster</w:t>
            </w:r>
          </w:p>
        </w:tc>
        <w:tc>
          <w:tcPr>
            <w:tcW w:w="931" w:type="pct"/>
            <w:tcBorders>
              <w:top w:val="single" w:sz="4" w:space="0" w:color="auto"/>
              <w:left w:val="single" w:sz="4" w:space="0" w:color="auto"/>
              <w:bottom w:val="single" w:sz="4" w:space="0" w:color="auto"/>
              <w:right w:val="single" w:sz="4" w:space="0" w:color="auto"/>
            </w:tcBorders>
            <w:tcPrChange w:id="576" w:author="Author">
              <w:tcPr>
                <w:tcW w:w="987"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577" w:author="Author">
                  <w:rPr>
                    <w:sz w:val="21"/>
                    <w:szCs w:val="21"/>
                    <w:lang w:val="it-IT"/>
                  </w:rPr>
                </w:rPrChange>
              </w:rPr>
            </w:pPr>
            <w:r>
              <w:rPr>
                <w:noProof/>
                <w:sz w:val="20"/>
                <w:lang w:val="it-IT"/>
                <w:rPrChange w:id="578" w:author="Author">
                  <w:rPr>
                    <w:sz w:val="21"/>
                    <w:szCs w:val="21"/>
                    <w:lang w:val="it-IT"/>
                  </w:rPr>
                </w:rPrChange>
              </w:rPr>
              <w:t>Diverticolite</w:t>
            </w:r>
          </w:p>
        </w:tc>
        <w:tc>
          <w:tcPr>
            <w:tcW w:w="611" w:type="pct"/>
            <w:tcBorders>
              <w:top w:val="single" w:sz="4" w:space="0" w:color="auto"/>
              <w:left w:val="single" w:sz="4" w:space="0" w:color="auto"/>
              <w:bottom w:val="single" w:sz="4" w:space="0" w:color="auto"/>
              <w:right w:val="single" w:sz="4" w:space="0" w:color="auto"/>
            </w:tcBorders>
            <w:tcPrChange w:id="579" w:author="Author">
              <w:tcPr>
                <w:tcW w:w="557" w:type="pct"/>
                <w:gridSpan w:val="2"/>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580" w:author="Author">
                  <w:rPr>
                    <w:sz w:val="21"/>
                    <w:szCs w:val="21"/>
                    <w:lang w:val="it-IT"/>
                  </w:rPr>
                </w:rPrChange>
              </w:rPr>
            </w:pPr>
          </w:p>
        </w:tc>
        <w:tc>
          <w:tcPr>
            <w:tcW w:w="677" w:type="pct"/>
            <w:tcBorders>
              <w:top w:val="single" w:sz="4" w:space="0" w:color="auto"/>
              <w:left w:val="single" w:sz="4" w:space="0" w:color="auto"/>
              <w:bottom w:val="single" w:sz="4" w:space="0" w:color="auto"/>
              <w:right w:val="single" w:sz="4" w:space="0" w:color="auto"/>
            </w:tcBorders>
            <w:tcPrChange w:id="581" w:author="Author">
              <w:tcPr>
                <w:tcW w:w="678"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582" w:author="Author">
                  <w:rPr>
                    <w:sz w:val="21"/>
                    <w:szCs w:val="21"/>
                    <w:lang w:val="it-IT"/>
                  </w:rPr>
                </w:rPrChange>
              </w:rPr>
            </w:pPr>
          </w:p>
        </w:tc>
      </w:tr>
      <w:tr>
        <w:tblPrEx>
          <w:tblPrExChange w:id="583" w:author="Author">
            <w:tblPrEx>
              <w:tblCellMar>
                <w:left w:w="86" w:type="dxa"/>
                <w:right w:w="86" w:type="dxa"/>
              </w:tblCellMar>
            </w:tblPrEx>
          </w:tblPrExChange>
        </w:tblPrEx>
        <w:tc>
          <w:tcPr>
            <w:tcW w:w="899" w:type="pct"/>
            <w:tcBorders>
              <w:top w:val="single" w:sz="4" w:space="0" w:color="auto"/>
              <w:left w:val="single" w:sz="4" w:space="0" w:color="auto"/>
              <w:bottom w:val="single" w:sz="4" w:space="0" w:color="auto"/>
              <w:right w:val="single" w:sz="4" w:space="0" w:color="auto"/>
            </w:tcBorders>
            <w:tcPrChange w:id="584" w:author="Author">
              <w:tcPr>
                <w:tcW w:w="900" w:type="pct"/>
                <w:gridSpan w:val="2"/>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585" w:author="Author">
                  <w:rPr>
                    <w:sz w:val="21"/>
                    <w:szCs w:val="21"/>
                    <w:lang w:val="it-IT"/>
                  </w:rPr>
                </w:rPrChange>
              </w:rPr>
            </w:pPr>
            <w:r>
              <w:rPr>
                <w:noProof/>
                <w:sz w:val="20"/>
                <w:lang w:val="it-IT"/>
                <w:rPrChange w:id="586" w:author="Author">
                  <w:rPr>
                    <w:sz w:val="21"/>
                    <w:szCs w:val="21"/>
                    <w:lang w:val="it-IT"/>
                  </w:rPr>
                </w:rPrChange>
              </w:rPr>
              <w:t>Patologie del sistema emolinfopoietico</w:t>
            </w:r>
          </w:p>
        </w:tc>
        <w:tc>
          <w:tcPr>
            <w:tcW w:w="972" w:type="pct"/>
            <w:tcBorders>
              <w:top w:val="single" w:sz="4" w:space="0" w:color="auto"/>
              <w:left w:val="single" w:sz="4" w:space="0" w:color="auto"/>
              <w:bottom w:val="single" w:sz="4" w:space="0" w:color="auto"/>
              <w:right w:val="single" w:sz="4" w:space="0" w:color="auto"/>
            </w:tcBorders>
            <w:tcPrChange w:id="587" w:author="Author">
              <w:tcPr>
                <w:tcW w:w="972"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588" w:author="Author">
                  <w:rPr>
                    <w:sz w:val="21"/>
                    <w:szCs w:val="21"/>
                    <w:lang w:val="it-IT"/>
                  </w:rPr>
                </w:rPrChange>
              </w:rPr>
            </w:pPr>
          </w:p>
        </w:tc>
        <w:tc>
          <w:tcPr>
            <w:tcW w:w="910" w:type="pct"/>
            <w:tcBorders>
              <w:top w:val="single" w:sz="4" w:space="0" w:color="auto"/>
              <w:left w:val="single" w:sz="4" w:space="0" w:color="auto"/>
              <w:bottom w:val="single" w:sz="4" w:space="0" w:color="auto"/>
              <w:right w:val="single" w:sz="4" w:space="0" w:color="auto"/>
            </w:tcBorders>
            <w:tcPrChange w:id="589" w:author="Author">
              <w:tcPr>
                <w:tcW w:w="907"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590" w:author="Author">
                  <w:rPr>
                    <w:sz w:val="21"/>
                    <w:szCs w:val="21"/>
                    <w:lang w:val="it-IT"/>
                  </w:rPr>
                </w:rPrChange>
              </w:rPr>
            </w:pPr>
            <w:r>
              <w:rPr>
                <w:noProof/>
                <w:sz w:val="20"/>
                <w:lang w:val="it-IT"/>
                <w:rPrChange w:id="591" w:author="Author">
                  <w:rPr>
                    <w:sz w:val="21"/>
                    <w:szCs w:val="21"/>
                    <w:lang w:val="it-IT"/>
                  </w:rPr>
                </w:rPrChange>
              </w:rPr>
              <w:t>Leucopenia, neutropenia, ipofibrinogenemia</w:t>
            </w:r>
          </w:p>
        </w:tc>
        <w:tc>
          <w:tcPr>
            <w:tcW w:w="931" w:type="pct"/>
            <w:tcBorders>
              <w:top w:val="single" w:sz="4" w:space="0" w:color="auto"/>
              <w:left w:val="single" w:sz="4" w:space="0" w:color="auto"/>
              <w:bottom w:val="single" w:sz="4" w:space="0" w:color="auto"/>
              <w:right w:val="single" w:sz="4" w:space="0" w:color="auto"/>
            </w:tcBorders>
            <w:tcPrChange w:id="592" w:author="Author">
              <w:tcPr>
                <w:tcW w:w="987"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593" w:author="Author">
                  <w:rPr>
                    <w:sz w:val="21"/>
                    <w:szCs w:val="21"/>
                    <w:lang w:val="it-IT"/>
                  </w:rPr>
                </w:rPrChange>
              </w:rPr>
            </w:pPr>
          </w:p>
        </w:tc>
        <w:tc>
          <w:tcPr>
            <w:tcW w:w="611" w:type="pct"/>
            <w:tcBorders>
              <w:top w:val="single" w:sz="4" w:space="0" w:color="auto"/>
              <w:left w:val="single" w:sz="4" w:space="0" w:color="auto"/>
              <w:bottom w:val="single" w:sz="4" w:space="0" w:color="auto"/>
              <w:right w:val="single" w:sz="4" w:space="0" w:color="auto"/>
            </w:tcBorders>
            <w:tcPrChange w:id="594" w:author="Author">
              <w:tcPr>
                <w:tcW w:w="557" w:type="pct"/>
                <w:gridSpan w:val="2"/>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595" w:author="Author">
                  <w:rPr>
                    <w:sz w:val="21"/>
                    <w:szCs w:val="21"/>
                    <w:lang w:val="it-IT"/>
                  </w:rPr>
                </w:rPrChange>
              </w:rPr>
            </w:pPr>
          </w:p>
        </w:tc>
        <w:tc>
          <w:tcPr>
            <w:tcW w:w="677" w:type="pct"/>
            <w:tcBorders>
              <w:top w:val="single" w:sz="4" w:space="0" w:color="auto"/>
              <w:left w:val="single" w:sz="4" w:space="0" w:color="auto"/>
              <w:bottom w:val="single" w:sz="4" w:space="0" w:color="auto"/>
              <w:right w:val="single" w:sz="4" w:space="0" w:color="auto"/>
            </w:tcBorders>
            <w:tcPrChange w:id="596" w:author="Author">
              <w:tcPr>
                <w:tcW w:w="678"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597" w:author="Author">
                  <w:rPr>
                    <w:sz w:val="21"/>
                    <w:szCs w:val="21"/>
                    <w:lang w:val="it-IT"/>
                  </w:rPr>
                </w:rPrChange>
              </w:rPr>
            </w:pPr>
          </w:p>
        </w:tc>
      </w:tr>
      <w:tr>
        <w:tblPrEx>
          <w:tblPrExChange w:id="598" w:author="Author">
            <w:tblPrEx>
              <w:tblCellMar>
                <w:left w:w="86" w:type="dxa"/>
                <w:right w:w="86" w:type="dxa"/>
              </w:tblCellMar>
            </w:tblPrEx>
          </w:tblPrExChange>
        </w:tblPrEx>
        <w:tc>
          <w:tcPr>
            <w:tcW w:w="899" w:type="pct"/>
            <w:tcBorders>
              <w:top w:val="single" w:sz="4" w:space="0" w:color="auto"/>
              <w:left w:val="single" w:sz="4" w:space="0" w:color="auto"/>
              <w:bottom w:val="single" w:sz="4" w:space="0" w:color="auto"/>
              <w:right w:val="single" w:sz="4" w:space="0" w:color="auto"/>
            </w:tcBorders>
            <w:tcPrChange w:id="599" w:author="Author">
              <w:tcPr>
                <w:tcW w:w="900" w:type="pct"/>
                <w:gridSpan w:val="2"/>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00" w:author="Author">
                  <w:rPr>
                    <w:sz w:val="21"/>
                    <w:szCs w:val="21"/>
                    <w:lang w:val="it-IT"/>
                  </w:rPr>
                </w:rPrChange>
              </w:rPr>
            </w:pPr>
            <w:r>
              <w:rPr>
                <w:noProof/>
                <w:sz w:val="20"/>
                <w:lang w:val="it-IT"/>
                <w:rPrChange w:id="601" w:author="Author">
                  <w:rPr>
                    <w:sz w:val="21"/>
                    <w:szCs w:val="21"/>
                    <w:lang w:val="it-IT"/>
                  </w:rPr>
                </w:rPrChange>
              </w:rPr>
              <w:t>Disturbi del sistema immunitario</w:t>
            </w:r>
          </w:p>
        </w:tc>
        <w:tc>
          <w:tcPr>
            <w:tcW w:w="972" w:type="pct"/>
            <w:tcBorders>
              <w:top w:val="single" w:sz="4" w:space="0" w:color="auto"/>
              <w:left w:val="single" w:sz="4" w:space="0" w:color="auto"/>
              <w:bottom w:val="single" w:sz="4" w:space="0" w:color="auto"/>
              <w:right w:val="single" w:sz="4" w:space="0" w:color="auto"/>
            </w:tcBorders>
            <w:tcPrChange w:id="602" w:author="Author">
              <w:tcPr>
                <w:tcW w:w="972"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03" w:author="Author">
                  <w:rPr>
                    <w:sz w:val="21"/>
                    <w:szCs w:val="21"/>
                    <w:lang w:val="it-IT"/>
                  </w:rPr>
                </w:rPrChange>
              </w:rPr>
            </w:pPr>
          </w:p>
        </w:tc>
        <w:tc>
          <w:tcPr>
            <w:tcW w:w="910" w:type="pct"/>
            <w:tcBorders>
              <w:top w:val="single" w:sz="4" w:space="0" w:color="auto"/>
              <w:left w:val="single" w:sz="4" w:space="0" w:color="auto"/>
              <w:bottom w:val="single" w:sz="4" w:space="0" w:color="auto"/>
              <w:right w:val="single" w:sz="4" w:space="0" w:color="auto"/>
            </w:tcBorders>
            <w:tcPrChange w:id="604" w:author="Author">
              <w:tcPr>
                <w:tcW w:w="907"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05" w:author="Author">
                  <w:rPr>
                    <w:sz w:val="21"/>
                    <w:szCs w:val="21"/>
                    <w:lang w:val="it-IT"/>
                  </w:rPr>
                </w:rPrChange>
              </w:rPr>
            </w:pPr>
          </w:p>
        </w:tc>
        <w:tc>
          <w:tcPr>
            <w:tcW w:w="931" w:type="pct"/>
            <w:tcBorders>
              <w:top w:val="single" w:sz="4" w:space="0" w:color="auto"/>
              <w:left w:val="single" w:sz="4" w:space="0" w:color="auto"/>
              <w:bottom w:val="single" w:sz="4" w:space="0" w:color="auto"/>
              <w:right w:val="single" w:sz="4" w:space="0" w:color="auto"/>
            </w:tcBorders>
            <w:tcPrChange w:id="606" w:author="Author">
              <w:tcPr>
                <w:tcW w:w="987"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07" w:author="Author">
                  <w:rPr>
                    <w:sz w:val="21"/>
                    <w:szCs w:val="21"/>
                    <w:lang w:val="it-IT"/>
                  </w:rPr>
                </w:rPrChange>
              </w:rPr>
            </w:pPr>
          </w:p>
        </w:tc>
        <w:tc>
          <w:tcPr>
            <w:tcW w:w="611" w:type="pct"/>
            <w:tcBorders>
              <w:top w:val="single" w:sz="4" w:space="0" w:color="auto"/>
              <w:left w:val="single" w:sz="4" w:space="0" w:color="auto"/>
              <w:bottom w:val="single" w:sz="4" w:space="0" w:color="auto"/>
              <w:right w:val="single" w:sz="4" w:space="0" w:color="auto"/>
            </w:tcBorders>
            <w:tcPrChange w:id="608" w:author="Author">
              <w:tcPr>
                <w:tcW w:w="557" w:type="pct"/>
                <w:gridSpan w:val="2"/>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09" w:author="Author">
                  <w:rPr>
                    <w:sz w:val="21"/>
                    <w:szCs w:val="21"/>
                    <w:lang w:val="it-IT"/>
                  </w:rPr>
                </w:rPrChange>
              </w:rPr>
            </w:pPr>
            <w:r>
              <w:rPr>
                <w:noProof/>
                <w:sz w:val="20"/>
                <w:lang w:val="it-IT"/>
                <w:rPrChange w:id="610" w:author="Author">
                  <w:rPr>
                    <w:sz w:val="21"/>
                    <w:szCs w:val="21"/>
                    <w:lang w:val="it-IT"/>
                  </w:rPr>
                </w:rPrChange>
              </w:rPr>
              <w:t>Anafilassi (fatale)</w:t>
            </w:r>
            <w:r>
              <w:rPr>
                <w:noProof/>
                <w:sz w:val="20"/>
                <w:vertAlign w:val="superscript"/>
                <w:lang w:val="it-IT"/>
                <w:rPrChange w:id="611" w:author="Author">
                  <w:rPr>
                    <w:sz w:val="21"/>
                    <w:szCs w:val="21"/>
                    <w:vertAlign w:val="superscript"/>
                    <w:lang w:val="it-IT"/>
                  </w:rPr>
                </w:rPrChange>
              </w:rPr>
              <w:t>1, 2</w:t>
            </w:r>
            <w:del w:id="612" w:author="Author">
              <w:r>
                <w:rPr>
                  <w:noProof/>
                  <w:sz w:val="20"/>
                  <w:vertAlign w:val="superscript"/>
                  <w:lang w:val="it-IT"/>
                  <w:rPrChange w:id="613" w:author="Author">
                    <w:rPr>
                      <w:sz w:val="21"/>
                      <w:szCs w:val="21"/>
                      <w:vertAlign w:val="superscript"/>
                      <w:lang w:val="it-IT"/>
                    </w:rPr>
                  </w:rPrChange>
                </w:rPr>
                <w:delText xml:space="preserve"> </w:delText>
              </w:r>
            </w:del>
            <w:r>
              <w:rPr>
                <w:noProof/>
                <w:sz w:val="20"/>
                <w:vertAlign w:val="superscript"/>
                <w:lang w:val="it-IT"/>
                <w:rPrChange w:id="614" w:author="Author">
                  <w:rPr>
                    <w:sz w:val="21"/>
                    <w:szCs w:val="21"/>
                    <w:vertAlign w:val="superscript"/>
                    <w:lang w:val="it-IT"/>
                  </w:rPr>
                </w:rPrChange>
              </w:rPr>
              <w:t>,</w:t>
            </w:r>
            <w:ins w:id="615" w:author="Author">
              <w:r>
                <w:rPr>
                  <w:noProof/>
                  <w:sz w:val="20"/>
                  <w:vertAlign w:val="superscript"/>
                  <w:lang w:val="it-IT"/>
                </w:rPr>
                <w:t xml:space="preserve"> </w:t>
              </w:r>
            </w:ins>
            <w:r>
              <w:rPr>
                <w:noProof/>
                <w:sz w:val="20"/>
                <w:vertAlign w:val="superscript"/>
                <w:lang w:val="it-IT"/>
                <w:rPrChange w:id="616" w:author="Author">
                  <w:rPr>
                    <w:sz w:val="21"/>
                    <w:szCs w:val="21"/>
                    <w:vertAlign w:val="superscript"/>
                    <w:lang w:val="it-IT"/>
                  </w:rPr>
                </w:rPrChange>
              </w:rPr>
              <w:t>3</w:t>
            </w:r>
          </w:p>
        </w:tc>
        <w:tc>
          <w:tcPr>
            <w:tcW w:w="677" w:type="pct"/>
            <w:tcBorders>
              <w:top w:val="single" w:sz="4" w:space="0" w:color="auto"/>
              <w:left w:val="single" w:sz="4" w:space="0" w:color="auto"/>
              <w:bottom w:val="single" w:sz="4" w:space="0" w:color="auto"/>
              <w:right w:val="single" w:sz="4" w:space="0" w:color="auto"/>
            </w:tcBorders>
            <w:tcPrChange w:id="617" w:author="Author">
              <w:tcPr>
                <w:tcW w:w="678"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18" w:author="Author">
                  <w:rPr>
                    <w:sz w:val="21"/>
                    <w:szCs w:val="21"/>
                    <w:lang w:val="it-IT"/>
                  </w:rPr>
                </w:rPrChange>
              </w:rPr>
            </w:pPr>
          </w:p>
        </w:tc>
      </w:tr>
      <w:tr>
        <w:tblPrEx>
          <w:tblPrExChange w:id="619" w:author="Author">
            <w:tblPrEx>
              <w:tblCellMar>
                <w:left w:w="86" w:type="dxa"/>
                <w:right w:w="86" w:type="dxa"/>
              </w:tblCellMar>
            </w:tblPrEx>
          </w:tblPrExChange>
        </w:tblPrEx>
        <w:tc>
          <w:tcPr>
            <w:tcW w:w="899" w:type="pct"/>
            <w:tcBorders>
              <w:top w:val="single" w:sz="4" w:space="0" w:color="auto"/>
              <w:left w:val="single" w:sz="4" w:space="0" w:color="auto"/>
              <w:bottom w:val="single" w:sz="4" w:space="0" w:color="auto"/>
              <w:right w:val="single" w:sz="4" w:space="0" w:color="auto"/>
            </w:tcBorders>
            <w:tcPrChange w:id="620" w:author="Author">
              <w:tcPr>
                <w:tcW w:w="900" w:type="pct"/>
                <w:gridSpan w:val="2"/>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21" w:author="Author">
                  <w:rPr>
                    <w:sz w:val="21"/>
                    <w:szCs w:val="21"/>
                    <w:lang w:val="it-IT"/>
                  </w:rPr>
                </w:rPrChange>
              </w:rPr>
            </w:pPr>
            <w:r>
              <w:rPr>
                <w:noProof/>
                <w:sz w:val="20"/>
                <w:lang w:val="it-IT"/>
                <w:rPrChange w:id="622" w:author="Author">
                  <w:rPr>
                    <w:sz w:val="21"/>
                    <w:szCs w:val="21"/>
                    <w:lang w:val="it-IT"/>
                  </w:rPr>
                </w:rPrChange>
              </w:rPr>
              <w:t>Patologie endocrine</w:t>
            </w:r>
          </w:p>
        </w:tc>
        <w:tc>
          <w:tcPr>
            <w:tcW w:w="972" w:type="pct"/>
            <w:tcBorders>
              <w:top w:val="single" w:sz="4" w:space="0" w:color="auto"/>
              <w:left w:val="single" w:sz="4" w:space="0" w:color="auto"/>
              <w:bottom w:val="single" w:sz="4" w:space="0" w:color="auto"/>
              <w:right w:val="single" w:sz="4" w:space="0" w:color="auto"/>
            </w:tcBorders>
            <w:tcPrChange w:id="623" w:author="Author">
              <w:tcPr>
                <w:tcW w:w="972"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24" w:author="Author">
                  <w:rPr>
                    <w:sz w:val="21"/>
                    <w:szCs w:val="21"/>
                    <w:lang w:val="it-IT"/>
                  </w:rPr>
                </w:rPrChange>
              </w:rPr>
            </w:pPr>
          </w:p>
        </w:tc>
        <w:tc>
          <w:tcPr>
            <w:tcW w:w="910" w:type="pct"/>
            <w:tcBorders>
              <w:top w:val="single" w:sz="4" w:space="0" w:color="auto"/>
              <w:left w:val="single" w:sz="4" w:space="0" w:color="auto"/>
              <w:bottom w:val="single" w:sz="4" w:space="0" w:color="auto"/>
              <w:right w:val="single" w:sz="4" w:space="0" w:color="auto"/>
            </w:tcBorders>
            <w:tcPrChange w:id="625" w:author="Author">
              <w:tcPr>
                <w:tcW w:w="907"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26" w:author="Author">
                  <w:rPr>
                    <w:sz w:val="21"/>
                    <w:szCs w:val="21"/>
                    <w:lang w:val="it-IT"/>
                  </w:rPr>
                </w:rPrChange>
              </w:rPr>
            </w:pPr>
          </w:p>
        </w:tc>
        <w:tc>
          <w:tcPr>
            <w:tcW w:w="931" w:type="pct"/>
            <w:tcBorders>
              <w:top w:val="single" w:sz="4" w:space="0" w:color="auto"/>
              <w:left w:val="single" w:sz="4" w:space="0" w:color="auto"/>
              <w:bottom w:val="single" w:sz="4" w:space="0" w:color="auto"/>
              <w:right w:val="single" w:sz="4" w:space="0" w:color="auto"/>
            </w:tcBorders>
            <w:tcPrChange w:id="627" w:author="Author">
              <w:tcPr>
                <w:tcW w:w="987"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28" w:author="Author">
                  <w:rPr>
                    <w:sz w:val="21"/>
                    <w:szCs w:val="21"/>
                    <w:lang w:val="it-IT"/>
                  </w:rPr>
                </w:rPrChange>
              </w:rPr>
            </w:pPr>
            <w:r>
              <w:rPr>
                <w:noProof/>
                <w:sz w:val="20"/>
                <w:lang w:val="it-IT"/>
                <w:rPrChange w:id="629" w:author="Author">
                  <w:rPr>
                    <w:sz w:val="21"/>
                    <w:szCs w:val="21"/>
                    <w:lang w:val="it-IT"/>
                  </w:rPr>
                </w:rPrChange>
              </w:rPr>
              <w:t>Ipotiroidismo</w:t>
            </w:r>
          </w:p>
        </w:tc>
        <w:tc>
          <w:tcPr>
            <w:tcW w:w="611" w:type="pct"/>
            <w:tcBorders>
              <w:top w:val="single" w:sz="4" w:space="0" w:color="auto"/>
              <w:left w:val="single" w:sz="4" w:space="0" w:color="auto"/>
              <w:bottom w:val="single" w:sz="4" w:space="0" w:color="auto"/>
              <w:right w:val="single" w:sz="4" w:space="0" w:color="auto"/>
            </w:tcBorders>
            <w:tcPrChange w:id="630" w:author="Author">
              <w:tcPr>
                <w:tcW w:w="557" w:type="pct"/>
                <w:gridSpan w:val="2"/>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31" w:author="Author">
                  <w:rPr>
                    <w:sz w:val="21"/>
                    <w:szCs w:val="21"/>
                    <w:lang w:val="it-IT"/>
                  </w:rPr>
                </w:rPrChange>
              </w:rPr>
            </w:pPr>
          </w:p>
        </w:tc>
        <w:tc>
          <w:tcPr>
            <w:tcW w:w="677" w:type="pct"/>
            <w:tcBorders>
              <w:top w:val="single" w:sz="4" w:space="0" w:color="auto"/>
              <w:left w:val="single" w:sz="4" w:space="0" w:color="auto"/>
              <w:bottom w:val="single" w:sz="4" w:space="0" w:color="auto"/>
              <w:right w:val="single" w:sz="4" w:space="0" w:color="auto"/>
            </w:tcBorders>
            <w:tcPrChange w:id="632" w:author="Author">
              <w:tcPr>
                <w:tcW w:w="678"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33" w:author="Author">
                  <w:rPr>
                    <w:sz w:val="21"/>
                    <w:szCs w:val="21"/>
                    <w:lang w:val="it-IT"/>
                  </w:rPr>
                </w:rPrChange>
              </w:rPr>
            </w:pPr>
          </w:p>
        </w:tc>
      </w:tr>
      <w:tr>
        <w:tblPrEx>
          <w:tblPrExChange w:id="634" w:author="Author">
            <w:tblPrEx>
              <w:tblCellMar>
                <w:left w:w="86" w:type="dxa"/>
                <w:right w:w="86" w:type="dxa"/>
              </w:tblCellMar>
            </w:tblPrEx>
          </w:tblPrExChange>
        </w:tblPrEx>
        <w:tc>
          <w:tcPr>
            <w:tcW w:w="899" w:type="pct"/>
            <w:tcBorders>
              <w:top w:val="single" w:sz="4" w:space="0" w:color="auto"/>
              <w:left w:val="single" w:sz="4" w:space="0" w:color="auto"/>
              <w:bottom w:val="single" w:sz="4" w:space="0" w:color="auto"/>
              <w:right w:val="single" w:sz="4" w:space="0" w:color="auto"/>
            </w:tcBorders>
            <w:tcPrChange w:id="635" w:author="Author">
              <w:tcPr>
                <w:tcW w:w="900" w:type="pct"/>
                <w:gridSpan w:val="2"/>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36" w:author="Author">
                  <w:rPr>
                    <w:sz w:val="21"/>
                    <w:szCs w:val="21"/>
                    <w:lang w:val="it-IT"/>
                  </w:rPr>
                </w:rPrChange>
              </w:rPr>
            </w:pPr>
            <w:r>
              <w:rPr>
                <w:noProof/>
                <w:sz w:val="20"/>
                <w:lang w:val="it-IT"/>
                <w:rPrChange w:id="637" w:author="Author">
                  <w:rPr>
                    <w:sz w:val="21"/>
                    <w:szCs w:val="21"/>
                    <w:lang w:val="it-IT"/>
                  </w:rPr>
                </w:rPrChange>
              </w:rPr>
              <w:t>Disturbi del metabolismo e della nutrizione</w:t>
            </w:r>
          </w:p>
        </w:tc>
        <w:tc>
          <w:tcPr>
            <w:tcW w:w="972" w:type="pct"/>
            <w:tcBorders>
              <w:top w:val="single" w:sz="4" w:space="0" w:color="auto"/>
              <w:left w:val="single" w:sz="4" w:space="0" w:color="auto"/>
              <w:bottom w:val="single" w:sz="4" w:space="0" w:color="auto"/>
              <w:right w:val="single" w:sz="4" w:space="0" w:color="auto"/>
            </w:tcBorders>
            <w:tcPrChange w:id="638" w:author="Author">
              <w:tcPr>
                <w:tcW w:w="972"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39" w:author="Author">
                  <w:rPr>
                    <w:sz w:val="21"/>
                    <w:szCs w:val="21"/>
                    <w:lang w:val="it-IT"/>
                  </w:rPr>
                </w:rPrChange>
              </w:rPr>
            </w:pPr>
            <w:r>
              <w:rPr>
                <w:noProof/>
                <w:sz w:val="20"/>
                <w:lang w:val="it-IT"/>
                <w:rPrChange w:id="640" w:author="Author">
                  <w:rPr>
                    <w:sz w:val="21"/>
                    <w:szCs w:val="21"/>
                    <w:lang w:val="it-IT"/>
                  </w:rPr>
                </w:rPrChange>
              </w:rPr>
              <w:t>Ipercolesterolemia*</w:t>
            </w:r>
          </w:p>
        </w:tc>
        <w:tc>
          <w:tcPr>
            <w:tcW w:w="910" w:type="pct"/>
            <w:tcBorders>
              <w:top w:val="single" w:sz="4" w:space="0" w:color="auto"/>
              <w:left w:val="single" w:sz="4" w:space="0" w:color="auto"/>
              <w:bottom w:val="single" w:sz="4" w:space="0" w:color="auto"/>
              <w:right w:val="single" w:sz="4" w:space="0" w:color="auto"/>
            </w:tcBorders>
            <w:tcPrChange w:id="641" w:author="Author">
              <w:tcPr>
                <w:tcW w:w="907"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42" w:author="Author">
                  <w:rPr>
                    <w:sz w:val="21"/>
                    <w:szCs w:val="21"/>
                    <w:lang w:val="it-IT"/>
                  </w:rPr>
                </w:rPrChange>
              </w:rPr>
            </w:pPr>
          </w:p>
        </w:tc>
        <w:tc>
          <w:tcPr>
            <w:tcW w:w="931" w:type="pct"/>
            <w:tcBorders>
              <w:top w:val="single" w:sz="4" w:space="0" w:color="auto"/>
              <w:left w:val="single" w:sz="4" w:space="0" w:color="auto"/>
              <w:bottom w:val="single" w:sz="4" w:space="0" w:color="auto"/>
              <w:right w:val="single" w:sz="4" w:space="0" w:color="auto"/>
            </w:tcBorders>
            <w:tcPrChange w:id="643" w:author="Author">
              <w:tcPr>
                <w:tcW w:w="987"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44" w:author="Author">
                  <w:rPr>
                    <w:sz w:val="21"/>
                    <w:szCs w:val="21"/>
                    <w:lang w:val="it-IT"/>
                  </w:rPr>
                </w:rPrChange>
              </w:rPr>
            </w:pPr>
            <w:r>
              <w:rPr>
                <w:noProof/>
                <w:sz w:val="20"/>
                <w:lang w:val="it-IT"/>
                <w:rPrChange w:id="645" w:author="Author">
                  <w:rPr>
                    <w:sz w:val="21"/>
                    <w:szCs w:val="21"/>
                    <w:lang w:val="it-IT"/>
                  </w:rPr>
                </w:rPrChange>
              </w:rPr>
              <w:t>Ipertrigliceridemia</w:t>
            </w:r>
          </w:p>
        </w:tc>
        <w:tc>
          <w:tcPr>
            <w:tcW w:w="611" w:type="pct"/>
            <w:tcBorders>
              <w:top w:val="single" w:sz="4" w:space="0" w:color="auto"/>
              <w:left w:val="single" w:sz="4" w:space="0" w:color="auto"/>
              <w:bottom w:val="single" w:sz="4" w:space="0" w:color="auto"/>
              <w:right w:val="single" w:sz="4" w:space="0" w:color="auto"/>
            </w:tcBorders>
            <w:tcPrChange w:id="646" w:author="Author">
              <w:tcPr>
                <w:tcW w:w="557" w:type="pct"/>
                <w:gridSpan w:val="2"/>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47" w:author="Author">
                  <w:rPr>
                    <w:sz w:val="21"/>
                    <w:szCs w:val="21"/>
                    <w:lang w:val="it-IT"/>
                  </w:rPr>
                </w:rPrChange>
              </w:rPr>
            </w:pPr>
          </w:p>
        </w:tc>
        <w:tc>
          <w:tcPr>
            <w:tcW w:w="677" w:type="pct"/>
            <w:tcBorders>
              <w:top w:val="single" w:sz="4" w:space="0" w:color="auto"/>
              <w:left w:val="single" w:sz="4" w:space="0" w:color="auto"/>
              <w:bottom w:val="single" w:sz="4" w:space="0" w:color="auto"/>
              <w:right w:val="single" w:sz="4" w:space="0" w:color="auto"/>
            </w:tcBorders>
            <w:tcPrChange w:id="648" w:author="Author">
              <w:tcPr>
                <w:tcW w:w="678"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49" w:author="Author">
                  <w:rPr>
                    <w:sz w:val="21"/>
                    <w:szCs w:val="21"/>
                    <w:lang w:val="it-IT"/>
                  </w:rPr>
                </w:rPrChange>
              </w:rPr>
            </w:pPr>
          </w:p>
        </w:tc>
      </w:tr>
      <w:tr>
        <w:tblPrEx>
          <w:tblPrExChange w:id="650" w:author="Author">
            <w:tblPrEx>
              <w:tblCellMar>
                <w:left w:w="86" w:type="dxa"/>
                <w:right w:w="86" w:type="dxa"/>
              </w:tblCellMar>
            </w:tblPrEx>
          </w:tblPrExChange>
        </w:tblPrEx>
        <w:tc>
          <w:tcPr>
            <w:tcW w:w="899" w:type="pct"/>
            <w:tcBorders>
              <w:top w:val="single" w:sz="4" w:space="0" w:color="auto"/>
              <w:left w:val="single" w:sz="4" w:space="0" w:color="auto"/>
              <w:bottom w:val="single" w:sz="4" w:space="0" w:color="auto"/>
              <w:right w:val="single" w:sz="4" w:space="0" w:color="auto"/>
            </w:tcBorders>
            <w:tcPrChange w:id="651" w:author="Author">
              <w:tcPr>
                <w:tcW w:w="900" w:type="pct"/>
                <w:gridSpan w:val="2"/>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52" w:author="Author">
                  <w:rPr>
                    <w:sz w:val="21"/>
                    <w:szCs w:val="21"/>
                    <w:lang w:val="it-IT"/>
                  </w:rPr>
                </w:rPrChange>
              </w:rPr>
            </w:pPr>
            <w:r>
              <w:rPr>
                <w:noProof/>
                <w:sz w:val="20"/>
                <w:lang w:val="it-IT"/>
                <w:rPrChange w:id="653" w:author="Author">
                  <w:rPr>
                    <w:sz w:val="21"/>
                    <w:szCs w:val="21"/>
                    <w:lang w:val="it-IT"/>
                  </w:rPr>
                </w:rPrChange>
              </w:rPr>
              <w:t>Patologie del sistema nervoso</w:t>
            </w:r>
          </w:p>
        </w:tc>
        <w:tc>
          <w:tcPr>
            <w:tcW w:w="972" w:type="pct"/>
            <w:tcBorders>
              <w:top w:val="single" w:sz="4" w:space="0" w:color="auto"/>
              <w:left w:val="single" w:sz="4" w:space="0" w:color="auto"/>
              <w:bottom w:val="single" w:sz="4" w:space="0" w:color="auto"/>
              <w:right w:val="single" w:sz="4" w:space="0" w:color="auto"/>
            </w:tcBorders>
            <w:tcPrChange w:id="654" w:author="Author">
              <w:tcPr>
                <w:tcW w:w="972"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55" w:author="Author">
                  <w:rPr>
                    <w:sz w:val="21"/>
                    <w:szCs w:val="21"/>
                    <w:lang w:val="it-IT"/>
                  </w:rPr>
                </w:rPrChange>
              </w:rPr>
            </w:pPr>
          </w:p>
        </w:tc>
        <w:tc>
          <w:tcPr>
            <w:tcW w:w="910" w:type="pct"/>
            <w:tcBorders>
              <w:top w:val="single" w:sz="4" w:space="0" w:color="auto"/>
              <w:left w:val="single" w:sz="4" w:space="0" w:color="auto"/>
              <w:bottom w:val="single" w:sz="4" w:space="0" w:color="auto"/>
              <w:right w:val="single" w:sz="4" w:space="0" w:color="auto"/>
            </w:tcBorders>
            <w:tcPrChange w:id="656" w:author="Author">
              <w:tcPr>
                <w:tcW w:w="907"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57" w:author="Author">
                  <w:rPr>
                    <w:sz w:val="21"/>
                    <w:szCs w:val="21"/>
                    <w:lang w:val="it-IT"/>
                  </w:rPr>
                </w:rPrChange>
              </w:rPr>
            </w:pPr>
            <w:r>
              <w:rPr>
                <w:noProof/>
                <w:sz w:val="20"/>
                <w:lang w:val="it-IT"/>
                <w:rPrChange w:id="658" w:author="Author">
                  <w:rPr>
                    <w:sz w:val="21"/>
                    <w:szCs w:val="21"/>
                    <w:lang w:val="it-IT"/>
                  </w:rPr>
                </w:rPrChange>
              </w:rPr>
              <w:t>Cefalea, capogiri</w:t>
            </w:r>
          </w:p>
        </w:tc>
        <w:tc>
          <w:tcPr>
            <w:tcW w:w="931" w:type="pct"/>
            <w:tcBorders>
              <w:top w:val="single" w:sz="4" w:space="0" w:color="auto"/>
              <w:left w:val="single" w:sz="4" w:space="0" w:color="auto"/>
              <w:bottom w:val="single" w:sz="4" w:space="0" w:color="auto"/>
              <w:right w:val="single" w:sz="4" w:space="0" w:color="auto"/>
            </w:tcBorders>
            <w:tcPrChange w:id="659" w:author="Author">
              <w:tcPr>
                <w:tcW w:w="987"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60" w:author="Author">
                  <w:rPr>
                    <w:sz w:val="21"/>
                    <w:szCs w:val="21"/>
                    <w:lang w:val="it-IT"/>
                  </w:rPr>
                </w:rPrChange>
              </w:rPr>
            </w:pPr>
          </w:p>
        </w:tc>
        <w:tc>
          <w:tcPr>
            <w:tcW w:w="611" w:type="pct"/>
            <w:tcBorders>
              <w:top w:val="single" w:sz="4" w:space="0" w:color="auto"/>
              <w:left w:val="single" w:sz="4" w:space="0" w:color="auto"/>
              <w:bottom w:val="single" w:sz="4" w:space="0" w:color="auto"/>
              <w:right w:val="single" w:sz="4" w:space="0" w:color="auto"/>
            </w:tcBorders>
            <w:tcPrChange w:id="661" w:author="Author">
              <w:tcPr>
                <w:tcW w:w="557" w:type="pct"/>
                <w:gridSpan w:val="2"/>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62" w:author="Author">
                  <w:rPr>
                    <w:sz w:val="21"/>
                    <w:szCs w:val="21"/>
                    <w:lang w:val="it-IT"/>
                  </w:rPr>
                </w:rPrChange>
              </w:rPr>
            </w:pPr>
          </w:p>
        </w:tc>
        <w:tc>
          <w:tcPr>
            <w:tcW w:w="677" w:type="pct"/>
            <w:tcBorders>
              <w:top w:val="single" w:sz="4" w:space="0" w:color="auto"/>
              <w:left w:val="single" w:sz="4" w:space="0" w:color="auto"/>
              <w:bottom w:val="single" w:sz="4" w:space="0" w:color="auto"/>
              <w:right w:val="single" w:sz="4" w:space="0" w:color="auto"/>
            </w:tcBorders>
            <w:tcPrChange w:id="663" w:author="Author">
              <w:tcPr>
                <w:tcW w:w="678"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664" w:author="Author">
                  <w:rPr>
                    <w:sz w:val="21"/>
                    <w:szCs w:val="21"/>
                    <w:lang w:val="it-IT"/>
                  </w:rPr>
                </w:rPrChange>
              </w:rPr>
            </w:pPr>
          </w:p>
        </w:tc>
      </w:tr>
      <w:tr>
        <w:tblPrEx>
          <w:tblPrExChange w:id="665" w:author="Author">
            <w:tblPrEx>
              <w:tblCellMar>
                <w:left w:w="86" w:type="dxa"/>
                <w:right w:w="86" w:type="dxa"/>
              </w:tblCellMar>
            </w:tblPrEx>
          </w:tblPrExChange>
        </w:tblPrEx>
        <w:tc>
          <w:tcPr>
            <w:tcW w:w="899" w:type="pct"/>
            <w:tcBorders>
              <w:top w:val="single" w:sz="4" w:space="0" w:color="auto"/>
              <w:left w:val="single" w:sz="4" w:space="0" w:color="auto"/>
              <w:bottom w:val="single" w:sz="4" w:space="0" w:color="auto"/>
              <w:right w:val="single" w:sz="4" w:space="0" w:color="auto"/>
            </w:tcBorders>
            <w:tcPrChange w:id="666" w:author="Author">
              <w:tcPr>
                <w:tcW w:w="900" w:type="pct"/>
                <w:gridSpan w:val="2"/>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667" w:author="Author">
                  <w:rPr>
                    <w:sz w:val="21"/>
                    <w:szCs w:val="21"/>
                    <w:lang w:val="it-IT"/>
                  </w:rPr>
                </w:rPrChange>
              </w:rPr>
            </w:pPr>
            <w:r>
              <w:rPr>
                <w:noProof/>
                <w:sz w:val="20"/>
                <w:lang w:val="it-IT"/>
                <w:rPrChange w:id="668" w:author="Author">
                  <w:rPr>
                    <w:sz w:val="21"/>
                    <w:szCs w:val="21"/>
                    <w:lang w:val="it-IT"/>
                  </w:rPr>
                </w:rPrChange>
              </w:rPr>
              <w:t>Patologie dell’occhio</w:t>
            </w:r>
          </w:p>
        </w:tc>
        <w:tc>
          <w:tcPr>
            <w:tcW w:w="972" w:type="pct"/>
            <w:tcBorders>
              <w:top w:val="single" w:sz="4" w:space="0" w:color="auto"/>
              <w:left w:val="single" w:sz="4" w:space="0" w:color="auto"/>
              <w:bottom w:val="single" w:sz="4" w:space="0" w:color="auto"/>
              <w:right w:val="single" w:sz="4" w:space="0" w:color="auto"/>
            </w:tcBorders>
            <w:tcPrChange w:id="669" w:author="Author">
              <w:tcPr>
                <w:tcW w:w="972"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670" w:author="Author">
                  <w:rPr>
                    <w:sz w:val="21"/>
                    <w:szCs w:val="21"/>
                    <w:lang w:val="it-IT"/>
                  </w:rPr>
                </w:rPrChange>
              </w:rPr>
            </w:pPr>
          </w:p>
        </w:tc>
        <w:tc>
          <w:tcPr>
            <w:tcW w:w="910" w:type="pct"/>
            <w:tcBorders>
              <w:top w:val="single" w:sz="4" w:space="0" w:color="auto"/>
              <w:left w:val="single" w:sz="4" w:space="0" w:color="auto"/>
              <w:bottom w:val="single" w:sz="4" w:space="0" w:color="auto"/>
              <w:right w:val="single" w:sz="4" w:space="0" w:color="auto"/>
            </w:tcBorders>
            <w:tcPrChange w:id="671" w:author="Author">
              <w:tcPr>
                <w:tcW w:w="907"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672" w:author="Author">
                  <w:rPr>
                    <w:sz w:val="21"/>
                    <w:szCs w:val="21"/>
                    <w:lang w:val="it-IT"/>
                  </w:rPr>
                </w:rPrChange>
              </w:rPr>
            </w:pPr>
            <w:r>
              <w:rPr>
                <w:noProof/>
                <w:sz w:val="20"/>
                <w:lang w:val="it-IT"/>
                <w:rPrChange w:id="673" w:author="Author">
                  <w:rPr>
                    <w:sz w:val="21"/>
                    <w:szCs w:val="21"/>
                    <w:lang w:val="it-IT"/>
                  </w:rPr>
                </w:rPrChange>
              </w:rPr>
              <w:t>Congiuntivite</w:t>
            </w:r>
          </w:p>
        </w:tc>
        <w:tc>
          <w:tcPr>
            <w:tcW w:w="931" w:type="pct"/>
            <w:tcBorders>
              <w:top w:val="single" w:sz="4" w:space="0" w:color="auto"/>
              <w:left w:val="single" w:sz="4" w:space="0" w:color="auto"/>
              <w:bottom w:val="single" w:sz="4" w:space="0" w:color="auto"/>
              <w:right w:val="single" w:sz="4" w:space="0" w:color="auto"/>
            </w:tcBorders>
            <w:tcPrChange w:id="674" w:author="Author">
              <w:tcPr>
                <w:tcW w:w="987"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675" w:author="Author">
                  <w:rPr>
                    <w:sz w:val="21"/>
                    <w:szCs w:val="21"/>
                    <w:lang w:val="it-IT"/>
                  </w:rPr>
                </w:rPrChange>
              </w:rPr>
            </w:pPr>
          </w:p>
        </w:tc>
        <w:tc>
          <w:tcPr>
            <w:tcW w:w="611" w:type="pct"/>
            <w:tcBorders>
              <w:top w:val="single" w:sz="4" w:space="0" w:color="auto"/>
              <w:left w:val="single" w:sz="4" w:space="0" w:color="auto"/>
              <w:bottom w:val="single" w:sz="4" w:space="0" w:color="auto"/>
              <w:right w:val="single" w:sz="4" w:space="0" w:color="auto"/>
            </w:tcBorders>
            <w:tcPrChange w:id="676" w:author="Author">
              <w:tcPr>
                <w:tcW w:w="557" w:type="pct"/>
                <w:gridSpan w:val="2"/>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677" w:author="Author">
                  <w:rPr>
                    <w:sz w:val="21"/>
                    <w:szCs w:val="21"/>
                    <w:lang w:val="it-IT"/>
                  </w:rPr>
                </w:rPrChange>
              </w:rPr>
            </w:pPr>
          </w:p>
        </w:tc>
        <w:tc>
          <w:tcPr>
            <w:tcW w:w="677" w:type="pct"/>
            <w:tcBorders>
              <w:top w:val="single" w:sz="4" w:space="0" w:color="auto"/>
              <w:left w:val="single" w:sz="4" w:space="0" w:color="auto"/>
              <w:bottom w:val="single" w:sz="4" w:space="0" w:color="auto"/>
              <w:right w:val="single" w:sz="4" w:space="0" w:color="auto"/>
            </w:tcBorders>
            <w:tcPrChange w:id="678" w:author="Author">
              <w:tcPr>
                <w:tcW w:w="678"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679" w:author="Author">
                  <w:rPr>
                    <w:sz w:val="21"/>
                    <w:szCs w:val="21"/>
                    <w:lang w:val="it-IT"/>
                  </w:rPr>
                </w:rPrChange>
              </w:rPr>
            </w:pPr>
          </w:p>
        </w:tc>
      </w:tr>
      <w:tr>
        <w:tblPrEx>
          <w:tblPrExChange w:id="680" w:author="Author">
            <w:tblPrEx>
              <w:tblCellMar>
                <w:left w:w="86" w:type="dxa"/>
                <w:right w:w="86" w:type="dxa"/>
              </w:tblCellMar>
            </w:tblPrEx>
          </w:tblPrExChange>
        </w:tblPrEx>
        <w:tc>
          <w:tcPr>
            <w:tcW w:w="899" w:type="pct"/>
            <w:tcBorders>
              <w:top w:val="single" w:sz="4" w:space="0" w:color="auto"/>
              <w:left w:val="single" w:sz="4" w:space="0" w:color="auto"/>
              <w:bottom w:val="single" w:sz="4" w:space="0" w:color="auto"/>
              <w:right w:val="single" w:sz="4" w:space="0" w:color="auto"/>
            </w:tcBorders>
            <w:tcPrChange w:id="681" w:author="Author">
              <w:tcPr>
                <w:tcW w:w="900" w:type="pct"/>
                <w:gridSpan w:val="2"/>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682" w:author="Author">
                  <w:rPr>
                    <w:sz w:val="21"/>
                    <w:szCs w:val="21"/>
                    <w:lang w:val="it-IT"/>
                  </w:rPr>
                </w:rPrChange>
              </w:rPr>
            </w:pPr>
            <w:r>
              <w:rPr>
                <w:noProof/>
                <w:sz w:val="20"/>
                <w:lang w:val="it-IT"/>
                <w:rPrChange w:id="683" w:author="Author">
                  <w:rPr>
                    <w:sz w:val="21"/>
                    <w:szCs w:val="21"/>
                    <w:lang w:val="it-IT"/>
                  </w:rPr>
                </w:rPrChange>
              </w:rPr>
              <w:t>Patologie vascolari</w:t>
            </w:r>
          </w:p>
        </w:tc>
        <w:tc>
          <w:tcPr>
            <w:tcW w:w="972" w:type="pct"/>
            <w:tcBorders>
              <w:top w:val="single" w:sz="4" w:space="0" w:color="auto"/>
              <w:left w:val="single" w:sz="4" w:space="0" w:color="auto"/>
              <w:bottom w:val="single" w:sz="4" w:space="0" w:color="auto"/>
              <w:right w:val="single" w:sz="4" w:space="0" w:color="auto"/>
            </w:tcBorders>
            <w:tcPrChange w:id="684" w:author="Author">
              <w:tcPr>
                <w:tcW w:w="972"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685" w:author="Author">
                  <w:rPr>
                    <w:sz w:val="21"/>
                    <w:szCs w:val="21"/>
                    <w:lang w:val="it-IT"/>
                  </w:rPr>
                </w:rPrChange>
              </w:rPr>
            </w:pPr>
          </w:p>
        </w:tc>
        <w:tc>
          <w:tcPr>
            <w:tcW w:w="910" w:type="pct"/>
            <w:tcBorders>
              <w:top w:val="single" w:sz="4" w:space="0" w:color="auto"/>
              <w:left w:val="single" w:sz="4" w:space="0" w:color="auto"/>
              <w:bottom w:val="single" w:sz="4" w:space="0" w:color="auto"/>
              <w:right w:val="single" w:sz="4" w:space="0" w:color="auto"/>
            </w:tcBorders>
            <w:tcPrChange w:id="686" w:author="Author">
              <w:tcPr>
                <w:tcW w:w="907"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687" w:author="Author">
                  <w:rPr>
                    <w:sz w:val="21"/>
                    <w:szCs w:val="21"/>
                    <w:lang w:val="it-IT"/>
                  </w:rPr>
                </w:rPrChange>
              </w:rPr>
            </w:pPr>
            <w:r>
              <w:rPr>
                <w:noProof/>
                <w:sz w:val="20"/>
                <w:lang w:val="it-IT"/>
                <w:rPrChange w:id="688" w:author="Author">
                  <w:rPr>
                    <w:sz w:val="21"/>
                    <w:szCs w:val="21"/>
                    <w:lang w:val="it-IT"/>
                  </w:rPr>
                </w:rPrChange>
              </w:rPr>
              <w:t>Ipertensione</w:t>
            </w:r>
          </w:p>
        </w:tc>
        <w:tc>
          <w:tcPr>
            <w:tcW w:w="931" w:type="pct"/>
            <w:tcBorders>
              <w:top w:val="single" w:sz="4" w:space="0" w:color="auto"/>
              <w:left w:val="single" w:sz="4" w:space="0" w:color="auto"/>
              <w:bottom w:val="single" w:sz="4" w:space="0" w:color="auto"/>
              <w:right w:val="single" w:sz="4" w:space="0" w:color="auto"/>
            </w:tcBorders>
            <w:tcPrChange w:id="689" w:author="Author">
              <w:tcPr>
                <w:tcW w:w="987"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690" w:author="Author">
                  <w:rPr>
                    <w:sz w:val="21"/>
                    <w:szCs w:val="21"/>
                    <w:lang w:val="it-IT"/>
                  </w:rPr>
                </w:rPrChange>
              </w:rPr>
            </w:pPr>
          </w:p>
        </w:tc>
        <w:tc>
          <w:tcPr>
            <w:tcW w:w="611" w:type="pct"/>
            <w:tcBorders>
              <w:top w:val="single" w:sz="4" w:space="0" w:color="auto"/>
              <w:left w:val="single" w:sz="4" w:space="0" w:color="auto"/>
              <w:bottom w:val="single" w:sz="4" w:space="0" w:color="auto"/>
              <w:right w:val="single" w:sz="4" w:space="0" w:color="auto"/>
            </w:tcBorders>
            <w:tcPrChange w:id="691" w:author="Author">
              <w:tcPr>
                <w:tcW w:w="557" w:type="pct"/>
                <w:gridSpan w:val="2"/>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692" w:author="Author">
                  <w:rPr>
                    <w:sz w:val="21"/>
                    <w:szCs w:val="21"/>
                    <w:lang w:val="it-IT"/>
                  </w:rPr>
                </w:rPrChange>
              </w:rPr>
            </w:pPr>
          </w:p>
        </w:tc>
        <w:tc>
          <w:tcPr>
            <w:tcW w:w="677" w:type="pct"/>
            <w:tcBorders>
              <w:top w:val="single" w:sz="4" w:space="0" w:color="auto"/>
              <w:left w:val="single" w:sz="4" w:space="0" w:color="auto"/>
              <w:bottom w:val="single" w:sz="4" w:space="0" w:color="auto"/>
              <w:right w:val="single" w:sz="4" w:space="0" w:color="auto"/>
            </w:tcBorders>
            <w:tcPrChange w:id="693" w:author="Author">
              <w:tcPr>
                <w:tcW w:w="678"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694" w:author="Author">
                  <w:rPr>
                    <w:sz w:val="21"/>
                    <w:szCs w:val="21"/>
                    <w:lang w:val="it-IT"/>
                  </w:rPr>
                </w:rPrChange>
              </w:rPr>
            </w:pPr>
          </w:p>
        </w:tc>
      </w:tr>
      <w:tr>
        <w:tblPrEx>
          <w:tblPrExChange w:id="695" w:author="Author">
            <w:tblPrEx>
              <w:tblCellMar>
                <w:left w:w="86" w:type="dxa"/>
                <w:right w:w="86" w:type="dxa"/>
              </w:tblCellMar>
            </w:tblPrEx>
          </w:tblPrExChange>
        </w:tblPrEx>
        <w:tc>
          <w:tcPr>
            <w:tcW w:w="899" w:type="pct"/>
            <w:tcBorders>
              <w:top w:val="single" w:sz="4" w:space="0" w:color="auto"/>
              <w:left w:val="single" w:sz="4" w:space="0" w:color="auto"/>
              <w:bottom w:val="single" w:sz="4" w:space="0" w:color="auto"/>
              <w:right w:val="single" w:sz="4" w:space="0" w:color="auto"/>
            </w:tcBorders>
            <w:tcPrChange w:id="696" w:author="Author">
              <w:tcPr>
                <w:tcW w:w="900" w:type="pct"/>
                <w:gridSpan w:val="2"/>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697" w:author="Author">
                  <w:rPr>
                    <w:sz w:val="21"/>
                    <w:szCs w:val="21"/>
                    <w:lang w:val="it-IT"/>
                  </w:rPr>
                </w:rPrChange>
              </w:rPr>
            </w:pPr>
            <w:r>
              <w:rPr>
                <w:noProof/>
                <w:sz w:val="20"/>
                <w:lang w:val="it-IT"/>
                <w:rPrChange w:id="698" w:author="Author">
                  <w:rPr>
                    <w:sz w:val="21"/>
                    <w:szCs w:val="21"/>
                    <w:lang w:val="it-IT"/>
                  </w:rPr>
                </w:rPrChange>
              </w:rPr>
              <w:t>Patologie respiratorie, toraciche e mediastiniche</w:t>
            </w:r>
          </w:p>
        </w:tc>
        <w:tc>
          <w:tcPr>
            <w:tcW w:w="972" w:type="pct"/>
            <w:tcBorders>
              <w:top w:val="single" w:sz="4" w:space="0" w:color="auto"/>
              <w:left w:val="single" w:sz="4" w:space="0" w:color="auto"/>
              <w:bottom w:val="single" w:sz="4" w:space="0" w:color="auto"/>
              <w:right w:val="single" w:sz="4" w:space="0" w:color="auto"/>
            </w:tcBorders>
            <w:tcPrChange w:id="699" w:author="Author">
              <w:tcPr>
                <w:tcW w:w="972"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00" w:author="Author">
                  <w:rPr>
                    <w:sz w:val="21"/>
                    <w:szCs w:val="21"/>
                    <w:lang w:val="it-IT"/>
                  </w:rPr>
                </w:rPrChange>
              </w:rPr>
            </w:pPr>
          </w:p>
        </w:tc>
        <w:tc>
          <w:tcPr>
            <w:tcW w:w="910" w:type="pct"/>
            <w:tcBorders>
              <w:top w:val="single" w:sz="4" w:space="0" w:color="auto"/>
              <w:left w:val="single" w:sz="4" w:space="0" w:color="auto"/>
              <w:bottom w:val="single" w:sz="4" w:space="0" w:color="auto"/>
              <w:right w:val="single" w:sz="4" w:space="0" w:color="auto"/>
            </w:tcBorders>
            <w:tcPrChange w:id="701" w:author="Author">
              <w:tcPr>
                <w:tcW w:w="907"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02" w:author="Author">
                  <w:rPr>
                    <w:sz w:val="21"/>
                    <w:szCs w:val="21"/>
                    <w:lang w:val="it-IT"/>
                  </w:rPr>
                </w:rPrChange>
              </w:rPr>
            </w:pPr>
            <w:r>
              <w:rPr>
                <w:noProof/>
                <w:sz w:val="20"/>
                <w:lang w:val="it-IT"/>
                <w:rPrChange w:id="703" w:author="Author">
                  <w:rPr>
                    <w:sz w:val="21"/>
                    <w:szCs w:val="21"/>
                    <w:lang w:val="it-IT"/>
                  </w:rPr>
                </w:rPrChange>
              </w:rPr>
              <w:t>Tosse, dispnea</w:t>
            </w:r>
          </w:p>
        </w:tc>
        <w:tc>
          <w:tcPr>
            <w:tcW w:w="931" w:type="pct"/>
            <w:tcBorders>
              <w:top w:val="single" w:sz="4" w:space="0" w:color="auto"/>
              <w:left w:val="single" w:sz="4" w:space="0" w:color="auto"/>
              <w:bottom w:val="single" w:sz="4" w:space="0" w:color="auto"/>
              <w:right w:val="single" w:sz="4" w:space="0" w:color="auto"/>
            </w:tcBorders>
            <w:tcPrChange w:id="704" w:author="Author">
              <w:tcPr>
                <w:tcW w:w="987"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05" w:author="Author">
                  <w:rPr>
                    <w:sz w:val="21"/>
                    <w:szCs w:val="21"/>
                    <w:lang w:val="it-IT"/>
                  </w:rPr>
                </w:rPrChange>
              </w:rPr>
            </w:pPr>
          </w:p>
        </w:tc>
        <w:tc>
          <w:tcPr>
            <w:tcW w:w="611" w:type="pct"/>
            <w:tcBorders>
              <w:top w:val="single" w:sz="4" w:space="0" w:color="auto"/>
              <w:left w:val="single" w:sz="4" w:space="0" w:color="auto"/>
              <w:bottom w:val="single" w:sz="4" w:space="0" w:color="auto"/>
              <w:right w:val="single" w:sz="4" w:space="0" w:color="auto"/>
            </w:tcBorders>
            <w:tcPrChange w:id="706" w:author="Author">
              <w:tcPr>
                <w:tcW w:w="557" w:type="pct"/>
                <w:gridSpan w:val="2"/>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07" w:author="Author">
                  <w:rPr>
                    <w:sz w:val="21"/>
                    <w:szCs w:val="21"/>
                    <w:lang w:val="it-IT"/>
                  </w:rPr>
                </w:rPrChange>
              </w:rPr>
            </w:pPr>
          </w:p>
        </w:tc>
        <w:tc>
          <w:tcPr>
            <w:tcW w:w="677" w:type="pct"/>
            <w:tcBorders>
              <w:top w:val="single" w:sz="4" w:space="0" w:color="auto"/>
              <w:left w:val="single" w:sz="4" w:space="0" w:color="auto"/>
              <w:bottom w:val="single" w:sz="4" w:space="0" w:color="auto"/>
              <w:right w:val="single" w:sz="4" w:space="0" w:color="auto"/>
            </w:tcBorders>
            <w:tcPrChange w:id="708" w:author="Author">
              <w:tcPr>
                <w:tcW w:w="678"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09" w:author="Author">
                  <w:rPr>
                    <w:sz w:val="21"/>
                    <w:szCs w:val="21"/>
                    <w:lang w:val="it-IT"/>
                  </w:rPr>
                </w:rPrChange>
              </w:rPr>
            </w:pPr>
          </w:p>
        </w:tc>
      </w:tr>
      <w:tr>
        <w:tblPrEx>
          <w:tblPrExChange w:id="710" w:author="Author">
            <w:tblPrEx>
              <w:tblCellMar>
                <w:left w:w="86" w:type="dxa"/>
                <w:right w:w="86" w:type="dxa"/>
              </w:tblCellMar>
            </w:tblPrEx>
          </w:tblPrExChange>
        </w:tblPrEx>
        <w:trPr>
          <w:trHeight w:val="703"/>
          <w:trPrChange w:id="711" w:author="Author">
            <w:trPr>
              <w:trHeight w:val="703"/>
            </w:trPr>
          </w:trPrChange>
        </w:trPr>
        <w:tc>
          <w:tcPr>
            <w:tcW w:w="899" w:type="pct"/>
            <w:tcBorders>
              <w:top w:val="single" w:sz="4" w:space="0" w:color="auto"/>
              <w:left w:val="single" w:sz="4" w:space="0" w:color="auto"/>
              <w:bottom w:val="single" w:sz="4" w:space="0" w:color="auto"/>
              <w:right w:val="single" w:sz="4" w:space="0" w:color="auto"/>
            </w:tcBorders>
            <w:tcPrChange w:id="712" w:author="Author">
              <w:tcPr>
                <w:tcW w:w="900" w:type="pct"/>
                <w:gridSpan w:val="2"/>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13" w:author="Author">
                  <w:rPr>
                    <w:sz w:val="21"/>
                    <w:szCs w:val="21"/>
                    <w:lang w:val="it-IT"/>
                  </w:rPr>
                </w:rPrChange>
              </w:rPr>
            </w:pPr>
            <w:r>
              <w:rPr>
                <w:noProof/>
                <w:sz w:val="20"/>
                <w:lang w:val="it-IT"/>
                <w:rPrChange w:id="714" w:author="Author">
                  <w:rPr>
                    <w:sz w:val="21"/>
                    <w:szCs w:val="21"/>
                    <w:lang w:val="it-IT"/>
                  </w:rPr>
                </w:rPrChange>
              </w:rPr>
              <w:lastRenderedPageBreak/>
              <w:t>Patologie gastrointestinali</w:t>
            </w:r>
          </w:p>
        </w:tc>
        <w:tc>
          <w:tcPr>
            <w:tcW w:w="972" w:type="pct"/>
            <w:tcBorders>
              <w:top w:val="single" w:sz="4" w:space="0" w:color="auto"/>
              <w:left w:val="single" w:sz="4" w:space="0" w:color="auto"/>
              <w:bottom w:val="single" w:sz="4" w:space="0" w:color="auto"/>
              <w:right w:val="single" w:sz="4" w:space="0" w:color="auto"/>
            </w:tcBorders>
            <w:tcPrChange w:id="715" w:author="Author">
              <w:tcPr>
                <w:tcW w:w="972"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16" w:author="Author">
                  <w:rPr>
                    <w:sz w:val="21"/>
                    <w:szCs w:val="21"/>
                    <w:lang w:val="it-IT"/>
                  </w:rPr>
                </w:rPrChange>
              </w:rPr>
            </w:pPr>
          </w:p>
        </w:tc>
        <w:tc>
          <w:tcPr>
            <w:tcW w:w="910" w:type="pct"/>
            <w:tcBorders>
              <w:top w:val="single" w:sz="4" w:space="0" w:color="auto"/>
              <w:left w:val="single" w:sz="4" w:space="0" w:color="auto"/>
              <w:bottom w:val="single" w:sz="4" w:space="0" w:color="auto"/>
              <w:right w:val="single" w:sz="4" w:space="0" w:color="auto"/>
            </w:tcBorders>
            <w:tcPrChange w:id="717" w:author="Author">
              <w:tcPr>
                <w:tcW w:w="907"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18" w:author="Author">
                  <w:rPr>
                    <w:sz w:val="21"/>
                    <w:szCs w:val="21"/>
                    <w:lang w:val="it-IT"/>
                  </w:rPr>
                </w:rPrChange>
              </w:rPr>
            </w:pPr>
            <w:r>
              <w:rPr>
                <w:noProof/>
                <w:sz w:val="20"/>
                <w:lang w:val="it-IT"/>
                <w:rPrChange w:id="719" w:author="Author">
                  <w:rPr>
                    <w:sz w:val="21"/>
                    <w:szCs w:val="21"/>
                    <w:lang w:val="it-IT"/>
                  </w:rPr>
                </w:rPrChange>
              </w:rPr>
              <w:t>Dolore addominale, ulcerazione della bocca, gastrite</w:t>
            </w:r>
          </w:p>
        </w:tc>
        <w:tc>
          <w:tcPr>
            <w:tcW w:w="931" w:type="pct"/>
            <w:tcBorders>
              <w:top w:val="single" w:sz="4" w:space="0" w:color="auto"/>
              <w:left w:val="single" w:sz="4" w:space="0" w:color="auto"/>
              <w:bottom w:val="single" w:sz="4" w:space="0" w:color="auto"/>
              <w:right w:val="single" w:sz="4" w:space="0" w:color="auto"/>
            </w:tcBorders>
            <w:tcPrChange w:id="720" w:author="Author">
              <w:tcPr>
                <w:tcW w:w="987"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21" w:author="Author">
                  <w:rPr>
                    <w:sz w:val="21"/>
                    <w:szCs w:val="21"/>
                    <w:lang w:val="it-IT"/>
                  </w:rPr>
                </w:rPrChange>
              </w:rPr>
            </w:pPr>
            <w:r>
              <w:rPr>
                <w:noProof/>
                <w:sz w:val="20"/>
                <w:lang w:val="it-IT"/>
                <w:rPrChange w:id="722" w:author="Author">
                  <w:rPr>
                    <w:sz w:val="21"/>
                    <w:szCs w:val="21"/>
                    <w:lang w:val="it-IT"/>
                  </w:rPr>
                </w:rPrChange>
              </w:rPr>
              <w:t>Stomatite, ulcera gastrica</w:t>
            </w:r>
          </w:p>
        </w:tc>
        <w:tc>
          <w:tcPr>
            <w:tcW w:w="611" w:type="pct"/>
            <w:tcBorders>
              <w:top w:val="single" w:sz="4" w:space="0" w:color="auto"/>
              <w:left w:val="single" w:sz="4" w:space="0" w:color="auto"/>
              <w:bottom w:val="single" w:sz="4" w:space="0" w:color="auto"/>
              <w:right w:val="single" w:sz="4" w:space="0" w:color="auto"/>
            </w:tcBorders>
            <w:tcPrChange w:id="723" w:author="Author">
              <w:tcPr>
                <w:tcW w:w="557" w:type="pct"/>
                <w:gridSpan w:val="2"/>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24" w:author="Author">
                  <w:rPr>
                    <w:sz w:val="21"/>
                    <w:szCs w:val="21"/>
                    <w:lang w:val="it-IT"/>
                  </w:rPr>
                </w:rPrChange>
              </w:rPr>
            </w:pPr>
          </w:p>
        </w:tc>
        <w:tc>
          <w:tcPr>
            <w:tcW w:w="677" w:type="pct"/>
            <w:tcBorders>
              <w:top w:val="single" w:sz="4" w:space="0" w:color="auto"/>
              <w:left w:val="single" w:sz="4" w:space="0" w:color="auto"/>
              <w:bottom w:val="single" w:sz="4" w:space="0" w:color="auto"/>
              <w:right w:val="single" w:sz="4" w:space="0" w:color="auto"/>
            </w:tcBorders>
            <w:tcPrChange w:id="725" w:author="Author">
              <w:tcPr>
                <w:tcW w:w="678"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26" w:author="Author">
                  <w:rPr>
                    <w:sz w:val="21"/>
                    <w:szCs w:val="21"/>
                    <w:lang w:val="it-IT"/>
                  </w:rPr>
                </w:rPrChange>
              </w:rPr>
            </w:pPr>
          </w:p>
        </w:tc>
      </w:tr>
      <w:tr>
        <w:tblPrEx>
          <w:tblPrExChange w:id="727" w:author="Author">
            <w:tblPrEx>
              <w:tblCellMar>
                <w:left w:w="86" w:type="dxa"/>
                <w:right w:w="86" w:type="dxa"/>
              </w:tblCellMar>
            </w:tblPrEx>
          </w:tblPrExChange>
        </w:tblPrEx>
        <w:tc>
          <w:tcPr>
            <w:tcW w:w="899" w:type="pct"/>
            <w:tcBorders>
              <w:top w:val="single" w:sz="4" w:space="0" w:color="auto"/>
              <w:left w:val="single" w:sz="4" w:space="0" w:color="auto"/>
              <w:bottom w:val="single" w:sz="4" w:space="0" w:color="auto"/>
              <w:right w:val="single" w:sz="4" w:space="0" w:color="auto"/>
            </w:tcBorders>
            <w:tcPrChange w:id="728" w:author="Author">
              <w:tcPr>
                <w:tcW w:w="900" w:type="pct"/>
                <w:gridSpan w:val="2"/>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29" w:author="Author">
                  <w:rPr>
                    <w:sz w:val="21"/>
                    <w:szCs w:val="21"/>
                    <w:lang w:val="it-IT"/>
                  </w:rPr>
                </w:rPrChange>
              </w:rPr>
            </w:pPr>
            <w:r>
              <w:rPr>
                <w:noProof/>
                <w:sz w:val="20"/>
                <w:lang w:val="it-IT"/>
                <w:rPrChange w:id="730" w:author="Author">
                  <w:rPr>
                    <w:sz w:val="21"/>
                    <w:szCs w:val="21"/>
                    <w:lang w:val="it-IT"/>
                  </w:rPr>
                </w:rPrChange>
              </w:rPr>
              <w:t>Patologie epatobiliari</w:t>
            </w:r>
          </w:p>
        </w:tc>
        <w:tc>
          <w:tcPr>
            <w:tcW w:w="972" w:type="pct"/>
            <w:tcBorders>
              <w:top w:val="single" w:sz="4" w:space="0" w:color="auto"/>
              <w:left w:val="single" w:sz="4" w:space="0" w:color="auto"/>
              <w:bottom w:val="single" w:sz="4" w:space="0" w:color="auto"/>
              <w:right w:val="single" w:sz="4" w:space="0" w:color="auto"/>
            </w:tcBorders>
            <w:tcPrChange w:id="731" w:author="Author">
              <w:tcPr>
                <w:tcW w:w="972"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32" w:author="Author">
                  <w:rPr>
                    <w:sz w:val="21"/>
                    <w:szCs w:val="21"/>
                    <w:lang w:val="it-IT"/>
                  </w:rPr>
                </w:rPrChange>
              </w:rPr>
            </w:pPr>
          </w:p>
        </w:tc>
        <w:tc>
          <w:tcPr>
            <w:tcW w:w="910" w:type="pct"/>
            <w:tcBorders>
              <w:top w:val="single" w:sz="4" w:space="0" w:color="auto"/>
              <w:left w:val="single" w:sz="4" w:space="0" w:color="auto"/>
              <w:bottom w:val="single" w:sz="4" w:space="0" w:color="auto"/>
              <w:right w:val="single" w:sz="4" w:space="0" w:color="auto"/>
            </w:tcBorders>
            <w:tcPrChange w:id="733" w:author="Author">
              <w:tcPr>
                <w:tcW w:w="907"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34" w:author="Author">
                  <w:rPr>
                    <w:sz w:val="21"/>
                    <w:szCs w:val="21"/>
                    <w:lang w:val="it-IT"/>
                  </w:rPr>
                </w:rPrChange>
              </w:rPr>
            </w:pPr>
          </w:p>
        </w:tc>
        <w:tc>
          <w:tcPr>
            <w:tcW w:w="931" w:type="pct"/>
            <w:tcBorders>
              <w:top w:val="single" w:sz="4" w:space="0" w:color="auto"/>
              <w:left w:val="single" w:sz="4" w:space="0" w:color="auto"/>
              <w:bottom w:val="single" w:sz="4" w:space="0" w:color="auto"/>
              <w:right w:val="single" w:sz="4" w:space="0" w:color="auto"/>
            </w:tcBorders>
            <w:tcPrChange w:id="735" w:author="Author">
              <w:tcPr>
                <w:tcW w:w="987"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36" w:author="Author">
                  <w:rPr>
                    <w:sz w:val="21"/>
                    <w:szCs w:val="21"/>
                    <w:lang w:val="it-IT"/>
                  </w:rPr>
                </w:rPrChange>
              </w:rPr>
            </w:pPr>
          </w:p>
        </w:tc>
        <w:tc>
          <w:tcPr>
            <w:tcW w:w="611" w:type="pct"/>
            <w:tcBorders>
              <w:top w:val="single" w:sz="4" w:space="0" w:color="auto"/>
              <w:left w:val="single" w:sz="4" w:space="0" w:color="auto"/>
              <w:bottom w:val="single" w:sz="4" w:space="0" w:color="auto"/>
              <w:right w:val="single" w:sz="4" w:space="0" w:color="auto"/>
            </w:tcBorders>
            <w:tcPrChange w:id="737" w:author="Author">
              <w:tcPr>
                <w:tcW w:w="557" w:type="pct"/>
                <w:gridSpan w:val="2"/>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del w:id="738" w:author="Author"/>
                <w:noProof/>
                <w:sz w:val="20"/>
                <w:lang w:val="it-IT"/>
                <w:rPrChange w:id="739" w:author="Author">
                  <w:rPr>
                    <w:del w:id="740" w:author="Author"/>
                    <w:sz w:val="21"/>
                    <w:szCs w:val="21"/>
                    <w:lang w:val="it-IT"/>
                  </w:rPr>
                </w:rPrChange>
              </w:rPr>
            </w:pPr>
            <w:r>
              <w:rPr>
                <w:noProof/>
                <w:sz w:val="20"/>
                <w:lang w:val="it-IT"/>
                <w:rPrChange w:id="741" w:author="Author">
                  <w:rPr>
                    <w:sz w:val="21"/>
                    <w:szCs w:val="21"/>
                    <w:lang w:val="it-IT"/>
                  </w:rPr>
                </w:rPrChange>
              </w:rPr>
              <w:t>Danno epatico da farmaci, epatite, ittero.</w:t>
            </w:r>
          </w:p>
          <w:p>
            <w:pPr>
              <w:keepNext/>
              <w:keepLines/>
              <w:tabs>
                <w:tab w:val="left" w:pos="180"/>
              </w:tabs>
              <w:rPr>
                <w:noProof/>
                <w:sz w:val="20"/>
                <w:lang w:val="it-IT"/>
                <w:rPrChange w:id="742" w:author="Author">
                  <w:rPr>
                    <w:sz w:val="21"/>
                    <w:szCs w:val="21"/>
                    <w:lang w:val="it-IT"/>
                  </w:rPr>
                </w:rPrChange>
              </w:rPr>
              <w:pPrChange w:id="743" w:author="Author">
                <w:pPr>
                  <w:tabs>
                    <w:tab w:val="left" w:pos="180"/>
                  </w:tabs>
                </w:pPr>
              </w:pPrChange>
            </w:pPr>
          </w:p>
        </w:tc>
        <w:tc>
          <w:tcPr>
            <w:tcW w:w="677" w:type="pct"/>
            <w:tcBorders>
              <w:top w:val="single" w:sz="4" w:space="0" w:color="auto"/>
              <w:left w:val="single" w:sz="4" w:space="0" w:color="auto"/>
              <w:bottom w:val="single" w:sz="4" w:space="0" w:color="auto"/>
              <w:right w:val="single" w:sz="4" w:space="0" w:color="auto"/>
            </w:tcBorders>
            <w:tcPrChange w:id="744" w:author="Author">
              <w:tcPr>
                <w:tcW w:w="678"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745" w:author="Author">
                  <w:rPr>
                    <w:sz w:val="21"/>
                    <w:szCs w:val="21"/>
                    <w:lang w:val="it-IT"/>
                  </w:rPr>
                </w:rPrChange>
              </w:rPr>
            </w:pPr>
            <w:r>
              <w:rPr>
                <w:noProof/>
                <w:sz w:val="20"/>
                <w:lang w:val="it-IT"/>
                <w:rPrChange w:id="746" w:author="Author">
                  <w:rPr>
                    <w:sz w:val="21"/>
                    <w:szCs w:val="21"/>
                    <w:lang w:val="it-IT"/>
                  </w:rPr>
                </w:rPrChange>
              </w:rPr>
              <w:t>insufficienza epatica</w:t>
            </w:r>
          </w:p>
        </w:tc>
      </w:tr>
      <w:tr>
        <w:tblPrEx>
          <w:tblPrExChange w:id="747" w:author="Author">
            <w:tblPrEx>
              <w:tblCellMar>
                <w:left w:w="86" w:type="dxa"/>
                <w:right w:w="86" w:type="dxa"/>
              </w:tblCellMar>
            </w:tblPrEx>
          </w:tblPrExChange>
        </w:tblPrEx>
        <w:tc>
          <w:tcPr>
            <w:tcW w:w="899" w:type="pct"/>
            <w:tcBorders>
              <w:top w:val="single" w:sz="4" w:space="0" w:color="auto"/>
              <w:left w:val="single" w:sz="4" w:space="0" w:color="auto"/>
              <w:bottom w:val="single" w:sz="4" w:space="0" w:color="auto"/>
              <w:right w:val="single" w:sz="4" w:space="0" w:color="auto"/>
            </w:tcBorders>
            <w:tcPrChange w:id="748" w:author="Author">
              <w:tcPr>
                <w:tcW w:w="900" w:type="pct"/>
                <w:gridSpan w:val="2"/>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49" w:author="Author">
                  <w:rPr>
                    <w:sz w:val="21"/>
                    <w:szCs w:val="21"/>
                    <w:lang w:val="it-IT"/>
                  </w:rPr>
                </w:rPrChange>
              </w:rPr>
            </w:pPr>
            <w:r>
              <w:rPr>
                <w:noProof/>
                <w:sz w:val="20"/>
                <w:lang w:val="it-IT"/>
                <w:rPrChange w:id="750" w:author="Author">
                  <w:rPr>
                    <w:sz w:val="21"/>
                    <w:szCs w:val="21"/>
                    <w:lang w:val="it-IT"/>
                  </w:rPr>
                </w:rPrChange>
              </w:rPr>
              <w:t>Patologie della cute e del tessuto sottocutaneo</w:t>
            </w:r>
          </w:p>
        </w:tc>
        <w:tc>
          <w:tcPr>
            <w:tcW w:w="972" w:type="pct"/>
            <w:tcBorders>
              <w:top w:val="single" w:sz="4" w:space="0" w:color="auto"/>
              <w:left w:val="single" w:sz="4" w:space="0" w:color="auto"/>
              <w:bottom w:val="single" w:sz="4" w:space="0" w:color="auto"/>
              <w:right w:val="single" w:sz="4" w:space="0" w:color="auto"/>
            </w:tcBorders>
            <w:tcPrChange w:id="751" w:author="Author">
              <w:tcPr>
                <w:tcW w:w="972"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52" w:author="Author">
                  <w:rPr>
                    <w:sz w:val="21"/>
                    <w:szCs w:val="21"/>
                    <w:lang w:val="it-IT"/>
                  </w:rPr>
                </w:rPrChange>
              </w:rPr>
            </w:pPr>
          </w:p>
        </w:tc>
        <w:tc>
          <w:tcPr>
            <w:tcW w:w="910" w:type="pct"/>
            <w:tcBorders>
              <w:top w:val="single" w:sz="4" w:space="0" w:color="auto"/>
              <w:left w:val="single" w:sz="4" w:space="0" w:color="auto"/>
              <w:bottom w:val="single" w:sz="4" w:space="0" w:color="auto"/>
              <w:right w:val="single" w:sz="4" w:space="0" w:color="auto"/>
            </w:tcBorders>
            <w:tcPrChange w:id="753" w:author="Author">
              <w:tcPr>
                <w:tcW w:w="907"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54" w:author="Author">
                  <w:rPr>
                    <w:sz w:val="21"/>
                    <w:szCs w:val="21"/>
                    <w:lang w:val="it-IT"/>
                  </w:rPr>
                </w:rPrChange>
              </w:rPr>
            </w:pPr>
            <w:r>
              <w:rPr>
                <w:noProof/>
                <w:sz w:val="20"/>
                <w:lang w:val="it-IT"/>
                <w:rPrChange w:id="755" w:author="Author">
                  <w:rPr>
                    <w:sz w:val="21"/>
                    <w:szCs w:val="21"/>
                    <w:lang w:val="it-IT"/>
                  </w:rPr>
                </w:rPrChange>
              </w:rPr>
              <w:t>Eruzione cutanea, prurito, orticaria</w:t>
            </w:r>
          </w:p>
        </w:tc>
        <w:tc>
          <w:tcPr>
            <w:tcW w:w="931" w:type="pct"/>
            <w:tcBorders>
              <w:top w:val="single" w:sz="4" w:space="0" w:color="auto"/>
              <w:left w:val="single" w:sz="4" w:space="0" w:color="auto"/>
              <w:bottom w:val="single" w:sz="4" w:space="0" w:color="auto"/>
              <w:right w:val="single" w:sz="4" w:space="0" w:color="auto"/>
            </w:tcBorders>
            <w:tcPrChange w:id="756" w:author="Author">
              <w:tcPr>
                <w:tcW w:w="987"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57" w:author="Author">
                  <w:rPr>
                    <w:sz w:val="21"/>
                    <w:szCs w:val="21"/>
                    <w:lang w:val="it-IT"/>
                  </w:rPr>
                </w:rPrChange>
              </w:rPr>
            </w:pPr>
          </w:p>
        </w:tc>
        <w:tc>
          <w:tcPr>
            <w:tcW w:w="611" w:type="pct"/>
            <w:tcBorders>
              <w:top w:val="single" w:sz="4" w:space="0" w:color="auto"/>
              <w:left w:val="single" w:sz="4" w:space="0" w:color="auto"/>
              <w:bottom w:val="single" w:sz="4" w:space="0" w:color="auto"/>
              <w:right w:val="single" w:sz="4" w:space="0" w:color="auto"/>
            </w:tcBorders>
            <w:tcPrChange w:id="758" w:author="Author">
              <w:tcPr>
                <w:tcW w:w="557" w:type="pct"/>
                <w:gridSpan w:val="2"/>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759" w:author="Author">
                  <w:rPr>
                    <w:sz w:val="21"/>
                    <w:szCs w:val="21"/>
                    <w:lang w:val="it-IT"/>
                  </w:rPr>
                </w:rPrChange>
              </w:rPr>
            </w:pPr>
            <w:r>
              <w:rPr>
                <w:noProof/>
                <w:sz w:val="20"/>
                <w:lang w:val="it-IT"/>
                <w:rPrChange w:id="760" w:author="Author">
                  <w:rPr>
                    <w:sz w:val="21"/>
                    <w:szCs w:val="21"/>
                    <w:lang w:val="it-IT"/>
                  </w:rPr>
                </w:rPrChange>
              </w:rPr>
              <w:t xml:space="preserve">Sindrome di </w:t>
            </w:r>
            <w:r>
              <w:rPr>
                <w:noProof/>
                <w:sz w:val="20"/>
                <w:lang w:val="it-IT"/>
                <w:rPrChange w:id="761" w:author="Author">
                  <w:rPr>
                    <w:szCs w:val="22"/>
                    <w:lang w:val="it-IT"/>
                  </w:rPr>
                </w:rPrChange>
              </w:rPr>
              <w:t>Stevens-Johnson</w:t>
            </w:r>
            <w:r>
              <w:rPr>
                <w:noProof/>
                <w:sz w:val="20"/>
                <w:vertAlign w:val="superscript"/>
                <w:lang w:val="it-IT"/>
                <w:rPrChange w:id="762" w:author="Author">
                  <w:rPr>
                    <w:szCs w:val="22"/>
                    <w:vertAlign w:val="superscript"/>
                    <w:lang w:val="it-IT"/>
                  </w:rPr>
                </w:rPrChange>
              </w:rPr>
              <w:t>3</w:t>
            </w:r>
          </w:p>
        </w:tc>
        <w:tc>
          <w:tcPr>
            <w:tcW w:w="677" w:type="pct"/>
            <w:tcBorders>
              <w:top w:val="single" w:sz="4" w:space="0" w:color="auto"/>
              <w:left w:val="single" w:sz="4" w:space="0" w:color="auto"/>
              <w:bottom w:val="single" w:sz="4" w:space="0" w:color="auto"/>
              <w:right w:val="single" w:sz="4" w:space="0" w:color="auto"/>
            </w:tcBorders>
            <w:tcPrChange w:id="763" w:author="Author">
              <w:tcPr>
                <w:tcW w:w="678"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764" w:author="Author">
                  <w:rPr>
                    <w:sz w:val="21"/>
                    <w:szCs w:val="21"/>
                    <w:lang w:val="it-IT"/>
                  </w:rPr>
                </w:rPrChange>
              </w:rPr>
            </w:pPr>
          </w:p>
        </w:tc>
      </w:tr>
      <w:tr>
        <w:tblPrEx>
          <w:tblPrExChange w:id="765" w:author="Author">
            <w:tblPrEx>
              <w:tblCellMar>
                <w:left w:w="86" w:type="dxa"/>
                <w:right w:w="86" w:type="dxa"/>
              </w:tblCellMar>
            </w:tblPrEx>
          </w:tblPrExChange>
        </w:tblPrEx>
        <w:tc>
          <w:tcPr>
            <w:tcW w:w="899" w:type="pct"/>
            <w:tcBorders>
              <w:top w:val="single" w:sz="4" w:space="0" w:color="auto"/>
              <w:left w:val="single" w:sz="4" w:space="0" w:color="auto"/>
              <w:bottom w:val="single" w:sz="4" w:space="0" w:color="auto"/>
              <w:right w:val="single" w:sz="4" w:space="0" w:color="auto"/>
            </w:tcBorders>
            <w:tcPrChange w:id="766" w:author="Author">
              <w:tcPr>
                <w:tcW w:w="900" w:type="pct"/>
                <w:gridSpan w:val="2"/>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67" w:author="Author">
                  <w:rPr>
                    <w:sz w:val="21"/>
                    <w:szCs w:val="21"/>
                    <w:lang w:val="it-IT"/>
                  </w:rPr>
                </w:rPrChange>
              </w:rPr>
            </w:pPr>
            <w:r>
              <w:rPr>
                <w:noProof/>
                <w:sz w:val="20"/>
                <w:lang w:val="it-IT"/>
                <w:rPrChange w:id="768" w:author="Author">
                  <w:rPr>
                    <w:sz w:val="21"/>
                    <w:szCs w:val="21"/>
                    <w:lang w:val="it-IT"/>
                  </w:rPr>
                </w:rPrChange>
              </w:rPr>
              <w:t>Patologie renali e urinarie</w:t>
            </w:r>
          </w:p>
        </w:tc>
        <w:tc>
          <w:tcPr>
            <w:tcW w:w="972" w:type="pct"/>
            <w:tcBorders>
              <w:top w:val="single" w:sz="4" w:space="0" w:color="auto"/>
              <w:left w:val="single" w:sz="4" w:space="0" w:color="auto"/>
              <w:bottom w:val="single" w:sz="4" w:space="0" w:color="auto"/>
              <w:right w:val="single" w:sz="4" w:space="0" w:color="auto"/>
            </w:tcBorders>
            <w:tcPrChange w:id="769" w:author="Author">
              <w:tcPr>
                <w:tcW w:w="972"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70" w:author="Author">
                  <w:rPr>
                    <w:sz w:val="21"/>
                    <w:szCs w:val="21"/>
                    <w:lang w:val="it-IT"/>
                  </w:rPr>
                </w:rPrChange>
              </w:rPr>
            </w:pPr>
          </w:p>
        </w:tc>
        <w:tc>
          <w:tcPr>
            <w:tcW w:w="910" w:type="pct"/>
            <w:tcBorders>
              <w:top w:val="single" w:sz="4" w:space="0" w:color="auto"/>
              <w:left w:val="single" w:sz="4" w:space="0" w:color="auto"/>
              <w:bottom w:val="single" w:sz="4" w:space="0" w:color="auto"/>
              <w:right w:val="single" w:sz="4" w:space="0" w:color="auto"/>
            </w:tcBorders>
            <w:tcPrChange w:id="771" w:author="Author">
              <w:tcPr>
                <w:tcW w:w="907"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72" w:author="Author">
                  <w:rPr>
                    <w:sz w:val="21"/>
                    <w:szCs w:val="21"/>
                    <w:lang w:val="it-IT"/>
                  </w:rPr>
                </w:rPrChange>
              </w:rPr>
            </w:pPr>
          </w:p>
        </w:tc>
        <w:tc>
          <w:tcPr>
            <w:tcW w:w="931" w:type="pct"/>
            <w:tcBorders>
              <w:top w:val="single" w:sz="4" w:space="0" w:color="auto"/>
              <w:left w:val="single" w:sz="4" w:space="0" w:color="auto"/>
              <w:bottom w:val="single" w:sz="4" w:space="0" w:color="auto"/>
              <w:right w:val="single" w:sz="4" w:space="0" w:color="auto"/>
            </w:tcBorders>
            <w:tcPrChange w:id="773" w:author="Author">
              <w:tcPr>
                <w:tcW w:w="987"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74" w:author="Author">
                  <w:rPr>
                    <w:sz w:val="21"/>
                    <w:szCs w:val="21"/>
                    <w:lang w:val="it-IT"/>
                  </w:rPr>
                </w:rPrChange>
              </w:rPr>
            </w:pPr>
            <w:ins w:id="775" w:author="Author">
              <w:r>
                <w:rPr>
                  <w:noProof/>
                  <w:sz w:val="20"/>
                  <w:lang w:val="it-IT"/>
                </w:rPr>
                <w:t>Nefrol</w:t>
              </w:r>
            </w:ins>
            <w:del w:id="776" w:author="Author">
              <w:r>
                <w:rPr>
                  <w:noProof/>
                  <w:sz w:val="20"/>
                  <w:lang w:val="it-IT"/>
                  <w:rPrChange w:id="777" w:author="Author">
                    <w:rPr>
                      <w:sz w:val="21"/>
                      <w:szCs w:val="21"/>
                      <w:lang w:val="it-IT"/>
                    </w:rPr>
                  </w:rPrChange>
                </w:rPr>
                <w:delText>L</w:delText>
              </w:r>
            </w:del>
            <w:r>
              <w:rPr>
                <w:noProof/>
                <w:sz w:val="20"/>
                <w:lang w:val="it-IT"/>
                <w:rPrChange w:id="778" w:author="Author">
                  <w:rPr>
                    <w:sz w:val="21"/>
                    <w:szCs w:val="21"/>
                    <w:lang w:val="it-IT"/>
                  </w:rPr>
                </w:rPrChange>
              </w:rPr>
              <w:t xml:space="preserve">itiasi </w:t>
            </w:r>
            <w:del w:id="779" w:author="Author">
              <w:r>
                <w:rPr>
                  <w:noProof/>
                  <w:sz w:val="20"/>
                  <w:lang w:val="it-IT"/>
                  <w:rPrChange w:id="780" w:author="Author">
                    <w:rPr>
                      <w:sz w:val="21"/>
                      <w:szCs w:val="21"/>
                      <w:lang w:val="it-IT"/>
                    </w:rPr>
                  </w:rPrChange>
                </w:rPr>
                <w:delText>renale</w:delText>
              </w:r>
            </w:del>
          </w:p>
        </w:tc>
        <w:tc>
          <w:tcPr>
            <w:tcW w:w="611" w:type="pct"/>
            <w:tcBorders>
              <w:top w:val="single" w:sz="4" w:space="0" w:color="auto"/>
              <w:left w:val="single" w:sz="4" w:space="0" w:color="auto"/>
              <w:bottom w:val="single" w:sz="4" w:space="0" w:color="auto"/>
              <w:right w:val="single" w:sz="4" w:space="0" w:color="auto"/>
            </w:tcBorders>
            <w:tcPrChange w:id="781" w:author="Author">
              <w:tcPr>
                <w:tcW w:w="557" w:type="pct"/>
                <w:gridSpan w:val="2"/>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82" w:author="Author">
                  <w:rPr>
                    <w:sz w:val="21"/>
                    <w:szCs w:val="21"/>
                    <w:lang w:val="it-IT"/>
                  </w:rPr>
                </w:rPrChange>
              </w:rPr>
            </w:pPr>
          </w:p>
        </w:tc>
        <w:tc>
          <w:tcPr>
            <w:tcW w:w="677" w:type="pct"/>
            <w:tcBorders>
              <w:top w:val="single" w:sz="4" w:space="0" w:color="auto"/>
              <w:left w:val="single" w:sz="4" w:space="0" w:color="auto"/>
              <w:bottom w:val="single" w:sz="4" w:space="0" w:color="auto"/>
              <w:right w:val="single" w:sz="4" w:space="0" w:color="auto"/>
            </w:tcBorders>
            <w:tcPrChange w:id="783" w:author="Author">
              <w:tcPr>
                <w:tcW w:w="678"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84" w:author="Author">
                  <w:rPr>
                    <w:sz w:val="21"/>
                    <w:szCs w:val="21"/>
                    <w:lang w:val="it-IT"/>
                  </w:rPr>
                </w:rPrChange>
              </w:rPr>
            </w:pPr>
          </w:p>
        </w:tc>
      </w:tr>
      <w:tr>
        <w:tblPrEx>
          <w:tblPrExChange w:id="785" w:author="Author">
            <w:tblPrEx>
              <w:tblCellMar>
                <w:left w:w="86" w:type="dxa"/>
                <w:right w:w="86" w:type="dxa"/>
              </w:tblCellMar>
            </w:tblPrEx>
          </w:tblPrExChange>
        </w:tblPrEx>
        <w:tc>
          <w:tcPr>
            <w:tcW w:w="899" w:type="pct"/>
            <w:tcBorders>
              <w:top w:val="single" w:sz="4" w:space="0" w:color="auto"/>
              <w:left w:val="single" w:sz="4" w:space="0" w:color="auto"/>
              <w:bottom w:val="single" w:sz="4" w:space="0" w:color="auto"/>
              <w:right w:val="single" w:sz="4" w:space="0" w:color="auto"/>
            </w:tcBorders>
            <w:tcPrChange w:id="786" w:author="Author">
              <w:tcPr>
                <w:tcW w:w="900" w:type="pct"/>
                <w:gridSpan w:val="2"/>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87" w:author="Author">
                  <w:rPr>
                    <w:sz w:val="21"/>
                    <w:szCs w:val="21"/>
                    <w:lang w:val="it-IT"/>
                  </w:rPr>
                </w:rPrChange>
              </w:rPr>
              <w:pPrChange w:id="788" w:author="Author">
                <w:pPr>
                  <w:keepNext/>
                  <w:keepLines/>
                  <w:tabs>
                    <w:tab w:val="left" w:pos="180"/>
                  </w:tabs>
                </w:pPr>
              </w:pPrChange>
            </w:pPr>
            <w:r>
              <w:rPr>
                <w:noProof/>
                <w:sz w:val="20"/>
                <w:lang w:val="it-IT"/>
                <w:rPrChange w:id="789" w:author="Author">
                  <w:rPr>
                    <w:sz w:val="21"/>
                    <w:szCs w:val="21"/>
                    <w:lang w:val="it-IT"/>
                  </w:rPr>
                </w:rPrChange>
              </w:rPr>
              <w:t xml:space="preserve">Patologie generali e condizioni relative alla sede di somministrazione </w:t>
            </w:r>
          </w:p>
        </w:tc>
        <w:tc>
          <w:tcPr>
            <w:tcW w:w="972" w:type="pct"/>
            <w:tcBorders>
              <w:top w:val="single" w:sz="4" w:space="0" w:color="auto"/>
              <w:left w:val="single" w:sz="4" w:space="0" w:color="auto"/>
              <w:bottom w:val="single" w:sz="4" w:space="0" w:color="auto"/>
              <w:right w:val="single" w:sz="4" w:space="0" w:color="auto"/>
            </w:tcBorders>
            <w:tcPrChange w:id="790" w:author="Author">
              <w:tcPr>
                <w:tcW w:w="972"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91" w:author="Author">
                  <w:rPr>
                    <w:sz w:val="21"/>
                    <w:szCs w:val="21"/>
                    <w:lang w:val="it-IT"/>
                  </w:rPr>
                </w:rPrChange>
              </w:rPr>
              <w:pPrChange w:id="792" w:author="Author">
                <w:pPr>
                  <w:keepNext/>
                  <w:keepLines/>
                  <w:tabs>
                    <w:tab w:val="left" w:pos="180"/>
                  </w:tabs>
                </w:pPr>
              </w:pPrChange>
            </w:pPr>
          </w:p>
        </w:tc>
        <w:tc>
          <w:tcPr>
            <w:tcW w:w="910" w:type="pct"/>
            <w:tcBorders>
              <w:top w:val="single" w:sz="4" w:space="0" w:color="auto"/>
              <w:left w:val="single" w:sz="4" w:space="0" w:color="auto"/>
              <w:bottom w:val="single" w:sz="4" w:space="0" w:color="auto"/>
              <w:right w:val="single" w:sz="4" w:space="0" w:color="auto"/>
            </w:tcBorders>
            <w:tcPrChange w:id="793" w:author="Author">
              <w:tcPr>
                <w:tcW w:w="907"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94" w:author="Author">
                  <w:rPr>
                    <w:sz w:val="21"/>
                    <w:szCs w:val="21"/>
                    <w:lang w:val="it-IT"/>
                  </w:rPr>
                </w:rPrChange>
              </w:rPr>
              <w:pPrChange w:id="795" w:author="Author">
                <w:pPr>
                  <w:keepNext/>
                  <w:keepLines/>
                  <w:tabs>
                    <w:tab w:val="left" w:pos="180"/>
                  </w:tabs>
                </w:pPr>
              </w:pPrChange>
            </w:pPr>
            <w:r>
              <w:rPr>
                <w:noProof/>
                <w:sz w:val="20"/>
                <w:lang w:val="it-IT"/>
                <w:rPrChange w:id="796" w:author="Author">
                  <w:rPr>
                    <w:sz w:val="21"/>
                    <w:szCs w:val="21"/>
                    <w:lang w:val="it-IT"/>
                  </w:rPr>
                </w:rPrChange>
              </w:rPr>
              <w:t>Edema periferico, reazioni di ipersensibilità</w:t>
            </w:r>
          </w:p>
        </w:tc>
        <w:tc>
          <w:tcPr>
            <w:tcW w:w="931" w:type="pct"/>
            <w:tcBorders>
              <w:top w:val="single" w:sz="4" w:space="0" w:color="auto"/>
              <w:left w:val="single" w:sz="4" w:space="0" w:color="auto"/>
              <w:bottom w:val="single" w:sz="4" w:space="0" w:color="auto"/>
              <w:right w:val="single" w:sz="4" w:space="0" w:color="auto"/>
            </w:tcBorders>
            <w:tcPrChange w:id="797" w:author="Author">
              <w:tcPr>
                <w:tcW w:w="987"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798" w:author="Author">
                  <w:rPr>
                    <w:sz w:val="21"/>
                    <w:szCs w:val="21"/>
                    <w:lang w:val="it-IT"/>
                  </w:rPr>
                </w:rPrChange>
              </w:rPr>
              <w:pPrChange w:id="799" w:author="Author">
                <w:pPr>
                  <w:keepNext/>
                  <w:keepLines/>
                  <w:tabs>
                    <w:tab w:val="left" w:pos="180"/>
                  </w:tabs>
                </w:pPr>
              </w:pPrChange>
            </w:pPr>
          </w:p>
        </w:tc>
        <w:tc>
          <w:tcPr>
            <w:tcW w:w="611" w:type="pct"/>
            <w:tcBorders>
              <w:top w:val="single" w:sz="4" w:space="0" w:color="auto"/>
              <w:left w:val="single" w:sz="4" w:space="0" w:color="auto"/>
              <w:bottom w:val="single" w:sz="4" w:space="0" w:color="auto"/>
              <w:right w:val="single" w:sz="4" w:space="0" w:color="auto"/>
            </w:tcBorders>
            <w:tcPrChange w:id="800" w:author="Author">
              <w:tcPr>
                <w:tcW w:w="557" w:type="pct"/>
                <w:gridSpan w:val="2"/>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801" w:author="Author">
                  <w:rPr>
                    <w:sz w:val="21"/>
                    <w:szCs w:val="21"/>
                    <w:lang w:val="it-IT"/>
                  </w:rPr>
                </w:rPrChange>
              </w:rPr>
              <w:pPrChange w:id="802" w:author="Author">
                <w:pPr>
                  <w:keepNext/>
                  <w:keepLines/>
                  <w:tabs>
                    <w:tab w:val="left" w:pos="180"/>
                  </w:tabs>
                </w:pPr>
              </w:pPrChange>
            </w:pPr>
          </w:p>
        </w:tc>
        <w:tc>
          <w:tcPr>
            <w:tcW w:w="677" w:type="pct"/>
            <w:tcBorders>
              <w:top w:val="single" w:sz="4" w:space="0" w:color="auto"/>
              <w:left w:val="single" w:sz="4" w:space="0" w:color="auto"/>
              <w:bottom w:val="single" w:sz="4" w:space="0" w:color="auto"/>
              <w:right w:val="single" w:sz="4" w:space="0" w:color="auto"/>
            </w:tcBorders>
            <w:tcPrChange w:id="803" w:author="Author">
              <w:tcPr>
                <w:tcW w:w="678" w:type="pct"/>
                <w:tcBorders>
                  <w:top w:val="single" w:sz="4" w:space="0" w:color="auto"/>
                  <w:left w:val="single" w:sz="4" w:space="0" w:color="auto"/>
                  <w:bottom w:val="single" w:sz="4" w:space="0" w:color="auto"/>
                  <w:right w:val="single" w:sz="4" w:space="0" w:color="auto"/>
                </w:tcBorders>
              </w:tcPr>
            </w:tcPrChange>
          </w:tcPr>
          <w:p>
            <w:pPr>
              <w:tabs>
                <w:tab w:val="left" w:pos="180"/>
              </w:tabs>
              <w:rPr>
                <w:noProof/>
                <w:sz w:val="20"/>
                <w:lang w:val="it-IT"/>
                <w:rPrChange w:id="804" w:author="Author">
                  <w:rPr>
                    <w:sz w:val="21"/>
                    <w:szCs w:val="21"/>
                    <w:lang w:val="it-IT"/>
                  </w:rPr>
                </w:rPrChange>
              </w:rPr>
              <w:pPrChange w:id="805" w:author="Author">
                <w:pPr>
                  <w:keepNext/>
                  <w:keepLines/>
                  <w:tabs>
                    <w:tab w:val="left" w:pos="180"/>
                  </w:tabs>
                </w:pPr>
              </w:pPrChange>
            </w:pPr>
          </w:p>
        </w:tc>
      </w:tr>
      <w:tr>
        <w:tblPrEx>
          <w:tblPrExChange w:id="806" w:author="Author">
            <w:tblPrEx>
              <w:tblCellMar>
                <w:left w:w="86" w:type="dxa"/>
                <w:right w:w="86" w:type="dxa"/>
              </w:tblCellMar>
            </w:tblPrEx>
          </w:tblPrExChange>
        </w:tblPrEx>
        <w:tc>
          <w:tcPr>
            <w:tcW w:w="899" w:type="pct"/>
            <w:tcBorders>
              <w:top w:val="single" w:sz="4" w:space="0" w:color="auto"/>
              <w:left w:val="single" w:sz="4" w:space="0" w:color="auto"/>
              <w:bottom w:val="single" w:sz="4" w:space="0" w:color="auto"/>
              <w:right w:val="single" w:sz="4" w:space="0" w:color="auto"/>
            </w:tcBorders>
            <w:tcPrChange w:id="807" w:author="Author">
              <w:tcPr>
                <w:tcW w:w="900" w:type="pct"/>
                <w:gridSpan w:val="2"/>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808" w:author="Author">
                  <w:rPr>
                    <w:sz w:val="21"/>
                    <w:szCs w:val="21"/>
                    <w:lang w:val="it-IT"/>
                  </w:rPr>
                </w:rPrChange>
              </w:rPr>
            </w:pPr>
            <w:r>
              <w:rPr>
                <w:noProof/>
                <w:sz w:val="20"/>
                <w:lang w:val="it-IT"/>
                <w:rPrChange w:id="809" w:author="Author">
                  <w:rPr>
                    <w:sz w:val="21"/>
                    <w:szCs w:val="21"/>
                    <w:lang w:val="it-IT"/>
                  </w:rPr>
                </w:rPrChange>
              </w:rPr>
              <w:t>Esami diagnostici</w:t>
            </w:r>
          </w:p>
        </w:tc>
        <w:tc>
          <w:tcPr>
            <w:tcW w:w="972" w:type="pct"/>
            <w:tcBorders>
              <w:top w:val="single" w:sz="4" w:space="0" w:color="auto"/>
              <w:left w:val="single" w:sz="4" w:space="0" w:color="auto"/>
              <w:bottom w:val="single" w:sz="4" w:space="0" w:color="auto"/>
              <w:right w:val="single" w:sz="4" w:space="0" w:color="auto"/>
            </w:tcBorders>
            <w:tcPrChange w:id="810" w:author="Author">
              <w:tcPr>
                <w:tcW w:w="972"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811" w:author="Author">
                  <w:rPr>
                    <w:sz w:val="21"/>
                    <w:szCs w:val="21"/>
                    <w:lang w:val="it-IT"/>
                  </w:rPr>
                </w:rPrChange>
              </w:rPr>
            </w:pPr>
          </w:p>
        </w:tc>
        <w:tc>
          <w:tcPr>
            <w:tcW w:w="910" w:type="pct"/>
            <w:tcBorders>
              <w:top w:val="single" w:sz="4" w:space="0" w:color="auto"/>
              <w:left w:val="single" w:sz="4" w:space="0" w:color="auto"/>
              <w:bottom w:val="single" w:sz="4" w:space="0" w:color="auto"/>
              <w:right w:val="single" w:sz="4" w:space="0" w:color="auto"/>
            </w:tcBorders>
            <w:tcPrChange w:id="812" w:author="Author">
              <w:tcPr>
                <w:tcW w:w="907"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813" w:author="Author">
                  <w:rPr>
                    <w:sz w:val="21"/>
                    <w:szCs w:val="21"/>
                    <w:lang w:val="it-IT"/>
                  </w:rPr>
                </w:rPrChange>
              </w:rPr>
            </w:pPr>
            <w:r>
              <w:rPr>
                <w:noProof/>
                <w:sz w:val="20"/>
                <w:lang w:val="it-IT"/>
                <w:rPrChange w:id="814" w:author="Author">
                  <w:rPr>
                    <w:sz w:val="21"/>
                    <w:szCs w:val="21"/>
                    <w:lang w:val="it-IT"/>
                  </w:rPr>
                </w:rPrChange>
              </w:rPr>
              <w:t>Transaminasi epatiche aumentate, peso aumentato, bilirubina totale aumentata*</w:t>
            </w:r>
          </w:p>
        </w:tc>
        <w:tc>
          <w:tcPr>
            <w:tcW w:w="931" w:type="pct"/>
            <w:tcBorders>
              <w:top w:val="single" w:sz="4" w:space="0" w:color="auto"/>
              <w:left w:val="single" w:sz="4" w:space="0" w:color="auto"/>
              <w:bottom w:val="single" w:sz="4" w:space="0" w:color="auto"/>
              <w:right w:val="single" w:sz="4" w:space="0" w:color="auto"/>
            </w:tcBorders>
            <w:tcPrChange w:id="815" w:author="Author">
              <w:tcPr>
                <w:tcW w:w="987"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816" w:author="Author">
                  <w:rPr>
                    <w:sz w:val="21"/>
                    <w:szCs w:val="21"/>
                    <w:lang w:val="it-IT"/>
                  </w:rPr>
                </w:rPrChange>
              </w:rPr>
            </w:pPr>
          </w:p>
        </w:tc>
        <w:tc>
          <w:tcPr>
            <w:tcW w:w="611" w:type="pct"/>
            <w:tcBorders>
              <w:top w:val="single" w:sz="4" w:space="0" w:color="auto"/>
              <w:left w:val="single" w:sz="4" w:space="0" w:color="auto"/>
              <w:bottom w:val="single" w:sz="4" w:space="0" w:color="auto"/>
              <w:right w:val="single" w:sz="4" w:space="0" w:color="auto"/>
            </w:tcBorders>
            <w:tcPrChange w:id="817" w:author="Author">
              <w:tcPr>
                <w:tcW w:w="557" w:type="pct"/>
                <w:gridSpan w:val="2"/>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818" w:author="Author">
                  <w:rPr>
                    <w:sz w:val="21"/>
                    <w:szCs w:val="21"/>
                    <w:lang w:val="it-IT"/>
                  </w:rPr>
                </w:rPrChange>
              </w:rPr>
            </w:pPr>
          </w:p>
        </w:tc>
        <w:tc>
          <w:tcPr>
            <w:tcW w:w="677" w:type="pct"/>
            <w:tcBorders>
              <w:top w:val="single" w:sz="4" w:space="0" w:color="auto"/>
              <w:left w:val="single" w:sz="4" w:space="0" w:color="auto"/>
              <w:bottom w:val="single" w:sz="4" w:space="0" w:color="auto"/>
              <w:right w:val="single" w:sz="4" w:space="0" w:color="auto"/>
            </w:tcBorders>
            <w:tcPrChange w:id="819" w:author="Author">
              <w:tcPr>
                <w:tcW w:w="678" w:type="pct"/>
                <w:tcBorders>
                  <w:top w:val="single" w:sz="4" w:space="0" w:color="auto"/>
                  <w:left w:val="single" w:sz="4" w:space="0" w:color="auto"/>
                  <w:bottom w:val="single" w:sz="4" w:space="0" w:color="auto"/>
                  <w:right w:val="single" w:sz="4" w:space="0" w:color="auto"/>
                </w:tcBorders>
              </w:tcPr>
            </w:tcPrChange>
          </w:tcPr>
          <w:p>
            <w:pPr>
              <w:keepNext/>
              <w:keepLines/>
              <w:tabs>
                <w:tab w:val="left" w:pos="180"/>
              </w:tabs>
              <w:rPr>
                <w:noProof/>
                <w:sz w:val="20"/>
                <w:lang w:val="it-IT"/>
                <w:rPrChange w:id="820" w:author="Author">
                  <w:rPr>
                    <w:sz w:val="21"/>
                    <w:szCs w:val="21"/>
                    <w:lang w:val="it-IT"/>
                  </w:rPr>
                </w:rPrChange>
              </w:rPr>
            </w:pPr>
          </w:p>
        </w:tc>
      </w:tr>
    </w:tbl>
    <w:p>
      <w:pPr>
        <w:pStyle w:val="Standard"/>
        <w:keepNext/>
        <w:keepLines/>
        <w:ind w:left="142" w:hanging="142"/>
        <w:rPr>
          <w:noProof/>
          <w:sz w:val="19"/>
          <w:szCs w:val="19"/>
          <w:lang w:val="it-IT"/>
        </w:rPr>
      </w:pPr>
      <w:r>
        <w:rPr>
          <w:noProof/>
          <w:sz w:val="18"/>
          <w:szCs w:val="18"/>
          <w:lang w:val="it-IT"/>
        </w:rPr>
        <w:t xml:space="preserve">*Include aumenti </w:t>
      </w:r>
      <w:del w:id="821" w:author="Author">
        <w:r>
          <w:rPr>
            <w:noProof/>
            <w:sz w:val="18"/>
            <w:szCs w:val="18"/>
            <w:lang w:val="it-IT"/>
          </w:rPr>
          <w:delText xml:space="preserve">raccolti </w:delText>
        </w:r>
      </w:del>
      <w:ins w:id="822" w:author="Author">
        <w:r>
          <w:rPr>
            <w:noProof/>
            <w:sz w:val="18"/>
            <w:szCs w:val="18"/>
            <w:lang w:val="it-IT"/>
          </w:rPr>
          <w:t xml:space="preserve">rilevati </w:t>
        </w:r>
      </w:ins>
      <w:r>
        <w:rPr>
          <w:noProof/>
          <w:sz w:val="18"/>
          <w:szCs w:val="18"/>
          <w:lang w:val="it-IT"/>
        </w:rPr>
        <w:t>nelle analisi di laboratorio abituali (vedere testo riportato sotto)</w:t>
      </w:r>
    </w:p>
    <w:p>
      <w:pPr>
        <w:pStyle w:val="Standard"/>
        <w:keepNext/>
        <w:keepLines/>
        <w:ind w:left="142" w:hanging="142"/>
        <w:rPr>
          <w:noProof/>
          <w:sz w:val="19"/>
          <w:szCs w:val="19"/>
          <w:lang w:val="it-IT"/>
        </w:rPr>
      </w:pPr>
      <w:r>
        <w:rPr>
          <w:noProof/>
          <w:sz w:val="19"/>
          <w:szCs w:val="19"/>
          <w:vertAlign w:val="superscript"/>
          <w:lang w:val="it-IT"/>
        </w:rPr>
        <w:t>1</w:t>
      </w:r>
      <w:r>
        <w:rPr>
          <w:noProof/>
          <w:sz w:val="19"/>
          <w:szCs w:val="19"/>
          <w:lang w:val="it-IT"/>
        </w:rPr>
        <w:t xml:space="preserve"> Vedere paragrafo 4.3</w:t>
      </w:r>
    </w:p>
    <w:p>
      <w:pPr>
        <w:pStyle w:val="Standard"/>
        <w:keepNext/>
        <w:keepLines/>
        <w:ind w:left="142" w:hanging="142"/>
        <w:rPr>
          <w:noProof/>
          <w:sz w:val="19"/>
          <w:szCs w:val="19"/>
          <w:lang w:val="it-IT"/>
        </w:rPr>
      </w:pPr>
      <w:r>
        <w:rPr>
          <w:noProof/>
          <w:sz w:val="19"/>
          <w:szCs w:val="19"/>
          <w:vertAlign w:val="superscript"/>
          <w:lang w:val="it-IT"/>
        </w:rPr>
        <w:t>2</w:t>
      </w:r>
      <w:r>
        <w:rPr>
          <w:noProof/>
          <w:sz w:val="19"/>
          <w:szCs w:val="19"/>
          <w:lang w:val="it-IT"/>
        </w:rPr>
        <w:t xml:space="preserve"> Vedere paragrafo 4.4</w:t>
      </w:r>
    </w:p>
    <w:p>
      <w:pPr>
        <w:pStyle w:val="Standard"/>
        <w:keepNext/>
        <w:keepLines/>
        <w:ind w:left="142" w:hanging="142"/>
        <w:rPr>
          <w:noProof/>
          <w:sz w:val="18"/>
          <w:szCs w:val="18"/>
          <w:lang w:val="it-IT"/>
        </w:rPr>
      </w:pPr>
      <w:r>
        <w:rPr>
          <w:noProof/>
          <w:sz w:val="19"/>
          <w:szCs w:val="19"/>
          <w:vertAlign w:val="superscript"/>
          <w:lang w:val="it-IT"/>
        </w:rPr>
        <w:t>3</w:t>
      </w:r>
      <w:r>
        <w:rPr>
          <w:noProof/>
          <w:sz w:val="19"/>
          <w:szCs w:val="19"/>
          <w:lang w:val="it-IT"/>
        </w:rPr>
        <w:t xml:space="preserve"> Questa reazione avversa è stata identificata attraverso la sorveglianza post-marketing ma non è stata osservata negli studi clinici controllati. La categoria di frequenza è stata stimata come limite superiore dell’intervallo di confidenza al 95</w:t>
      </w:r>
      <w:ins w:id="823" w:author="Author">
        <w:r>
          <w:rPr>
            <w:noProof/>
            <w:sz w:val="19"/>
            <w:szCs w:val="19"/>
            <w:lang w:val="it-IT"/>
          </w:rPr>
          <w:t xml:space="preserve"> </w:t>
        </w:r>
      </w:ins>
      <w:r>
        <w:rPr>
          <w:noProof/>
          <w:sz w:val="19"/>
          <w:szCs w:val="19"/>
          <w:lang w:val="it-IT"/>
        </w:rPr>
        <w:t>% calcolato sulla base del numero totale di pazienti esposti a tocilizumab negli studi clinici.</w:t>
      </w:r>
    </w:p>
    <w:p>
      <w:pPr>
        <w:tabs>
          <w:tab w:val="left" w:pos="180"/>
        </w:tabs>
        <w:rPr>
          <w:noProof/>
          <w:lang w:val="it-IT"/>
        </w:rPr>
      </w:pPr>
    </w:p>
    <w:p>
      <w:pPr>
        <w:keepNext/>
        <w:keepLines/>
        <w:autoSpaceDE w:val="0"/>
        <w:autoSpaceDN w:val="0"/>
        <w:adjustRightInd w:val="0"/>
        <w:rPr>
          <w:i/>
          <w:iCs/>
          <w:noProof/>
          <w:szCs w:val="22"/>
          <w:lang w:val="it-IT"/>
          <w:rPrChange w:id="824" w:author="Author">
            <w:rPr>
              <w:szCs w:val="22"/>
              <w:u w:val="single"/>
              <w:lang w:val="it-IT"/>
            </w:rPr>
          </w:rPrChange>
        </w:rPr>
      </w:pPr>
      <w:r>
        <w:rPr>
          <w:i/>
          <w:iCs/>
          <w:noProof/>
          <w:szCs w:val="22"/>
          <w:lang w:val="it-IT"/>
          <w:rPrChange w:id="825" w:author="Author">
            <w:rPr>
              <w:szCs w:val="22"/>
              <w:u w:val="single"/>
              <w:lang w:val="it-IT"/>
            </w:rPr>
          </w:rPrChange>
        </w:rPr>
        <w:t xml:space="preserve">Pazienti affetti da COVID-19 </w:t>
      </w:r>
    </w:p>
    <w:p>
      <w:pPr>
        <w:autoSpaceDE w:val="0"/>
        <w:autoSpaceDN w:val="0"/>
        <w:adjustRightInd w:val="0"/>
        <w:rPr>
          <w:rFonts w:eastAsia="Calibri"/>
          <w:noProof/>
          <w:szCs w:val="22"/>
          <w:lang w:val="it-IT"/>
        </w:rPr>
      </w:pPr>
      <w:r>
        <w:rPr>
          <w:noProof/>
          <w:szCs w:val="22"/>
          <w:lang w:val="it-IT"/>
        </w:rPr>
        <w:t>La valutazione della sicurezza di questo medicinale in pazienti affetti da COVID-19 si è basata su 3 sperimentazioni randomizzate, in doppio cieco e controllate con placebo (</w:t>
      </w:r>
      <w:del w:id="826" w:author="Author">
        <w:r>
          <w:rPr>
            <w:noProof/>
            <w:szCs w:val="22"/>
            <w:lang w:val="it-IT"/>
          </w:rPr>
          <w:delText xml:space="preserve">studi </w:delText>
        </w:r>
      </w:del>
      <w:ins w:id="827" w:author="Author">
        <w:r>
          <w:rPr>
            <w:noProof/>
            <w:szCs w:val="22"/>
            <w:lang w:val="it-IT"/>
          </w:rPr>
          <w:t>Studi clinici</w:t>
        </w:r>
      </w:ins>
      <w:r>
        <w:rPr>
          <w:noProof/>
          <w:szCs w:val="22"/>
          <w:lang w:val="it-IT"/>
        </w:rPr>
        <w:t xml:space="preserve">ML42528, WA42380 e WA42511). Complessivamente, in questi studi </w:t>
      </w:r>
      <w:ins w:id="828" w:author="Author">
        <w:r>
          <w:rPr>
            <w:noProof/>
            <w:szCs w:val="22"/>
            <w:lang w:val="it-IT"/>
          </w:rPr>
          <w:t xml:space="preserve">clinici </w:t>
        </w:r>
      </w:ins>
      <w:r>
        <w:rPr>
          <w:noProof/>
          <w:szCs w:val="22"/>
          <w:lang w:val="it-IT"/>
        </w:rPr>
        <w:t xml:space="preserve">tocilizumab è stato somministrato a 974 pazienti. La raccolta dei dati di sicurezza dello studio RECOVERY è stata limitata e non viene presentata in questa sede. </w:t>
      </w:r>
    </w:p>
    <w:p>
      <w:pPr>
        <w:autoSpaceDE w:val="0"/>
        <w:autoSpaceDN w:val="0"/>
        <w:adjustRightInd w:val="0"/>
        <w:rPr>
          <w:rFonts w:eastAsia="Calibri"/>
          <w:noProof/>
          <w:szCs w:val="22"/>
          <w:lang w:val="it-IT"/>
        </w:rPr>
      </w:pPr>
    </w:p>
    <w:p>
      <w:pPr>
        <w:autoSpaceDE w:val="0"/>
        <w:autoSpaceDN w:val="0"/>
        <w:adjustRightInd w:val="0"/>
        <w:rPr>
          <w:rFonts w:eastAsia="Calibri"/>
          <w:noProof/>
          <w:szCs w:val="22"/>
          <w:lang w:val="it-IT"/>
        </w:rPr>
      </w:pPr>
      <w:r>
        <w:rPr>
          <w:noProof/>
          <w:szCs w:val="22"/>
          <w:lang w:val="it-IT"/>
        </w:rPr>
        <w:t xml:space="preserve">Le seguenti reazioni avverse, riportate nella Tabella 2 delle SOC MedDRA, derivano da eventi che si sono manifestati in almeno il 3% dei pazienti trattati con tocilizumab e più comunemente rispetto a quelli in pazienti trattati con placebo nella popolazione aggregata degli </w:t>
      </w:r>
      <w:del w:id="829" w:author="Author">
        <w:r>
          <w:rPr>
            <w:noProof/>
            <w:szCs w:val="22"/>
            <w:lang w:val="it-IT"/>
          </w:rPr>
          <w:delText xml:space="preserve">studi </w:delText>
        </w:r>
      </w:del>
      <w:ins w:id="830" w:author="Author">
        <w:r>
          <w:rPr>
            <w:noProof/>
            <w:szCs w:val="22"/>
            <w:lang w:val="it-IT"/>
          </w:rPr>
          <w:t xml:space="preserve">Studi </w:t>
        </w:r>
      </w:ins>
      <w:r>
        <w:rPr>
          <w:noProof/>
          <w:szCs w:val="22"/>
          <w:lang w:val="it-IT"/>
        </w:rPr>
        <w:t xml:space="preserve">clinici ML42528, WA42380 e WA42511 valutabile ai fini della sicurezza. </w:t>
      </w:r>
    </w:p>
    <w:p>
      <w:pPr>
        <w:pStyle w:val="Paragraph"/>
        <w:spacing w:after="0"/>
        <w:rPr>
          <w:rFonts w:ascii="Times New Roman" w:eastAsia="Calibri" w:hAnsi="Times New Roman"/>
          <w:noProof/>
          <w:sz w:val="22"/>
          <w:szCs w:val="22"/>
          <w:lang w:eastAsia="en-US"/>
        </w:rPr>
      </w:pPr>
    </w:p>
    <w:p>
      <w:pPr>
        <w:pStyle w:val="Standard1"/>
        <w:keepNext/>
        <w:keepLines/>
        <w:rPr>
          <w:rFonts w:ascii="Times New Roman" w:hAnsi="Times New Roman"/>
          <w:i/>
          <w:noProof/>
          <w:sz w:val="22"/>
          <w:szCs w:val="22"/>
          <w:vertAlign w:val="superscript"/>
        </w:rPr>
      </w:pPr>
      <w:r>
        <w:rPr>
          <w:rFonts w:ascii="Times New Roman" w:hAnsi="Times New Roman"/>
          <w:i/>
          <w:noProof/>
          <w:sz w:val="22"/>
          <w:szCs w:val="22"/>
        </w:rPr>
        <w:t>Tabella 2.</w:t>
      </w:r>
      <w:r>
        <w:rPr>
          <w:rFonts w:ascii="Times New Roman" w:hAnsi="Times New Roman"/>
          <w:i/>
          <w:noProof/>
          <w:sz w:val="22"/>
          <w:szCs w:val="22"/>
          <w:vertAlign w:val="superscript"/>
        </w:rPr>
        <w:t xml:space="preserve"> </w:t>
      </w:r>
      <w:r>
        <w:rPr>
          <w:rFonts w:ascii="Times New Roman" w:hAnsi="Times New Roman"/>
          <w:bCs/>
          <w:i/>
          <w:noProof/>
          <w:sz w:val="22"/>
          <w:szCs w:val="22"/>
        </w:rPr>
        <w:t>Elenco delle reazioni avverse</w:t>
      </w:r>
      <w:r>
        <w:rPr>
          <w:rFonts w:ascii="Times New Roman" w:hAnsi="Times New Roman"/>
          <w:bCs/>
          <w:i/>
          <w:noProof/>
          <w:sz w:val="22"/>
          <w:szCs w:val="22"/>
          <w:vertAlign w:val="superscript"/>
        </w:rPr>
        <w:t>1</w:t>
      </w:r>
      <w:r>
        <w:rPr>
          <w:rFonts w:ascii="Times New Roman" w:hAnsi="Times New Roman"/>
          <w:bCs/>
          <w:i/>
          <w:noProof/>
          <w:sz w:val="22"/>
          <w:szCs w:val="22"/>
        </w:rPr>
        <w:t xml:space="preserve"> identificate </w:t>
      </w:r>
      <w:r>
        <w:rPr>
          <w:rFonts w:ascii="Times New Roman" w:hAnsi="Times New Roman"/>
          <w:i/>
          <w:noProof/>
          <w:sz w:val="22"/>
          <w:szCs w:val="22"/>
        </w:rPr>
        <w:t>nella popolazione aggregata valutabile per la sicurezza degli studi clinici condotti con RoActemra su pazienti affetti da COVID-19</w:t>
      </w:r>
      <w:r>
        <w:rPr>
          <w:rFonts w:ascii="Times New Roman" w:hAnsi="Times New Roman"/>
          <w:i/>
          <w:noProof/>
          <w:sz w:val="22"/>
          <w:szCs w:val="22"/>
          <w:vertAlign w:val="superscript"/>
        </w:rPr>
        <w:t>2</w:t>
      </w:r>
    </w:p>
    <w:p>
      <w:pPr>
        <w:pStyle w:val="Standard1"/>
        <w:keepNext/>
        <w:keepLines/>
        <w:rPr>
          <w:rFonts w:ascii="Times New Roman" w:hAnsi="Times New Roman"/>
          <w:i/>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831"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702"/>
        <w:gridCol w:w="5359"/>
        <w:tblGridChange w:id="832">
          <w:tblGrid>
            <w:gridCol w:w="3702"/>
            <w:gridCol w:w="5359"/>
          </w:tblGrid>
        </w:tblGridChange>
      </w:tblGrid>
      <w:tr>
        <w:trPr>
          <w:cantSplit/>
        </w:trPr>
        <w:tc>
          <w:tcPr>
            <w:tcW w:w="2043" w:type="pct"/>
            <w:tcPrChange w:id="833" w:author="Author">
              <w:tcPr>
                <w:tcW w:w="2043" w:type="pct"/>
              </w:tcPr>
            </w:tcPrChange>
          </w:tcPr>
          <w:p>
            <w:pPr>
              <w:keepNext/>
              <w:widowControl w:val="0"/>
              <w:suppressAutoHyphens/>
              <w:rPr>
                <w:rFonts w:eastAsia="SimSun"/>
                <w:noProof/>
                <w:color w:val="000000"/>
                <w:sz w:val="20"/>
                <w:lang w:val="it-IT"/>
                <w:rPrChange w:id="834" w:author="Author">
                  <w:rPr>
                    <w:rFonts w:eastAsia="SimSun"/>
                    <w:color w:val="000000"/>
                    <w:szCs w:val="22"/>
                    <w:lang w:val="it-IT"/>
                  </w:rPr>
                </w:rPrChange>
              </w:rPr>
              <w:pPrChange w:id="835" w:author="Author">
                <w:pPr>
                  <w:keepNext/>
                  <w:keepLines/>
                  <w:widowControl w:val="0"/>
                </w:pPr>
              </w:pPrChange>
            </w:pPr>
            <w:r>
              <w:rPr>
                <w:b/>
                <w:noProof/>
                <w:color w:val="000000"/>
                <w:sz w:val="20"/>
                <w:lang w:val="it-IT"/>
                <w:rPrChange w:id="836" w:author="Author">
                  <w:rPr>
                    <w:b/>
                    <w:color w:val="000000"/>
                    <w:szCs w:val="22"/>
                    <w:lang w:val="it-IT"/>
                  </w:rPr>
                </w:rPrChange>
              </w:rPr>
              <w:t>MedDRA SOC</w:t>
            </w:r>
          </w:p>
        </w:tc>
        <w:tc>
          <w:tcPr>
            <w:tcW w:w="2957" w:type="pct"/>
            <w:tcPrChange w:id="837" w:author="Author">
              <w:tcPr>
                <w:tcW w:w="2957" w:type="pct"/>
              </w:tcPr>
            </w:tcPrChange>
          </w:tcPr>
          <w:p>
            <w:pPr>
              <w:keepNext/>
              <w:widowControl w:val="0"/>
              <w:suppressAutoHyphens/>
              <w:jc w:val="center"/>
              <w:rPr>
                <w:b/>
                <w:noProof/>
                <w:color w:val="000000"/>
                <w:sz w:val="20"/>
                <w:lang w:val="it-IT"/>
                <w:rPrChange w:id="838" w:author="Author">
                  <w:rPr>
                    <w:b/>
                    <w:color w:val="000000"/>
                    <w:szCs w:val="22"/>
                    <w:lang w:val="it-IT"/>
                  </w:rPr>
                </w:rPrChange>
              </w:rPr>
              <w:pPrChange w:id="839" w:author="Author">
                <w:pPr>
                  <w:keepNext/>
                  <w:keepLines/>
                  <w:widowControl w:val="0"/>
                  <w:jc w:val="center"/>
                </w:pPr>
              </w:pPrChange>
            </w:pPr>
            <w:r>
              <w:rPr>
                <w:b/>
                <w:noProof/>
                <w:color w:val="000000"/>
                <w:sz w:val="20"/>
                <w:lang w:val="it-IT"/>
                <w:rPrChange w:id="840" w:author="Author">
                  <w:rPr>
                    <w:b/>
                    <w:color w:val="000000"/>
                    <w:szCs w:val="22"/>
                    <w:lang w:val="it-IT"/>
                  </w:rPr>
                </w:rPrChange>
              </w:rPr>
              <w:t>Termini preferiti e frequenza</w:t>
            </w:r>
          </w:p>
          <w:p>
            <w:pPr>
              <w:keepNext/>
              <w:widowControl w:val="0"/>
              <w:suppressAutoHyphens/>
              <w:jc w:val="center"/>
              <w:rPr>
                <w:rFonts w:eastAsia="SimSun"/>
                <w:b/>
                <w:noProof/>
                <w:color w:val="000000"/>
                <w:sz w:val="20"/>
                <w:lang w:val="it-IT"/>
                <w:rPrChange w:id="841" w:author="Author">
                  <w:rPr>
                    <w:rFonts w:eastAsia="SimSun"/>
                    <w:b/>
                    <w:color w:val="000000"/>
                    <w:szCs w:val="22"/>
                    <w:lang w:val="it-IT"/>
                  </w:rPr>
                </w:rPrChange>
              </w:rPr>
              <w:pPrChange w:id="842" w:author="Author">
                <w:pPr>
                  <w:keepNext/>
                  <w:keepLines/>
                  <w:widowControl w:val="0"/>
                  <w:jc w:val="center"/>
                </w:pPr>
              </w:pPrChange>
            </w:pPr>
            <w:r>
              <w:rPr>
                <w:b/>
                <w:noProof/>
                <w:color w:val="000000"/>
                <w:sz w:val="20"/>
                <w:lang w:val="it-IT"/>
                <w:rPrChange w:id="843" w:author="Author">
                  <w:rPr>
                    <w:b/>
                    <w:color w:val="000000"/>
                    <w:szCs w:val="22"/>
                    <w:lang w:val="it-IT"/>
                  </w:rPr>
                </w:rPrChange>
              </w:rPr>
              <w:t>Comune</w:t>
            </w:r>
          </w:p>
        </w:tc>
      </w:tr>
      <w:tr>
        <w:trPr>
          <w:cantSplit/>
        </w:trPr>
        <w:tc>
          <w:tcPr>
            <w:tcW w:w="2043" w:type="pct"/>
            <w:tcPrChange w:id="844" w:author="Author">
              <w:tcPr>
                <w:tcW w:w="2043" w:type="pct"/>
              </w:tcPr>
            </w:tcPrChange>
          </w:tcPr>
          <w:p>
            <w:pPr>
              <w:keepNext/>
              <w:widowControl w:val="0"/>
              <w:suppressAutoHyphens/>
              <w:rPr>
                <w:rFonts w:eastAsia="SimSun"/>
                <w:b/>
                <w:noProof/>
                <w:color w:val="000000"/>
                <w:sz w:val="20"/>
                <w:lang w:val="it-IT"/>
                <w:rPrChange w:id="845" w:author="Author">
                  <w:rPr>
                    <w:rFonts w:ascii="Arial" w:eastAsia="SimSun" w:hAnsi="Arial"/>
                    <w:b/>
                    <w:color w:val="000000"/>
                    <w:szCs w:val="22"/>
                    <w:lang w:val="it-IT"/>
                  </w:rPr>
                </w:rPrChange>
              </w:rPr>
              <w:pPrChange w:id="846" w:author="Author">
                <w:pPr>
                  <w:keepNext/>
                  <w:keepLines/>
                  <w:widowControl w:val="0"/>
                </w:pPr>
              </w:pPrChange>
            </w:pPr>
            <w:r>
              <w:rPr>
                <w:noProof/>
                <w:sz w:val="20"/>
                <w:lang w:val="it-IT"/>
                <w:rPrChange w:id="847" w:author="Author">
                  <w:rPr>
                    <w:lang w:val="it-IT"/>
                  </w:rPr>
                </w:rPrChange>
              </w:rPr>
              <w:t>Infezioni e infestazioni</w:t>
            </w:r>
          </w:p>
        </w:tc>
        <w:tc>
          <w:tcPr>
            <w:tcW w:w="2957" w:type="pct"/>
            <w:tcPrChange w:id="848" w:author="Author">
              <w:tcPr>
                <w:tcW w:w="2957" w:type="pct"/>
              </w:tcPr>
            </w:tcPrChange>
          </w:tcPr>
          <w:p>
            <w:pPr>
              <w:keepNext/>
              <w:widowControl w:val="0"/>
              <w:suppressAutoHyphens/>
              <w:rPr>
                <w:rFonts w:eastAsia="SimSun"/>
                <w:noProof/>
                <w:color w:val="000000"/>
                <w:sz w:val="20"/>
                <w:lang w:val="it-IT"/>
                <w:rPrChange w:id="849" w:author="Author">
                  <w:rPr>
                    <w:rFonts w:ascii="Arial" w:eastAsia="SimSun" w:hAnsi="Arial"/>
                    <w:color w:val="000000"/>
                    <w:szCs w:val="22"/>
                    <w:lang w:val="it-IT"/>
                  </w:rPr>
                </w:rPrChange>
              </w:rPr>
              <w:pPrChange w:id="850" w:author="Author">
                <w:pPr>
                  <w:keepNext/>
                  <w:keepLines/>
                  <w:widowControl w:val="0"/>
                </w:pPr>
              </w:pPrChange>
            </w:pPr>
            <w:r>
              <w:rPr>
                <w:noProof/>
                <w:sz w:val="20"/>
                <w:lang w:val="it-IT"/>
                <w:rPrChange w:id="851" w:author="Author">
                  <w:rPr>
                    <w:lang w:val="it-IT"/>
                  </w:rPr>
                </w:rPrChange>
              </w:rPr>
              <w:t>Infezione delle vie urinarie</w:t>
            </w:r>
          </w:p>
        </w:tc>
      </w:tr>
      <w:tr>
        <w:trPr>
          <w:cantSplit/>
        </w:trPr>
        <w:tc>
          <w:tcPr>
            <w:tcW w:w="2043" w:type="pct"/>
            <w:tcPrChange w:id="852" w:author="Author">
              <w:tcPr>
                <w:tcW w:w="2043" w:type="pct"/>
              </w:tcPr>
            </w:tcPrChange>
          </w:tcPr>
          <w:p>
            <w:pPr>
              <w:keepNext/>
              <w:widowControl w:val="0"/>
              <w:suppressAutoHyphens/>
              <w:rPr>
                <w:rFonts w:eastAsia="SimSun"/>
                <w:b/>
                <w:noProof/>
                <w:color w:val="000000"/>
                <w:sz w:val="20"/>
                <w:lang w:val="it-IT"/>
                <w:rPrChange w:id="853" w:author="Author">
                  <w:rPr>
                    <w:rFonts w:ascii="Arial" w:eastAsia="SimSun" w:hAnsi="Arial"/>
                    <w:b/>
                    <w:color w:val="000000"/>
                    <w:szCs w:val="22"/>
                    <w:lang w:val="it-IT"/>
                  </w:rPr>
                </w:rPrChange>
              </w:rPr>
              <w:pPrChange w:id="854" w:author="Author">
                <w:pPr>
                  <w:keepNext/>
                  <w:keepLines/>
                  <w:widowControl w:val="0"/>
                </w:pPr>
              </w:pPrChange>
            </w:pPr>
            <w:r>
              <w:rPr>
                <w:noProof/>
                <w:sz w:val="20"/>
                <w:lang w:val="it-IT"/>
                <w:rPrChange w:id="855" w:author="Author">
                  <w:rPr>
                    <w:lang w:val="it-IT"/>
                  </w:rPr>
                </w:rPrChange>
              </w:rPr>
              <w:t>Disturbi del metabolismo e della nutrizione</w:t>
            </w:r>
          </w:p>
        </w:tc>
        <w:tc>
          <w:tcPr>
            <w:tcW w:w="2957" w:type="pct"/>
            <w:tcPrChange w:id="856" w:author="Author">
              <w:tcPr>
                <w:tcW w:w="2957" w:type="pct"/>
              </w:tcPr>
            </w:tcPrChange>
          </w:tcPr>
          <w:p>
            <w:pPr>
              <w:keepNext/>
              <w:widowControl w:val="0"/>
              <w:suppressAutoHyphens/>
              <w:rPr>
                <w:rFonts w:eastAsia="SimSun"/>
                <w:noProof/>
                <w:color w:val="000000"/>
                <w:sz w:val="20"/>
                <w:lang w:val="it-IT"/>
                <w:rPrChange w:id="857" w:author="Author">
                  <w:rPr>
                    <w:rFonts w:ascii="Arial" w:eastAsia="SimSun" w:hAnsi="Arial"/>
                    <w:color w:val="000000"/>
                    <w:szCs w:val="22"/>
                    <w:lang w:val="it-IT"/>
                  </w:rPr>
                </w:rPrChange>
              </w:rPr>
              <w:pPrChange w:id="858" w:author="Author">
                <w:pPr>
                  <w:keepNext/>
                  <w:keepLines/>
                  <w:widowControl w:val="0"/>
                </w:pPr>
              </w:pPrChange>
            </w:pPr>
            <w:r>
              <w:rPr>
                <w:noProof/>
                <w:sz w:val="20"/>
                <w:lang w:val="it-IT"/>
                <w:rPrChange w:id="859" w:author="Author">
                  <w:rPr>
                    <w:lang w:val="it-IT"/>
                  </w:rPr>
                </w:rPrChange>
              </w:rPr>
              <w:t>Ipokaliemia</w:t>
            </w:r>
          </w:p>
        </w:tc>
      </w:tr>
      <w:tr>
        <w:trPr>
          <w:cantSplit/>
        </w:trPr>
        <w:tc>
          <w:tcPr>
            <w:tcW w:w="2043" w:type="pct"/>
            <w:tcPrChange w:id="860" w:author="Author">
              <w:tcPr>
                <w:tcW w:w="2043" w:type="pct"/>
              </w:tcPr>
            </w:tcPrChange>
          </w:tcPr>
          <w:p>
            <w:pPr>
              <w:keepNext/>
              <w:widowControl w:val="0"/>
              <w:suppressAutoHyphens/>
              <w:rPr>
                <w:rFonts w:eastAsia="SimSun"/>
                <w:b/>
                <w:noProof/>
                <w:color w:val="000000"/>
                <w:sz w:val="20"/>
                <w:lang w:val="it-IT"/>
                <w:rPrChange w:id="861" w:author="Author">
                  <w:rPr>
                    <w:rFonts w:ascii="Arial" w:eastAsia="SimSun" w:hAnsi="Arial"/>
                    <w:b/>
                    <w:color w:val="000000"/>
                    <w:szCs w:val="22"/>
                    <w:lang w:val="it-IT"/>
                  </w:rPr>
                </w:rPrChange>
              </w:rPr>
              <w:pPrChange w:id="862" w:author="Author">
                <w:pPr>
                  <w:keepNext/>
                  <w:keepLines/>
                  <w:widowControl w:val="0"/>
                </w:pPr>
              </w:pPrChange>
            </w:pPr>
            <w:r>
              <w:rPr>
                <w:noProof/>
                <w:sz w:val="20"/>
                <w:lang w:val="it-IT"/>
                <w:rPrChange w:id="863" w:author="Author">
                  <w:rPr>
                    <w:lang w:val="it-IT"/>
                  </w:rPr>
                </w:rPrChange>
              </w:rPr>
              <w:t>Disturbi psichiatrici</w:t>
            </w:r>
          </w:p>
        </w:tc>
        <w:tc>
          <w:tcPr>
            <w:tcW w:w="2957" w:type="pct"/>
            <w:tcPrChange w:id="864" w:author="Author">
              <w:tcPr>
                <w:tcW w:w="2957" w:type="pct"/>
              </w:tcPr>
            </w:tcPrChange>
          </w:tcPr>
          <w:p>
            <w:pPr>
              <w:keepNext/>
              <w:widowControl w:val="0"/>
              <w:suppressAutoHyphens/>
              <w:rPr>
                <w:rFonts w:eastAsia="SimSun"/>
                <w:noProof/>
                <w:color w:val="000000"/>
                <w:sz w:val="20"/>
                <w:lang w:val="it-IT"/>
                <w:rPrChange w:id="865" w:author="Author">
                  <w:rPr>
                    <w:rFonts w:ascii="Arial" w:eastAsia="SimSun" w:hAnsi="Arial"/>
                    <w:color w:val="000000"/>
                    <w:szCs w:val="22"/>
                    <w:lang w:val="it-IT"/>
                  </w:rPr>
                </w:rPrChange>
              </w:rPr>
              <w:pPrChange w:id="866" w:author="Author">
                <w:pPr>
                  <w:keepNext/>
                  <w:keepLines/>
                  <w:widowControl w:val="0"/>
                </w:pPr>
              </w:pPrChange>
            </w:pPr>
            <w:r>
              <w:rPr>
                <w:noProof/>
                <w:sz w:val="20"/>
                <w:lang w:val="it-IT"/>
                <w:rPrChange w:id="867" w:author="Author">
                  <w:rPr>
                    <w:lang w:val="it-IT"/>
                  </w:rPr>
                </w:rPrChange>
              </w:rPr>
              <w:t>Ansia, insonnia</w:t>
            </w:r>
          </w:p>
        </w:tc>
      </w:tr>
      <w:tr>
        <w:trPr>
          <w:cantSplit/>
          <w:trPrChange w:id="868" w:author="Author">
            <w:trPr>
              <w:trHeight w:val="501"/>
            </w:trPr>
          </w:trPrChange>
        </w:trPr>
        <w:tc>
          <w:tcPr>
            <w:tcW w:w="2043" w:type="pct"/>
            <w:tcPrChange w:id="869" w:author="Author">
              <w:tcPr>
                <w:tcW w:w="2043" w:type="pct"/>
              </w:tcPr>
            </w:tcPrChange>
          </w:tcPr>
          <w:p>
            <w:pPr>
              <w:keepNext/>
              <w:widowControl w:val="0"/>
              <w:suppressAutoHyphens/>
              <w:rPr>
                <w:rFonts w:eastAsia="SimSun"/>
                <w:b/>
                <w:noProof/>
                <w:color w:val="000000"/>
                <w:sz w:val="20"/>
                <w:lang w:val="it-IT"/>
                <w:rPrChange w:id="870" w:author="Author">
                  <w:rPr>
                    <w:rFonts w:ascii="Arial" w:eastAsia="SimSun" w:hAnsi="Arial"/>
                    <w:b/>
                    <w:color w:val="000000"/>
                    <w:szCs w:val="22"/>
                    <w:lang w:val="it-IT"/>
                  </w:rPr>
                </w:rPrChange>
              </w:rPr>
              <w:pPrChange w:id="871" w:author="Author">
                <w:pPr>
                  <w:keepNext/>
                  <w:keepLines/>
                  <w:widowControl w:val="0"/>
                </w:pPr>
              </w:pPrChange>
            </w:pPr>
            <w:r>
              <w:rPr>
                <w:noProof/>
                <w:sz w:val="20"/>
                <w:lang w:val="it-IT"/>
                <w:rPrChange w:id="872" w:author="Author">
                  <w:rPr>
                    <w:lang w:val="it-IT"/>
                  </w:rPr>
                </w:rPrChange>
              </w:rPr>
              <w:t>Patologie vascolari</w:t>
            </w:r>
          </w:p>
        </w:tc>
        <w:tc>
          <w:tcPr>
            <w:tcW w:w="2957" w:type="pct"/>
            <w:tcPrChange w:id="873" w:author="Author">
              <w:tcPr>
                <w:tcW w:w="2957" w:type="pct"/>
              </w:tcPr>
            </w:tcPrChange>
          </w:tcPr>
          <w:p>
            <w:pPr>
              <w:keepNext/>
              <w:widowControl w:val="0"/>
              <w:suppressAutoHyphens/>
              <w:rPr>
                <w:noProof/>
                <w:sz w:val="20"/>
                <w:lang w:val="it-IT"/>
                <w:rPrChange w:id="874" w:author="Author">
                  <w:rPr>
                    <w:szCs w:val="22"/>
                    <w:lang w:val="it-IT"/>
                  </w:rPr>
                </w:rPrChange>
              </w:rPr>
              <w:pPrChange w:id="875" w:author="Author">
                <w:pPr>
                  <w:keepNext/>
                  <w:keepLines/>
                  <w:widowControl w:val="0"/>
                </w:pPr>
              </w:pPrChange>
            </w:pPr>
            <w:r>
              <w:rPr>
                <w:noProof/>
                <w:sz w:val="20"/>
                <w:lang w:val="it-IT"/>
                <w:rPrChange w:id="876" w:author="Author">
                  <w:rPr>
                    <w:lang w:val="it-IT"/>
                  </w:rPr>
                </w:rPrChange>
              </w:rPr>
              <w:t>Ipertensione</w:t>
            </w:r>
          </w:p>
        </w:tc>
      </w:tr>
      <w:tr>
        <w:trPr>
          <w:cantSplit/>
          <w:trPrChange w:id="877" w:author="Author">
            <w:trPr>
              <w:trHeight w:val="501"/>
            </w:trPr>
          </w:trPrChange>
        </w:trPr>
        <w:tc>
          <w:tcPr>
            <w:tcW w:w="2043" w:type="pct"/>
            <w:tcPrChange w:id="878" w:author="Author">
              <w:tcPr>
                <w:tcW w:w="2043" w:type="pct"/>
              </w:tcPr>
            </w:tcPrChange>
          </w:tcPr>
          <w:p>
            <w:pPr>
              <w:keepNext/>
              <w:widowControl w:val="0"/>
              <w:suppressAutoHyphens/>
              <w:rPr>
                <w:noProof/>
                <w:sz w:val="20"/>
                <w:lang w:val="it-IT"/>
                <w:rPrChange w:id="879" w:author="Author">
                  <w:rPr>
                    <w:szCs w:val="22"/>
                    <w:lang w:val="it-IT"/>
                  </w:rPr>
                </w:rPrChange>
              </w:rPr>
              <w:pPrChange w:id="880" w:author="Author">
                <w:pPr>
                  <w:keepNext/>
                  <w:keepLines/>
                  <w:widowControl w:val="0"/>
                </w:pPr>
              </w:pPrChange>
            </w:pPr>
            <w:r>
              <w:rPr>
                <w:noProof/>
                <w:sz w:val="20"/>
                <w:lang w:val="it-IT"/>
                <w:rPrChange w:id="881" w:author="Author">
                  <w:rPr>
                    <w:lang w:val="it-IT"/>
                  </w:rPr>
                </w:rPrChange>
              </w:rPr>
              <w:t>Patologie gastrointestinali</w:t>
            </w:r>
          </w:p>
        </w:tc>
        <w:tc>
          <w:tcPr>
            <w:tcW w:w="2957" w:type="pct"/>
            <w:tcPrChange w:id="882" w:author="Author">
              <w:tcPr>
                <w:tcW w:w="2957" w:type="pct"/>
              </w:tcPr>
            </w:tcPrChange>
          </w:tcPr>
          <w:p>
            <w:pPr>
              <w:keepNext/>
              <w:widowControl w:val="0"/>
              <w:suppressAutoHyphens/>
              <w:rPr>
                <w:noProof/>
                <w:sz w:val="20"/>
                <w:lang w:val="it-IT"/>
                <w:rPrChange w:id="883" w:author="Author">
                  <w:rPr>
                    <w:szCs w:val="22"/>
                    <w:lang w:val="it-IT"/>
                  </w:rPr>
                </w:rPrChange>
              </w:rPr>
              <w:pPrChange w:id="884" w:author="Author">
                <w:pPr>
                  <w:keepNext/>
                  <w:keepLines/>
                  <w:widowControl w:val="0"/>
                </w:pPr>
              </w:pPrChange>
            </w:pPr>
            <w:r>
              <w:rPr>
                <w:noProof/>
                <w:sz w:val="20"/>
                <w:lang w:val="it-IT"/>
                <w:rPrChange w:id="885" w:author="Author">
                  <w:rPr>
                    <w:lang w:val="it-IT"/>
                  </w:rPr>
                </w:rPrChange>
              </w:rPr>
              <w:t>Stipsi, diarrea, nausea</w:t>
            </w:r>
          </w:p>
        </w:tc>
      </w:tr>
      <w:tr>
        <w:trPr>
          <w:cantSplit/>
          <w:trPrChange w:id="886" w:author="Author">
            <w:trPr>
              <w:trHeight w:val="501"/>
            </w:trPr>
          </w:trPrChange>
        </w:trPr>
        <w:tc>
          <w:tcPr>
            <w:tcW w:w="2043" w:type="pct"/>
            <w:tcPrChange w:id="887" w:author="Author">
              <w:tcPr>
                <w:tcW w:w="2043" w:type="pct"/>
              </w:tcPr>
            </w:tcPrChange>
          </w:tcPr>
          <w:p>
            <w:pPr>
              <w:keepNext/>
              <w:widowControl w:val="0"/>
              <w:suppressAutoHyphens/>
              <w:rPr>
                <w:noProof/>
                <w:sz w:val="20"/>
                <w:lang w:val="it-IT"/>
                <w:rPrChange w:id="888" w:author="Author">
                  <w:rPr>
                    <w:szCs w:val="22"/>
                    <w:lang w:val="it-IT"/>
                  </w:rPr>
                </w:rPrChange>
              </w:rPr>
              <w:pPrChange w:id="889" w:author="Author">
                <w:pPr>
                  <w:keepLines/>
                  <w:widowControl w:val="0"/>
                </w:pPr>
              </w:pPrChange>
            </w:pPr>
            <w:r>
              <w:rPr>
                <w:noProof/>
                <w:sz w:val="20"/>
                <w:lang w:val="it-IT"/>
                <w:rPrChange w:id="890" w:author="Author">
                  <w:rPr>
                    <w:lang w:val="it-IT"/>
                  </w:rPr>
                </w:rPrChange>
              </w:rPr>
              <w:t>Patologie epatobiliari</w:t>
            </w:r>
          </w:p>
        </w:tc>
        <w:tc>
          <w:tcPr>
            <w:tcW w:w="2957" w:type="pct"/>
            <w:tcPrChange w:id="891" w:author="Author">
              <w:tcPr>
                <w:tcW w:w="2957" w:type="pct"/>
              </w:tcPr>
            </w:tcPrChange>
          </w:tcPr>
          <w:p>
            <w:pPr>
              <w:keepNext/>
              <w:widowControl w:val="0"/>
              <w:suppressAutoHyphens/>
              <w:rPr>
                <w:noProof/>
                <w:sz w:val="20"/>
                <w:lang w:val="it-IT"/>
                <w:rPrChange w:id="892" w:author="Author">
                  <w:rPr>
                    <w:szCs w:val="22"/>
                    <w:lang w:val="it-IT"/>
                  </w:rPr>
                </w:rPrChange>
              </w:rPr>
              <w:pPrChange w:id="893" w:author="Author">
                <w:pPr>
                  <w:keepLines/>
                  <w:widowControl w:val="0"/>
                </w:pPr>
              </w:pPrChange>
            </w:pPr>
            <w:r>
              <w:rPr>
                <w:noProof/>
                <w:sz w:val="20"/>
                <w:lang w:val="it-IT"/>
                <w:rPrChange w:id="894" w:author="Author">
                  <w:rPr>
                    <w:lang w:val="it-IT"/>
                  </w:rPr>
                </w:rPrChange>
              </w:rPr>
              <w:t>Transaminasi epatiche aumentate</w:t>
            </w:r>
          </w:p>
        </w:tc>
      </w:tr>
    </w:tbl>
    <w:p>
      <w:pPr>
        <w:rPr>
          <w:noProof/>
          <w:sz w:val="18"/>
          <w:szCs w:val="18"/>
          <w:lang w:val="it-IT"/>
          <w:rPrChange w:id="895" w:author="Author">
            <w:rPr>
              <w:rFonts w:cs="Arial"/>
              <w:sz w:val="20"/>
              <w:lang w:val="it-IT"/>
            </w:rPr>
          </w:rPrChange>
        </w:rPr>
      </w:pPr>
      <w:r>
        <w:rPr>
          <w:noProof/>
          <w:sz w:val="18"/>
          <w:szCs w:val="18"/>
          <w:vertAlign w:val="superscript"/>
          <w:lang w:val="it-IT"/>
          <w:rPrChange w:id="896" w:author="Author">
            <w:rPr>
              <w:sz w:val="20"/>
              <w:vertAlign w:val="superscript"/>
              <w:lang w:val="it-IT"/>
            </w:rPr>
          </w:rPrChange>
        </w:rPr>
        <w:t>1</w:t>
      </w:r>
      <w:r>
        <w:rPr>
          <w:noProof/>
          <w:sz w:val="18"/>
          <w:szCs w:val="18"/>
          <w:lang w:val="it-IT"/>
          <w:rPrChange w:id="897" w:author="Author">
            <w:rPr>
              <w:sz w:val="20"/>
              <w:lang w:val="it-IT"/>
            </w:rPr>
          </w:rPrChange>
        </w:rPr>
        <w:t xml:space="preserve"> I pazienti vengono conteggiati una volta per ogni categoria indipendentemente dal numero di reazioni.</w:t>
      </w:r>
    </w:p>
    <w:p>
      <w:pPr>
        <w:tabs>
          <w:tab w:val="left" w:pos="180"/>
        </w:tabs>
        <w:rPr>
          <w:del w:id="898" w:author="Author"/>
          <w:noProof/>
          <w:sz w:val="18"/>
          <w:szCs w:val="18"/>
          <w:lang w:val="it-IT"/>
          <w:rPrChange w:id="899" w:author="Author">
            <w:rPr>
              <w:del w:id="900" w:author="Author"/>
              <w:sz w:val="20"/>
              <w:lang w:val="it-IT"/>
            </w:rPr>
          </w:rPrChange>
        </w:rPr>
      </w:pPr>
      <w:r>
        <w:rPr>
          <w:noProof/>
          <w:sz w:val="18"/>
          <w:szCs w:val="18"/>
          <w:vertAlign w:val="superscript"/>
          <w:lang w:val="it-IT"/>
          <w:rPrChange w:id="901" w:author="Author">
            <w:rPr>
              <w:sz w:val="20"/>
              <w:vertAlign w:val="superscript"/>
              <w:lang w:val="it-IT"/>
            </w:rPr>
          </w:rPrChange>
        </w:rPr>
        <w:t xml:space="preserve">2 </w:t>
      </w:r>
      <w:r>
        <w:rPr>
          <w:noProof/>
          <w:sz w:val="18"/>
          <w:szCs w:val="18"/>
          <w:lang w:val="it-IT"/>
          <w:rPrChange w:id="902" w:author="Author">
            <w:rPr>
              <w:sz w:val="20"/>
              <w:lang w:val="it-IT"/>
            </w:rPr>
          </w:rPrChange>
        </w:rPr>
        <w:t xml:space="preserve">Include reazioni non validate segnalate negli </w:t>
      </w:r>
      <w:del w:id="903" w:author="Author">
        <w:r>
          <w:rPr>
            <w:noProof/>
            <w:sz w:val="18"/>
            <w:szCs w:val="18"/>
            <w:lang w:val="it-IT"/>
            <w:rPrChange w:id="904" w:author="Author">
              <w:rPr>
                <w:sz w:val="20"/>
                <w:lang w:val="it-IT"/>
              </w:rPr>
            </w:rPrChange>
          </w:rPr>
          <w:delText xml:space="preserve">studi </w:delText>
        </w:r>
      </w:del>
      <w:ins w:id="905" w:author="Author">
        <w:r>
          <w:rPr>
            <w:noProof/>
            <w:sz w:val="18"/>
            <w:szCs w:val="18"/>
            <w:lang w:val="it-IT"/>
          </w:rPr>
          <w:t>S</w:t>
        </w:r>
        <w:r>
          <w:rPr>
            <w:noProof/>
            <w:sz w:val="18"/>
            <w:szCs w:val="18"/>
            <w:lang w:val="it-IT"/>
            <w:rPrChange w:id="906" w:author="Author">
              <w:rPr>
                <w:sz w:val="20"/>
                <w:lang w:val="it-IT"/>
              </w:rPr>
            </w:rPrChange>
          </w:rPr>
          <w:t xml:space="preserve">tudi </w:t>
        </w:r>
        <w:r>
          <w:rPr>
            <w:noProof/>
            <w:sz w:val="18"/>
            <w:szCs w:val="18"/>
            <w:lang w:val="it-IT"/>
          </w:rPr>
          <w:t xml:space="preserve">clinici </w:t>
        </w:r>
      </w:ins>
      <w:r>
        <w:rPr>
          <w:noProof/>
          <w:sz w:val="18"/>
          <w:szCs w:val="18"/>
          <w:lang w:val="it-IT"/>
          <w:rPrChange w:id="907" w:author="Author">
            <w:rPr>
              <w:sz w:val="20"/>
              <w:lang w:val="it-IT"/>
            </w:rPr>
          </w:rPrChange>
        </w:rPr>
        <w:t>WA42511, WA42380 e ML42528</w:t>
      </w:r>
    </w:p>
    <w:p>
      <w:pPr>
        <w:tabs>
          <w:tab w:val="left" w:pos="180"/>
        </w:tabs>
        <w:rPr>
          <w:noProof/>
          <w:sz w:val="18"/>
          <w:szCs w:val="18"/>
          <w:lang w:val="it-IT"/>
          <w:rPrChange w:id="908" w:author="Author">
            <w:rPr>
              <w:sz w:val="20"/>
              <w:lang w:val="it-IT"/>
            </w:rPr>
          </w:rPrChange>
        </w:rPr>
      </w:pPr>
    </w:p>
    <w:p>
      <w:pPr>
        <w:tabs>
          <w:tab w:val="left" w:pos="180"/>
        </w:tabs>
        <w:rPr>
          <w:noProof/>
          <w:szCs w:val="22"/>
          <w:lang w:val="it-IT"/>
          <w:rPrChange w:id="909" w:author="Author">
            <w:rPr>
              <w:sz w:val="20"/>
              <w:lang w:val="it-IT"/>
            </w:rPr>
          </w:rPrChange>
        </w:rPr>
      </w:pPr>
    </w:p>
    <w:p>
      <w:pPr>
        <w:keepNext/>
        <w:tabs>
          <w:tab w:val="left" w:pos="180"/>
        </w:tabs>
        <w:rPr>
          <w:del w:id="910" w:author="Author"/>
          <w:i/>
          <w:iCs/>
          <w:noProof/>
          <w:lang w:val="it-IT"/>
          <w:rPrChange w:id="911" w:author="Author">
            <w:rPr>
              <w:del w:id="912" w:author="Author"/>
              <w:u w:val="single"/>
              <w:lang w:val="it-IT"/>
            </w:rPr>
          </w:rPrChange>
        </w:rPr>
      </w:pPr>
      <w:r>
        <w:rPr>
          <w:i/>
          <w:iCs/>
          <w:noProof/>
          <w:lang w:val="it-IT"/>
          <w:rPrChange w:id="913" w:author="Author">
            <w:rPr>
              <w:u w:val="single"/>
              <w:lang w:val="it-IT"/>
            </w:rPr>
          </w:rPrChange>
        </w:rPr>
        <w:t>Pazienti affetti da AIGs e AIGp</w:t>
      </w:r>
    </w:p>
    <w:p>
      <w:pPr>
        <w:keepNext/>
        <w:tabs>
          <w:tab w:val="left" w:pos="180"/>
        </w:tabs>
        <w:rPr>
          <w:rFonts w:eastAsia="SimSun"/>
          <w:i/>
          <w:noProof/>
          <w:szCs w:val="22"/>
          <w:u w:val="single"/>
          <w:lang w:val="it-IT" w:eastAsia="zh-CN"/>
        </w:rPr>
        <w:pPrChange w:id="914" w:author="Author">
          <w:pPr>
            <w:keepNext/>
            <w:tabs>
              <w:tab w:val="left" w:pos="180"/>
            </w:tabs>
            <w:ind w:left="567" w:hanging="567"/>
            <w:outlineLvl w:val="0"/>
          </w:pPr>
        </w:pPrChange>
      </w:pPr>
    </w:p>
    <w:p>
      <w:pPr>
        <w:tabs>
          <w:tab w:val="left" w:pos="180"/>
        </w:tabs>
        <w:rPr>
          <w:noProof/>
          <w:lang w:val="it-IT"/>
        </w:rPr>
      </w:pPr>
      <w:r>
        <w:rPr>
          <w:noProof/>
          <w:lang w:val="it-IT"/>
        </w:rPr>
        <w:t>Le reazioni avverse nei pazienti con AIGs e AIGp trattati con tocilizumab sono riportate nella Tabella 3 e presentate in base alla classificazione per SOC</w:t>
      </w:r>
      <w:ins w:id="915" w:author="Author">
        <w:r>
          <w:rPr>
            <w:noProof/>
            <w:lang w:val="it-IT"/>
          </w:rPr>
          <w:t xml:space="preserve"> </w:t>
        </w:r>
      </w:ins>
      <w:r>
        <w:rPr>
          <w:noProof/>
          <w:lang w:val="it-IT"/>
        </w:rPr>
        <w:t>MedDRA. La categoria di frequenza corrispondente di ogni reazione avversa si basa sulla seguente convenzione: molto comune (≥ 1/10); comune (≥ 1/100, &lt;</w:t>
      </w:r>
      <w:ins w:id="916" w:author="Author">
        <w:r>
          <w:rPr>
            <w:noProof/>
            <w:lang w:val="it-IT"/>
          </w:rPr>
          <w:t xml:space="preserve"> </w:t>
        </w:r>
      </w:ins>
      <w:r>
        <w:rPr>
          <w:noProof/>
          <w:lang w:val="it-IT"/>
        </w:rPr>
        <w:t>1/10) o non comune (≥ 1/1</w:t>
      </w:r>
      <w:ins w:id="917" w:author="Author">
        <w:r>
          <w:rPr>
            <w:noProof/>
            <w:lang w:val="it-IT"/>
          </w:rPr>
          <w:t> </w:t>
        </w:r>
      </w:ins>
      <w:r>
        <w:rPr>
          <w:noProof/>
          <w:lang w:val="it-IT"/>
        </w:rPr>
        <w:t>000, &lt;</w:t>
      </w:r>
      <w:ins w:id="918" w:author="Author">
        <w:r>
          <w:rPr>
            <w:noProof/>
            <w:lang w:val="it-IT"/>
          </w:rPr>
          <w:t xml:space="preserve"> </w:t>
        </w:r>
      </w:ins>
      <w:r>
        <w:rPr>
          <w:noProof/>
          <w:lang w:val="it-IT"/>
        </w:rPr>
        <w:t>1/100).</w:t>
      </w:r>
    </w:p>
    <w:p>
      <w:pPr>
        <w:tabs>
          <w:tab w:val="left" w:pos="180"/>
        </w:tabs>
        <w:ind w:left="567" w:hanging="567"/>
        <w:outlineLvl w:val="0"/>
        <w:rPr>
          <w:rFonts w:eastAsia="SimSun"/>
          <w:i/>
          <w:noProof/>
          <w:szCs w:val="22"/>
          <w:lang w:val="it-IT" w:eastAsia="zh-CN"/>
        </w:rPr>
      </w:pPr>
    </w:p>
    <w:p>
      <w:pPr>
        <w:keepNext/>
        <w:keepLines/>
        <w:tabs>
          <w:tab w:val="left" w:pos="180"/>
        </w:tabs>
        <w:ind w:left="924" w:hanging="924"/>
        <w:rPr>
          <w:i/>
          <w:noProof/>
          <w:szCs w:val="22"/>
          <w:lang w:val="it-IT"/>
        </w:rPr>
      </w:pPr>
      <w:r>
        <w:rPr>
          <w:i/>
          <w:noProof/>
          <w:szCs w:val="22"/>
          <w:lang w:val="it-IT"/>
        </w:rPr>
        <w:t xml:space="preserve">Tabella 3. Elenco delle reazioni avverse verificatesi nei pazienti affetti da AIGs o AIGp trattati con tocilizumab in monoterapia o in associazione con MTX nell’ambito </w:t>
      </w:r>
      <w:del w:id="919" w:author="Author">
        <w:r>
          <w:rPr>
            <w:i/>
            <w:noProof/>
            <w:szCs w:val="22"/>
            <w:lang w:val="it-IT"/>
          </w:rPr>
          <w:delText>delle sperimentazioni cliniche</w:delText>
        </w:r>
      </w:del>
      <w:ins w:id="920" w:author="Author">
        <w:r>
          <w:rPr>
            <w:lang w:val="it-IT"/>
            <w:rPrChange w:id="921" w:author="Author">
              <w:rPr/>
            </w:rPrChange>
          </w:rPr>
          <w:t xml:space="preserve"> </w:t>
        </w:r>
      </w:ins>
      <w:customXmlInsRangeStart w:id="922" w:author="Author"/>
      <w:sdt>
        <w:sdtPr>
          <w:tag w:val="goog_rdk_54"/>
          <w:id w:val="-195704"/>
        </w:sdtPr>
        <w:sdtContent>
          <w:customXmlInsRangeEnd w:id="922"/>
          <w:ins w:id="923" w:author="Author">
            <w:r>
              <w:rPr>
                <w:i/>
                <w:lang w:val="it-IT"/>
              </w:rPr>
              <w:t>degli studi clinici</w:t>
            </w:r>
          </w:ins>
          <w:customXmlInsRangeStart w:id="924" w:author="Author"/>
        </w:sdtContent>
      </w:sdt>
      <w:customXmlInsRangeEnd w:id="924"/>
    </w:p>
    <w:p>
      <w:pPr>
        <w:keepNext/>
        <w:keepLines/>
        <w:tabs>
          <w:tab w:val="left" w:pos="180"/>
        </w:tabs>
        <w:ind w:left="924" w:hanging="924"/>
        <w:rPr>
          <w:b/>
          <w:noProof/>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25"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052"/>
        <w:gridCol w:w="2533"/>
        <w:gridCol w:w="1620"/>
        <w:gridCol w:w="1440"/>
        <w:gridCol w:w="1416"/>
        <w:tblGridChange w:id="926">
          <w:tblGrid>
            <w:gridCol w:w="1884"/>
            <w:gridCol w:w="1938"/>
            <w:gridCol w:w="1832"/>
            <w:gridCol w:w="1426"/>
            <w:gridCol w:w="1240"/>
          </w:tblGrid>
        </w:tblGridChange>
      </w:tblGrid>
      <w:tr>
        <w:trPr>
          <w:trHeight w:val="114"/>
          <w:tblHeader/>
          <w:trPrChange w:id="927" w:author="Author">
            <w:trPr>
              <w:trHeight w:val="114"/>
              <w:tblHeader/>
            </w:trPr>
          </w:trPrChange>
        </w:trPr>
        <w:tc>
          <w:tcPr>
            <w:tcW w:w="2052" w:type="dxa"/>
            <w:tcPrChange w:id="928" w:author="Author">
              <w:tcPr>
                <w:tcW w:w="1884" w:type="dxa"/>
              </w:tcPr>
            </w:tcPrChange>
          </w:tcPr>
          <w:p>
            <w:pPr>
              <w:keepNext/>
              <w:keepLines/>
              <w:tabs>
                <w:tab w:val="left" w:pos="180"/>
              </w:tabs>
              <w:autoSpaceDE w:val="0"/>
              <w:autoSpaceDN w:val="0"/>
              <w:adjustRightInd w:val="0"/>
              <w:rPr>
                <w:b/>
                <w:noProof/>
                <w:szCs w:val="22"/>
                <w:lang w:val="it-IT"/>
                <w:rPrChange w:id="929" w:author="Author">
                  <w:rPr>
                    <w:b/>
                    <w:sz w:val="20"/>
                    <w:szCs w:val="22"/>
                    <w:lang w:val="it-IT"/>
                  </w:rPr>
                </w:rPrChange>
              </w:rPr>
            </w:pPr>
            <w:r>
              <w:rPr>
                <w:b/>
                <w:noProof/>
                <w:szCs w:val="22"/>
                <w:lang w:val="it-IT"/>
              </w:rPr>
              <w:t>Classificazione per sistemi e organi secondo MeDRA</w:t>
            </w:r>
          </w:p>
        </w:tc>
        <w:tc>
          <w:tcPr>
            <w:tcW w:w="2533" w:type="dxa"/>
            <w:tcPrChange w:id="930" w:author="Author">
              <w:tcPr>
                <w:tcW w:w="1938" w:type="dxa"/>
              </w:tcPr>
            </w:tcPrChange>
          </w:tcPr>
          <w:p>
            <w:pPr>
              <w:keepNext/>
              <w:keepLines/>
              <w:tabs>
                <w:tab w:val="left" w:pos="180"/>
              </w:tabs>
              <w:autoSpaceDE w:val="0"/>
              <w:autoSpaceDN w:val="0"/>
              <w:adjustRightInd w:val="0"/>
              <w:rPr>
                <w:b/>
                <w:noProof/>
                <w:szCs w:val="22"/>
                <w:lang w:val="it-IT"/>
                <w:rPrChange w:id="931" w:author="Author">
                  <w:rPr>
                    <w:b/>
                    <w:sz w:val="20"/>
                    <w:szCs w:val="22"/>
                    <w:lang w:val="it-IT"/>
                  </w:rPr>
                </w:rPrChange>
              </w:rPr>
            </w:pPr>
            <w:r>
              <w:rPr>
                <w:b/>
                <w:noProof/>
                <w:szCs w:val="22"/>
                <w:lang w:val="it-IT"/>
                <w:rPrChange w:id="932" w:author="Author">
                  <w:rPr>
                    <w:b/>
                    <w:sz w:val="20"/>
                    <w:szCs w:val="22"/>
                    <w:lang w:val="it-IT"/>
                  </w:rPr>
                </w:rPrChange>
              </w:rPr>
              <w:t>(Termini preferiti) PT</w:t>
            </w:r>
          </w:p>
        </w:tc>
        <w:tc>
          <w:tcPr>
            <w:tcW w:w="4476" w:type="dxa"/>
            <w:gridSpan w:val="3"/>
            <w:tcPrChange w:id="933" w:author="Author">
              <w:tcPr>
                <w:tcW w:w="4498" w:type="dxa"/>
                <w:gridSpan w:val="3"/>
              </w:tcPr>
            </w:tcPrChange>
          </w:tcPr>
          <w:p>
            <w:pPr>
              <w:keepNext/>
              <w:keepLines/>
              <w:tabs>
                <w:tab w:val="left" w:pos="180"/>
              </w:tabs>
              <w:autoSpaceDE w:val="0"/>
              <w:autoSpaceDN w:val="0"/>
              <w:adjustRightInd w:val="0"/>
              <w:jc w:val="center"/>
              <w:rPr>
                <w:b/>
                <w:noProof/>
                <w:sz w:val="20"/>
                <w:szCs w:val="22"/>
                <w:lang w:val="it-IT"/>
              </w:rPr>
            </w:pPr>
            <w:r>
              <w:rPr>
                <w:b/>
                <w:noProof/>
                <w:lang w:val="it-IT"/>
              </w:rPr>
              <w:t>Frequenza</w:t>
            </w:r>
          </w:p>
        </w:tc>
      </w:tr>
      <w:tr>
        <w:tc>
          <w:tcPr>
            <w:tcW w:w="4585" w:type="dxa"/>
            <w:gridSpan w:val="2"/>
            <w:tcPrChange w:id="934" w:author="Author">
              <w:tcPr>
                <w:tcW w:w="3822" w:type="dxa"/>
                <w:gridSpan w:val="2"/>
              </w:tcPr>
            </w:tcPrChange>
          </w:tcPr>
          <w:p>
            <w:pPr>
              <w:keepNext/>
              <w:keepLines/>
              <w:tabs>
                <w:tab w:val="left" w:pos="180"/>
              </w:tabs>
              <w:autoSpaceDE w:val="0"/>
              <w:autoSpaceDN w:val="0"/>
              <w:adjustRightInd w:val="0"/>
              <w:rPr>
                <w:noProof/>
                <w:sz w:val="20"/>
                <w:szCs w:val="22"/>
                <w:lang w:val="it-IT"/>
              </w:rPr>
            </w:pPr>
            <w:r>
              <w:rPr>
                <w:noProof/>
                <w:lang w:val="it-IT"/>
              </w:rPr>
              <w:t>Infezioni ed infestazioni</w:t>
            </w:r>
          </w:p>
        </w:tc>
        <w:tc>
          <w:tcPr>
            <w:tcW w:w="1620" w:type="dxa"/>
            <w:tcPrChange w:id="935" w:author="Author">
              <w:tcPr>
                <w:tcW w:w="1832" w:type="dxa"/>
              </w:tcPr>
            </w:tcPrChange>
          </w:tcPr>
          <w:p>
            <w:pPr>
              <w:keepNext/>
              <w:keepLines/>
              <w:tabs>
                <w:tab w:val="left" w:pos="180"/>
              </w:tabs>
              <w:autoSpaceDE w:val="0"/>
              <w:autoSpaceDN w:val="0"/>
              <w:adjustRightInd w:val="0"/>
              <w:rPr>
                <w:noProof/>
                <w:lang w:val="it-IT"/>
              </w:rPr>
            </w:pPr>
            <w:r>
              <w:rPr>
                <w:noProof/>
                <w:lang w:val="it-IT"/>
              </w:rPr>
              <w:t>Molto comune</w:t>
            </w:r>
          </w:p>
        </w:tc>
        <w:tc>
          <w:tcPr>
            <w:tcW w:w="1440" w:type="dxa"/>
            <w:tcPrChange w:id="936" w:author="Author">
              <w:tcPr>
                <w:tcW w:w="1426" w:type="dxa"/>
              </w:tcPr>
            </w:tcPrChange>
          </w:tcPr>
          <w:p>
            <w:pPr>
              <w:keepNext/>
              <w:keepLines/>
              <w:tabs>
                <w:tab w:val="left" w:pos="180"/>
              </w:tabs>
              <w:autoSpaceDE w:val="0"/>
              <w:autoSpaceDN w:val="0"/>
              <w:adjustRightInd w:val="0"/>
              <w:rPr>
                <w:noProof/>
                <w:lang w:val="it-IT"/>
              </w:rPr>
            </w:pPr>
            <w:r>
              <w:rPr>
                <w:noProof/>
                <w:lang w:val="it-IT"/>
              </w:rPr>
              <w:t>Comune</w:t>
            </w:r>
          </w:p>
        </w:tc>
        <w:tc>
          <w:tcPr>
            <w:tcW w:w="1416" w:type="dxa"/>
            <w:tcPrChange w:id="937" w:author="Author">
              <w:tcPr>
                <w:tcW w:w="1240" w:type="dxa"/>
              </w:tcPr>
            </w:tcPrChange>
          </w:tcPr>
          <w:p>
            <w:pPr>
              <w:keepNext/>
              <w:keepLines/>
              <w:tabs>
                <w:tab w:val="left" w:pos="180"/>
              </w:tabs>
              <w:autoSpaceDE w:val="0"/>
              <w:autoSpaceDN w:val="0"/>
              <w:adjustRightInd w:val="0"/>
              <w:rPr>
                <w:noProof/>
                <w:sz w:val="20"/>
                <w:szCs w:val="22"/>
                <w:lang w:val="it-IT"/>
              </w:rPr>
            </w:pPr>
            <w:r>
              <w:rPr>
                <w:noProof/>
                <w:lang w:val="it-IT"/>
              </w:rPr>
              <w:t>Non comune</w:t>
            </w:r>
          </w:p>
        </w:tc>
      </w:tr>
      <w:tr>
        <w:tc>
          <w:tcPr>
            <w:tcW w:w="2052" w:type="dxa"/>
            <w:tcPrChange w:id="938" w:author="Author">
              <w:tcPr>
                <w:tcW w:w="1884" w:type="dxa"/>
              </w:tcPr>
            </w:tcPrChange>
          </w:tcPr>
          <w:p>
            <w:pPr>
              <w:keepNext/>
              <w:keepLines/>
              <w:tabs>
                <w:tab w:val="left" w:pos="180"/>
              </w:tabs>
              <w:autoSpaceDE w:val="0"/>
              <w:autoSpaceDN w:val="0"/>
              <w:adjustRightInd w:val="0"/>
              <w:rPr>
                <w:noProof/>
                <w:sz w:val="20"/>
                <w:szCs w:val="22"/>
                <w:lang w:val="it-IT"/>
              </w:rPr>
            </w:pPr>
          </w:p>
        </w:tc>
        <w:tc>
          <w:tcPr>
            <w:tcW w:w="2533" w:type="dxa"/>
            <w:tcPrChange w:id="939" w:author="Author">
              <w:tcPr>
                <w:tcW w:w="1938" w:type="dxa"/>
              </w:tcPr>
            </w:tcPrChange>
          </w:tcPr>
          <w:p>
            <w:pPr>
              <w:keepNext/>
              <w:keepLines/>
              <w:tabs>
                <w:tab w:val="left" w:pos="180"/>
              </w:tabs>
              <w:autoSpaceDE w:val="0"/>
              <w:autoSpaceDN w:val="0"/>
              <w:adjustRightInd w:val="0"/>
              <w:rPr>
                <w:noProof/>
                <w:sz w:val="20"/>
                <w:szCs w:val="22"/>
                <w:lang w:val="it-IT"/>
              </w:rPr>
            </w:pPr>
            <w:r>
              <w:rPr>
                <w:noProof/>
                <w:lang w:val="it-IT"/>
              </w:rPr>
              <w:t>Infezioni delle vie aeree superiori</w:t>
            </w:r>
          </w:p>
        </w:tc>
        <w:tc>
          <w:tcPr>
            <w:tcW w:w="1620" w:type="dxa"/>
            <w:tcPrChange w:id="940" w:author="Author">
              <w:tcPr>
                <w:tcW w:w="1832" w:type="dxa"/>
              </w:tcPr>
            </w:tcPrChange>
          </w:tcPr>
          <w:p>
            <w:pPr>
              <w:keepNext/>
              <w:keepLines/>
              <w:tabs>
                <w:tab w:val="left" w:pos="180"/>
              </w:tabs>
              <w:autoSpaceDE w:val="0"/>
              <w:autoSpaceDN w:val="0"/>
              <w:adjustRightInd w:val="0"/>
              <w:rPr>
                <w:noProof/>
                <w:lang w:val="it-IT"/>
              </w:rPr>
            </w:pPr>
            <w:r>
              <w:rPr>
                <w:noProof/>
                <w:lang w:val="it-IT"/>
              </w:rPr>
              <w:t>AIGp, AIGs</w:t>
            </w:r>
          </w:p>
        </w:tc>
        <w:tc>
          <w:tcPr>
            <w:tcW w:w="1440" w:type="dxa"/>
            <w:tcPrChange w:id="941" w:author="Author">
              <w:tcPr>
                <w:tcW w:w="1426" w:type="dxa"/>
              </w:tcPr>
            </w:tcPrChange>
          </w:tcPr>
          <w:p>
            <w:pPr>
              <w:keepNext/>
              <w:keepLines/>
              <w:tabs>
                <w:tab w:val="left" w:pos="180"/>
              </w:tabs>
              <w:autoSpaceDE w:val="0"/>
              <w:autoSpaceDN w:val="0"/>
              <w:adjustRightInd w:val="0"/>
              <w:rPr>
                <w:noProof/>
                <w:lang w:val="it-IT"/>
              </w:rPr>
            </w:pPr>
          </w:p>
        </w:tc>
        <w:tc>
          <w:tcPr>
            <w:tcW w:w="1416" w:type="dxa"/>
            <w:tcPrChange w:id="942" w:author="Author">
              <w:tcPr>
                <w:tcW w:w="1240" w:type="dxa"/>
              </w:tcPr>
            </w:tcPrChange>
          </w:tcPr>
          <w:p>
            <w:pPr>
              <w:keepNext/>
              <w:keepLines/>
              <w:tabs>
                <w:tab w:val="left" w:pos="180"/>
              </w:tabs>
              <w:autoSpaceDE w:val="0"/>
              <w:autoSpaceDN w:val="0"/>
              <w:adjustRightInd w:val="0"/>
              <w:rPr>
                <w:noProof/>
                <w:sz w:val="20"/>
                <w:szCs w:val="22"/>
                <w:lang w:val="it-IT"/>
              </w:rPr>
            </w:pPr>
          </w:p>
        </w:tc>
      </w:tr>
      <w:tr>
        <w:tc>
          <w:tcPr>
            <w:tcW w:w="2052" w:type="dxa"/>
            <w:tcPrChange w:id="943" w:author="Author">
              <w:tcPr>
                <w:tcW w:w="1884" w:type="dxa"/>
              </w:tcPr>
            </w:tcPrChange>
          </w:tcPr>
          <w:p>
            <w:pPr>
              <w:keepNext/>
              <w:keepLines/>
              <w:tabs>
                <w:tab w:val="left" w:pos="180"/>
              </w:tabs>
              <w:autoSpaceDE w:val="0"/>
              <w:autoSpaceDN w:val="0"/>
              <w:adjustRightInd w:val="0"/>
              <w:rPr>
                <w:noProof/>
                <w:sz w:val="20"/>
                <w:szCs w:val="22"/>
                <w:lang w:val="it-IT"/>
              </w:rPr>
            </w:pPr>
          </w:p>
        </w:tc>
        <w:tc>
          <w:tcPr>
            <w:tcW w:w="2533" w:type="dxa"/>
            <w:tcPrChange w:id="944" w:author="Author">
              <w:tcPr>
                <w:tcW w:w="1938" w:type="dxa"/>
              </w:tcPr>
            </w:tcPrChange>
          </w:tcPr>
          <w:p>
            <w:pPr>
              <w:keepNext/>
              <w:keepLines/>
              <w:tabs>
                <w:tab w:val="left" w:pos="180"/>
              </w:tabs>
              <w:autoSpaceDE w:val="0"/>
              <w:autoSpaceDN w:val="0"/>
              <w:adjustRightInd w:val="0"/>
              <w:rPr>
                <w:noProof/>
                <w:sz w:val="20"/>
                <w:szCs w:val="22"/>
                <w:lang w:val="it-IT"/>
              </w:rPr>
            </w:pPr>
            <w:r>
              <w:rPr>
                <w:noProof/>
                <w:lang w:val="it-IT"/>
              </w:rPr>
              <w:t>Nasofaringite</w:t>
            </w:r>
          </w:p>
        </w:tc>
        <w:tc>
          <w:tcPr>
            <w:tcW w:w="1620" w:type="dxa"/>
            <w:tcPrChange w:id="945" w:author="Author">
              <w:tcPr>
                <w:tcW w:w="1832" w:type="dxa"/>
              </w:tcPr>
            </w:tcPrChange>
          </w:tcPr>
          <w:p>
            <w:pPr>
              <w:keepNext/>
              <w:keepLines/>
              <w:tabs>
                <w:tab w:val="left" w:pos="180"/>
              </w:tabs>
              <w:autoSpaceDE w:val="0"/>
              <w:autoSpaceDN w:val="0"/>
              <w:adjustRightInd w:val="0"/>
              <w:rPr>
                <w:noProof/>
                <w:lang w:val="it-IT"/>
              </w:rPr>
            </w:pPr>
            <w:r>
              <w:rPr>
                <w:noProof/>
                <w:lang w:val="it-IT"/>
              </w:rPr>
              <w:t>AIGp, AIGs</w:t>
            </w:r>
          </w:p>
        </w:tc>
        <w:tc>
          <w:tcPr>
            <w:tcW w:w="1440" w:type="dxa"/>
            <w:tcPrChange w:id="946" w:author="Author">
              <w:tcPr>
                <w:tcW w:w="1426" w:type="dxa"/>
              </w:tcPr>
            </w:tcPrChange>
          </w:tcPr>
          <w:p>
            <w:pPr>
              <w:keepNext/>
              <w:keepLines/>
              <w:tabs>
                <w:tab w:val="left" w:pos="180"/>
              </w:tabs>
              <w:autoSpaceDE w:val="0"/>
              <w:autoSpaceDN w:val="0"/>
              <w:adjustRightInd w:val="0"/>
              <w:rPr>
                <w:noProof/>
                <w:lang w:val="it-IT"/>
              </w:rPr>
            </w:pPr>
          </w:p>
        </w:tc>
        <w:tc>
          <w:tcPr>
            <w:tcW w:w="1416" w:type="dxa"/>
            <w:tcPrChange w:id="947" w:author="Author">
              <w:tcPr>
                <w:tcW w:w="1240" w:type="dxa"/>
              </w:tcPr>
            </w:tcPrChange>
          </w:tcPr>
          <w:p>
            <w:pPr>
              <w:keepNext/>
              <w:keepLines/>
              <w:tabs>
                <w:tab w:val="left" w:pos="180"/>
              </w:tabs>
              <w:autoSpaceDE w:val="0"/>
              <w:autoSpaceDN w:val="0"/>
              <w:adjustRightInd w:val="0"/>
              <w:rPr>
                <w:noProof/>
                <w:sz w:val="20"/>
                <w:szCs w:val="22"/>
                <w:lang w:val="it-IT"/>
              </w:rPr>
            </w:pPr>
          </w:p>
        </w:tc>
      </w:tr>
      <w:tr>
        <w:tc>
          <w:tcPr>
            <w:tcW w:w="4585" w:type="dxa"/>
            <w:gridSpan w:val="2"/>
            <w:tcPrChange w:id="948" w:author="Author">
              <w:tcPr>
                <w:tcW w:w="3822" w:type="dxa"/>
                <w:gridSpan w:val="2"/>
              </w:tcPr>
            </w:tcPrChange>
          </w:tcPr>
          <w:p>
            <w:pPr>
              <w:keepNext/>
              <w:keepLines/>
              <w:tabs>
                <w:tab w:val="left" w:pos="180"/>
              </w:tabs>
              <w:autoSpaceDE w:val="0"/>
              <w:autoSpaceDN w:val="0"/>
              <w:adjustRightInd w:val="0"/>
              <w:rPr>
                <w:noProof/>
                <w:lang w:val="it-IT"/>
              </w:rPr>
            </w:pPr>
            <w:r>
              <w:rPr>
                <w:noProof/>
                <w:lang w:val="it-IT"/>
              </w:rPr>
              <w:t>Patologie del sistema nervoso</w:t>
            </w:r>
          </w:p>
        </w:tc>
        <w:tc>
          <w:tcPr>
            <w:tcW w:w="1620" w:type="dxa"/>
            <w:tcPrChange w:id="949" w:author="Author">
              <w:tcPr>
                <w:tcW w:w="1832" w:type="dxa"/>
              </w:tcPr>
            </w:tcPrChange>
          </w:tcPr>
          <w:p>
            <w:pPr>
              <w:keepNext/>
              <w:keepLines/>
              <w:tabs>
                <w:tab w:val="left" w:pos="180"/>
              </w:tabs>
              <w:autoSpaceDE w:val="0"/>
              <w:autoSpaceDN w:val="0"/>
              <w:adjustRightInd w:val="0"/>
              <w:rPr>
                <w:noProof/>
                <w:lang w:val="it-IT"/>
              </w:rPr>
            </w:pPr>
          </w:p>
        </w:tc>
        <w:tc>
          <w:tcPr>
            <w:tcW w:w="1440" w:type="dxa"/>
            <w:tcPrChange w:id="950" w:author="Author">
              <w:tcPr>
                <w:tcW w:w="1426" w:type="dxa"/>
              </w:tcPr>
            </w:tcPrChange>
          </w:tcPr>
          <w:p>
            <w:pPr>
              <w:keepNext/>
              <w:keepLines/>
              <w:tabs>
                <w:tab w:val="left" w:pos="180"/>
              </w:tabs>
              <w:autoSpaceDE w:val="0"/>
              <w:autoSpaceDN w:val="0"/>
              <w:adjustRightInd w:val="0"/>
              <w:rPr>
                <w:noProof/>
                <w:lang w:val="it-IT"/>
              </w:rPr>
            </w:pPr>
          </w:p>
        </w:tc>
        <w:tc>
          <w:tcPr>
            <w:tcW w:w="1416" w:type="dxa"/>
            <w:tcPrChange w:id="951" w:author="Author">
              <w:tcPr>
                <w:tcW w:w="1240" w:type="dxa"/>
              </w:tcPr>
            </w:tcPrChange>
          </w:tcPr>
          <w:p>
            <w:pPr>
              <w:keepNext/>
              <w:keepLines/>
              <w:tabs>
                <w:tab w:val="left" w:pos="180"/>
              </w:tabs>
              <w:autoSpaceDE w:val="0"/>
              <w:autoSpaceDN w:val="0"/>
              <w:adjustRightInd w:val="0"/>
              <w:rPr>
                <w:noProof/>
                <w:sz w:val="20"/>
                <w:szCs w:val="22"/>
                <w:lang w:val="it-IT"/>
              </w:rPr>
            </w:pPr>
          </w:p>
        </w:tc>
      </w:tr>
      <w:tr>
        <w:tc>
          <w:tcPr>
            <w:tcW w:w="2052" w:type="dxa"/>
            <w:tcPrChange w:id="952" w:author="Author">
              <w:tcPr>
                <w:tcW w:w="1884" w:type="dxa"/>
              </w:tcPr>
            </w:tcPrChange>
          </w:tcPr>
          <w:p>
            <w:pPr>
              <w:keepNext/>
              <w:keepLines/>
              <w:tabs>
                <w:tab w:val="left" w:pos="180"/>
              </w:tabs>
              <w:autoSpaceDE w:val="0"/>
              <w:autoSpaceDN w:val="0"/>
              <w:adjustRightInd w:val="0"/>
              <w:rPr>
                <w:noProof/>
                <w:sz w:val="20"/>
                <w:szCs w:val="22"/>
                <w:lang w:val="it-IT"/>
              </w:rPr>
            </w:pPr>
          </w:p>
        </w:tc>
        <w:tc>
          <w:tcPr>
            <w:tcW w:w="2533" w:type="dxa"/>
            <w:tcPrChange w:id="953" w:author="Author">
              <w:tcPr>
                <w:tcW w:w="1938" w:type="dxa"/>
              </w:tcPr>
            </w:tcPrChange>
          </w:tcPr>
          <w:p>
            <w:pPr>
              <w:keepNext/>
              <w:keepLines/>
              <w:tabs>
                <w:tab w:val="left" w:pos="180"/>
              </w:tabs>
              <w:autoSpaceDE w:val="0"/>
              <w:autoSpaceDN w:val="0"/>
              <w:adjustRightInd w:val="0"/>
              <w:rPr>
                <w:noProof/>
                <w:lang w:val="it-IT"/>
              </w:rPr>
            </w:pPr>
            <w:r>
              <w:rPr>
                <w:noProof/>
                <w:lang w:val="it-IT"/>
              </w:rPr>
              <w:t>Cefalea</w:t>
            </w:r>
          </w:p>
        </w:tc>
        <w:tc>
          <w:tcPr>
            <w:tcW w:w="1620" w:type="dxa"/>
            <w:tcPrChange w:id="954" w:author="Author">
              <w:tcPr>
                <w:tcW w:w="1832" w:type="dxa"/>
              </w:tcPr>
            </w:tcPrChange>
          </w:tcPr>
          <w:p>
            <w:pPr>
              <w:keepNext/>
              <w:keepLines/>
              <w:tabs>
                <w:tab w:val="left" w:pos="180"/>
              </w:tabs>
              <w:autoSpaceDE w:val="0"/>
              <w:autoSpaceDN w:val="0"/>
              <w:adjustRightInd w:val="0"/>
              <w:rPr>
                <w:noProof/>
                <w:lang w:val="it-IT"/>
              </w:rPr>
            </w:pPr>
            <w:r>
              <w:rPr>
                <w:noProof/>
                <w:lang w:val="it-IT"/>
              </w:rPr>
              <w:t>AIGp</w:t>
            </w:r>
          </w:p>
        </w:tc>
        <w:tc>
          <w:tcPr>
            <w:tcW w:w="1440" w:type="dxa"/>
            <w:tcPrChange w:id="955" w:author="Author">
              <w:tcPr>
                <w:tcW w:w="1426" w:type="dxa"/>
              </w:tcPr>
            </w:tcPrChange>
          </w:tcPr>
          <w:p>
            <w:pPr>
              <w:keepNext/>
              <w:keepLines/>
              <w:tabs>
                <w:tab w:val="left" w:pos="180"/>
              </w:tabs>
              <w:autoSpaceDE w:val="0"/>
              <w:autoSpaceDN w:val="0"/>
              <w:adjustRightInd w:val="0"/>
              <w:rPr>
                <w:noProof/>
                <w:lang w:val="it-IT"/>
              </w:rPr>
            </w:pPr>
            <w:r>
              <w:rPr>
                <w:noProof/>
                <w:lang w:val="it-IT"/>
              </w:rPr>
              <w:t>AIGs</w:t>
            </w:r>
          </w:p>
        </w:tc>
        <w:tc>
          <w:tcPr>
            <w:tcW w:w="1416" w:type="dxa"/>
            <w:tcPrChange w:id="956" w:author="Author">
              <w:tcPr>
                <w:tcW w:w="1240" w:type="dxa"/>
              </w:tcPr>
            </w:tcPrChange>
          </w:tcPr>
          <w:p>
            <w:pPr>
              <w:keepNext/>
              <w:keepLines/>
              <w:tabs>
                <w:tab w:val="left" w:pos="180"/>
              </w:tabs>
              <w:autoSpaceDE w:val="0"/>
              <w:autoSpaceDN w:val="0"/>
              <w:adjustRightInd w:val="0"/>
              <w:rPr>
                <w:noProof/>
                <w:sz w:val="20"/>
                <w:szCs w:val="22"/>
                <w:lang w:val="it-IT"/>
              </w:rPr>
            </w:pPr>
          </w:p>
        </w:tc>
      </w:tr>
      <w:tr>
        <w:tc>
          <w:tcPr>
            <w:tcW w:w="4585" w:type="dxa"/>
            <w:gridSpan w:val="2"/>
            <w:tcPrChange w:id="957" w:author="Author">
              <w:tcPr>
                <w:tcW w:w="3822" w:type="dxa"/>
                <w:gridSpan w:val="2"/>
              </w:tcPr>
            </w:tcPrChange>
          </w:tcPr>
          <w:p>
            <w:pPr>
              <w:keepNext/>
              <w:keepLines/>
              <w:tabs>
                <w:tab w:val="left" w:pos="180"/>
              </w:tabs>
              <w:autoSpaceDE w:val="0"/>
              <w:autoSpaceDN w:val="0"/>
              <w:adjustRightInd w:val="0"/>
              <w:rPr>
                <w:noProof/>
                <w:sz w:val="20"/>
                <w:szCs w:val="22"/>
                <w:lang w:val="it-IT"/>
              </w:rPr>
            </w:pPr>
            <w:r>
              <w:rPr>
                <w:noProof/>
                <w:lang w:val="it-IT"/>
              </w:rPr>
              <w:t>Patologie gastrointestinali</w:t>
            </w:r>
          </w:p>
        </w:tc>
        <w:tc>
          <w:tcPr>
            <w:tcW w:w="1620" w:type="dxa"/>
            <w:tcPrChange w:id="958" w:author="Author">
              <w:tcPr>
                <w:tcW w:w="1832" w:type="dxa"/>
              </w:tcPr>
            </w:tcPrChange>
          </w:tcPr>
          <w:p>
            <w:pPr>
              <w:keepNext/>
              <w:keepLines/>
              <w:tabs>
                <w:tab w:val="left" w:pos="180"/>
              </w:tabs>
              <w:autoSpaceDE w:val="0"/>
              <w:autoSpaceDN w:val="0"/>
              <w:adjustRightInd w:val="0"/>
              <w:rPr>
                <w:noProof/>
                <w:lang w:val="it-IT"/>
              </w:rPr>
            </w:pPr>
          </w:p>
        </w:tc>
        <w:tc>
          <w:tcPr>
            <w:tcW w:w="1440" w:type="dxa"/>
            <w:tcPrChange w:id="959" w:author="Author">
              <w:tcPr>
                <w:tcW w:w="1426" w:type="dxa"/>
              </w:tcPr>
            </w:tcPrChange>
          </w:tcPr>
          <w:p>
            <w:pPr>
              <w:keepNext/>
              <w:keepLines/>
              <w:tabs>
                <w:tab w:val="left" w:pos="180"/>
              </w:tabs>
              <w:autoSpaceDE w:val="0"/>
              <w:autoSpaceDN w:val="0"/>
              <w:adjustRightInd w:val="0"/>
              <w:rPr>
                <w:noProof/>
                <w:lang w:val="it-IT"/>
              </w:rPr>
            </w:pPr>
          </w:p>
        </w:tc>
        <w:tc>
          <w:tcPr>
            <w:tcW w:w="1416" w:type="dxa"/>
            <w:tcPrChange w:id="960" w:author="Author">
              <w:tcPr>
                <w:tcW w:w="1240" w:type="dxa"/>
              </w:tcPr>
            </w:tcPrChange>
          </w:tcPr>
          <w:p>
            <w:pPr>
              <w:keepNext/>
              <w:keepLines/>
              <w:tabs>
                <w:tab w:val="left" w:pos="180"/>
              </w:tabs>
              <w:autoSpaceDE w:val="0"/>
              <w:autoSpaceDN w:val="0"/>
              <w:adjustRightInd w:val="0"/>
              <w:rPr>
                <w:noProof/>
                <w:sz w:val="20"/>
                <w:szCs w:val="22"/>
                <w:lang w:val="it-IT"/>
              </w:rPr>
            </w:pPr>
          </w:p>
        </w:tc>
      </w:tr>
      <w:tr>
        <w:tc>
          <w:tcPr>
            <w:tcW w:w="2052" w:type="dxa"/>
            <w:tcPrChange w:id="961" w:author="Author">
              <w:tcPr>
                <w:tcW w:w="1884" w:type="dxa"/>
              </w:tcPr>
            </w:tcPrChange>
          </w:tcPr>
          <w:p>
            <w:pPr>
              <w:keepNext/>
              <w:keepLines/>
              <w:tabs>
                <w:tab w:val="left" w:pos="180"/>
              </w:tabs>
              <w:autoSpaceDE w:val="0"/>
              <w:autoSpaceDN w:val="0"/>
              <w:adjustRightInd w:val="0"/>
              <w:rPr>
                <w:noProof/>
                <w:sz w:val="20"/>
                <w:szCs w:val="22"/>
                <w:lang w:val="it-IT"/>
              </w:rPr>
            </w:pPr>
          </w:p>
        </w:tc>
        <w:tc>
          <w:tcPr>
            <w:tcW w:w="2533" w:type="dxa"/>
            <w:tcPrChange w:id="962" w:author="Author">
              <w:tcPr>
                <w:tcW w:w="1938" w:type="dxa"/>
              </w:tcPr>
            </w:tcPrChange>
          </w:tcPr>
          <w:p>
            <w:pPr>
              <w:keepNext/>
              <w:keepLines/>
              <w:tabs>
                <w:tab w:val="left" w:pos="180"/>
              </w:tabs>
              <w:autoSpaceDE w:val="0"/>
              <w:autoSpaceDN w:val="0"/>
              <w:adjustRightInd w:val="0"/>
              <w:rPr>
                <w:noProof/>
                <w:lang w:val="it-IT"/>
              </w:rPr>
            </w:pPr>
            <w:r>
              <w:rPr>
                <w:noProof/>
                <w:lang w:val="it-IT"/>
              </w:rPr>
              <w:t>Nausea</w:t>
            </w:r>
          </w:p>
        </w:tc>
        <w:tc>
          <w:tcPr>
            <w:tcW w:w="1620" w:type="dxa"/>
            <w:tcPrChange w:id="963" w:author="Author">
              <w:tcPr>
                <w:tcW w:w="1832" w:type="dxa"/>
              </w:tcPr>
            </w:tcPrChange>
          </w:tcPr>
          <w:p>
            <w:pPr>
              <w:keepNext/>
              <w:keepLines/>
              <w:tabs>
                <w:tab w:val="left" w:pos="180"/>
              </w:tabs>
              <w:autoSpaceDE w:val="0"/>
              <w:autoSpaceDN w:val="0"/>
              <w:adjustRightInd w:val="0"/>
              <w:rPr>
                <w:noProof/>
                <w:lang w:val="it-IT"/>
              </w:rPr>
            </w:pPr>
          </w:p>
        </w:tc>
        <w:tc>
          <w:tcPr>
            <w:tcW w:w="1440" w:type="dxa"/>
            <w:tcPrChange w:id="964" w:author="Author">
              <w:tcPr>
                <w:tcW w:w="1426" w:type="dxa"/>
              </w:tcPr>
            </w:tcPrChange>
          </w:tcPr>
          <w:p>
            <w:pPr>
              <w:keepNext/>
              <w:keepLines/>
              <w:tabs>
                <w:tab w:val="left" w:pos="180"/>
              </w:tabs>
              <w:autoSpaceDE w:val="0"/>
              <w:autoSpaceDN w:val="0"/>
              <w:adjustRightInd w:val="0"/>
              <w:rPr>
                <w:noProof/>
                <w:lang w:val="it-IT"/>
              </w:rPr>
            </w:pPr>
            <w:r>
              <w:rPr>
                <w:noProof/>
                <w:lang w:val="it-IT"/>
              </w:rPr>
              <w:t>AIGp</w:t>
            </w:r>
          </w:p>
        </w:tc>
        <w:tc>
          <w:tcPr>
            <w:tcW w:w="1416" w:type="dxa"/>
            <w:tcPrChange w:id="965" w:author="Author">
              <w:tcPr>
                <w:tcW w:w="1240" w:type="dxa"/>
              </w:tcPr>
            </w:tcPrChange>
          </w:tcPr>
          <w:p>
            <w:pPr>
              <w:keepNext/>
              <w:keepLines/>
              <w:tabs>
                <w:tab w:val="left" w:pos="180"/>
              </w:tabs>
              <w:autoSpaceDE w:val="0"/>
              <w:autoSpaceDN w:val="0"/>
              <w:adjustRightInd w:val="0"/>
              <w:rPr>
                <w:noProof/>
                <w:sz w:val="20"/>
                <w:szCs w:val="22"/>
                <w:lang w:val="it-IT"/>
              </w:rPr>
            </w:pPr>
          </w:p>
        </w:tc>
      </w:tr>
      <w:tr>
        <w:tc>
          <w:tcPr>
            <w:tcW w:w="2052" w:type="dxa"/>
            <w:tcPrChange w:id="966" w:author="Author">
              <w:tcPr>
                <w:tcW w:w="1884" w:type="dxa"/>
              </w:tcPr>
            </w:tcPrChange>
          </w:tcPr>
          <w:p>
            <w:pPr>
              <w:keepNext/>
              <w:keepLines/>
              <w:tabs>
                <w:tab w:val="left" w:pos="180"/>
              </w:tabs>
              <w:autoSpaceDE w:val="0"/>
              <w:autoSpaceDN w:val="0"/>
              <w:adjustRightInd w:val="0"/>
              <w:rPr>
                <w:noProof/>
                <w:sz w:val="20"/>
                <w:szCs w:val="22"/>
                <w:lang w:val="it-IT"/>
              </w:rPr>
            </w:pPr>
          </w:p>
        </w:tc>
        <w:tc>
          <w:tcPr>
            <w:tcW w:w="2533" w:type="dxa"/>
            <w:tcPrChange w:id="967" w:author="Author">
              <w:tcPr>
                <w:tcW w:w="1938" w:type="dxa"/>
              </w:tcPr>
            </w:tcPrChange>
          </w:tcPr>
          <w:p>
            <w:pPr>
              <w:keepNext/>
              <w:keepLines/>
              <w:tabs>
                <w:tab w:val="left" w:pos="180"/>
              </w:tabs>
              <w:autoSpaceDE w:val="0"/>
              <w:autoSpaceDN w:val="0"/>
              <w:adjustRightInd w:val="0"/>
              <w:rPr>
                <w:noProof/>
                <w:lang w:val="it-IT"/>
              </w:rPr>
            </w:pPr>
            <w:r>
              <w:rPr>
                <w:noProof/>
                <w:lang w:val="it-IT"/>
              </w:rPr>
              <w:t>Diarrea</w:t>
            </w:r>
          </w:p>
        </w:tc>
        <w:tc>
          <w:tcPr>
            <w:tcW w:w="1620" w:type="dxa"/>
            <w:tcPrChange w:id="968" w:author="Author">
              <w:tcPr>
                <w:tcW w:w="1832" w:type="dxa"/>
              </w:tcPr>
            </w:tcPrChange>
          </w:tcPr>
          <w:p>
            <w:pPr>
              <w:keepNext/>
              <w:keepLines/>
              <w:tabs>
                <w:tab w:val="left" w:pos="180"/>
              </w:tabs>
              <w:autoSpaceDE w:val="0"/>
              <w:autoSpaceDN w:val="0"/>
              <w:adjustRightInd w:val="0"/>
              <w:rPr>
                <w:noProof/>
                <w:lang w:val="it-IT"/>
              </w:rPr>
            </w:pPr>
          </w:p>
        </w:tc>
        <w:tc>
          <w:tcPr>
            <w:tcW w:w="1440" w:type="dxa"/>
            <w:tcPrChange w:id="969" w:author="Author">
              <w:tcPr>
                <w:tcW w:w="1426" w:type="dxa"/>
              </w:tcPr>
            </w:tcPrChange>
          </w:tcPr>
          <w:p>
            <w:pPr>
              <w:keepNext/>
              <w:keepLines/>
              <w:tabs>
                <w:tab w:val="left" w:pos="180"/>
              </w:tabs>
              <w:autoSpaceDE w:val="0"/>
              <w:autoSpaceDN w:val="0"/>
              <w:adjustRightInd w:val="0"/>
              <w:rPr>
                <w:noProof/>
                <w:lang w:val="it-IT"/>
              </w:rPr>
            </w:pPr>
            <w:r>
              <w:rPr>
                <w:noProof/>
                <w:lang w:val="it-IT"/>
              </w:rPr>
              <w:t>AIGp, AIGs</w:t>
            </w:r>
          </w:p>
        </w:tc>
        <w:tc>
          <w:tcPr>
            <w:tcW w:w="1416" w:type="dxa"/>
            <w:tcPrChange w:id="970" w:author="Author">
              <w:tcPr>
                <w:tcW w:w="1240" w:type="dxa"/>
              </w:tcPr>
            </w:tcPrChange>
          </w:tcPr>
          <w:p>
            <w:pPr>
              <w:keepNext/>
              <w:keepLines/>
              <w:tabs>
                <w:tab w:val="left" w:pos="180"/>
              </w:tabs>
              <w:autoSpaceDE w:val="0"/>
              <w:autoSpaceDN w:val="0"/>
              <w:adjustRightInd w:val="0"/>
              <w:rPr>
                <w:noProof/>
                <w:sz w:val="20"/>
                <w:szCs w:val="22"/>
                <w:lang w:val="it-IT"/>
              </w:rPr>
            </w:pPr>
          </w:p>
        </w:tc>
      </w:tr>
      <w:tr>
        <w:tc>
          <w:tcPr>
            <w:tcW w:w="4585" w:type="dxa"/>
            <w:gridSpan w:val="2"/>
            <w:tcPrChange w:id="971" w:author="Author">
              <w:tcPr>
                <w:tcW w:w="3822" w:type="dxa"/>
                <w:gridSpan w:val="2"/>
              </w:tcPr>
            </w:tcPrChange>
          </w:tcPr>
          <w:p>
            <w:pPr>
              <w:keepNext/>
              <w:keepLines/>
              <w:tabs>
                <w:tab w:val="left" w:pos="180"/>
              </w:tabs>
              <w:autoSpaceDE w:val="0"/>
              <w:autoSpaceDN w:val="0"/>
              <w:adjustRightInd w:val="0"/>
              <w:rPr>
                <w:noProof/>
                <w:lang w:val="it-IT"/>
              </w:rPr>
            </w:pPr>
            <w:r>
              <w:rPr>
                <w:noProof/>
                <w:lang w:val="it-IT"/>
              </w:rPr>
              <w:t>Patologie generali e condizioni relative alla sede di somministrazione</w:t>
            </w:r>
          </w:p>
        </w:tc>
        <w:tc>
          <w:tcPr>
            <w:tcW w:w="1620" w:type="dxa"/>
            <w:tcPrChange w:id="972" w:author="Author">
              <w:tcPr>
                <w:tcW w:w="1832" w:type="dxa"/>
              </w:tcPr>
            </w:tcPrChange>
          </w:tcPr>
          <w:p>
            <w:pPr>
              <w:keepNext/>
              <w:keepLines/>
              <w:tabs>
                <w:tab w:val="left" w:pos="180"/>
              </w:tabs>
              <w:autoSpaceDE w:val="0"/>
              <w:autoSpaceDN w:val="0"/>
              <w:adjustRightInd w:val="0"/>
              <w:rPr>
                <w:noProof/>
                <w:lang w:val="it-IT"/>
              </w:rPr>
            </w:pPr>
          </w:p>
        </w:tc>
        <w:tc>
          <w:tcPr>
            <w:tcW w:w="1440" w:type="dxa"/>
            <w:tcPrChange w:id="973" w:author="Author">
              <w:tcPr>
                <w:tcW w:w="1426" w:type="dxa"/>
              </w:tcPr>
            </w:tcPrChange>
          </w:tcPr>
          <w:p>
            <w:pPr>
              <w:keepNext/>
              <w:keepLines/>
              <w:tabs>
                <w:tab w:val="left" w:pos="180"/>
              </w:tabs>
              <w:autoSpaceDE w:val="0"/>
              <w:autoSpaceDN w:val="0"/>
              <w:adjustRightInd w:val="0"/>
              <w:rPr>
                <w:noProof/>
                <w:lang w:val="it-IT"/>
              </w:rPr>
            </w:pPr>
          </w:p>
        </w:tc>
        <w:tc>
          <w:tcPr>
            <w:tcW w:w="1416" w:type="dxa"/>
            <w:tcPrChange w:id="974" w:author="Author">
              <w:tcPr>
                <w:tcW w:w="1240" w:type="dxa"/>
              </w:tcPr>
            </w:tcPrChange>
          </w:tcPr>
          <w:p>
            <w:pPr>
              <w:keepNext/>
              <w:keepLines/>
              <w:tabs>
                <w:tab w:val="left" w:pos="180"/>
              </w:tabs>
              <w:autoSpaceDE w:val="0"/>
              <w:autoSpaceDN w:val="0"/>
              <w:adjustRightInd w:val="0"/>
              <w:rPr>
                <w:noProof/>
                <w:sz w:val="20"/>
                <w:szCs w:val="22"/>
                <w:lang w:val="it-IT"/>
              </w:rPr>
            </w:pPr>
          </w:p>
        </w:tc>
      </w:tr>
      <w:tr>
        <w:tc>
          <w:tcPr>
            <w:tcW w:w="2052" w:type="dxa"/>
            <w:tcPrChange w:id="975" w:author="Author">
              <w:tcPr>
                <w:tcW w:w="1884" w:type="dxa"/>
              </w:tcPr>
            </w:tcPrChange>
          </w:tcPr>
          <w:p>
            <w:pPr>
              <w:keepNext/>
              <w:keepLines/>
              <w:tabs>
                <w:tab w:val="left" w:pos="180"/>
              </w:tabs>
              <w:autoSpaceDE w:val="0"/>
              <w:autoSpaceDN w:val="0"/>
              <w:adjustRightInd w:val="0"/>
              <w:rPr>
                <w:noProof/>
                <w:sz w:val="20"/>
                <w:szCs w:val="22"/>
                <w:lang w:val="it-IT"/>
              </w:rPr>
            </w:pPr>
          </w:p>
        </w:tc>
        <w:tc>
          <w:tcPr>
            <w:tcW w:w="2533" w:type="dxa"/>
            <w:tcPrChange w:id="976" w:author="Author">
              <w:tcPr>
                <w:tcW w:w="1938" w:type="dxa"/>
              </w:tcPr>
            </w:tcPrChange>
          </w:tcPr>
          <w:p>
            <w:pPr>
              <w:keepNext/>
              <w:keepLines/>
              <w:tabs>
                <w:tab w:val="left" w:pos="180"/>
              </w:tabs>
              <w:autoSpaceDE w:val="0"/>
              <w:autoSpaceDN w:val="0"/>
              <w:adjustRightInd w:val="0"/>
              <w:rPr>
                <w:noProof/>
                <w:lang w:val="it-IT"/>
              </w:rPr>
            </w:pPr>
            <w:r>
              <w:rPr>
                <w:noProof/>
                <w:lang w:val="it-IT"/>
              </w:rPr>
              <w:t xml:space="preserve">Reazioni </w:t>
            </w:r>
            <w:del w:id="977" w:author="Author">
              <w:r>
                <w:rPr>
                  <w:noProof/>
                  <w:lang w:val="it-IT"/>
                </w:rPr>
                <w:delText xml:space="preserve">dovute </w:delText>
              </w:r>
            </w:del>
            <w:ins w:id="978" w:author="Author">
              <w:r>
                <w:rPr>
                  <w:noProof/>
                  <w:lang w:val="it-IT"/>
                </w:rPr>
                <w:t xml:space="preserve">correlate </w:t>
              </w:r>
            </w:ins>
            <w:r>
              <w:rPr>
                <w:noProof/>
                <w:lang w:val="it-IT"/>
              </w:rPr>
              <w:t>all’infusione</w:t>
            </w:r>
          </w:p>
        </w:tc>
        <w:tc>
          <w:tcPr>
            <w:tcW w:w="1620" w:type="dxa"/>
            <w:tcPrChange w:id="979" w:author="Author">
              <w:tcPr>
                <w:tcW w:w="1832" w:type="dxa"/>
              </w:tcPr>
            </w:tcPrChange>
          </w:tcPr>
          <w:p>
            <w:pPr>
              <w:keepNext/>
              <w:keepLines/>
              <w:tabs>
                <w:tab w:val="left" w:pos="180"/>
              </w:tabs>
              <w:autoSpaceDE w:val="0"/>
              <w:autoSpaceDN w:val="0"/>
              <w:adjustRightInd w:val="0"/>
              <w:rPr>
                <w:noProof/>
                <w:lang w:val="it-IT"/>
              </w:rPr>
            </w:pPr>
          </w:p>
        </w:tc>
        <w:tc>
          <w:tcPr>
            <w:tcW w:w="1440" w:type="dxa"/>
            <w:tcPrChange w:id="980" w:author="Author">
              <w:tcPr>
                <w:tcW w:w="1426" w:type="dxa"/>
              </w:tcPr>
            </w:tcPrChange>
          </w:tcPr>
          <w:p>
            <w:pPr>
              <w:keepNext/>
              <w:keepLines/>
              <w:tabs>
                <w:tab w:val="left" w:pos="180"/>
              </w:tabs>
              <w:autoSpaceDE w:val="0"/>
              <w:autoSpaceDN w:val="0"/>
              <w:adjustRightInd w:val="0"/>
              <w:rPr>
                <w:noProof/>
                <w:lang w:val="it-IT"/>
              </w:rPr>
            </w:pPr>
            <w:r>
              <w:rPr>
                <w:noProof/>
                <w:lang w:val="it-IT"/>
              </w:rPr>
              <w:t>AIGp</w:t>
            </w:r>
            <w:r>
              <w:rPr>
                <w:noProof/>
                <w:vertAlign w:val="superscript"/>
                <w:lang w:val="it-IT"/>
              </w:rPr>
              <w:t>1</w:t>
            </w:r>
            <w:r>
              <w:rPr>
                <w:noProof/>
                <w:lang w:val="it-IT"/>
              </w:rPr>
              <w:t>, AIGs</w:t>
            </w:r>
            <w:r>
              <w:rPr>
                <w:noProof/>
                <w:vertAlign w:val="superscript"/>
                <w:lang w:val="it-IT"/>
              </w:rPr>
              <w:t>2</w:t>
            </w:r>
          </w:p>
        </w:tc>
        <w:tc>
          <w:tcPr>
            <w:tcW w:w="1416" w:type="dxa"/>
            <w:tcPrChange w:id="981" w:author="Author">
              <w:tcPr>
                <w:tcW w:w="1240" w:type="dxa"/>
              </w:tcPr>
            </w:tcPrChange>
          </w:tcPr>
          <w:p>
            <w:pPr>
              <w:keepNext/>
              <w:keepLines/>
              <w:tabs>
                <w:tab w:val="left" w:pos="180"/>
              </w:tabs>
              <w:autoSpaceDE w:val="0"/>
              <w:autoSpaceDN w:val="0"/>
              <w:adjustRightInd w:val="0"/>
              <w:rPr>
                <w:noProof/>
                <w:sz w:val="20"/>
                <w:szCs w:val="22"/>
                <w:lang w:val="it-IT"/>
              </w:rPr>
            </w:pPr>
          </w:p>
        </w:tc>
      </w:tr>
      <w:tr>
        <w:tc>
          <w:tcPr>
            <w:tcW w:w="4585" w:type="dxa"/>
            <w:gridSpan w:val="2"/>
            <w:tcPrChange w:id="982" w:author="Author">
              <w:tcPr>
                <w:tcW w:w="3822" w:type="dxa"/>
                <w:gridSpan w:val="2"/>
              </w:tcPr>
            </w:tcPrChange>
          </w:tcPr>
          <w:p>
            <w:pPr>
              <w:tabs>
                <w:tab w:val="left" w:pos="180"/>
              </w:tabs>
              <w:autoSpaceDE w:val="0"/>
              <w:autoSpaceDN w:val="0"/>
              <w:adjustRightInd w:val="0"/>
              <w:rPr>
                <w:noProof/>
                <w:sz w:val="20"/>
                <w:szCs w:val="22"/>
                <w:lang w:val="it-IT"/>
              </w:rPr>
            </w:pPr>
            <w:r>
              <w:rPr>
                <w:noProof/>
                <w:lang w:val="it-IT"/>
              </w:rPr>
              <w:t>Esami diagnostici</w:t>
            </w:r>
          </w:p>
        </w:tc>
        <w:tc>
          <w:tcPr>
            <w:tcW w:w="1620" w:type="dxa"/>
            <w:tcPrChange w:id="983" w:author="Author">
              <w:tcPr>
                <w:tcW w:w="1832" w:type="dxa"/>
              </w:tcPr>
            </w:tcPrChange>
          </w:tcPr>
          <w:p>
            <w:pPr>
              <w:tabs>
                <w:tab w:val="left" w:pos="180"/>
              </w:tabs>
              <w:autoSpaceDE w:val="0"/>
              <w:autoSpaceDN w:val="0"/>
              <w:adjustRightInd w:val="0"/>
              <w:rPr>
                <w:noProof/>
                <w:lang w:val="it-IT"/>
              </w:rPr>
            </w:pPr>
          </w:p>
        </w:tc>
        <w:tc>
          <w:tcPr>
            <w:tcW w:w="1440" w:type="dxa"/>
            <w:tcPrChange w:id="984" w:author="Author">
              <w:tcPr>
                <w:tcW w:w="1426" w:type="dxa"/>
              </w:tcPr>
            </w:tcPrChange>
          </w:tcPr>
          <w:p>
            <w:pPr>
              <w:tabs>
                <w:tab w:val="left" w:pos="180"/>
              </w:tabs>
              <w:autoSpaceDE w:val="0"/>
              <w:autoSpaceDN w:val="0"/>
              <w:adjustRightInd w:val="0"/>
              <w:rPr>
                <w:noProof/>
                <w:lang w:val="it-IT"/>
              </w:rPr>
            </w:pPr>
          </w:p>
        </w:tc>
        <w:tc>
          <w:tcPr>
            <w:tcW w:w="1416" w:type="dxa"/>
            <w:tcPrChange w:id="985" w:author="Author">
              <w:tcPr>
                <w:tcW w:w="1240" w:type="dxa"/>
              </w:tcPr>
            </w:tcPrChange>
          </w:tcPr>
          <w:p>
            <w:pPr>
              <w:tabs>
                <w:tab w:val="left" w:pos="180"/>
              </w:tabs>
              <w:autoSpaceDE w:val="0"/>
              <w:autoSpaceDN w:val="0"/>
              <w:adjustRightInd w:val="0"/>
              <w:rPr>
                <w:noProof/>
                <w:sz w:val="20"/>
                <w:szCs w:val="22"/>
                <w:lang w:val="it-IT"/>
              </w:rPr>
            </w:pPr>
          </w:p>
        </w:tc>
      </w:tr>
      <w:tr>
        <w:tc>
          <w:tcPr>
            <w:tcW w:w="2052" w:type="dxa"/>
            <w:tcPrChange w:id="986" w:author="Author">
              <w:tcPr>
                <w:tcW w:w="1884" w:type="dxa"/>
              </w:tcPr>
            </w:tcPrChange>
          </w:tcPr>
          <w:p>
            <w:pPr>
              <w:tabs>
                <w:tab w:val="left" w:pos="180"/>
              </w:tabs>
              <w:autoSpaceDE w:val="0"/>
              <w:autoSpaceDN w:val="0"/>
              <w:adjustRightInd w:val="0"/>
              <w:rPr>
                <w:noProof/>
                <w:sz w:val="20"/>
                <w:szCs w:val="22"/>
                <w:lang w:val="it-IT"/>
              </w:rPr>
            </w:pPr>
          </w:p>
        </w:tc>
        <w:tc>
          <w:tcPr>
            <w:tcW w:w="2533" w:type="dxa"/>
            <w:tcPrChange w:id="987" w:author="Author">
              <w:tcPr>
                <w:tcW w:w="1938" w:type="dxa"/>
              </w:tcPr>
            </w:tcPrChange>
          </w:tcPr>
          <w:p>
            <w:pPr>
              <w:tabs>
                <w:tab w:val="left" w:pos="180"/>
              </w:tabs>
              <w:autoSpaceDE w:val="0"/>
              <w:autoSpaceDN w:val="0"/>
              <w:adjustRightInd w:val="0"/>
              <w:rPr>
                <w:noProof/>
                <w:sz w:val="20"/>
                <w:szCs w:val="22"/>
                <w:lang w:val="it-IT"/>
              </w:rPr>
            </w:pPr>
            <w:r>
              <w:rPr>
                <w:noProof/>
                <w:lang w:val="it-IT"/>
              </w:rPr>
              <w:t>Transaminasi epatiche aumentate</w:t>
            </w:r>
          </w:p>
        </w:tc>
        <w:tc>
          <w:tcPr>
            <w:tcW w:w="1620" w:type="dxa"/>
            <w:tcPrChange w:id="988" w:author="Author">
              <w:tcPr>
                <w:tcW w:w="1832" w:type="dxa"/>
              </w:tcPr>
            </w:tcPrChange>
          </w:tcPr>
          <w:p>
            <w:pPr>
              <w:tabs>
                <w:tab w:val="left" w:pos="180"/>
              </w:tabs>
              <w:autoSpaceDE w:val="0"/>
              <w:autoSpaceDN w:val="0"/>
              <w:adjustRightInd w:val="0"/>
              <w:rPr>
                <w:noProof/>
                <w:sz w:val="20"/>
                <w:szCs w:val="22"/>
                <w:lang w:val="it-IT"/>
              </w:rPr>
            </w:pPr>
          </w:p>
        </w:tc>
        <w:tc>
          <w:tcPr>
            <w:tcW w:w="1440" w:type="dxa"/>
            <w:tcPrChange w:id="989" w:author="Author">
              <w:tcPr>
                <w:tcW w:w="1426" w:type="dxa"/>
              </w:tcPr>
            </w:tcPrChange>
          </w:tcPr>
          <w:p>
            <w:pPr>
              <w:tabs>
                <w:tab w:val="left" w:pos="180"/>
              </w:tabs>
              <w:autoSpaceDE w:val="0"/>
              <w:autoSpaceDN w:val="0"/>
              <w:adjustRightInd w:val="0"/>
              <w:rPr>
                <w:noProof/>
                <w:lang w:val="it-IT"/>
              </w:rPr>
            </w:pPr>
            <w:r>
              <w:rPr>
                <w:noProof/>
                <w:lang w:val="it-IT"/>
              </w:rPr>
              <w:t>AIGp</w:t>
            </w:r>
          </w:p>
        </w:tc>
        <w:tc>
          <w:tcPr>
            <w:tcW w:w="1416" w:type="dxa"/>
            <w:tcPrChange w:id="990" w:author="Author">
              <w:tcPr>
                <w:tcW w:w="1240" w:type="dxa"/>
              </w:tcPr>
            </w:tcPrChange>
          </w:tcPr>
          <w:p>
            <w:pPr>
              <w:tabs>
                <w:tab w:val="left" w:pos="180"/>
              </w:tabs>
              <w:autoSpaceDE w:val="0"/>
              <w:autoSpaceDN w:val="0"/>
              <w:adjustRightInd w:val="0"/>
              <w:rPr>
                <w:noProof/>
                <w:sz w:val="20"/>
                <w:szCs w:val="22"/>
                <w:lang w:val="it-IT"/>
              </w:rPr>
            </w:pPr>
          </w:p>
        </w:tc>
      </w:tr>
      <w:tr>
        <w:tc>
          <w:tcPr>
            <w:tcW w:w="2052" w:type="dxa"/>
            <w:tcPrChange w:id="991" w:author="Author">
              <w:tcPr>
                <w:tcW w:w="1884" w:type="dxa"/>
              </w:tcPr>
            </w:tcPrChange>
          </w:tcPr>
          <w:p>
            <w:pPr>
              <w:tabs>
                <w:tab w:val="left" w:pos="180"/>
              </w:tabs>
              <w:autoSpaceDE w:val="0"/>
              <w:autoSpaceDN w:val="0"/>
              <w:adjustRightInd w:val="0"/>
              <w:rPr>
                <w:noProof/>
                <w:sz w:val="20"/>
                <w:szCs w:val="22"/>
                <w:lang w:val="it-IT"/>
              </w:rPr>
            </w:pPr>
          </w:p>
        </w:tc>
        <w:tc>
          <w:tcPr>
            <w:tcW w:w="2533" w:type="dxa"/>
            <w:tcPrChange w:id="992" w:author="Author">
              <w:tcPr>
                <w:tcW w:w="1938" w:type="dxa"/>
              </w:tcPr>
            </w:tcPrChange>
          </w:tcPr>
          <w:p>
            <w:pPr>
              <w:tabs>
                <w:tab w:val="left" w:pos="180"/>
              </w:tabs>
              <w:autoSpaceDE w:val="0"/>
              <w:autoSpaceDN w:val="0"/>
              <w:adjustRightInd w:val="0"/>
              <w:rPr>
                <w:noProof/>
                <w:lang w:val="it-IT"/>
              </w:rPr>
            </w:pPr>
            <w:r>
              <w:rPr>
                <w:noProof/>
                <w:lang w:val="it-IT"/>
              </w:rPr>
              <w:t>Conta dei neutrofili diminuita</w:t>
            </w:r>
          </w:p>
        </w:tc>
        <w:tc>
          <w:tcPr>
            <w:tcW w:w="1620" w:type="dxa"/>
            <w:tcPrChange w:id="993" w:author="Author">
              <w:tcPr>
                <w:tcW w:w="1832" w:type="dxa"/>
              </w:tcPr>
            </w:tcPrChange>
          </w:tcPr>
          <w:p>
            <w:pPr>
              <w:tabs>
                <w:tab w:val="left" w:pos="180"/>
              </w:tabs>
              <w:autoSpaceDE w:val="0"/>
              <w:autoSpaceDN w:val="0"/>
              <w:adjustRightInd w:val="0"/>
              <w:rPr>
                <w:noProof/>
                <w:lang w:val="it-IT"/>
              </w:rPr>
            </w:pPr>
            <w:r>
              <w:rPr>
                <w:noProof/>
                <w:lang w:val="it-IT"/>
              </w:rPr>
              <w:t>AIGs</w:t>
            </w:r>
          </w:p>
        </w:tc>
        <w:tc>
          <w:tcPr>
            <w:tcW w:w="1440" w:type="dxa"/>
            <w:tcPrChange w:id="994" w:author="Author">
              <w:tcPr>
                <w:tcW w:w="1426" w:type="dxa"/>
              </w:tcPr>
            </w:tcPrChange>
          </w:tcPr>
          <w:p>
            <w:pPr>
              <w:tabs>
                <w:tab w:val="left" w:pos="180"/>
              </w:tabs>
              <w:autoSpaceDE w:val="0"/>
              <w:autoSpaceDN w:val="0"/>
              <w:adjustRightInd w:val="0"/>
              <w:rPr>
                <w:noProof/>
                <w:lang w:val="it-IT"/>
              </w:rPr>
            </w:pPr>
            <w:r>
              <w:rPr>
                <w:noProof/>
                <w:lang w:val="it-IT"/>
              </w:rPr>
              <w:t>AIGp</w:t>
            </w:r>
          </w:p>
        </w:tc>
        <w:tc>
          <w:tcPr>
            <w:tcW w:w="1416" w:type="dxa"/>
            <w:tcPrChange w:id="995" w:author="Author">
              <w:tcPr>
                <w:tcW w:w="1240" w:type="dxa"/>
              </w:tcPr>
            </w:tcPrChange>
          </w:tcPr>
          <w:p>
            <w:pPr>
              <w:tabs>
                <w:tab w:val="left" w:pos="180"/>
              </w:tabs>
              <w:autoSpaceDE w:val="0"/>
              <w:autoSpaceDN w:val="0"/>
              <w:adjustRightInd w:val="0"/>
              <w:rPr>
                <w:noProof/>
                <w:lang w:val="it-IT"/>
              </w:rPr>
            </w:pPr>
          </w:p>
        </w:tc>
      </w:tr>
      <w:tr>
        <w:tc>
          <w:tcPr>
            <w:tcW w:w="2052" w:type="dxa"/>
            <w:tcPrChange w:id="996" w:author="Author">
              <w:tcPr>
                <w:tcW w:w="1884" w:type="dxa"/>
              </w:tcPr>
            </w:tcPrChange>
          </w:tcPr>
          <w:p>
            <w:pPr>
              <w:tabs>
                <w:tab w:val="left" w:pos="180"/>
              </w:tabs>
              <w:autoSpaceDE w:val="0"/>
              <w:autoSpaceDN w:val="0"/>
              <w:adjustRightInd w:val="0"/>
              <w:rPr>
                <w:noProof/>
                <w:sz w:val="20"/>
                <w:szCs w:val="22"/>
                <w:lang w:val="it-IT"/>
              </w:rPr>
            </w:pPr>
          </w:p>
        </w:tc>
        <w:tc>
          <w:tcPr>
            <w:tcW w:w="2533" w:type="dxa"/>
            <w:tcPrChange w:id="997" w:author="Author">
              <w:tcPr>
                <w:tcW w:w="1938" w:type="dxa"/>
              </w:tcPr>
            </w:tcPrChange>
          </w:tcPr>
          <w:p>
            <w:pPr>
              <w:tabs>
                <w:tab w:val="left" w:pos="180"/>
              </w:tabs>
              <w:autoSpaceDE w:val="0"/>
              <w:autoSpaceDN w:val="0"/>
              <w:adjustRightInd w:val="0"/>
              <w:rPr>
                <w:noProof/>
                <w:lang w:val="it-IT"/>
              </w:rPr>
            </w:pPr>
            <w:r>
              <w:rPr>
                <w:noProof/>
                <w:lang w:val="it-IT"/>
              </w:rPr>
              <w:t>Conta delle piastrine diminuita</w:t>
            </w:r>
          </w:p>
        </w:tc>
        <w:tc>
          <w:tcPr>
            <w:tcW w:w="1620" w:type="dxa"/>
            <w:tcPrChange w:id="998" w:author="Author">
              <w:tcPr>
                <w:tcW w:w="1832" w:type="dxa"/>
              </w:tcPr>
            </w:tcPrChange>
          </w:tcPr>
          <w:p>
            <w:pPr>
              <w:tabs>
                <w:tab w:val="left" w:pos="180"/>
              </w:tabs>
              <w:autoSpaceDE w:val="0"/>
              <w:autoSpaceDN w:val="0"/>
              <w:adjustRightInd w:val="0"/>
              <w:rPr>
                <w:noProof/>
                <w:lang w:val="it-IT"/>
              </w:rPr>
            </w:pPr>
          </w:p>
        </w:tc>
        <w:tc>
          <w:tcPr>
            <w:tcW w:w="1440" w:type="dxa"/>
            <w:tcPrChange w:id="999" w:author="Author">
              <w:tcPr>
                <w:tcW w:w="1426" w:type="dxa"/>
              </w:tcPr>
            </w:tcPrChange>
          </w:tcPr>
          <w:p>
            <w:pPr>
              <w:tabs>
                <w:tab w:val="left" w:pos="180"/>
              </w:tabs>
              <w:autoSpaceDE w:val="0"/>
              <w:autoSpaceDN w:val="0"/>
              <w:adjustRightInd w:val="0"/>
              <w:rPr>
                <w:noProof/>
                <w:lang w:val="it-IT"/>
              </w:rPr>
            </w:pPr>
            <w:r>
              <w:rPr>
                <w:noProof/>
                <w:lang w:val="it-IT"/>
              </w:rPr>
              <w:t>AIGs</w:t>
            </w:r>
          </w:p>
        </w:tc>
        <w:tc>
          <w:tcPr>
            <w:tcW w:w="1416" w:type="dxa"/>
            <w:tcPrChange w:id="1000" w:author="Author">
              <w:tcPr>
                <w:tcW w:w="1240" w:type="dxa"/>
              </w:tcPr>
            </w:tcPrChange>
          </w:tcPr>
          <w:p>
            <w:pPr>
              <w:tabs>
                <w:tab w:val="left" w:pos="180"/>
              </w:tabs>
              <w:autoSpaceDE w:val="0"/>
              <w:autoSpaceDN w:val="0"/>
              <w:adjustRightInd w:val="0"/>
              <w:rPr>
                <w:noProof/>
                <w:lang w:val="it-IT"/>
              </w:rPr>
            </w:pPr>
            <w:r>
              <w:rPr>
                <w:noProof/>
                <w:lang w:val="it-IT"/>
              </w:rPr>
              <w:t>AIGp</w:t>
            </w:r>
          </w:p>
        </w:tc>
      </w:tr>
      <w:tr>
        <w:tc>
          <w:tcPr>
            <w:tcW w:w="2052" w:type="dxa"/>
            <w:tcPrChange w:id="1001" w:author="Author">
              <w:tcPr>
                <w:tcW w:w="1884" w:type="dxa"/>
              </w:tcPr>
            </w:tcPrChange>
          </w:tcPr>
          <w:p>
            <w:pPr>
              <w:tabs>
                <w:tab w:val="left" w:pos="180"/>
              </w:tabs>
              <w:autoSpaceDE w:val="0"/>
              <w:autoSpaceDN w:val="0"/>
              <w:adjustRightInd w:val="0"/>
              <w:rPr>
                <w:noProof/>
                <w:sz w:val="20"/>
                <w:szCs w:val="22"/>
                <w:lang w:val="it-IT"/>
              </w:rPr>
            </w:pPr>
          </w:p>
        </w:tc>
        <w:tc>
          <w:tcPr>
            <w:tcW w:w="2533" w:type="dxa"/>
            <w:tcPrChange w:id="1002" w:author="Author">
              <w:tcPr>
                <w:tcW w:w="1938" w:type="dxa"/>
              </w:tcPr>
            </w:tcPrChange>
          </w:tcPr>
          <w:p>
            <w:pPr>
              <w:tabs>
                <w:tab w:val="left" w:pos="180"/>
              </w:tabs>
              <w:autoSpaceDE w:val="0"/>
              <w:autoSpaceDN w:val="0"/>
              <w:adjustRightInd w:val="0"/>
              <w:rPr>
                <w:noProof/>
                <w:lang w:val="it-IT"/>
              </w:rPr>
            </w:pPr>
            <w:r>
              <w:rPr>
                <w:noProof/>
                <w:lang w:val="it-IT"/>
              </w:rPr>
              <w:t>Colesterolo aumentato</w:t>
            </w:r>
          </w:p>
        </w:tc>
        <w:tc>
          <w:tcPr>
            <w:tcW w:w="1620" w:type="dxa"/>
            <w:tcPrChange w:id="1003" w:author="Author">
              <w:tcPr>
                <w:tcW w:w="1832" w:type="dxa"/>
              </w:tcPr>
            </w:tcPrChange>
          </w:tcPr>
          <w:p>
            <w:pPr>
              <w:tabs>
                <w:tab w:val="left" w:pos="180"/>
              </w:tabs>
              <w:autoSpaceDE w:val="0"/>
              <w:autoSpaceDN w:val="0"/>
              <w:adjustRightInd w:val="0"/>
              <w:rPr>
                <w:noProof/>
                <w:lang w:val="it-IT"/>
              </w:rPr>
            </w:pPr>
          </w:p>
        </w:tc>
        <w:tc>
          <w:tcPr>
            <w:tcW w:w="1440" w:type="dxa"/>
            <w:tcPrChange w:id="1004" w:author="Author">
              <w:tcPr>
                <w:tcW w:w="1426" w:type="dxa"/>
              </w:tcPr>
            </w:tcPrChange>
          </w:tcPr>
          <w:p>
            <w:pPr>
              <w:tabs>
                <w:tab w:val="left" w:pos="180"/>
              </w:tabs>
              <w:autoSpaceDE w:val="0"/>
              <w:autoSpaceDN w:val="0"/>
              <w:adjustRightInd w:val="0"/>
              <w:rPr>
                <w:noProof/>
                <w:lang w:val="it-IT"/>
              </w:rPr>
            </w:pPr>
            <w:r>
              <w:rPr>
                <w:noProof/>
                <w:lang w:val="it-IT"/>
              </w:rPr>
              <w:t>AIGs</w:t>
            </w:r>
          </w:p>
        </w:tc>
        <w:tc>
          <w:tcPr>
            <w:tcW w:w="1416" w:type="dxa"/>
            <w:tcPrChange w:id="1005" w:author="Author">
              <w:tcPr>
                <w:tcW w:w="1240" w:type="dxa"/>
              </w:tcPr>
            </w:tcPrChange>
          </w:tcPr>
          <w:p>
            <w:pPr>
              <w:tabs>
                <w:tab w:val="left" w:pos="180"/>
              </w:tabs>
              <w:autoSpaceDE w:val="0"/>
              <w:autoSpaceDN w:val="0"/>
              <w:adjustRightInd w:val="0"/>
              <w:rPr>
                <w:noProof/>
                <w:lang w:val="it-IT"/>
              </w:rPr>
            </w:pPr>
            <w:r>
              <w:rPr>
                <w:noProof/>
                <w:lang w:val="it-IT"/>
              </w:rPr>
              <w:t>AIGp</w:t>
            </w:r>
          </w:p>
        </w:tc>
      </w:tr>
    </w:tbl>
    <w:p>
      <w:pPr>
        <w:tabs>
          <w:tab w:val="left" w:pos="180"/>
        </w:tabs>
        <w:rPr>
          <w:del w:id="1006" w:author="Author"/>
          <w:noProof/>
          <w:sz w:val="20"/>
          <w:lang w:val="it-IT"/>
        </w:rPr>
      </w:pPr>
    </w:p>
    <w:p>
      <w:pPr>
        <w:tabs>
          <w:tab w:val="left" w:pos="180"/>
        </w:tabs>
        <w:autoSpaceDE w:val="0"/>
        <w:autoSpaceDN w:val="0"/>
        <w:adjustRightInd w:val="0"/>
        <w:rPr>
          <w:rFonts w:cs="Arial"/>
          <w:noProof/>
          <w:sz w:val="18"/>
          <w:szCs w:val="18"/>
          <w:lang w:val="it-IT" w:eastAsia="de-DE"/>
        </w:rPr>
      </w:pPr>
      <w:r>
        <w:rPr>
          <w:rFonts w:cs="Arial"/>
          <w:noProof/>
          <w:sz w:val="18"/>
          <w:szCs w:val="18"/>
          <w:lang w:val="it-IT" w:eastAsia="de-DE"/>
        </w:rPr>
        <w:t xml:space="preserve">1. </w:t>
      </w:r>
      <w:del w:id="1007" w:author="Author">
        <w:r>
          <w:rPr>
            <w:rFonts w:cs="Arial"/>
            <w:noProof/>
            <w:sz w:val="18"/>
            <w:szCs w:val="18"/>
            <w:lang w:val="it-IT" w:eastAsia="de-DE"/>
          </w:rPr>
          <w:delText xml:space="preserve"> </w:delText>
        </w:r>
      </w:del>
      <w:r>
        <w:rPr>
          <w:rFonts w:cs="Arial"/>
          <w:noProof/>
          <w:sz w:val="18"/>
          <w:szCs w:val="18"/>
          <w:lang w:val="it-IT" w:eastAsia="de-DE"/>
        </w:rPr>
        <w:t>Reazioni relative all’infusione in pazienti con AIGp incluse ma non limitate a cefalea, nausea e ipotensione</w:t>
      </w:r>
    </w:p>
    <w:p>
      <w:pPr>
        <w:tabs>
          <w:tab w:val="left" w:pos="180"/>
        </w:tabs>
        <w:autoSpaceDE w:val="0"/>
        <w:autoSpaceDN w:val="0"/>
        <w:adjustRightInd w:val="0"/>
        <w:rPr>
          <w:rFonts w:cs="Arial"/>
          <w:noProof/>
          <w:sz w:val="18"/>
          <w:szCs w:val="18"/>
          <w:lang w:val="it-IT" w:eastAsia="de-DE"/>
        </w:rPr>
      </w:pPr>
      <w:r>
        <w:rPr>
          <w:rFonts w:cs="Arial"/>
          <w:noProof/>
          <w:sz w:val="18"/>
          <w:szCs w:val="18"/>
          <w:lang w:val="it-IT" w:eastAsia="de-DE"/>
        </w:rPr>
        <w:t xml:space="preserve">2. </w:t>
      </w:r>
      <w:del w:id="1008" w:author="Author">
        <w:r>
          <w:rPr>
            <w:rFonts w:cs="Arial"/>
            <w:noProof/>
            <w:sz w:val="18"/>
            <w:szCs w:val="18"/>
            <w:lang w:val="it-IT" w:eastAsia="de-DE"/>
          </w:rPr>
          <w:delText xml:space="preserve"> </w:delText>
        </w:r>
      </w:del>
      <w:r>
        <w:rPr>
          <w:rFonts w:cs="Arial"/>
          <w:noProof/>
          <w:sz w:val="18"/>
          <w:szCs w:val="18"/>
          <w:lang w:val="it-IT" w:eastAsia="de-DE"/>
        </w:rPr>
        <w:t xml:space="preserve">Reazioni </w:t>
      </w:r>
      <w:del w:id="1009" w:author="Author">
        <w:r>
          <w:rPr>
            <w:rFonts w:cs="Arial"/>
            <w:noProof/>
            <w:sz w:val="18"/>
            <w:szCs w:val="18"/>
            <w:lang w:val="it-IT" w:eastAsia="de-DE"/>
          </w:rPr>
          <w:delText xml:space="preserve">relative </w:delText>
        </w:r>
      </w:del>
      <w:ins w:id="1010" w:author="Author">
        <w:r>
          <w:rPr>
            <w:rFonts w:cs="Arial"/>
            <w:noProof/>
            <w:sz w:val="18"/>
            <w:szCs w:val="18"/>
            <w:lang w:val="it-IT" w:eastAsia="de-DE"/>
          </w:rPr>
          <w:t xml:space="preserve">correlate </w:t>
        </w:r>
      </w:ins>
      <w:r>
        <w:rPr>
          <w:rFonts w:cs="Arial"/>
          <w:noProof/>
          <w:sz w:val="18"/>
          <w:szCs w:val="18"/>
          <w:lang w:val="it-IT" w:eastAsia="de-DE"/>
        </w:rPr>
        <w:t>all’infusione in pazienti con AIGp incluse ma non limitate ad eruzione cutanea, orticaria, diarrea, fastidio epigastrico, artralgia e cefalea.</w:t>
      </w:r>
    </w:p>
    <w:p>
      <w:pPr>
        <w:tabs>
          <w:tab w:val="left" w:pos="180"/>
        </w:tabs>
        <w:rPr>
          <w:del w:id="1011" w:author="Author"/>
          <w:noProof/>
          <w:lang w:val="it-IT"/>
        </w:rPr>
      </w:pPr>
    </w:p>
    <w:p>
      <w:pPr>
        <w:tabs>
          <w:tab w:val="left" w:pos="180"/>
        </w:tabs>
        <w:rPr>
          <w:noProof/>
          <w:lang w:val="it-IT"/>
        </w:rPr>
      </w:pPr>
    </w:p>
    <w:p>
      <w:pPr>
        <w:keepNext/>
        <w:keepLines/>
        <w:tabs>
          <w:tab w:val="left" w:pos="180"/>
        </w:tabs>
        <w:rPr>
          <w:noProof/>
          <w:u w:val="single"/>
          <w:lang w:val="it-IT"/>
        </w:rPr>
        <w:pPrChange w:id="1012" w:author="Author">
          <w:pPr>
            <w:tabs>
              <w:tab w:val="left" w:pos="180"/>
            </w:tabs>
          </w:pPr>
        </w:pPrChange>
      </w:pPr>
      <w:r>
        <w:rPr>
          <w:noProof/>
          <w:u w:val="single"/>
          <w:lang w:val="it-IT"/>
        </w:rPr>
        <w:t>Descrizione delle reazioni avverse selezionate</w:t>
      </w:r>
    </w:p>
    <w:p>
      <w:pPr>
        <w:keepNext/>
        <w:keepLines/>
        <w:tabs>
          <w:tab w:val="left" w:pos="180"/>
        </w:tabs>
        <w:rPr>
          <w:ins w:id="1013" w:author="Author"/>
          <w:i/>
          <w:iCs/>
          <w:noProof/>
          <w:lang w:val="it-IT"/>
        </w:rPr>
        <w:pPrChange w:id="1014" w:author="Author">
          <w:pPr>
            <w:tabs>
              <w:tab w:val="left" w:pos="180"/>
            </w:tabs>
          </w:pPr>
        </w:pPrChange>
      </w:pPr>
      <w:r>
        <w:rPr>
          <w:i/>
          <w:iCs/>
          <w:noProof/>
          <w:lang w:val="it-IT"/>
        </w:rPr>
        <w:t>Pazienti affetti da AR</w:t>
      </w:r>
    </w:p>
    <w:p>
      <w:pPr>
        <w:keepNext/>
        <w:keepLines/>
        <w:tabs>
          <w:tab w:val="left" w:pos="180"/>
        </w:tabs>
        <w:rPr>
          <w:i/>
          <w:iCs/>
          <w:noProof/>
          <w:lang w:val="it-IT"/>
        </w:rPr>
        <w:pPrChange w:id="1015" w:author="Author">
          <w:pPr>
            <w:tabs>
              <w:tab w:val="left" w:pos="180"/>
            </w:tabs>
          </w:pPr>
        </w:pPrChange>
      </w:pPr>
    </w:p>
    <w:p>
      <w:pPr>
        <w:keepNext/>
        <w:keepLines/>
        <w:tabs>
          <w:tab w:val="left" w:pos="180"/>
        </w:tabs>
        <w:rPr>
          <w:del w:id="1016" w:author="Author"/>
          <w:i/>
          <w:iCs/>
          <w:noProof/>
          <w:lang w:val="it-IT"/>
        </w:rPr>
        <w:pPrChange w:id="1017" w:author="Author">
          <w:pPr>
            <w:tabs>
              <w:tab w:val="left" w:pos="180"/>
            </w:tabs>
          </w:pPr>
        </w:pPrChange>
      </w:pPr>
    </w:p>
    <w:p>
      <w:pPr>
        <w:keepNext/>
        <w:keepLines/>
        <w:tabs>
          <w:tab w:val="left" w:pos="180"/>
        </w:tabs>
        <w:ind w:left="567" w:hanging="567"/>
        <w:outlineLvl w:val="0"/>
        <w:rPr>
          <w:noProof/>
          <w:u w:val="single"/>
          <w:lang w:val="it-IT"/>
        </w:rPr>
      </w:pPr>
      <w:r>
        <w:rPr>
          <w:i/>
          <w:noProof/>
          <w:u w:val="single"/>
          <w:lang w:val="it-IT"/>
        </w:rPr>
        <w:t>Infezioni</w:t>
      </w:r>
    </w:p>
    <w:p>
      <w:pPr>
        <w:tabs>
          <w:tab w:val="left" w:pos="180"/>
        </w:tabs>
        <w:rPr>
          <w:noProof/>
          <w:lang w:val="it-IT"/>
        </w:rPr>
        <w:pPrChange w:id="1018" w:author="Author">
          <w:pPr>
            <w:keepNext/>
            <w:keepLines/>
            <w:tabs>
              <w:tab w:val="left" w:pos="180"/>
            </w:tabs>
          </w:pPr>
        </w:pPrChange>
      </w:pPr>
      <w:r>
        <w:rPr>
          <w:noProof/>
          <w:lang w:val="it-IT"/>
        </w:rPr>
        <w:t>Negli studi</w:t>
      </w:r>
      <w:ins w:id="1019" w:author="Author">
        <w:r>
          <w:rPr>
            <w:noProof/>
            <w:lang w:val="it-IT"/>
          </w:rPr>
          <w:t xml:space="preserve"> clinici</w:t>
        </w:r>
      </w:ins>
      <w:r>
        <w:rPr>
          <w:noProof/>
          <w:lang w:val="it-IT"/>
        </w:rPr>
        <w:t xml:space="preserve"> controllati a 6 mesi, la frequenza di infezioni di tutti i tipi riferite con tocilizumab alla dose di 8 mg/kg associato al trattamento con un DMARD è stata di 127 eventi ogni 100 anni-paziente rispetto a 112 eventi ogni 100 anni-paziente nel gruppo trattato con placebo più DMARD. Nella popolazione </w:t>
      </w:r>
      <w:r>
        <w:rPr>
          <w:noProof/>
          <w:szCs w:val="22"/>
          <w:lang w:val="it-IT"/>
        </w:rPr>
        <w:t>esposta a lungo termine</w:t>
      </w:r>
      <w:r>
        <w:rPr>
          <w:noProof/>
          <w:lang w:val="it-IT"/>
        </w:rPr>
        <w:t>, la frequenza complessiva di infezioni associate all’</w:t>
      </w:r>
      <w:r>
        <w:rPr>
          <w:noProof/>
          <w:szCs w:val="22"/>
          <w:lang w:val="it-IT"/>
        </w:rPr>
        <w:t>utilizzo di</w:t>
      </w:r>
      <w:r>
        <w:rPr>
          <w:noProof/>
          <w:lang w:val="it-IT"/>
        </w:rPr>
        <w:t xml:space="preserve"> tocilizumab è stata di 108 eventi ogni 100 anni-paziente.</w:t>
      </w:r>
    </w:p>
    <w:p>
      <w:pPr>
        <w:tabs>
          <w:tab w:val="left" w:pos="180"/>
        </w:tabs>
        <w:rPr>
          <w:noProof/>
          <w:lang w:val="it-IT"/>
        </w:rPr>
      </w:pPr>
    </w:p>
    <w:p>
      <w:pPr>
        <w:tabs>
          <w:tab w:val="left" w:pos="180"/>
        </w:tabs>
        <w:rPr>
          <w:noProof/>
          <w:lang w:val="it-IT"/>
        </w:rPr>
      </w:pPr>
      <w:r>
        <w:rPr>
          <w:noProof/>
          <w:lang w:val="it-IT"/>
        </w:rPr>
        <w:t>Negli studi clinici controllati a 6 mesi, la frequenza di infezioni gravi riferite con tocilizumab alla dose di 8 mg/kg associato al trattamento con DMARD è stata di 5,3 eventi ogni 100 anni-paziente rispetto a 3,9 eventi ogni 100 anni-paziente nel gruppo trattato con placebo più DMARD. Nello studio</w:t>
      </w:r>
      <w:ins w:id="1020" w:author="Author">
        <w:r>
          <w:rPr>
            <w:noProof/>
            <w:lang w:val="it-IT"/>
          </w:rPr>
          <w:t xml:space="preserve"> clinico</w:t>
        </w:r>
      </w:ins>
      <w:r>
        <w:rPr>
          <w:noProof/>
          <w:lang w:val="it-IT"/>
        </w:rPr>
        <w:t xml:space="preserve"> sulla monoterapia, la frequenza di infezioni gravi è stata di 3,6 eventi ogni 100 anni-paziente nel gruppo trattato con tocilizumab e di 1,5 eventi ogni 100 anni-paziente nel gruppo trattato con MTX.</w:t>
      </w:r>
    </w:p>
    <w:p>
      <w:pPr>
        <w:tabs>
          <w:tab w:val="left" w:pos="180"/>
        </w:tabs>
        <w:rPr>
          <w:noProof/>
          <w:lang w:val="it-IT"/>
        </w:rPr>
      </w:pPr>
    </w:p>
    <w:p>
      <w:pPr>
        <w:tabs>
          <w:tab w:val="left" w:pos="180"/>
        </w:tabs>
        <w:rPr>
          <w:noProof/>
          <w:lang w:val="it-IT"/>
        </w:rPr>
      </w:pPr>
      <w:r>
        <w:rPr>
          <w:noProof/>
          <w:lang w:val="it-IT"/>
        </w:rPr>
        <w:t xml:space="preserve">Nella popolazione </w:t>
      </w:r>
      <w:r>
        <w:rPr>
          <w:noProof/>
          <w:szCs w:val="22"/>
          <w:lang w:val="it-IT"/>
        </w:rPr>
        <w:t>esposta</w:t>
      </w:r>
      <w:r>
        <w:rPr>
          <w:noProof/>
          <w:lang w:val="it-IT"/>
        </w:rPr>
        <w:t xml:space="preserve"> a lungo termine, la frequenza complessiva di infezioni gravi (batteriche, virali e fungine) è stata di 4,7 eventi ogni 100 anni-paziente. </w:t>
      </w:r>
      <w:del w:id="1021" w:author="Author">
        <w:r>
          <w:rPr>
            <w:noProof/>
            <w:lang w:val="it-IT"/>
          </w:rPr>
          <w:delText>Tra l</w:delText>
        </w:r>
      </w:del>
      <w:ins w:id="1022" w:author="Author">
        <w:r>
          <w:rPr>
            <w:noProof/>
            <w:lang w:val="it-IT"/>
          </w:rPr>
          <w:t>L</w:t>
        </w:r>
      </w:ins>
      <w:r>
        <w:rPr>
          <w:noProof/>
          <w:lang w:val="it-IT"/>
        </w:rPr>
        <w:t xml:space="preserve">e infezioni gravi </w:t>
      </w:r>
      <w:del w:id="1023" w:author="Author">
        <w:r>
          <w:rPr>
            <w:noProof/>
            <w:lang w:val="it-IT"/>
          </w:rPr>
          <w:delText>riferite</w:delText>
        </w:r>
      </w:del>
      <w:ins w:id="1024" w:author="Author">
        <w:r>
          <w:rPr>
            <w:noProof/>
            <w:lang w:val="it-IT"/>
          </w:rPr>
          <w:t>riportate</w:t>
        </w:r>
      </w:ins>
      <w:r>
        <w:rPr>
          <w:noProof/>
          <w:lang w:val="it-IT"/>
        </w:rPr>
        <w:t xml:space="preserve">, alcune con esito fatale, </w:t>
      </w:r>
      <w:del w:id="1025" w:author="Author">
        <w:r>
          <w:rPr>
            <w:noProof/>
            <w:lang w:val="it-IT"/>
          </w:rPr>
          <w:delText xml:space="preserve">vi </w:delText>
        </w:r>
      </w:del>
      <w:r>
        <w:rPr>
          <w:noProof/>
          <w:lang w:val="it-IT"/>
        </w:rPr>
        <w:t xml:space="preserve">sono state tubercolosi attiva, che si poteva presentare con malattia intrapolmonare o </w:t>
      </w:r>
      <w:r>
        <w:rPr>
          <w:noProof/>
          <w:lang w:val="it-IT"/>
        </w:rPr>
        <w:lastRenderedPageBreak/>
        <w:t>extrapolmonare, infezioni polmonari invasive, incluse la candidosi, l’aspergillosi, la coccidioidomicosi e la pneumocistosi, polmonite, cellulite, herpes zoster, gastroenterite, diverticolite, sepsi e artrite batterica. Sono stati riferiti casi di infezioni opportunistiche.</w:t>
      </w:r>
    </w:p>
    <w:p>
      <w:pPr>
        <w:tabs>
          <w:tab w:val="left" w:pos="180"/>
        </w:tabs>
        <w:rPr>
          <w:noProof/>
          <w:u w:val="single"/>
          <w:lang w:val="it-IT"/>
        </w:rPr>
      </w:pPr>
    </w:p>
    <w:p>
      <w:pPr>
        <w:keepNext/>
        <w:keepLines/>
        <w:tabs>
          <w:tab w:val="left" w:pos="180"/>
        </w:tabs>
        <w:rPr>
          <w:i/>
          <w:noProof/>
          <w:u w:val="single"/>
          <w:lang w:val="it-IT"/>
        </w:rPr>
        <w:pPrChange w:id="1026" w:author="Author">
          <w:pPr>
            <w:tabs>
              <w:tab w:val="left" w:pos="180"/>
            </w:tabs>
          </w:pPr>
        </w:pPrChange>
      </w:pPr>
      <w:r>
        <w:rPr>
          <w:i/>
          <w:noProof/>
          <w:u w:val="single"/>
          <w:lang w:val="it-IT"/>
        </w:rPr>
        <w:t>Patologia polmonare interstiziale</w:t>
      </w:r>
    </w:p>
    <w:p>
      <w:pPr>
        <w:tabs>
          <w:tab w:val="left" w:pos="180"/>
        </w:tabs>
        <w:rPr>
          <w:noProof/>
          <w:lang w:val="it-IT"/>
        </w:rPr>
      </w:pPr>
      <w:r>
        <w:rPr>
          <w:noProof/>
          <w:lang w:val="it-IT"/>
        </w:rPr>
        <w:t>La funzionalità polmonare compromessa può aumentare il rischio di sviluppare infezioni. Vi sono state segnalazioni post-marketing di patologie polmonari interstiziali (incluse polmonite e fibrosi polmonare), alcune delle quali con esito fatale.</w:t>
      </w:r>
    </w:p>
    <w:p>
      <w:pPr>
        <w:tabs>
          <w:tab w:val="left" w:pos="180"/>
        </w:tabs>
        <w:rPr>
          <w:noProof/>
          <w:lang w:val="it-IT"/>
        </w:rPr>
      </w:pPr>
    </w:p>
    <w:p>
      <w:pPr>
        <w:tabs>
          <w:tab w:val="left" w:pos="180"/>
        </w:tabs>
        <w:rPr>
          <w:i/>
          <w:noProof/>
          <w:u w:val="single"/>
          <w:lang w:val="it-IT"/>
        </w:rPr>
      </w:pPr>
      <w:r>
        <w:rPr>
          <w:i/>
          <w:noProof/>
          <w:u w:val="single"/>
          <w:lang w:val="it-IT"/>
        </w:rPr>
        <w:t>Perforazione gastrointestinale</w:t>
      </w:r>
    </w:p>
    <w:p>
      <w:pPr>
        <w:tabs>
          <w:tab w:val="left" w:pos="180"/>
        </w:tabs>
        <w:outlineLvl w:val="0"/>
        <w:rPr>
          <w:noProof/>
          <w:lang w:val="it-IT"/>
        </w:rPr>
      </w:pPr>
      <w:r>
        <w:rPr>
          <w:noProof/>
          <w:lang w:val="it-IT"/>
        </w:rPr>
        <w:t xml:space="preserve">Durante gli studi clinici controllati a 6 mesi, la frequenza complessiva di perforazione gastrointestinale è stata di 0,26 eventi per 100 anni-paziente in corso di terapia con tocilizumab. Nella popolazione </w:t>
      </w:r>
      <w:r>
        <w:rPr>
          <w:noProof/>
          <w:szCs w:val="22"/>
          <w:lang w:val="it-IT"/>
        </w:rPr>
        <w:t>esposta</w:t>
      </w:r>
      <w:r>
        <w:rPr>
          <w:noProof/>
          <w:lang w:val="it-IT"/>
        </w:rPr>
        <w:t xml:space="preserve"> a lungo termine, la frequenza complessiva di perforazione gastrointestinale è stata di 0,28 eventi per 100 anni-paziente. I casi di perforazione gastrointestinale con il trattamento sono stati principalmente riportati come complicanze della diverticolite, tra cui peritonite purulenta generalizzata, perforazione del tratto gastrointestinale inferiore, fistole e ascessi.</w:t>
      </w:r>
    </w:p>
    <w:p>
      <w:pPr>
        <w:tabs>
          <w:tab w:val="left" w:pos="180"/>
        </w:tabs>
        <w:ind w:left="567" w:hanging="567"/>
        <w:outlineLvl w:val="0"/>
        <w:rPr>
          <w:i/>
          <w:noProof/>
          <w:lang w:val="it-IT"/>
        </w:rPr>
      </w:pPr>
    </w:p>
    <w:p>
      <w:pPr>
        <w:keepNext/>
        <w:keepLines/>
        <w:tabs>
          <w:tab w:val="left" w:pos="180"/>
        </w:tabs>
        <w:ind w:left="567" w:hanging="567"/>
        <w:outlineLvl w:val="0"/>
        <w:rPr>
          <w:noProof/>
          <w:u w:val="single"/>
          <w:lang w:val="it-IT"/>
        </w:rPr>
      </w:pPr>
      <w:r>
        <w:rPr>
          <w:i/>
          <w:noProof/>
          <w:u w:val="single"/>
          <w:lang w:val="it-IT"/>
        </w:rPr>
        <w:t>Reazioni correlate all’infusione</w:t>
      </w:r>
    </w:p>
    <w:p>
      <w:pPr>
        <w:keepNext/>
        <w:keepLines/>
        <w:tabs>
          <w:tab w:val="left" w:pos="180"/>
        </w:tabs>
        <w:rPr>
          <w:noProof/>
          <w:lang w:val="it-IT"/>
        </w:rPr>
      </w:pPr>
      <w:r>
        <w:rPr>
          <w:noProof/>
          <w:lang w:val="it-IT"/>
        </w:rPr>
        <w:t>Negli studi clinici controllati a sei mesi, eventi avversi associati all'infusione (eventi selezionati verificatisi durante l’infusione o entro 24 ore dall’infusione) sono stati riferiti dal 6,9% dei pazienti del gruppo trattato con tocilizumab alla dose di 8 mg/kg più DMARD e dal 5,1% dei pazienti del gruppo trattato con placebo più DMARD. Gli eventi rilevati durante l’infusione sono stati principalmente episodi di ipertensione; gli eventi rilevati entro 24 ore dalla fine dell’infusione sono stati cefalea e reazioni cutanee (rash, orticaria). Tali eventi non hanno determinato limitazioni al trattamento.</w:t>
      </w:r>
    </w:p>
    <w:p>
      <w:pPr>
        <w:tabs>
          <w:tab w:val="left" w:pos="180"/>
        </w:tabs>
        <w:rPr>
          <w:noProof/>
          <w:lang w:val="it-IT"/>
        </w:rPr>
      </w:pPr>
    </w:p>
    <w:p>
      <w:pPr>
        <w:tabs>
          <w:tab w:val="left" w:pos="180"/>
        </w:tabs>
        <w:rPr>
          <w:noProof/>
          <w:lang w:val="it-IT"/>
        </w:rPr>
      </w:pPr>
      <w:r>
        <w:rPr>
          <w:noProof/>
          <w:lang w:val="it-IT"/>
        </w:rPr>
        <w:t>La frequenza di reazioni anafilattiche (verificatesi in un totale di 8</w:t>
      </w:r>
      <w:ins w:id="1027" w:author="Author">
        <w:r>
          <w:rPr>
            <w:noProof/>
            <w:lang w:val="it-IT"/>
          </w:rPr>
          <w:t> </w:t>
        </w:r>
      </w:ins>
      <w:del w:id="1028" w:author="Author">
        <w:r>
          <w:rPr>
            <w:noProof/>
            <w:lang w:val="it-IT"/>
          </w:rPr>
          <w:delText xml:space="preserve"> </w:delText>
        </w:r>
      </w:del>
      <w:r>
        <w:rPr>
          <w:noProof/>
          <w:lang w:val="it-IT"/>
        </w:rPr>
        <w:t>pazienti su 4</w:t>
      </w:r>
      <w:del w:id="1029" w:author="Author">
        <w:r>
          <w:rPr>
            <w:noProof/>
            <w:lang w:val="it-IT"/>
          </w:rPr>
          <w:delText>.</w:delText>
        </w:r>
      </w:del>
      <w:ins w:id="1030" w:author="Author">
        <w:r>
          <w:rPr>
            <w:noProof/>
            <w:lang w:val="it-IT"/>
          </w:rPr>
          <w:t> </w:t>
        </w:r>
      </w:ins>
      <w:r>
        <w:rPr>
          <w:noProof/>
          <w:lang w:val="it-IT"/>
        </w:rPr>
        <w:t>009, 0,2%) è risultata di diverse volte maggiore con la dose di 4 mg/kg rispetto alla dose di 8 mg/kg. Reazioni di ipersensibilità clinicamente significative associate a tocilizumab e che hanno richiesto l’interruzione del trattamento sono state riferite in un totale di 56 pazienti su 4</w:t>
      </w:r>
      <w:del w:id="1031" w:author="Author">
        <w:r>
          <w:rPr>
            <w:noProof/>
            <w:lang w:val="it-IT"/>
          </w:rPr>
          <w:delText>.</w:delText>
        </w:r>
      </w:del>
      <w:ins w:id="1032" w:author="Author">
        <w:r>
          <w:rPr>
            <w:noProof/>
            <w:lang w:val="it-IT"/>
          </w:rPr>
          <w:t> </w:t>
        </w:r>
      </w:ins>
      <w:r>
        <w:rPr>
          <w:noProof/>
          <w:lang w:val="it-IT"/>
        </w:rPr>
        <w:t xml:space="preserve">009 (1,4%) trattati nel corso degli studi clinici controllati e in aperto. Tali reazioni sono state osservate generalmente dalla seconda alla quinta infusione di tocilizumab (vedere paragrafo 4.4). </w:t>
      </w:r>
      <w:r>
        <w:rPr>
          <w:noProof/>
          <w:szCs w:val="22"/>
          <w:lang w:val="it-IT"/>
        </w:rPr>
        <w:t>Dopo la registrazione del prodotto è stato riportato un caso di anafilassi fatale durante il trattamento con tocilizumab</w:t>
      </w:r>
      <w:r>
        <w:rPr>
          <w:noProof/>
          <w:lang w:val="it-IT"/>
        </w:rPr>
        <w:t xml:space="preserve"> (vedere paragrafo 4.4).</w:t>
      </w:r>
    </w:p>
    <w:p>
      <w:pPr>
        <w:tabs>
          <w:tab w:val="left" w:pos="180"/>
        </w:tabs>
        <w:rPr>
          <w:noProof/>
          <w:lang w:val="it-IT"/>
        </w:rPr>
      </w:pPr>
    </w:p>
    <w:p>
      <w:pPr>
        <w:tabs>
          <w:tab w:val="left" w:pos="180"/>
        </w:tabs>
        <w:ind w:left="567" w:hanging="567"/>
        <w:outlineLvl w:val="0"/>
        <w:rPr>
          <w:noProof/>
          <w:u w:val="single"/>
          <w:lang w:val="it-IT"/>
        </w:rPr>
      </w:pPr>
      <w:r>
        <w:rPr>
          <w:i/>
          <w:noProof/>
          <w:u w:val="single"/>
          <w:lang w:val="it-IT"/>
        </w:rPr>
        <w:t>Immunogenicità</w:t>
      </w:r>
    </w:p>
    <w:p>
      <w:pPr>
        <w:tabs>
          <w:tab w:val="left" w:pos="180"/>
        </w:tabs>
        <w:outlineLvl w:val="0"/>
        <w:rPr>
          <w:noProof/>
          <w:lang w:val="it-IT"/>
        </w:rPr>
      </w:pPr>
      <w:r>
        <w:rPr>
          <w:noProof/>
          <w:lang w:val="it-IT"/>
        </w:rPr>
        <w:t>Un totale di 2</w:t>
      </w:r>
      <w:del w:id="1033" w:author="Author">
        <w:r>
          <w:rPr>
            <w:noProof/>
            <w:lang w:val="it-IT"/>
          </w:rPr>
          <w:delText>.</w:delText>
        </w:r>
      </w:del>
      <w:ins w:id="1034" w:author="Author">
        <w:r>
          <w:rPr>
            <w:noProof/>
            <w:lang w:val="it-IT"/>
          </w:rPr>
          <w:t> </w:t>
        </w:r>
      </w:ins>
      <w:r>
        <w:rPr>
          <w:noProof/>
          <w:lang w:val="it-IT"/>
        </w:rPr>
        <w:t>876 pazienti sono stati analizzati per rilevare anticorpi anti-tocilizumab negli studi clinici controllati a sei mesi. Dei 46 pazienti (1,6%) che hanno sviluppato anticorpi anti-tocilizumab, 6</w:t>
      </w:r>
      <w:ins w:id="1035" w:author="Author">
        <w:r>
          <w:rPr>
            <w:noProof/>
            <w:lang w:val="it-IT"/>
          </w:rPr>
          <w:t> </w:t>
        </w:r>
      </w:ins>
      <w:del w:id="1036" w:author="Author">
        <w:r>
          <w:rPr>
            <w:noProof/>
            <w:lang w:val="it-IT"/>
          </w:rPr>
          <w:delText xml:space="preserve"> </w:delText>
        </w:r>
      </w:del>
      <w:r>
        <w:rPr>
          <w:noProof/>
          <w:lang w:val="it-IT"/>
        </w:rPr>
        <w:t>hanno avuto una reazione di ipersensibilità clinicamente significativa che in 5 casi ha portato alla sospensione definitiva del trattamento. Trenta pazienti (1,1%) hanno sviluppato anticorpi neutralizzanti.</w:t>
      </w:r>
    </w:p>
    <w:p>
      <w:pPr>
        <w:tabs>
          <w:tab w:val="left" w:pos="180"/>
        </w:tabs>
        <w:outlineLvl w:val="0"/>
        <w:rPr>
          <w:noProof/>
          <w:lang w:val="it-IT"/>
        </w:rPr>
      </w:pPr>
    </w:p>
    <w:p>
      <w:pPr>
        <w:tabs>
          <w:tab w:val="left" w:pos="180"/>
        </w:tabs>
        <w:rPr>
          <w:i/>
          <w:noProof/>
          <w:u w:val="single"/>
          <w:lang w:val="it-IT"/>
        </w:rPr>
      </w:pPr>
      <w:r>
        <w:rPr>
          <w:i/>
          <w:noProof/>
          <w:u w:val="single"/>
          <w:lang w:val="it-IT"/>
        </w:rPr>
        <w:t>Neutrofili</w:t>
      </w:r>
    </w:p>
    <w:p>
      <w:pPr>
        <w:tabs>
          <w:tab w:val="left" w:pos="180"/>
        </w:tabs>
        <w:outlineLvl w:val="0"/>
        <w:rPr>
          <w:noProof/>
          <w:lang w:val="it-IT"/>
        </w:rPr>
      </w:pPr>
      <w:r>
        <w:rPr>
          <w:noProof/>
          <w:lang w:val="it-IT"/>
        </w:rPr>
        <w:t>Negli studi</w:t>
      </w:r>
      <w:ins w:id="1037" w:author="Author">
        <w:r>
          <w:rPr>
            <w:noProof/>
            <w:lang w:val="it-IT"/>
          </w:rPr>
          <w:t xml:space="preserve"> clinici</w:t>
        </w:r>
      </w:ins>
      <w:r>
        <w:rPr>
          <w:noProof/>
          <w:lang w:val="it-IT"/>
        </w:rPr>
        <w:t xml:space="preserve"> controllati a sei mesi, una riduzione della conta dei neutrofili al di sotto di 1 </w:t>
      </w:r>
      <w:r>
        <w:rPr>
          <w:noProof/>
          <w:lang w:val="it-IT"/>
        </w:rPr>
        <w:sym w:font="Symbol" w:char="F0B4"/>
      </w:r>
      <w:r>
        <w:rPr>
          <w:noProof/>
          <w:lang w:val="it-IT"/>
        </w:rPr>
        <w:t>10</w:t>
      </w:r>
      <w:r>
        <w:rPr>
          <w:noProof/>
          <w:vertAlign w:val="superscript"/>
          <w:lang w:val="it-IT"/>
        </w:rPr>
        <w:t>9</w:t>
      </w:r>
      <w:r>
        <w:rPr>
          <w:noProof/>
          <w:lang w:val="it-IT"/>
        </w:rPr>
        <w:t xml:space="preserve">/L si è verificata nel 3,4% dei pazienti del gruppo trattato con tocilizumab alla dose di 8 mg/kg più DMARD rispetto a </w:t>
      </w:r>
      <w:r>
        <w:rPr>
          <w:noProof/>
          <w:lang w:val="it-IT"/>
        </w:rPr>
        <w:sym w:font="Symbol" w:char="F03C"/>
      </w:r>
      <w:r>
        <w:rPr>
          <w:noProof/>
          <w:lang w:val="it-IT"/>
        </w:rPr>
        <w:t xml:space="preserve"> 0,1% dei pazienti trattati con placebo più DMARD. Nella metà circa dei pazienti nei quali si è riscontrata una ANC </w:t>
      </w:r>
      <w:r>
        <w:rPr>
          <w:noProof/>
          <w:lang w:val="it-IT"/>
        </w:rPr>
        <w:sym w:font="Symbol" w:char="F03C"/>
      </w:r>
      <w:r>
        <w:rPr>
          <w:noProof/>
          <w:lang w:val="it-IT"/>
        </w:rPr>
        <w:t>1 </w:t>
      </w:r>
      <w:r>
        <w:rPr>
          <w:noProof/>
          <w:lang w:val="it-IT"/>
        </w:rPr>
        <w:sym w:font="Symbol" w:char="F0B4"/>
      </w:r>
      <w:r>
        <w:rPr>
          <w:noProof/>
          <w:lang w:val="it-IT"/>
        </w:rPr>
        <w:t> 10</w:t>
      </w:r>
      <w:r>
        <w:rPr>
          <w:noProof/>
          <w:vertAlign w:val="superscript"/>
          <w:lang w:val="it-IT"/>
        </w:rPr>
        <w:t>9</w:t>
      </w:r>
      <w:r>
        <w:rPr>
          <w:noProof/>
          <w:lang w:val="it-IT"/>
        </w:rPr>
        <w:t>/L tale rilevazione è avvenuta nell’arco di 8 settimane dall’inizio della terapia. Riduzioni al di sotto di 0,5 </w:t>
      </w:r>
      <w:r>
        <w:rPr>
          <w:noProof/>
          <w:lang w:val="it-IT"/>
        </w:rPr>
        <w:sym w:font="Symbol" w:char="F0B4"/>
      </w:r>
      <w:r>
        <w:rPr>
          <w:noProof/>
          <w:lang w:val="it-IT"/>
        </w:rPr>
        <w:t> 10</w:t>
      </w:r>
      <w:r>
        <w:rPr>
          <w:noProof/>
          <w:vertAlign w:val="superscript"/>
          <w:lang w:val="it-IT"/>
        </w:rPr>
        <w:t>9</w:t>
      </w:r>
      <w:r>
        <w:rPr>
          <w:noProof/>
          <w:lang w:val="it-IT"/>
        </w:rPr>
        <w:t>/L sono state riportate nello 0,3% dei pazienti trattati con tocilizumab alla dose di 8 mg/kg più DMARD. Sono state riportate infezioni associate a neutropenia.</w:t>
      </w:r>
    </w:p>
    <w:p>
      <w:pPr>
        <w:tabs>
          <w:tab w:val="left" w:pos="180"/>
        </w:tabs>
        <w:autoSpaceDE w:val="0"/>
        <w:autoSpaceDN w:val="0"/>
        <w:adjustRightInd w:val="0"/>
        <w:rPr>
          <w:noProof/>
          <w:lang w:val="it-IT"/>
        </w:rPr>
      </w:pPr>
    </w:p>
    <w:p>
      <w:pPr>
        <w:tabs>
          <w:tab w:val="left" w:pos="180"/>
        </w:tabs>
        <w:autoSpaceDE w:val="0"/>
        <w:autoSpaceDN w:val="0"/>
        <w:adjustRightInd w:val="0"/>
        <w:rPr>
          <w:noProof/>
          <w:lang w:val="it-IT"/>
        </w:rPr>
      </w:pPr>
      <w:r>
        <w:rPr>
          <w:noProof/>
          <w:lang w:val="it-IT"/>
        </w:rPr>
        <w:t xml:space="preserve">Durante il periodo di doppio cieco controllato e nella fase di </w:t>
      </w:r>
      <w:r>
        <w:rPr>
          <w:noProof/>
          <w:szCs w:val="22"/>
          <w:lang w:val="it-IT"/>
        </w:rPr>
        <w:t>esposizione</w:t>
      </w:r>
      <w:r>
        <w:rPr>
          <w:noProof/>
          <w:lang w:val="it-IT"/>
        </w:rPr>
        <w:t xml:space="preserve"> a lungo termine, il grado e l’incidenza della riduzione della conta dei neutrofili sono rimasti invariati rispetto a quanto è stato osservato negli studi controllati a sei mesi.</w:t>
      </w:r>
    </w:p>
    <w:p>
      <w:pPr>
        <w:tabs>
          <w:tab w:val="left" w:pos="180"/>
        </w:tabs>
        <w:autoSpaceDE w:val="0"/>
        <w:autoSpaceDN w:val="0"/>
        <w:adjustRightInd w:val="0"/>
        <w:rPr>
          <w:noProof/>
          <w:lang w:val="it-IT"/>
        </w:rPr>
      </w:pPr>
    </w:p>
    <w:p>
      <w:pPr>
        <w:keepNext/>
        <w:keepLines/>
        <w:tabs>
          <w:tab w:val="left" w:pos="180"/>
        </w:tabs>
        <w:autoSpaceDE w:val="0"/>
        <w:autoSpaceDN w:val="0"/>
        <w:adjustRightInd w:val="0"/>
        <w:rPr>
          <w:i/>
          <w:noProof/>
          <w:u w:val="single"/>
          <w:lang w:val="it-IT"/>
        </w:rPr>
      </w:pPr>
      <w:r>
        <w:rPr>
          <w:i/>
          <w:noProof/>
          <w:u w:val="single"/>
          <w:lang w:val="it-IT"/>
        </w:rPr>
        <w:t>Piastrine</w:t>
      </w:r>
    </w:p>
    <w:p>
      <w:pPr>
        <w:tabs>
          <w:tab w:val="left" w:pos="180"/>
        </w:tabs>
        <w:autoSpaceDE w:val="0"/>
        <w:autoSpaceDN w:val="0"/>
        <w:adjustRightInd w:val="0"/>
        <w:rPr>
          <w:noProof/>
          <w:sz w:val="20"/>
          <w:lang w:val="it-IT"/>
        </w:rPr>
        <w:pPrChange w:id="1038" w:author="Author">
          <w:pPr>
            <w:keepNext/>
            <w:keepLines/>
            <w:tabs>
              <w:tab w:val="left" w:pos="180"/>
            </w:tabs>
            <w:autoSpaceDE w:val="0"/>
            <w:autoSpaceDN w:val="0"/>
            <w:adjustRightInd w:val="0"/>
          </w:pPr>
        </w:pPrChange>
      </w:pPr>
      <w:r>
        <w:rPr>
          <w:noProof/>
          <w:lang w:val="it-IT"/>
        </w:rPr>
        <w:t xml:space="preserve">Negli studi </w:t>
      </w:r>
      <w:ins w:id="1039" w:author="Author">
        <w:r>
          <w:rPr>
            <w:noProof/>
            <w:lang w:val="it-IT"/>
          </w:rPr>
          <w:t xml:space="preserve">clinici </w:t>
        </w:r>
      </w:ins>
      <w:r>
        <w:rPr>
          <w:noProof/>
          <w:lang w:val="it-IT"/>
        </w:rPr>
        <w:t>controllati a sei mesi, una riduzione della conta piastrinica al di sotto di 100 </w:t>
      </w:r>
      <w:r>
        <w:rPr>
          <w:noProof/>
          <w:lang w:val="it-IT"/>
        </w:rPr>
        <w:sym w:font="Symbol" w:char="F0B4"/>
      </w:r>
      <w:r>
        <w:rPr>
          <w:noProof/>
          <w:lang w:val="it-IT"/>
        </w:rPr>
        <w:t> 10</w:t>
      </w:r>
      <w:r>
        <w:rPr>
          <w:noProof/>
          <w:vertAlign w:val="superscript"/>
          <w:lang w:val="it-IT"/>
        </w:rPr>
        <w:t>3</w:t>
      </w:r>
      <w:r>
        <w:rPr>
          <w:noProof/>
          <w:lang w:val="it-IT"/>
        </w:rPr>
        <w:t>/</w:t>
      </w:r>
      <w:r>
        <w:rPr>
          <w:noProof/>
          <w:szCs w:val="22"/>
          <w:lang w:val="it-IT"/>
        </w:rPr>
        <w:sym w:font="Symbol" w:char="F06D"/>
      </w:r>
      <w:r>
        <w:rPr>
          <w:noProof/>
          <w:lang w:val="it-IT"/>
        </w:rPr>
        <w:t xml:space="preserve">L si è verificata nell’1,7% dei pazienti del gruppo trattato con tocilizumab alla dose di </w:t>
      </w:r>
      <w:r>
        <w:rPr>
          <w:noProof/>
          <w:lang w:val="it-IT"/>
        </w:rPr>
        <w:lastRenderedPageBreak/>
        <w:t xml:space="preserve">8 mg/kg più DMARD rispetto a </w:t>
      </w:r>
      <w:r>
        <w:rPr>
          <w:noProof/>
          <w:lang w:val="it-IT"/>
        </w:rPr>
        <w:sym w:font="Symbol" w:char="F03C"/>
      </w:r>
      <w:r>
        <w:rPr>
          <w:noProof/>
          <w:lang w:val="it-IT"/>
        </w:rPr>
        <w:t>1% dei pazienti trattati con placebo più DMARD. Tali riduzioni si sono manifestate senza correlazione con eventi emorragici.</w:t>
      </w:r>
    </w:p>
    <w:p>
      <w:pPr>
        <w:tabs>
          <w:tab w:val="left" w:pos="180"/>
        </w:tabs>
        <w:rPr>
          <w:noProof/>
          <w:lang w:val="it-IT"/>
        </w:rPr>
      </w:pPr>
    </w:p>
    <w:p>
      <w:pPr>
        <w:tabs>
          <w:tab w:val="left" w:pos="180"/>
        </w:tabs>
        <w:rPr>
          <w:noProof/>
          <w:lang w:val="it-IT"/>
        </w:rPr>
      </w:pPr>
      <w:r>
        <w:rPr>
          <w:noProof/>
          <w:lang w:val="it-IT"/>
        </w:rPr>
        <w:t xml:space="preserve">Durante il periodo di doppio cieco controllato e nella fase di </w:t>
      </w:r>
      <w:r>
        <w:rPr>
          <w:noProof/>
          <w:szCs w:val="22"/>
          <w:lang w:val="it-IT"/>
        </w:rPr>
        <w:t>esposizione</w:t>
      </w:r>
      <w:r>
        <w:rPr>
          <w:noProof/>
          <w:lang w:val="it-IT"/>
        </w:rPr>
        <w:t xml:space="preserve"> a lungo termine, il grado e l’incidenza della riduzione della conta delle piastrine sono rimasti invariati rispetto a quanto è stato osservato negli studi controllati a sei mesi.</w:t>
      </w:r>
    </w:p>
    <w:p>
      <w:pPr>
        <w:tabs>
          <w:tab w:val="left" w:pos="180"/>
        </w:tabs>
        <w:rPr>
          <w:noProof/>
          <w:lang w:val="it-IT"/>
        </w:rPr>
      </w:pPr>
    </w:p>
    <w:p>
      <w:pPr>
        <w:tabs>
          <w:tab w:val="left" w:pos="180"/>
        </w:tabs>
        <w:rPr>
          <w:noProof/>
          <w:lang w:val="it-IT"/>
        </w:rPr>
      </w:pPr>
      <w:r>
        <w:rPr>
          <w:noProof/>
          <w:lang w:val="it-IT"/>
        </w:rPr>
        <w:t>Nella fase successiva alla commercializzazione sono emerse segnalazioni molto rare di pancitopenia.</w:t>
      </w:r>
    </w:p>
    <w:p>
      <w:pPr>
        <w:tabs>
          <w:tab w:val="left" w:pos="180"/>
        </w:tabs>
        <w:rPr>
          <w:noProof/>
          <w:lang w:val="it-IT"/>
        </w:rPr>
      </w:pPr>
    </w:p>
    <w:p>
      <w:pPr>
        <w:tabs>
          <w:tab w:val="left" w:pos="180"/>
        </w:tabs>
        <w:ind w:left="567" w:hanging="567"/>
        <w:outlineLvl w:val="0"/>
        <w:rPr>
          <w:i/>
          <w:noProof/>
          <w:u w:val="single"/>
          <w:lang w:val="it-IT"/>
        </w:rPr>
      </w:pPr>
      <w:r>
        <w:rPr>
          <w:i/>
          <w:noProof/>
          <w:u w:val="single"/>
          <w:lang w:val="it-IT"/>
        </w:rPr>
        <w:t>Aumento delle transaminasi epatiche</w:t>
      </w:r>
    </w:p>
    <w:p>
      <w:pPr>
        <w:tabs>
          <w:tab w:val="left" w:pos="180"/>
        </w:tabs>
        <w:rPr>
          <w:noProof/>
          <w:lang w:val="it-IT"/>
        </w:rPr>
      </w:pPr>
      <w:r>
        <w:rPr>
          <w:noProof/>
          <w:lang w:val="it-IT"/>
        </w:rPr>
        <w:t xml:space="preserve">Negli studi </w:t>
      </w:r>
      <w:ins w:id="1040" w:author="Author">
        <w:r>
          <w:rPr>
            <w:noProof/>
            <w:lang w:val="it-IT"/>
          </w:rPr>
          <w:t xml:space="preserve">clinici </w:t>
        </w:r>
      </w:ins>
      <w:r>
        <w:rPr>
          <w:noProof/>
          <w:lang w:val="it-IT"/>
        </w:rPr>
        <w:t xml:space="preserve">controllati a sei mesi, aumenti transitori di ALT/AST </w:t>
      </w:r>
      <w:r>
        <w:rPr>
          <w:noProof/>
          <w:lang w:val="it-IT"/>
        </w:rPr>
        <w:sym w:font="Symbol" w:char="F03E"/>
      </w:r>
      <w:r>
        <w:rPr>
          <w:noProof/>
          <w:lang w:val="it-IT"/>
        </w:rPr>
        <w:t>3 volte ULN sono stati osservati nel 2,1% dei pazienti trattati con tocilizumab alla dose di 8 mg/kg rispetto al 4,9% dei pazienti trattati con MTX e nel 6,5% dei pazienti trattati con 8 mg/kg di tocilizumab più DMARD rispetto all’1,5% dei pazienti trattati con l’</w:t>
      </w:r>
      <w:r>
        <w:rPr>
          <w:noProof/>
          <w:szCs w:val="22"/>
          <w:lang w:val="it-IT"/>
        </w:rPr>
        <w:t>associazione</w:t>
      </w:r>
      <w:r>
        <w:rPr>
          <w:noProof/>
          <w:lang w:val="it-IT"/>
        </w:rPr>
        <w:t xml:space="preserve"> placebo più DMARD.</w:t>
      </w:r>
    </w:p>
    <w:p>
      <w:pPr>
        <w:tabs>
          <w:tab w:val="left" w:pos="180"/>
        </w:tabs>
        <w:rPr>
          <w:noProof/>
          <w:lang w:val="it-IT"/>
        </w:rPr>
      </w:pPr>
    </w:p>
    <w:p>
      <w:pPr>
        <w:tabs>
          <w:tab w:val="left" w:pos="180"/>
        </w:tabs>
        <w:rPr>
          <w:noProof/>
          <w:lang w:val="it-IT"/>
        </w:rPr>
      </w:pPr>
      <w:r>
        <w:rPr>
          <w:noProof/>
          <w:lang w:val="it-IT"/>
        </w:rPr>
        <w:t xml:space="preserve">L’aggiunta di medicinali potenzialmente epatotossici (ad esempio MTX) a tocilizumab in monoterapia ha determinato una maggiore frequenza di tali aumenti. Aumenti di ALT/AST </w:t>
      </w:r>
      <w:r>
        <w:rPr>
          <w:noProof/>
          <w:lang w:val="it-IT"/>
        </w:rPr>
        <w:sym w:font="Symbol" w:char="F03E"/>
      </w:r>
      <w:r>
        <w:rPr>
          <w:noProof/>
          <w:lang w:val="it-IT"/>
        </w:rPr>
        <w:t xml:space="preserve">5 volte ULN sono stati osservati nello 0,7% dei pazienti trattati con tocilizumab in monoterapia e nell’1,4% dei pazienti trattati con tocilizumab più DMARD, la maggior parte dei quali ha dovuto sospendere definitivamente il trattamento con tocilizumab. Durante il periodo di doppio-cieco controllato, l'incidenza di bilirubina indiretta più alta rispetto al limite superiore del valore normale, rilevata come parametro di laboratorio abituale, è del 6,2% nei pazienti trattati con 8 mg/kg di tocilizumab + DMARD. Un totale di 5,8 % dei pazienti ha sperimentato un aumento della bilirubina indiretta da </w:t>
      </w:r>
      <w:r>
        <w:rPr>
          <w:noProof/>
          <w:lang w:val="it-IT"/>
        </w:rPr>
        <w:sym w:font="Symbol" w:char="F03E"/>
      </w:r>
      <w:r>
        <w:rPr>
          <w:noProof/>
          <w:lang w:val="it-IT"/>
        </w:rPr>
        <w:t>1 a 2 x ULN e lo 0,4% ha avuto un rialzo di </w:t>
      </w:r>
      <w:r>
        <w:rPr>
          <w:noProof/>
          <w:lang w:val="it-IT"/>
        </w:rPr>
        <w:sym w:font="Symbol" w:char="F03E"/>
      </w:r>
      <w:r>
        <w:rPr>
          <w:noProof/>
          <w:lang w:val="it-IT"/>
        </w:rPr>
        <w:t>2 x ULN.</w:t>
      </w:r>
    </w:p>
    <w:p>
      <w:pPr>
        <w:tabs>
          <w:tab w:val="left" w:pos="180"/>
        </w:tabs>
        <w:rPr>
          <w:noProof/>
          <w:lang w:val="it-IT"/>
        </w:rPr>
      </w:pPr>
    </w:p>
    <w:p>
      <w:pPr>
        <w:tabs>
          <w:tab w:val="left" w:pos="180"/>
        </w:tabs>
        <w:rPr>
          <w:noProof/>
          <w:lang w:val="it-IT"/>
        </w:rPr>
      </w:pPr>
      <w:r>
        <w:rPr>
          <w:noProof/>
          <w:lang w:val="it-IT"/>
        </w:rPr>
        <w:t xml:space="preserve">Durante il periodo di doppio cieco controllato e nella fase di </w:t>
      </w:r>
      <w:r>
        <w:rPr>
          <w:noProof/>
          <w:szCs w:val="22"/>
          <w:lang w:val="it-IT"/>
        </w:rPr>
        <w:t>esposizione</w:t>
      </w:r>
      <w:r>
        <w:rPr>
          <w:noProof/>
          <w:lang w:val="it-IT"/>
        </w:rPr>
        <w:t xml:space="preserve"> a lungo termine, il grado e l’incidenza degli aumenti delle ALT/AST sono rimasti invariati rispetto a quanto è stato osservato negli studi </w:t>
      </w:r>
      <w:ins w:id="1041" w:author="Author">
        <w:r>
          <w:rPr>
            <w:noProof/>
            <w:lang w:val="it-IT"/>
          </w:rPr>
          <w:t xml:space="preserve">clinici </w:t>
        </w:r>
      </w:ins>
      <w:r>
        <w:rPr>
          <w:noProof/>
          <w:lang w:val="it-IT"/>
        </w:rPr>
        <w:t>controllati a sei mesi.</w:t>
      </w:r>
    </w:p>
    <w:p>
      <w:pPr>
        <w:tabs>
          <w:tab w:val="left" w:pos="180"/>
        </w:tabs>
        <w:rPr>
          <w:noProof/>
          <w:lang w:val="it-IT"/>
        </w:rPr>
      </w:pPr>
    </w:p>
    <w:p>
      <w:pPr>
        <w:tabs>
          <w:tab w:val="left" w:pos="180"/>
        </w:tabs>
        <w:ind w:left="567" w:hanging="567"/>
        <w:outlineLvl w:val="0"/>
        <w:rPr>
          <w:i/>
          <w:noProof/>
          <w:u w:val="single"/>
          <w:lang w:val="it-IT"/>
        </w:rPr>
      </w:pPr>
      <w:r>
        <w:rPr>
          <w:i/>
          <w:noProof/>
          <w:u w:val="single"/>
          <w:lang w:val="it-IT"/>
        </w:rPr>
        <w:t>Parametri lipidici</w:t>
      </w:r>
    </w:p>
    <w:p>
      <w:pPr>
        <w:tabs>
          <w:tab w:val="left" w:pos="180"/>
        </w:tabs>
        <w:rPr>
          <w:noProof/>
          <w:lang w:val="it-IT"/>
        </w:rPr>
      </w:pPr>
      <w:r>
        <w:rPr>
          <w:noProof/>
          <w:lang w:val="it-IT"/>
        </w:rPr>
        <w:t>Durante i 6 mesi di studi clinici controllati, sono stati riportati comunemente incrementi dei parametri lipidici quali colesterolo totale, trigliceridi, colesterolo LDL e/o colesterolo HDL. Mediante analisi di laboratorio abituali, è stato osservato che approssimativamente il 24% dei pazienti che hanno ricevuto tocilizumab negli studi clinici hanno sperimentato incrementi sostenuti nel colesterolo totale ≥</w:t>
      </w:r>
      <w:ins w:id="1042" w:author="Author">
        <w:r>
          <w:rPr>
            <w:noProof/>
            <w:lang w:val="it-IT"/>
          </w:rPr>
          <w:t> </w:t>
        </w:r>
      </w:ins>
      <w:del w:id="1043" w:author="Author">
        <w:r>
          <w:rPr>
            <w:noProof/>
            <w:lang w:val="it-IT"/>
          </w:rPr>
          <w:delText xml:space="preserve"> </w:delText>
        </w:r>
      </w:del>
      <w:r>
        <w:rPr>
          <w:noProof/>
          <w:lang w:val="it-IT"/>
        </w:rPr>
        <w:t>6,2 mmol/L, con un 15% che ha sperimentato incrementi sostenuti dell’LDL fino a ≥ 4,1 mmol/L. Gli incrementi dei parametri lipidici hanno risposto al trattamento con agenti ipolipemizzanti.</w:t>
      </w:r>
    </w:p>
    <w:p>
      <w:pPr>
        <w:tabs>
          <w:tab w:val="left" w:pos="180"/>
        </w:tabs>
        <w:rPr>
          <w:noProof/>
          <w:lang w:val="it-IT"/>
        </w:rPr>
      </w:pPr>
    </w:p>
    <w:p>
      <w:pPr>
        <w:tabs>
          <w:tab w:val="left" w:pos="180"/>
        </w:tabs>
        <w:rPr>
          <w:noProof/>
          <w:lang w:val="it-IT"/>
        </w:rPr>
      </w:pPr>
      <w:r>
        <w:rPr>
          <w:noProof/>
          <w:lang w:val="it-IT"/>
        </w:rPr>
        <w:t xml:space="preserve">Durante il periodo di doppio cieco controllato e nella fase di </w:t>
      </w:r>
      <w:r>
        <w:rPr>
          <w:noProof/>
          <w:szCs w:val="22"/>
          <w:lang w:val="it-IT"/>
        </w:rPr>
        <w:t>esposizione</w:t>
      </w:r>
      <w:r>
        <w:rPr>
          <w:noProof/>
          <w:lang w:val="it-IT"/>
        </w:rPr>
        <w:t xml:space="preserve"> a lungo termine, il grado e l’incidenza degli incrementi dei parametri lipidici sono rimasti invariati rispetto a quanto è stato osservato negli studi controllati a sei mesi.</w:t>
      </w:r>
    </w:p>
    <w:p>
      <w:pPr>
        <w:tabs>
          <w:tab w:val="left" w:pos="180"/>
        </w:tabs>
        <w:rPr>
          <w:noProof/>
          <w:lang w:val="it-IT"/>
        </w:rPr>
      </w:pPr>
    </w:p>
    <w:p>
      <w:pPr>
        <w:tabs>
          <w:tab w:val="left" w:pos="180"/>
        </w:tabs>
        <w:rPr>
          <w:del w:id="1044" w:author="Author"/>
          <w:noProof/>
          <w:lang w:val="it-IT"/>
        </w:rPr>
      </w:pPr>
    </w:p>
    <w:p>
      <w:pPr>
        <w:keepNext/>
        <w:tabs>
          <w:tab w:val="left" w:pos="180"/>
        </w:tabs>
        <w:rPr>
          <w:ins w:id="1045" w:author="Author"/>
          <w:noProof/>
          <w:lang w:val="it-IT"/>
        </w:rPr>
        <w:pPrChange w:id="1046" w:author="Author">
          <w:pPr>
            <w:tabs>
              <w:tab w:val="left" w:pos="180"/>
            </w:tabs>
          </w:pPr>
        </w:pPrChange>
      </w:pPr>
      <w:r>
        <w:rPr>
          <w:i/>
          <w:noProof/>
          <w:u w:val="single"/>
          <w:lang w:val="it-IT" w:eastAsia="it-IT" w:bidi="it-IT"/>
        </w:rPr>
        <w:t>Reazioni cutanee</w:t>
      </w:r>
      <w:r>
        <w:rPr>
          <w:i/>
          <w:noProof/>
          <w:lang w:val="it-IT" w:eastAsia="it-IT" w:bidi="it-IT"/>
        </w:rPr>
        <w:t xml:space="preserve"> </w:t>
      </w:r>
      <w:del w:id="1047" w:author="Author">
        <w:r>
          <w:rPr>
            <w:i/>
            <w:noProof/>
            <w:lang w:val="it-IT" w:eastAsia="it-IT" w:bidi="it-IT"/>
          </w:rPr>
          <w:br/>
        </w:r>
      </w:del>
    </w:p>
    <w:p>
      <w:pPr>
        <w:tabs>
          <w:tab w:val="left" w:pos="180"/>
        </w:tabs>
        <w:rPr>
          <w:noProof/>
          <w:lang w:val="it-IT" w:eastAsia="it-IT" w:bidi="it-IT"/>
        </w:rPr>
      </w:pPr>
      <w:r>
        <w:rPr>
          <w:noProof/>
          <w:lang w:val="it-IT"/>
        </w:rPr>
        <w:t xml:space="preserve">Nell’utilizzo post-marketing sono state riportate </w:t>
      </w:r>
      <w:r>
        <w:rPr>
          <w:noProof/>
          <w:lang w:val="it-IT" w:eastAsia="it-IT" w:bidi="it-IT"/>
        </w:rPr>
        <w:t xml:space="preserve">segnalazioni </w:t>
      </w:r>
      <w:r>
        <w:rPr>
          <w:noProof/>
          <w:lang w:val="it-IT"/>
        </w:rPr>
        <w:t xml:space="preserve">rare </w:t>
      </w:r>
      <w:r>
        <w:rPr>
          <w:noProof/>
          <w:lang w:val="it-IT" w:eastAsia="it-IT" w:bidi="it-IT"/>
        </w:rPr>
        <w:t xml:space="preserve">di </w:t>
      </w:r>
      <w:r>
        <w:rPr>
          <w:noProof/>
          <w:lang w:val="it-IT"/>
        </w:rPr>
        <w:t>S</w:t>
      </w:r>
      <w:r>
        <w:rPr>
          <w:noProof/>
          <w:lang w:val="it-IT" w:eastAsia="it-IT" w:bidi="it-IT"/>
        </w:rPr>
        <w:t>indrome di Stevens-Johnson.</w:t>
      </w:r>
    </w:p>
    <w:p>
      <w:pPr>
        <w:tabs>
          <w:tab w:val="left" w:pos="180"/>
        </w:tabs>
        <w:rPr>
          <w:noProof/>
          <w:lang w:val="it-IT" w:eastAsia="it-IT" w:bidi="it-IT"/>
        </w:rPr>
      </w:pPr>
    </w:p>
    <w:p>
      <w:pPr>
        <w:rPr>
          <w:del w:id="1048" w:author="Author"/>
          <w:rFonts w:cs="Arial"/>
          <w:noProof/>
          <w:sz w:val="20"/>
          <w:lang w:val="it-IT"/>
        </w:rPr>
      </w:pPr>
      <w:del w:id="1049" w:author="Author">
        <w:r>
          <w:rPr>
            <w:noProof/>
            <w:sz w:val="20"/>
            <w:lang w:val="it-IT"/>
          </w:rPr>
          <w:delText xml:space="preserve">. </w:delText>
        </w:r>
      </w:del>
    </w:p>
    <w:p>
      <w:pPr>
        <w:keepNext/>
        <w:keepLines/>
        <w:autoSpaceDE w:val="0"/>
        <w:autoSpaceDN w:val="0"/>
        <w:adjustRightInd w:val="0"/>
        <w:rPr>
          <w:i/>
          <w:noProof/>
          <w:szCs w:val="22"/>
          <w:lang w:val="it-IT"/>
          <w:rPrChange w:id="1050" w:author="Author">
            <w:rPr>
              <w:i/>
              <w:szCs w:val="22"/>
              <w:u w:val="single"/>
              <w:lang w:val="it-IT"/>
            </w:rPr>
          </w:rPrChange>
        </w:rPr>
      </w:pPr>
      <w:r>
        <w:rPr>
          <w:i/>
          <w:noProof/>
          <w:szCs w:val="22"/>
          <w:lang w:val="it-IT"/>
          <w:rPrChange w:id="1051" w:author="Author">
            <w:rPr>
              <w:i/>
              <w:szCs w:val="22"/>
              <w:u w:val="single"/>
              <w:lang w:val="it-IT"/>
            </w:rPr>
          </w:rPrChange>
        </w:rPr>
        <w:t>Pazienti affetti da COVID- 19</w:t>
      </w:r>
    </w:p>
    <w:p>
      <w:pPr>
        <w:keepNext/>
        <w:keepLines/>
        <w:autoSpaceDE w:val="0"/>
        <w:autoSpaceDN w:val="0"/>
        <w:adjustRightInd w:val="0"/>
        <w:rPr>
          <w:del w:id="1052" w:author="Author"/>
          <w:i/>
          <w:noProof/>
          <w:szCs w:val="22"/>
          <w:u w:val="single"/>
          <w:lang w:val="it-IT"/>
        </w:rPr>
      </w:pPr>
    </w:p>
    <w:p>
      <w:pPr>
        <w:keepNext/>
        <w:keepLines/>
        <w:autoSpaceDE w:val="0"/>
        <w:autoSpaceDN w:val="0"/>
        <w:adjustRightInd w:val="0"/>
        <w:rPr>
          <w:i/>
          <w:noProof/>
          <w:szCs w:val="22"/>
          <w:u w:val="single"/>
          <w:lang w:val="it-IT"/>
        </w:rPr>
      </w:pPr>
      <w:r>
        <w:rPr>
          <w:i/>
          <w:noProof/>
          <w:szCs w:val="22"/>
          <w:u w:val="single"/>
          <w:lang w:val="it-IT"/>
        </w:rPr>
        <w:t>Infezioni</w:t>
      </w:r>
    </w:p>
    <w:p>
      <w:pPr>
        <w:autoSpaceDE w:val="0"/>
        <w:autoSpaceDN w:val="0"/>
        <w:adjustRightInd w:val="0"/>
        <w:rPr>
          <w:noProof/>
          <w:szCs w:val="22"/>
          <w:lang w:val="it-IT"/>
        </w:rPr>
        <w:pPrChange w:id="1053" w:author="Author">
          <w:pPr>
            <w:keepNext/>
            <w:keepLines/>
            <w:autoSpaceDE w:val="0"/>
            <w:autoSpaceDN w:val="0"/>
            <w:adjustRightInd w:val="0"/>
          </w:pPr>
        </w:pPrChange>
      </w:pPr>
      <w:r>
        <w:rPr>
          <w:noProof/>
          <w:lang w:val="it-IT"/>
        </w:rPr>
        <w:t xml:space="preserve">Nella popolazione aggregata valutabile per la sicurezza degli </w:t>
      </w:r>
      <w:del w:id="1054" w:author="Author">
        <w:r>
          <w:rPr>
            <w:noProof/>
            <w:lang w:val="it-IT"/>
          </w:rPr>
          <w:delText xml:space="preserve">studi </w:delText>
        </w:r>
      </w:del>
      <w:ins w:id="1055" w:author="Author">
        <w:r>
          <w:rPr>
            <w:noProof/>
            <w:lang w:val="it-IT"/>
          </w:rPr>
          <w:t xml:space="preserve">Studi clinici </w:t>
        </w:r>
      </w:ins>
      <w:r>
        <w:rPr>
          <w:noProof/>
          <w:lang w:val="it-IT"/>
        </w:rPr>
        <w:t>ML42528, WA42380 e WA42511, i tassi di eventi di infezione/infezione grave erano bilanciati tra i pazienti affetti da COVID-19 trattati con tocilizumab (30,3%/18,6%, n</w:t>
      </w:r>
      <w:del w:id="1056" w:author="Author">
        <w:r>
          <w:rPr>
            <w:noProof/>
            <w:lang w:val="it-IT"/>
          </w:rPr>
          <w:delText xml:space="preserve"> </w:delText>
        </w:r>
      </w:del>
      <w:ins w:id="1057" w:author="Author">
        <w:r>
          <w:rPr>
            <w:noProof/>
            <w:lang w:val="it-IT"/>
          </w:rPr>
          <w:t> </w:t>
        </w:r>
      </w:ins>
      <w:r>
        <w:rPr>
          <w:noProof/>
          <w:lang w:val="it-IT"/>
        </w:rPr>
        <w:t>=</w:t>
      </w:r>
      <w:ins w:id="1058" w:author="Author">
        <w:r>
          <w:rPr>
            <w:noProof/>
            <w:lang w:val="it-IT"/>
          </w:rPr>
          <w:t> </w:t>
        </w:r>
      </w:ins>
      <w:del w:id="1059" w:author="Author">
        <w:r>
          <w:rPr>
            <w:noProof/>
            <w:lang w:val="it-IT"/>
          </w:rPr>
          <w:delText xml:space="preserve"> </w:delText>
        </w:r>
      </w:del>
      <w:r>
        <w:rPr>
          <w:noProof/>
          <w:lang w:val="it-IT"/>
        </w:rPr>
        <w:t>974) e quelli trattati con placebo (32,1%/22,8%, n</w:t>
      </w:r>
      <w:del w:id="1060" w:author="Author">
        <w:r>
          <w:rPr>
            <w:noProof/>
            <w:lang w:val="it-IT"/>
          </w:rPr>
          <w:delText xml:space="preserve"> </w:delText>
        </w:r>
      </w:del>
      <w:ins w:id="1061" w:author="Author">
        <w:r>
          <w:rPr>
            <w:noProof/>
            <w:lang w:val="it-IT"/>
          </w:rPr>
          <w:t> </w:t>
        </w:r>
      </w:ins>
      <w:r>
        <w:rPr>
          <w:noProof/>
          <w:lang w:val="it-IT"/>
        </w:rPr>
        <w:t>=</w:t>
      </w:r>
      <w:ins w:id="1062" w:author="Author">
        <w:r>
          <w:rPr>
            <w:noProof/>
            <w:lang w:val="it-IT"/>
          </w:rPr>
          <w:t> </w:t>
        </w:r>
      </w:ins>
      <w:del w:id="1063" w:author="Author">
        <w:r>
          <w:rPr>
            <w:noProof/>
            <w:lang w:val="it-IT"/>
          </w:rPr>
          <w:delText xml:space="preserve"> </w:delText>
        </w:r>
      </w:del>
      <w:r>
        <w:rPr>
          <w:noProof/>
          <w:lang w:val="it-IT"/>
        </w:rPr>
        <w:t xml:space="preserve">483). </w:t>
      </w:r>
    </w:p>
    <w:p>
      <w:pPr>
        <w:autoSpaceDE w:val="0"/>
        <w:autoSpaceDN w:val="0"/>
        <w:adjustRightInd w:val="0"/>
        <w:rPr>
          <w:noProof/>
          <w:szCs w:val="22"/>
          <w:u w:val="single"/>
          <w:lang w:val="it-IT"/>
        </w:rPr>
        <w:pPrChange w:id="1064" w:author="Author">
          <w:pPr>
            <w:keepNext/>
            <w:keepLines/>
            <w:autoSpaceDE w:val="0"/>
            <w:autoSpaceDN w:val="0"/>
            <w:adjustRightInd w:val="0"/>
          </w:pPr>
        </w:pPrChange>
      </w:pPr>
    </w:p>
    <w:p>
      <w:pPr>
        <w:rPr>
          <w:noProof/>
          <w:szCs w:val="22"/>
          <w:lang w:val="it-IT"/>
        </w:rPr>
      </w:pPr>
      <w:r>
        <w:rPr>
          <w:noProof/>
          <w:lang w:val="it-IT"/>
        </w:rPr>
        <w:t>Il profilo di sicurezza osservato nel gruppo di trattamento con corticosteroidi sistemici al basale era in linea con il profilo di sicurezza di tocilizumab nella popolazione globale presentato nella Tabella 2. In questo sottogruppo, le infezioni e le infezioni gravi si sono manifestate rispettivamente nel 27,8% e nel 18,1% dei pazienti trattati con tocilizumab endovena. e nel 30,5% e nel 22,9% dei pazienti trattati con placebo.</w:t>
      </w:r>
    </w:p>
    <w:p>
      <w:pPr>
        <w:rPr>
          <w:noProof/>
          <w:szCs w:val="22"/>
          <w:lang w:val="it-IT"/>
        </w:rPr>
      </w:pPr>
    </w:p>
    <w:p>
      <w:pPr>
        <w:keepNext/>
        <w:keepLines/>
        <w:rPr>
          <w:i/>
          <w:noProof/>
          <w:szCs w:val="22"/>
          <w:u w:val="single"/>
          <w:lang w:val="it-IT"/>
        </w:rPr>
      </w:pPr>
      <w:r>
        <w:rPr>
          <w:i/>
          <w:noProof/>
          <w:szCs w:val="22"/>
          <w:u w:val="single"/>
          <w:lang w:val="it-IT"/>
        </w:rPr>
        <w:lastRenderedPageBreak/>
        <w:t>A</w:t>
      </w:r>
      <w:ins w:id="1065" w:author="Author">
        <w:r>
          <w:rPr>
            <w:i/>
            <w:noProof/>
            <w:szCs w:val="22"/>
            <w:u w:val="single"/>
            <w:lang w:val="it-IT"/>
          </w:rPr>
          <w:t>nomalie</w:t>
        </w:r>
      </w:ins>
      <w:del w:id="1066" w:author="Author">
        <w:r>
          <w:rPr>
            <w:i/>
            <w:noProof/>
            <w:szCs w:val="22"/>
            <w:u w:val="single"/>
            <w:lang w:val="it-IT"/>
          </w:rPr>
          <w:delText>lterazione</w:delText>
        </w:r>
      </w:del>
      <w:r>
        <w:rPr>
          <w:i/>
          <w:noProof/>
          <w:szCs w:val="22"/>
          <w:u w:val="single"/>
          <w:lang w:val="it-IT"/>
        </w:rPr>
        <w:t xml:space="preserve"> dei </w:t>
      </w:r>
      <w:del w:id="1067" w:author="Author">
        <w:r>
          <w:rPr>
            <w:i/>
            <w:noProof/>
            <w:szCs w:val="22"/>
            <w:u w:val="single"/>
            <w:lang w:val="it-IT"/>
          </w:rPr>
          <w:delText xml:space="preserve">valori </w:delText>
        </w:r>
      </w:del>
      <w:ins w:id="1068" w:author="Author">
        <w:r>
          <w:rPr>
            <w:i/>
            <w:noProof/>
            <w:szCs w:val="22"/>
            <w:u w:val="single"/>
            <w:lang w:val="it-IT"/>
          </w:rPr>
          <w:t xml:space="preserve">parametri </w:t>
        </w:r>
      </w:ins>
      <w:r>
        <w:rPr>
          <w:i/>
          <w:noProof/>
          <w:szCs w:val="22"/>
          <w:u w:val="single"/>
          <w:lang w:val="it-IT"/>
        </w:rPr>
        <w:t>di laboratorio</w:t>
      </w:r>
    </w:p>
    <w:p>
      <w:pPr>
        <w:keepNext/>
        <w:keepLines/>
        <w:rPr>
          <w:del w:id="1069" w:author="Author"/>
          <w:noProof/>
          <w:lang w:val="it-IT"/>
        </w:rPr>
      </w:pPr>
      <w:r>
        <w:rPr>
          <w:noProof/>
          <w:lang w:val="it-IT"/>
        </w:rPr>
        <w:t>L’incidenza delle alterazioni dei valori di laboratorio è stata generalmente simile tra i pazienti affetti da COVID-19 trattati con una o due dosi di tocilizumab endovena. e quelli trattati con placebo nelle sperimentazioni randomizzate, in doppio cieco e controllate con placebo, con poche eccezioni. La riduzione del numero</w:t>
      </w:r>
      <w:ins w:id="1070" w:author="Author">
        <w:r>
          <w:rPr>
            <w:noProof/>
            <w:lang w:val="it-IT"/>
          </w:rPr>
          <w:t xml:space="preserve"> </w:t>
        </w:r>
      </w:ins>
      <w:r>
        <w:rPr>
          <w:noProof/>
          <w:lang w:val="it-IT"/>
        </w:rPr>
        <w:t>di piastrine e di neutrofili e gli aumenti di ALT e AST sono stati più frequenti tra i pazienti trattati con</w:t>
      </w:r>
      <w:ins w:id="1071" w:author="Author">
        <w:r>
          <w:rPr>
            <w:noProof/>
            <w:lang w:val="it-IT"/>
          </w:rPr>
          <w:t xml:space="preserve"> </w:t>
        </w:r>
      </w:ins>
      <w:r>
        <w:rPr>
          <w:noProof/>
          <w:lang w:val="it-IT"/>
        </w:rPr>
        <w:t>tocilizum</w:t>
      </w:r>
      <w:ins w:id="1072" w:author="Author">
        <w:r>
          <w:rPr>
            <w:noProof/>
            <w:lang w:val="it-IT"/>
          </w:rPr>
          <w:t>a</w:t>
        </w:r>
      </w:ins>
      <w:r>
        <w:rPr>
          <w:noProof/>
          <w:lang w:val="it-IT"/>
        </w:rPr>
        <w:t>b</w:t>
      </w:r>
      <w:del w:id="1073" w:author="Author">
        <w:r>
          <w:rPr>
            <w:noProof/>
            <w:lang w:val="it-IT"/>
          </w:rPr>
          <w:delText>a</w:delText>
        </w:r>
      </w:del>
      <w:r>
        <w:rPr>
          <w:noProof/>
          <w:lang w:val="it-IT"/>
        </w:rPr>
        <w:t xml:space="preserve"> endovena rispetto ai trattati con placebo (vedere paragrafi 4.2 e 4.4). </w:t>
      </w:r>
    </w:p>
    <w:p>
      <w:pPr>
        <w:keepNext/>
        <w:keepLines/>
        <w:rPr>
          <w:ins w:id="1074" w:author="Author"/>
          <w:noProof/>
          <w:lang w:val="it-IT"/>
        </w:rPr>
      </w:pPr>
    </w:p>
    <w:p>
      <w:pPr>
        <w:keepNext/>
        <w:keepLines/>
        <w:rPr>
          <w:ins w:id="1075" w:author="Author"/>
          <w:szCs w:val="22"/>
          <w:lang w:val="it-IT"/>
        </w:rPr>
      </w:pPr>
    </w:p>
    <w:p>
      <w:pPr>
        <w:keepNext/>
        <w:tabs>
          <w:tab w:val="left" w:pos="180"/>
        </w:tabs>
        <w:rPr>
          <w:ins w:id="1076" w:author="Author"/>
          <w:u w:val="single"/>
          <w:lang w:val="it-IT"/>
        </w:rPr>
      </w:pPr>
      <w:ins w:id="1077" w:author="Author">
        <w:r>
          <w:rPr>
            <w:u w:val="single"/>
            <w:lang w:val="it-IT"/>
          </w:rPr>
          <w:t>Popolazione pediatrica</w:t>
        </w:r>
      </w:ins>
    </w:p>
    <w:p>
      <w:pPr>
        <w:keepNext/>
        <w:keepLines/>
        <w:rPr>
          <w:noProof/>
          <w:lang w:val="it-IT"/>
        </w:rPr>
        <w:pPrChange w:id="1078" w:author="Author">
          <w:pPr>
            <w:tabs>
              <w:tab w:val="left" w:pos="180"/>
            </w:tabs>
          </w:pPr>
        </w:pPrChange>
      </w:pPr>
      <w:ins w:id="1079" w:author="Author">
        <w:r>
          <w:rPr>
            <w:lang w:val="it-IT"/>
          </w:rPr>
          <w:t>In generale, le re</w:t>
        </w:r>
        <w:del w:id="1080" w:author="Author">
          <w:r>
            <w:rPr>
              <w:lang w:val="it-IT"/>
            </w:rPr>
            <w:delText>a</w:delText>
          </w:r>
        </w:del>
        <w:r>
          <w:rPr>
            <w:lang w:val="it-IT"/>
          </w:rPr>
          <w:t>azioni</w:t>
        </w:r>
        <w:del w:id="1081" w:author="Author">
          <w:r>
            <w:rPr>
              <w:lang w:val="it-IT"/>
            </w:rPr>
            <w:delText>e</w:delText>
          </w:r>
        </w:del>
        <w:r>
          <w:rPr>
            <w:lang w:val="it-IT"/>
          </w:rPr>
          <w:t xml:space="preserve"> avverse nei pazienti con AIGp e AIGs  sono risultate simili per tipologia a quelle individuate nei pazienti con AR, vedere paragrafo 4.8.</w:t>
        </w:r>
      </w:ins>
    </w:p>
    <w:p>
      <w:pPr>
        <w:tabs>
          <w:tab w:val="left" w:pos="180"/>
        </w:tabs>
        <w:autoSpaceDE w:val="0"/>
        <w:autoSpaceDN w:val="0"/>
        <w:adjustRightInd w:val="0"/>
        <w:rPr>
          <w:noProof/>
          <w:szCs w:val="22"/>
          <w:lang w:val="it-IT"/>
          <w:rPrChange w:id="1082" w:author="Author">
            <w:rPr>
              <w:sz w:val="16"/>
              <w:lang w:val="it-IT"/>
            </w:rPr>
          </w:rPrChange>
        </w:rPr>
      </w:pPr>
    </w:p>
    <w:p>
      <w:pPr>
        <w:keepNext/>
        <w:tabs>
          <w:tab w:val="left" w:pos="180"/>
        </w:tabs>
        <w:ind w:left="567" w:hanging="567"/>
        <w:outlineLvl w:val="0"/>
        <w:rPr>
          <w:rFonts w:eastAsia="SimSun"/>
          <w:i/>
          <w:noProof/>
          <w:szCs w:val="22"/>
          <w:lang w:val="it-IT" w:eastAsia="zh-CN"/>
        </w:rPr>
      </w:pPr>
      <w:r>
        <w:rPr>
          <w:rFonts w:eastAsia="SimSun"/>
          <w:i/>
          <w:noProof/>
          <w:szCs w:val="22"/>
          <w:lang w:val="it-IT" w:eastAsia="zh-CN"/>
        </w:rPr>
        <w:t>Descrizione delle reazioni avverse selezionate nei pazienti affetti da AIGp</w:t>
      </w:r>
    </w:p>
    <w:p>
      <w:pPr>
        <w:keepNext/>
        <w:tabs>
          <w:tab w:val="left" w:pos="180"/>
        </w:tabs>
        <w:autoSpaceDE w:val="0"/>
        <w:autoSpaceDN w:val="0"/>
        <w:adjustRightInd w:val="0"/>
        <w:rPr>
          <w:rFonts w:eastAsia="SimSun"/>
          <w:noProof/>
          <w:szCs w:val="22"/>
          <w:lang w:val="it-IT" w:eastAsia="zh-CN"/>
        </w:rPr>
      </w:pPr>
      <w:r>
        <w:rPr>
          <w:rFonts w:eastAsia="SimSun"/>
          <w:noProof/>
          <w:szCs w:val="22"/>
          <w:lang w:val="it-IT" w:eastAsia="zh-CN"/>
        </w:rPr>
        <w:t xml:space="preserve">Il profilo di sicurezza di tocilizumab in </w:t>
      </w:r>
      <w:r>
        <w:rPr>
          <w:noProof/>
          <w:lang w:val="it-IT"/>
        </w:rPr>
        <w:t>formulazione</w:t>
      </w:r>
      <w:r>
        <w:rPr>
          <w:rFonts w:eastAsia="SimSun"/>
          <w:noProof/>
          <w:szCs w:val="22"/>
          <w:lang w:val="it-IT" w:eastAsia="zh-CN"/>
        </w:rPr>
        <w:t xml:space="preserve"> endovenosa nei soggetti affetti da AIGp è stato studiato in 188 pazienti di età compresa tra 2 e 17 anni. L’esposizione totale di pazienti è stata 184,4 </w:t>
      </w:r>
      <w:r>
        <w:rPr>
          <w:noProof/>
          <w:lang w:val="it-IT"/>
        </w:rPr>
        <w:t>anni-paziente</w:t>
      </w:r>
      <w:r>
        <w:rPr>
          <w:rFonts w:eastAsia="SimSun"/>
          <w:noProof/>
          <w:szCs w:val="22"/>
          <w:lang w:val="it-IT" w:eastAsia="zh-CN"/>
        </w:rPr>
        <w:t xml:space="preserve">. La frequenza delle reazioni avverse nei pazienti affetti da AIGp può essere osservata in Tabella 3. Nei pazienti affetti da AIGp sono state osservate reazioni avverse al farmaco di tipo simile a quelle riscontrate nei pazienti affetti da AR e AIGs. </w:t>
      </w:r>
      <w:r>
        <w:rPr>
          <w:noProof/>
          <w:lang w:val="it-IT"/>
        </w:rPr>
        <w:t>Rispetto</w:t>
      </w:r>
      <w:r>
        <w:rPr>
          <w:rFonts w:eastAsia="SimSun"/>
          <w:noProof/>
          <w:szCs w:val="22"/>
          <w:lang w:val="it-IT" w:eastAsia="zh-CN"/>
        </w:rPr>
        <w:t xml:space="preserve"> </w:t>
      </w:r>
      <w:r>
        <w:rPr>
          <w:noProof/>
          <w:lang w:val="it-IT"/>
        </w:rPr>
        <w:t>alla popolazione adulta</w:t>
      </w:r>
      <w:r>
        <w:rPr>
          <w:rFonts w:eastAsia="SimSun"/>
          <w:noProof/>
          <w:szCs w:val="22"/>
          <w:lang w:val="it-IT" w:eastAsia="zh-CN"/>
        </w:rPr>
        <w:t xml:space="preserve"> A</w:t>
      </w:r>
      <w:r>
        <w:rPr>
          <w:noProof/>
          <w:lang w:val="it-IT"/>
        </w:rPr>
        <w:t>R</w:t>
      </w:r>
      <w:r>
        <w:rPr>
          <w:rFonts w:eastAsia="SimSun"/>
          <w:noProof/>
          <w:szCs w:val="22"/>
          <w:lang w:val="it-IT" w:eastAsia="zh-CN"/>
        </w:rPr>
        <w:t xml:space="preserve">, </w:t>
      </w:r>
      <w:r>
        <w:rPr>
          <w:noProof/>
          <w:lang w:val="it-IT"/>
        </w:rPr>
        <w:t>eventi di</w:t>
      </w:r>
      <w:r>
        <w:rPr>
          <w:rFonts w:eastAsia="SimSun"/>
          <w:noProof/>
          <w:szCs w:val="22"/>
          <w:lang w:val="it-IT" w:eastAsia="zh-CN"/>
        </w:rPr>
        <w:t xml:space="preserve"> </w:t>
      </w:r>
      <w:r>
        <w:rPr>
          <w:noProof/>
          <w:lang w:val="it-IT"/>
        </w:rPr>
        <w:t>nasofaringite</w:t>
      </w:r>
      <w:r>
        <w:rPr>
          <w:rFonts w:eastAsia="SimSun"/>
          <w:noProof/>
          <w:szCs w:val="22"/>
          <w:lang w:val="it-IT" w:eastAsia="zh-CN"/>
        </w:rPr>
        <w:t xml:space="preserve">, </w:t>
      </w:r>
      <w:r>
        <w:rPr>
          <w:noProof/>
          <w:lang w:val="it-IT"/>
        </w:rPr>
        <w:t>cefalea, nausea</w:t>
      </w:r>
      <w:r>
        <w:rPr>
          <w:rFonts w:eastAsia="SimSun"/>
          <w:noProof/>
          <w:szCs w:val="22"/>
          <w:lang w:val="it-IT" w:eastAsia="zh-CN"/>
        </w:rPr>
        <w:t xml:space="preserve"> </w:t>
      </w:r>
      <w:r>
        <w:rPr>
          <w:noProof/>
          <w:lang w:val="it-IT"/>
        </w:rPr>
        <w:t>e diminuzione della</w:t>
      </w:r>
      <w:r>
        <w:rPr>
          <w:rFonts w:eastAsia="SimSun"/>
          <w:noProof/>
          <w:szCs w:val="22"/>
          <w:lang w:val="it-IT" w:eastAsia="zh-CN"/>
        </w:rPr>
        <w:t xml:space="preserve"> </w:t>
      </w:r>
      <w:r>
        <w:rPr>
          <w:noProof/>
          <w:lang w:val="it-IT"/>
        </w:rPr>
        <w:t>conta dei neutrofili</w:t>
      </w:r>
      <w:r>
        <w:rPr>
          <w:rFonts w:eastAsia="SimSun"/>
          <w:noProof/>
          <w:szCs w:val="22"/>
          <w:lang w:val="it-IT" w:eastAsia="zh-CN"/>
        </w:rPr>
        <w:t xml:space="preserve"> </w:t>
      </w:r>
      <w:r>
        <w:rPr>
          <w:noProof/>
          <w:lang w:val="it-IT"/>
        </w:rPr>
        <w:t>sono stati</w:t>
      </w:r>
      <w:r>
        <w:rPr>
          <w:rFonts w:eastAsia="SimSun"/>
          <w:noProof/>
          <w:szCs w:val="22"/>
          <w:lang w:val="it-IT" w:eastAsia="zh-CN"/>
        </w:rPr>
        <w:t xml:space="preserve"> </w:t>
      </w:r>
      <w:r>
        <w:rPr>
          <w:noProof/>
          <w:lang w:val="it-IT"/>
        </w:rPr>
        <w:t>più frequentemente</w:t>
      </w:r>
      <w:r>
        <w:rPr>
          <w:rFonts w:eastAsia="SimSun"/>
          <w:noProof/>
          <w:szCs w:val="22"/>
          <w:lang w:val="it-IT" w:eastAsia="zh-CN"/>
        </w:rPr>
        <w:t xml:space="preserve"> riportati </w:t>
      </w:r>
      <w:r>
        <w:rPr>
          <w:noProof/>
          <w:lang w:val="it-IT"/>
        </w:rPr>
        <w:t>nella popolazione</w:t>
      </w:r>
      <w:r>
        <w:rPr>
          <w:rFonts w:eastAsia="SimSun"/>
          <w:noProof/>
          <w:szCs w:val="22"/>
          <w:lang w:val="it-IT" w:eastAsia="zh-CN"/>
        </w:rPr>
        <w:t xml:space="preserve"> affetta da AIG</w:t>
      </w:r>
      <w:r>
        <w:rPr>
          <w:noProof/>
          <w:lang w:val="it-IT"/>
        </w:rPr>
        <w:t>p</w:t>
      </w:r>
      <w:r>
        <w:rPr>
          <w:rFonts w:eastAsia="SimSun"/>
          <w:noProof/>
          <w:szCs w:val="22"/>
          <w:lang w:val="it-IT" w:eastAsia="zh-CN"/>
        </w:rPr>
        <w:t xml:space="preserve">. </w:t>
      </w:r>
      <w:r>
        <w:rPr>
          <w:noProof/>
          <w:lang w:val="it-IT"/>
        </w:rPr>
        <w:t>Eventi</w:t>
      </w:r>
      <w:r>
        <w:rPr>
          <w:rFonts w:eastAsia="SimSun"/>
          <w:noProof/>
          <w:szCs w:val="22"/>
          <w:lang w:val="it-IT" w:eastAsia="zh-CN"/>
        </w:rPr>
        <w:t xml:space="preserve"> </w:t>
      </w:r>
      <w:r>
        <w:rPr>
          <w:noProof/>
          <w:lang w:val="it-IT"/>
        </w:rPr>
        <w:t>di colesterolo</w:t>
      </w:r>
      <w:r>
        <w:rPr>
          <w:rFonts w:eastAsia="SimSun"/>
          <w:noProof/>
          <w:szCs w:val="22"/>
          <w:lang w:val="it-IT" w:eastAsia="zh-CN"/>
        </w:rPr>
        <w:t xml:space="preserve"> aumentato sono stati riportati</w:t>
      </w:r>
      <w:r>
        <w:rPr>
          <w:noProof/>
          <w:lang w:val="it-IT"/>
        </w:rPr>
        <w:t xml:space="preserve"> meno</w:t>
      </w:r>
      <w:r>
        <w:rPr>
          <w:rFonts w:eastAsia="SimSun"/>
          <w:noProof/>
          <w:szCs w:val="22"/>
          <w:lang w:val="it-IT" w:eastAsia="zh-CN"/>
        </w:rPr>
        <w:t xml:space="preserve"> </w:t>
      </w:r>
      <w:r>
        <w:rPr>
          <w:noProof/>
          <w:lang w:val="it-IT"/>
        </w:rPr>
        <w:t>frequentemente</w:t>
      </w:r>
      <w:r>
        <w:rPr>
          <w:rFonts w:eastAsia="SimSun"/>
          <w:noProof/>
          <w:szCs w:val="22"/>
          <w:lang w:val="it-IT" w:eastAsia="zh-CN"/>
        </w:rPr>
        <w:t xml:space="preserve"> </w:t>
      </w:r>
      <w:r>
        <w:rPr>
          <w:noProof/>
          <w:lang w:val="it-IT"/>
        </w:rPr>
        <w:t>nella popolazione</w:t>
      </w:r>
      <w:r>
        <w:rPr>
          <w:rFonts w:eastAsia="SimSun"/>
          <w:noProof/>
          <w:szCs w:val="22"/>
          <w:lang w:val="it-IT" w:eastAsia="zh-CN"/>
        </w:rPr>
        <w:t xml:space="preserve"> AIG</w:t>
      </w:r>
      <w:r>
        <w:rPr>
          <w:noProof/>
          <w:lang w:val="it-IT"/>
        </w:rPr>
        <w:t>p</w:t>
      </w:r>
      <w:r>
        <w:rPr>
          <w:rFonts w:eastAsia="SimSun"/>
          <w:noProof/>
          <w:szCs w:val="22"/>
          <w:lang w:val="it-IT" w:eastAsia="zh-CN"/>
        </w:rPr>
        <w:t xml:space="preserve"> </w:t>
      </w:r>
      <w:r>
        <w:rPr>
          <w:noProof/>
          <w:lang w:val="it-IT"/>
        </w:rPr>
        <w:t>rispetto alla popolazione</w:t>
      </w:r>
      <w:r>
        <w:rPr>
          <w:rFonts w:eastAsia="SimSun"/>
          <w:noProof/>
          <w:szCs w:val="22"/>
          <w:lang w:val="it-IT" w:eastAsia="zh-CN"/>
        </w:rPr>
        <w:t xml:space="preserve"> </w:t>
      </w:r>
      <w:r>
        <w:rPr>
          <w:noProof/>
          <w:lang w:val="it-IT"/>
        </w:rPr>
        <w:t>adulta</w:t>
      </w:r>
      <w:r>
        <w:rPr>
          <w:rFonts w:eastAsia="SimSun"/>
          <w:noProof/>
          <w:szCs w:val="22"/>
          <w:lang w:val="it-IT" w:eastAsia="zh-CN"/>
        </w:rPr>
        <w:t xml:space="preserve"> A</w:t>
      </w:r>
      <w:r>
        <w:rPr>
          <w:noProof/>
          <w:lang w:val="it-IT"/>
        </w:rPr>
        <w:t>R</w:t>
      </w:r>
      <w:r>
        <w:rPr>
          <w:rFonts w:eastAsia="SimSun"/>
          <w:noProof/>
          <w:szCs w:val="22"/>
          <w:lang w:val="it-IT" w:eastAsia="zh-CN"/>
        </w:rPr>
        <w:t>.</w:t>
      </w:r>
    </w:p>
    <w:p>
      <w:pPr>
        <w:tabs>
          <w:tab w:val="left" w:pos="180"/>
        </w:tabs>
        <w:autoSpaceDE w:val="0"/>
        <w:autoSpaceDN w:val="0"/>
        <w:adjustRightInd w:val="0"/>
        <w:rPr>
          <w:rFonts w:eastAsia="SimSun"/>
          <w:noProof/>
          <w:szCs w:val="22"/>
          <w:lang w:val="it-IT" w:eastAsia="zh-CN"/>
        </w:rPr>
      </w:pPr>
    </w:p>
    <w:p>
      <w:pPr>
        <w:keepNext/>
        <w:tabs>
          <w:tab w:val="left" w:pos="180"/>
        </w:tabs>
        <w:autoSpaceDE w:val="0"/>
        <w:autoSpaceDN w:val="0"/>
        <w:adjustRightInd w:val="0"/>
        <w:rPr>
          <w:rFonts w:eastAsia="SimSun"/>
          <w:i/>
          <w:noProof/>
          <w:szCs w:val="22"/>
          <w:u w:val="single"/>
          <w:lang w:val="it-IT" w:eastAsia="zh-CN"/>
        </w:rPr>
      </w:pPr>
      <w:r>
        <w:rPr>
          <w:rFonts w:eastAsia="SimSun"/>
          <w:i/>
          <w:noProof/>
          <w:szCs w:val="22"/>
          <w:u w:val="single"/>
          <w:lang w:val="it-IT" w:eastAsia="zh-CN"/>
        </w:rPr>
        <w:t>Infezioni</w:t>
      </w: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 xml:space="preserve">La frequenza di infezioni osservate in tutta la popolazione esposta a tocilizumab è stata di 163,7 eventi per 100 </w:t>
      </w:r>
      <w:r>
        <w:rPr>
          <w:noProof/>
          <w:lang w:val="it-IT"/>
        </w:rPr>
        <w:t>anni-paziente</w:t>
      </w:r>
      <w:r>
        <w:rPr>
          <w:rFonts w:eastAsia="SimSun"/>
          <w:noProof/>
          <w:szCs w:val="22"/>
          <w:lang w:val="it-IT" w:eastAsia="zh-CN"/>
        </w:rPr>
        <w:t>. Gli eventi più comuni osservati sono stati nasofaringite e infezioni del tratto respiratorio superiore.</w:t>
      </w: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 xml:space="preserve">La frequenza di infezioni gravi è stata numericamente più elevata nei pazienti di peso </w:t>
      </w:r>
      <w:r>
        <w:rPr>
          <w:rFonts w:eastAsia="SimSun"/>
          <w:noProof/>
          <w:szCs w:val="22"/>
          <w:lang w:val="it-IT" w:eastAsia="zh-CN"/>
        </w:rPr>
        <w:sym w:font="Symbol" w:char="F03C"/>
      </w:r>
      <w:ins w:id="1083" w:author="Author">
        <w:r>
          <w:rPr>
            <w:rFonts w:eastAsia="SimSun"/>
            <w:noProof/>
            <w:szCs w:val="22"/>
            <w:lang w:val="it-IT" w:eastAsia="zh-CN"/>
          </w:rPr>
          <w:t xml:space="preserve"> </w:t>
        </w:r>
      </w:ins>
      <w:r>
        <w:rPr>
          <w:rFonts w:eastAsia="SimSun"/>
          <w:noProof/>
          <w:szCs w:val="22"/>
          <w:lang w:val="it-IT" w:eastAsia="zh-CN"/>
        </w:rPr>
        <w:t xml:space="preserve">30 kg trattati con 10 mg/kg di tocilizumab (12,2 per 100 </w:t>
      </w:r>
      <w:r>
        <w:rPr>
          <w:noProof/>
          <w:lang w:val="it-IT"/>
        </w:rPr>
        <w:t>anni-paziente</w:t>
      </w:r>
      <w:r>
        <w:rPr>
          <w:rFonts w:eastAsia="SimSun"/>
          <w:noProof/>
          <w:szCs w:val="22"/>
          <w:lang w:val="it-IT" w:eastAsia="zh-CN"/>
        </w:rPr>
        <w:t xml:space="preserve">) rispetto ai pazienti di peso </w:t>
      </w:r>
      <w:r>
        <w:rPr>
          <w:noProof/>
          <w:szCs w:val="22"/>
          <w:lang w:val="it-IT"/>
        </w:rPr>
        <w:t>≥</w:t>
      </w:r>
      <w:ins w:id="1084" w:author="Author">
        <w:r>
          <w:rPr>
            <w:noProof/>
            <w:szCs w:val="22"/>
            <w:lang w:val="it-IT"/>
          </w:rPr>
          <w:t xml:space="preserve"> </w:t>
        </w:r>
      </w:ins>
      <w:r>
        <w:rPr>
          <w:rFonts w:eastAsia="SimSun"/>
          <w:noProof/>
          <w:szCs w:val="22"/>
          <w:lang w:val="it-IT" w:eastAsia="zh-CN"/>
        </w:rPr>
        <w:t xml:space="preserve">30 kg, trattati con 8 mg/kg di tocilizumab (4,0 per 100 </w:t>
      </w:r>
      <w:r>
        <w:rPr>
          <w:noProof/>
          <w:lang w:val="it-IT"/>
        </w:rPr>
        <w:t>anni-paziente</w:t>
      </w:r>
      <w:r>
        <w:rPr>
          <w:rFonts w:eastAsia="SimSun"/>
          <w:noProof/>
          <w:szCs w:val="22"/>
          <w:lang w:val="it-IT" w:eastAsia="zh-CN"/>
        </w:rPr>
        <w:t xml:space="preserve">). L’incidenza delle infezioni che hanno portato ad una interruzione della dose è stata numericamente più elevata nei pazienti di peso </w:t>
      </w:r>
      <w:r>
        <w:rPr>
          <w:rFonts w:eastAsia="SimSun"/>
          <w:noProof/>
          <w:szCs w:val="22"/>
          <w:lang w:val="it-IT" w:eastAsia="zh-CN"/>
        </w:rPr>
        <w:sym w:font="Symbol" w:char="F03C"/>
      </w:r>
      <w:ins w:id="1085" w:author="Author">
        <w:r>
          <w:rPr>
            <w:rFonts w:eastAsia="SimSun"/>
            <w:noProof/>
            <w:szCs w:val="22"/>
            <w:lang w:val="it-IT" w:eastAsia="zh-CN"/>
          </w:rPr>
          <w:t xml:space="preserve"> </w:t>
        </w:r>
      </w:ins>
      <w:r>
        <w:rPr>
          <w:rFonts w:eastAsia="SimSun"/>
          <w:noProof/>
          <w:szCs w:val="22"/>
          <w:lang w:val="it-IT" w:eastAsia="zh-CN"/>
        </w:rPr>
        <w:t xml:space="preserve">30 Kg trattati con 10 mg/kg di tocilizumab (21,4%) rispetto ai pazienti di peso </w:t>
      </w:r>
      <w:r>
        <w:rPr>
          <w:noProof/>
          <w:szCs w:val="22"/>
          <w:lang w:val="it-IT"/>
        </w:rPr>
        <w:t>≥</w:t>
      </w:r>
      <w:ins w:id="1086" w:author="Author">
        <w:r>
          <w:rPr>
            <w:noProof/>
            <w:szCs w:val="22"/>
            <w:lang w:val="it-IT"/>
          </w:rPr>
          <w:t xml:space="preserve"> </w:t>
        </w:r>
      </w:ins>
      <w:r>
        <w:rPr>
          <w:rFonts w:eastAsia="SimSun"/>
          <w:noProof/>
          <w:szCs w:val="22"/>
          <w:lang w:val="it-IT" w:eastAsia="zh-CN"/>
        </w:rPr>
        <w:t>30 kg trattati con 8 mg/kg di tocilizumab (7,6%).</w:t>
      </w:r>
    </w:p>
    <w:p>
      <w:pPr>
        <w:tabs>
          <w:tab w:val="left" w:pos="180"/>
        </w:tabs>
        <w:autoSpaceDE w:val="0"/>
        <w:autoSpaceDN w:val="0"/>
        <w:adjustRightInd w:val="0"/>
        <w:rPr>
          <w:rFonts w:eastAsia="SimSun"/>
          <w:noProof/>
          <w:szCs w:val="22"/>
          <w:lang w:val="it-IT" w:eastAsia="zh-CN"/>
        </w:rPr>
      </w:pPr>
    </w:p>
    <w:p>
      <w:pPr>
        <w:keepNext/>
        <w:keepLines/>
        <w:tabs>
          <w:tab w:val="left" w:pos="180"/>
        </w:tabs>
        <w:autoSpaceDE w:val="0"/>
        <w:autoSpaceDN w:val="0"/>
        <w:adjustRightInd w:val="0"/>
        <w:rPr>
          <w:rFonts w:eastAsia="SimSun"/>
          <w:i/>
          <w:noProof/>
          <w:szCs w:val="22"/>
          <w:u w:val="single"/>
          <w:lang w:val="it-IT" w:eastAsia="zh-CN"/>
        </w:rPr>
      </w:pPr>
      <w:r>
        <w:rPr>
          <w:rFonts w:eastAsia="SimSun"/>
          <w:i/>
          <w:noProof/>
          <w:szCs w:val="22"/>
          <w:u w:val="single"/>
          <w:lang w:val="it-IT" w:eastAsia="zh-CN"/>
        </w:rPr>
        <w:t>Reazioni correlate all’infusione</w:t>
      </w: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Nei pazienti con AIGp, si definiscono reazioni correlate all’infusione tutti gli eventi avversi che si verificano durante l’infusione o entro 24 ore dall’infusione. In tutta la popolazione esposta a tocilizumab, 11 pazienti (5,9%) hanno sviluppato reazioni correlate all’infusione durante l’infusione e 38 pazienti (20</w:t>
      </w:r>
      <w:del w:id="1087" w:author="Author">
        <w:r>
          <w:rPr>
            <w:rFonts w:eastAsia="SimSun"/>
            <w:noProof/>
            <w:szCs w:val="22"/>
            <w:lang w:val="it-IT" w:eastAsia="zh-CN"/>
          </w:rPr>
          <w:delText>.</w:delText>
        </w:r>
      </w:del>
      <w:ins w:id="1088" w:author="Author">
        <w:r>
          <w:rPr>
            <w:rFonts w:eastAsia="SimSun"/>
            <w:noProof/>
            <w:szCs w:val="22"/>
            <w:lang w:val="it-IT" w:eastAsia="zh-CN"/>
          </w:rPr>
          <w:t>,</w:t>
        </w:r>
      </w:ins>
      <w:r>
        <w:rPr>
          <w:rFonts w:eastAsia="SimSun"/>
          <w:noProof/>
          <w:szCs w:val="22"/>
          <w:lang w:val="it-IT" w:eastAsia="zh-CN"/>
        </w:rPr>
        <w:t xml:space="preserve">2%) hanno sviluppato un evento entro 24 ore dall’infusione. </w:t>
      </w: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Gli eventi più comuni che si sono verificati durante l’infusione sono stati cefalea, nausea ed ipotensione ed entro 24 ore dall’infusione sono stati capogiro e ipotensione. In generale, le reazioni avverse al medicinale osservante durante o entro 24 ore dall’infusione sono state di natura simile a quelle osservate nei pazienti con AR e AIGs, vedere paragrafo 4.8.</w:t>
      </w:r>
    </w:p>
    <w:p>
      <w:pPr>
        <w:tabs>
          <w:tab w:val="left" w:pos="180"/>
        </w:tabs>
        <w:autoSpaceDE w:val="0"/>
        <w:autoSpaceDN w:val="0"/>
        <w:adjustRightInd w:val="0"/>
        <w:rPr>
          <w:rFonts w:eastAsia="SimSun"/>
          <w:noProof/>
          <w:szCs w:val="22"/>
          <w:lang w:val="it-IT" w:eastAsia="zh-CN"/>
        </w:rPr>
      </w:pP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Non sono state riportate reazioni di ipersensibilità clinicamente significative associate a tocilizumab che abbiano richiesto un’interruzione del trattamento.</w:t>
      </w:r>
    </w:p>
    <w:p>
      <w:pPr>
        <w:tabs>
          <w:tab w:val="left" w:pos="180"/>
        </w:tabs>
        <w:autoSpaceDE w:val="0"/>
        <w:autoSpaceDN w:val="0"/>
        <w:adjustRightInd w:val="0"/>
        <w:rPr>
          <w:rFonts w:eastAsia="SimSun"/>
          <w:noProof/>
          <w:szCs w:val="22"/>
          <w:lang w:val="it-IT" w:eastAsia="zh-CN"/>
        </w:rPr>
      </w:pPr>
    </w:p>
    <w:p>
      <w:pPr>
        <w:tabs>
          <w:tab w:val="left" w:pos="180"/>
        </w:tabs>
        <w:autoSpaceDE w:val="0"/>
        <w:autoSpaceDN w:val="0"/>
        <w:adjustRightInd w:val="0"/>
        <w:rPr>
          <w:rFonts w:eastAsia="SimSun"/>
          <w:i/>
          <w:noProof/>
          <w:szCs w:val="22"/>
          <w:u w:val="single"/>
          <w:lang w:val="it-IT" w:eastAsia="zh-CN"/>
        </w:rPr>
      </w:pPr>
      <w:r>
        <w:rPr>
          <w:rFonts w:eastAsia="SimSun"/>
          <w:i/>
          <w:noProof/>
          <w:szCs w:val="22"/>
          <w:u w:val="single"/>
          <w:lang w:val="it-IT" w:eastAsia="zh-CN"/>
        </w:rPr>
        <w:t>Immunogenicità</w:t>
      </w: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 xml:space="preserve">Un paziente di peso </w:t>
      </w:r>
      <w:r>
        <w:rPr>
          <w:rFonts w:eastAsia="SimSun"/>
          <w:noProof/>
          <w:szCs w:val="22"/>
          <w:lang w:val="it-IT" w:eastAsia="zh-CN"/>
        </w:rPr>
        <w:sym w:font="Symbol" w:char="F03C"/>
      </w:r>
      <w:ins w:id="1089" w:author="Author">
        <w:r>
          <w:rPr>
            <w:rFonts w:eastAsia="SimSun"/>
            <w:noProof/>
            <w:szCs w:val="22"/>
            <w:lang w:val="it-IT" w:eastAsia="zh-CN"/>
          </w:rPr>
          <w:t xml:space="preserve"> </w:t>
        </w:r>
      </w:ins>
      <w:r>
        <w:rPr>
          <w:rFonts w:eastAsia="SimSun"/>
          <w:noProof/>
          <w:szCs w:val="22"/>
          <w:lang w:val="it-IT" w:eastAsia="zh-CN"/>
        </w:rPr>
        <w:t>30 kg nel gruppo 10 mg/kg ha sviluppato anticorpi anti-tocilizumab senza sviluppare una reazione di ipersensibilità e di conseguenza si è ritirato dallo studio.</w:t>
      </w:r>
    </w:p>
    <w:p>
      <w:pPr>
        <w:tabs>
          <w:tab w:val="left" w:pos="180"/>
        </w:tabs>
        <w:autoSpaceDE w:val="0"/>
        <w:autoSpaceDN w:val="0"/>
        <w:adjustRightInd w:val="0"/>
        <w:rPr>
          <w:rFonts w:eastAsia="SimSun"/>
          <w:noProof/>
          <w:szCs w:val="22"/>
          <w:lang w:val="it-IT" w:eastAsia="zh-CN"/>
        </w:rPr>
      </w:pPr>
    </w:p>
    <w:p>
      <w:pPr>
        <w:tabs>
          <w:tab w:val="left" w:pos="180"/>
        </w:tabs>
        <w:autoSpaceDE w:val="0"/>
        <w:autoSpaceDN w:val="0"/>
        <w:adjustRightInd w:val="0"/>
        <w:rPr>
          <w:rFonts w:eastAsia="SimSun"/>
          <w:i/>
          <w:noProof/>
          <w:szCs w:val="22"/>
          <w:u w:val="single"/>
          <w:lang w:val="it-IT" w:eastAsia="zh-CN"/>
        </w:rPr>
      </w:pPr>
      <w:r>
        <w:rPr>
          <w:rFonts w:eastAsia="SimSun"/>
          <w:i/>
          <w:noProof/>
          <w:szCs w:val="22"/>
          <w:u w:val="single"/>
          <w:lang w:val="it-IT" w:eastAsia="zh-CN"/>
        </w:rPr>
        <w:t>Neutrofili</w:t>
      </w: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 xml:space="preserve">Durante il monitoraggio di routine degli esami di laboratorio eseguito in tutta la popolazione esposta al tocilizumab, una riduzione della conta dei neutrofili al di sotto di 1 </w:t>
      </w:r>
      <w:r>
        <w:rPr>
          <w:rFonts w:eastAsia="SimSun"/>
          <w:noProof/>
          <w:szCs w:val="22"/>
          <w:lang w:val="it-IT" w:eastAsia="zh-CN"/>
        </w:rPr>
        <w:sym w:font="Symbol" w:char="F0B4"/>
      </w:r>
      <w:r>
        <w:rPr>
          <w:rFonts w:eastAsia="SimSun"/>
          <w:noProof/>
          <w:szCs w:val="22"/>
          <w:lang w:val="it-IT" w:eastAsia="zh-CN"/>
        </w:rPr>
        <w:t>10</w:t>
      </w:r>
      <w:r>
        <w:rPr>
          <w:rFonts w:eastAsia="SimSun"/>
          <w:noProof/>
          <w:szCs w:val="22"/>
          <w:vertAlign w:val="superscript"/>
          <w:lang w:val="it-IT" w:eastAsia="zh-CN"/>
        </w:rPr>
        <w:t>9</w:t>
      </w:r>
      <w:r>
        <w:rPr>
          <w:rFonts w:eastAsia="SimSun"/>
          <w:noProof/>
          <w:szCs w:val="22"/>
          <w:lang w:val="it-IT" w:eastAsia="zh-CN"/>
        </w:rPr>
        <w:t>/L si è verificata nel 3,7% dei pazienti.</w:t>
      </w:r>
    </w:p>
    <w:p>
      <w:pPr>
        <w:tabs>
          <w:tab w:val="left" w:pos="180"/>
        </w:tabs>
        <w:autoSpaceDE w:val="0"/>
        <w:autoSpaceDN w:val="0"/>
        <w:adjustRightInd w:val="0"/>
        <w:rPr>
          <w:rFonts w:eastAsia="SimSun"/>
          <w:noProof/>
          <w:szCs w:val="22"/>
          <w:lang w:val="it-IT" w:eastAsia="zh-CN"/>
        </w:rPr>
      </w:pPr>
    </w:p>
    <w:p>
      <w:pPr>
        <w:keepNext/>
        <w:keepLines/>
        <w:tabs>
          <w:tab w:val="left" w:pos="180"/>
        </w:tabs>
        <w:autoSpaceDE w:val="0"/>
        <w:autoSpaceDN w:val="0"/>
        <w:adjustRightInd w:val="0"/>
        <w:rPr>
          <w:rFonts w:eastAsia="SimSun"/>
          <w:i/>
          <w:noProof/>
          <w:szCs w:val="22"/>
          <w:u w:val="single"/>
          <w:lang w:val="it-IT" w:eastAsia="zh-CN"/>
        </w:rPr>
        <w:pPrChange w:id="1090" w:author="Author">
          <w:pPr>
            <w:tabs>
              <w:tab w:val="left" w:pos="180"/>
            </w:tabs>
            <w:autoSpaceDE w:val="0"/>
            <w:autoSpaceDN w:val="0"/>
            <w:adjustRightInd w:val="0"/>
          </w:pPr>
        </w:pPrChange>
      </w:pPr>
      <w:r>
        <w:rPr>
          <w:rFonts w:eastAsia="SimSun"/>
          <w:i/>
          <w:noProof/>
          <w:szCs w:val="22"/>
          <w:u w:val="single"/>
          <w:lang w:val="it-IT" w:eastAsia="zh-CN"/>
        </w:rPr>
        <w:lastRenderedPageBreak/>
        <w:t>Piastrine</w:t>
      </w:r>
    </w:p>
    <w:p>
      <w:pPr>
        <w:keepNext/>
        <w:keepLines/>
        <w:tabs>
          <w:tab w:val="left" w:pos="180"/>
        </w:tabs>
        <w:autoSpaceDE w:val="0"/>
        <w:autoSpaceDN w:val="0"/>
        <w:adjustRightInd w:val="0"/>
        <w:rPr>
          <w:rFonts w:eastAsia="SimSun"/>
          <w:noProof/>
          <w:szCs w:val="22"/>
          <w:lang w:val="it-IT" w:eastAsia="zh-CN"/>
        </w:rPr>
        <w:pPrChange w:id="1091" w:author="Author">
          <w:pPr>
            <w:tabs>
              <w:tab w:val="left" w:pos="180"/>
            </w:tabs>
            <w:autoSpaceDE w:val="0"/>
            <w:autoSpaceDN w:val="0"/>
            <w:adjustRightInd w:val="0"/>
          </w:pPr>
        </w:pPrChange>
      </w:pPr>
      <w:r>
        <w:rPr>
          <w:rFonts w:eastAsia="SimSun"/>
          <w:noProof/>
          <w:szCs w:val="22"/>
          <w:lang w:val="it-IT" w:eastAsia="zh-CN"/>
        </w:rPr>
        <w:t xml:space="preserve">Durante il monitoraggio di routine di laboratorio eseguito in tutta la popolazione esposta al tocilizumab, nell’1% dei pazienti si è verificata una riduzione della conta piastrinica ≤ 50 </w:t>
      </w:r>
      <w:r>
        <w:rPr>
          <w:rFonts w:eastAsia="SimSun"/>
          <w:noProof/>
          <w:szCs w:val="22"/>
          <w:lang w:val="it-IT" w:eastAsia="zh-CN"/>
        </w:rPr>
        <w:sym w:font="Symbol" w:char="F0B4"/>
      </w:r>
      <w:r>
        <w:rPr>
          <w:rFonts w:eastAsia="SimSun"/>
          <w:noProof/>
          <w:szCs w:val="22"/>
          <w:lang w:val="it-IT" w:eastAsia="zh-CN"/>
        </w:rPr>
        <w:t>10</w:t>
      </w:r>
      <w:r>
        <w:rPr>
          <w:rFonts w:eastAsia="SimSun"/>
          <w:noProof/>
          <w:szCs w:val="22"/>
          <w:vertAlign w:val="superscript"/>
          <w:lang w:val="it-IT" w:eastAsia="zh-CN"/>
        </w:rPr>
        <w:t>3</w:t>
      </w:r>
      <w:r>
        <w:rPr>
          <w:rFonts w:eastAsia="SimSun"/>
          <w:noProof/>
          <w:szCs w:val="22"/>
          <w:lang w:val="it-IT" w:eastAsia="zh-CN"/>
        </w:rPr>
        <w:t>/µl non associata a eventi di sanguinamento.</w:t>
      </w:r>
    </w:p>
    <w:p>
      <w:pPr>
        <w:tabs>
          <w:tab w:val="left" w:pos="180"/>
        </w:tabs>
        <w:autoSpaceDE w:val="0"/>
        <w:autoSpaceDN w:val="0"/>
        <w:adjustRightInd w:val="0"/>
        <w:rPr>
          <w:rFonts w:eastAsia="SimSun"/>
          <w:noProof/>
          <w:szCs w:val="22"/>
          <w:lang w:val="it-IT" w:eastAsia="zh-CN"/>
        </w:rPr>
      </w:pPr>
    </w:p>
    <w:p>
      <w:pPr>
        <w:keepNext/>
        <w:tabs>
          <w:tab w:val="left" w:pos="180"/>
        </w:tabs>
        <w:autoSpaceDE w:val="0"/>
        <w:autoSpaceDN w:val="0"/>
        <w:adjustRightInd w:val="0"/>
        <w:rPr>
          <w:rFonts w:eastAsia="SimSun"/>
          <w:i/>
          <w:noProof/>
          <w:szCs w:val="22"/>
          <w:u w:val="single"/>
          <w:lang w:val="it-IT" w:eastAsia="zh-CN"/>
          <w:rPrChange w:id="1092" w:author="Author">
            <w:rPr>
              <w:rFonts w:eastAsia="SimSun"/>
              <w:i/>
              <w:szCs w:val="22"/>
              <w:lang w:val="it-IT" w:eastAsia="zh-CN"/>
            </w:rPr>
          </w:rPrChange>
        </w:rPr>
        <w:pPrChange w:id="1093" w:author="Author">
          <w:pPr>
            <w:tabs>
              <w:tab w:val="left" w:pos="180"/>
            </w:tabs>
            <w:autoSpaceDE w:val="0"/>
            <w:autoSpaceDN w:val="0"/>
            <w:adjustRightInd w:val="0"/>
          </w:pPr>
        </w:pPrChange>
      </w:pPr>
      <w:r>
        <w:rPr>
          <w:rFonts w:eastAsia="SimSun"/>
          <w:i/>
          <w:noProof/>
          <w:szCs w:val="22"/>
          <w:u w:val="single"/>
          <w:lang w:val="it-IT" w:eastAsia="zh-CN"/>
          <w:rPrChange w:id="1094" w:author="Author">
            <w:rPr>
              <w:rFonts w:eastAsia="SimSun"/>
              <w:i/>
              <w:szCs w:val="22"/>
              <w:lang w:val="it-IT" w:eastAsia="zh-CN"/>
            </w:rPr>
          </w:rPrChange>
        </w:rPr>
        <w:t>Aumenti delle transaminasi epatiche</w:t>
      </w:r>
    </w:p>
    <w:p>
      <w:pPr>
        <w:tabs>
          <w:tab w:val="left" w:pos="180"/>
        </w:tabs>
        <w:outlineLvl w:val="0"/>
        <w:rPr>
          <w:rFonts w:eastAsia="SimSun"/>
          <w:noProof/>
          <w:szCs w:val="22"/>
          <w:lang w:val="it-IT" w:eastAsia="zh-CN"/>
        </w:rPr>
      </w:pPr>
      <w:r>
        <w:rPr>
          <w:rFonts w:eastAsia="SimSun"/>
          <w:noProof/>
          <w:szCs w:val="22"/>
          <w:lang w:val="it-IT" w:eastAsia="zh-CN"/>
        </w:rPr>
        <w:t>Durante il monitoraggio di routine degli esami di laboratorio eseguito in tutta la popolazione esposta al tocilizumab, aumenti di ALT o AST</w:t>
      </w:r>
      <w:del w:id="1095" w:author="Author">
        <w:r>
          <w:rPr>
            <w:rFonts w:eastAsia="SimSun"/>
            <w:noProof/>
            <w:szCs w:val="22"/>
            <w:lang w:val="it-IT" w:eastAsia="zh-CN"/>
          </w:rPr>
          <w:delText xml:space="preserve"> </w:delText>
        </w:r>
      </w:del>
      <w:r>
        <w:rPr>
          <w:noProof/>
          <w:szCs w:val="22"/>
          <w:lang w:val="it-IT"/>
        </w:rPr>
        <w:t> ≥</w:t>
      </w:r>
      <w:ins w:id="1096" w:author="Author">
        <w:r>
          <w:rPr>
            <w:noProof/>
            <w:szCs w:val="22"/>
            <w:lang w:val="it-IT"/>
          </w:rPr>
          <w:t xml:space="preserve"> </w:t>
        </w:r>
      </w:ins>
      <w:r>
        <w:rPr>
          <w:rFonts w:eastAsia="SimSun"/>
          <w:noProof/>
          <w:szCs w:val="22"/>
          <w:lang w:val="it-IT" w:eastAsia="zh-CN"/>
        </w:rPr>
        <w:t xml:space="preserve">3 volte ULN sono stati osservati rispettivamente, nel 3,7% ed in </w:t>
      </w:r>
      <w:r>
        <w:rPr>
          <w:rFonts w:eastAsia="SimSun"/>
          <w:noProof/>
          <w:szCs w:val="22"/>
          <w:lang w:val="it-IT" w:eastAsia="zh-CN"/>
        </w:rPr>
        <w:sym w:font="Symbol" w:char="F03C"/>
      </w:r>
      <w:ins w:id="1097" w:author="Author">
        <w:r>
          <w:rPr>
            <w:rFonts w:eastAsia="SimSun"/>
            <w:noProof/>
            <w:szCs w:val="22"/>
            <w:lang w:val="it-IT" w:eastAsia="zh-CN"/>
          </w:rPr>
          <w:t xml:space="preserve"> </w:t>
        </w:r>
      </w:ins>
      <w:r>
        <w:rPr>
          <w:rFonts w:eastAsia="SimSun"/>
          <w:noProof/>
          <w:szCs w:val="22"/>
          <w:lang w:val="it-IT" w:eastAsia="zh-CN"/>
        </w:rPr>
        <w:t>1% dei pazienti.</w:t>
      </w:r>
    </w:p>
    <w:p>
      <w:pPr>
        <w:tabs>
          <w:tab w:val="left" w:pos="180"/>
        </w:tabs>
        <w:ind w:left="567" w:hanging="567"/>
        <w:outlineLvl w:val="0"/>
        <w:rPr>
          <w:rFonts w:eastAsia="SimSun"/>
          <w:noProof/>
          <w:szCs w:val="22"/>
          <w:lang w:val="it-IT" w:eastAsia="zh-CN"/>
        </w:rPr>
      </w:pPr>
    </w:p>
    <w:p>
      <w:pPr>
        <w:tabs>
          <w:tab w:val="left" w:pos="180"/>
        </w:tabs>
        <w:ind w:left="567" w:hanging="567"/>
        <w:outlineLvl w:val="0"/>
        <w:rPr>
          <w:rFonts w:eastAsia="SimSun"/>
          <w:i/>
          <w:noProof/>
          <w:szCs w:val="22"/>
          <w:u w:val="single"/>
          <w:lang w:val="it-IT" w:eastAsia="zh-CN"/>
        </w:rPr>
      </w:pPr>
      <w:r>
        <w:rPr>
          <w:rFonts w:eastAsia="SimSun"/>
          <w:i/>
          <w:noProof/>
          <w:szCs w:val="22"/>
          <w:u w:val="single"/>
          <w:lang w:val="it-IT" w:eastAsia="zh-CN"/>
        </w:rPr>
        <w:t>Parametri lipidici</w:t>
      </w:r>
    </w:p>
    <w:p>
      <w:pPr>
        <w:tabs>
          <w:tab w:val="left" w:pos="180"/>
        </w:tabs>
        <w:outlineLvl w:val="0"/>
        <w:rPr>
          <w:rFonts w:eastAsia="SimSun"/>
          <w:noProof/>
          <w:szCs w:val="22"/>
          <w:lang w:val="it-IT" w:eastAsia="zh-CN"/>
        </w:rPr>
      </w:pPr>
      <w:r>
        <w:rPr>
          <w:rFonts w:eastAsia="SimSun"/>
          <w:noProof/>
          <w:szCs w:val="22"/>
          <w:lang w:val="it-IT" w:eastAsia="zh-CN"/>
        </w:rPr>
        <w:t xml:space="preserve">Durante il monitoraggio di routine degli esami eseguiti nello </w:t>
      </w:r>
      <w:del w:id="1098" w:author="Author">
        <w:r>
          <w:rPr>
            <w:rFonts w:eastAsia="SimSun"/>
            <w:noProof/>
            <w:szCs w:val="22"/>
            <w:lang w:val="it-IT" w:eastAsia="zh-CN"/>
          </w:rPr>
          <w:delText xml:space="preserve">studio </w:delText>
        </w:r>
      </w:del>
      <w:ins w:id="1099" w:author="Author">
        <w:r>
          <w:rPr>
            <w:rFonts w:eastAsia="SimSun"/>
            <w:noProof/>
            <w:szCs w:val="22"/>
            <w:lang w:val="it-IT" w:eastAsia="zh-CN"/>
          </w:rPr>
          <w:t xml:space="preserve">Studio clinico </w:t>
        </w:r>
      </w:ins>
      <w:r>
        <w:rPr>
          <w:rFonts w:eastAsia="SimSun"/>
          <w:noProof/>
          <w:szCs w:val="22"/>
          <w:lang w:val="it-IT" w:eastAsia="zh-CN"/>
        </w:rPr>
        <w:t xml:space="preserve">WA19977 con RoActemra </w:t>
      </w:r>
      <w:r>
        <w:rPr>
          <w:noProof/>
          <w:lang w:val="it-IT"/>
        </w:rPr>
        <w:t>in formulazione</w:t>
      </w:r>
      <w:r>
        <w:rPr>
          <w:rFonts w:eastAsia="SimSun"/>
          <w:noProof/>
          <w:szCs w:val="22"/>
          <w:lang w:val="it-IT" w:eastAsia="zh-CN"/>
        </w:rPr>
        <w:t xml:space="preserve"> endovenosa, il 3,4% e il 10,4% dei pazienti hanno manifestato un incremento post-basale del valore rispettivamente di colesterolo LDL</w:t>
      </w:r>
      <w:del w:id="1100" w:author="Author">
        <w:r>
          <w:rPr>
            <w:rFonts w:eastAsia="SimSun"/>
            <w:noProof/>
            <w:szCs w:val="22"/>
            <w:lang w:val="it-IT" w:eastAsia="zh-CN"/>
          </w:rPr>
          <w:delText xml:space="preserve"> </w:delText>
        </w:r>
      </w:del>
      <w:r>
        <w:rPr>
          <w:noProof/>
          <w:szCs w:val="22"/>
          <w:lang w:val="it-IT"/>
        </w:rPr>
        <w:t> ≥</w:t>
      </w:r>
      <w:ins w:id="1101" w:author="Author">
        <w:r>
          <w:rPr>
            <w:noProof/>
            <w:szCs w:val="22"/>
            <w:lang w:val="it-IT"/>
          </w:rPr>
          <w:t xml:space="preserve"> </w:t>
        </w:r>
      </w:ins>
      <w:r>
        <w:rPr>
          <w:rFonts w:eastAsia="SimSun"/>
          <w:noProof/>
          <w:szCs w:val="22"/>
          <w:lang w:val="it-IT" w:eastAsia="zh-CN"/>
        </w:rPr>
        <w:t xml:space="preserve">130 mg/dl e di colesterolo totale </w:t>
      </w:r>
      <w:del w:id="1102" w:author="Author">
        <w:r>
          <w:rPr>
            <w:noProof/>
            <w:szCs w:val="22"/>
            <w:lang w:val="it-IT"/>
          </w:rPr>
          <w:delText> </w:delText>
        </w:r>
      </w:del>
      <w:r>
        <w:rPr>
          <w:noProof/>
          <w:szCs w:val="22"/>
          <w:lang w:val="it-IT"/>
        </w:rPr>
        <w:t>≥</w:t>
      </w:r>
      <w:ins w:id="1103" w:author="Author">
        <w:r>
          <w:rPr>
            <w:noProof/>
            <w:szCs w:val="22"/>
            <w:lang w:val="it-IT"/>
          </w:rPr>
          <w:t xml:space="preserve"> </w:t>
        </w:r>
      </w:ins>
      <w:r>
        <w:rPr>
          <w:rFonts w:eastAsia="SimSun"/>
          <w:noProof/>
          <w:szCs w:val="22"/>
          <w:lang w:val="it-IT" w:eastAsia="zh-CN"/>
        </w:rPr>
        <w:t>200 mg/dl in qualsiasi momento nel corso del trattamento in studio.</w:t>
      </w:r>
    </w:p>
    <w:p>
      <w:pPr>
        <w:tabs>
          <w:tab w:val="left" w:pos="180"/>
        </w:tabs>
        <w:ind w:left="567" w:hanging="567"/>
        <w:outlineLvl w:val="0"/>
        <w:rPr>
          <w:rFonts w:eastAsia="SimSun"/>
          <w:noProof/>
          <w:szCs w:val="22"/>
          <w:lang w:val="it-IT" w:eastAsia="zh-CN"/>
        </w:rPr>
      </w:pPr>
    </w:p>
    <w:p>
      <w:pPr>
        <w:keepNext/>
        <w:keepLines/>
        <w:tabs>
          <w:tab w:val="left" w:pos="180"/>
        </w:tabs>
        <w:ind w:left="567" w:hanging="567"/>
        <w:outlineLvl w:val="0"/>
        <w:rPr>
          <w:rFonts w:eastAsia="SimSun"/>
          <w:i/>
          <w:noProof/>
          <w:szCs w:val="22"/>
          <w:lang w:val="it-IT" w:eastAsia="zh-CN"/>
        </w:rPr>
      </w:pPr>
      <w:r>
        <w:rPr>
          <w:rFonts w:eastAsia="SimSun"/>
          <w:i/>
          <w:noProof/>
          <w:szCs w:val="22"/>
          <w:lang w:val="it-IT" w:eastAsia="zh-CN"/>
        </w:rPr>
        <w:t>Descrizione delle reazioni avverse selezionate nei pazienti affetti da AIGs</w:t>
      </w:r>
    </w:p>
    <w:p>
      <w:pPr>
        <w:keepNext/>
        <w:keepLines/>
        <w:tabs>
          <w:tab w:val="left" w:pos="180"/>
        </w:tabs>
        <w:autoSpaceDE w:val="0"/>
        <w:autoSpaceDN w:val="0"/>
        <w:adjustRightInd w:val="0"/>
        <w:rPr>
          <w:rFonts w:eastAsia="SimSun"/>
          <w:noProof/>
          <w:szCs w:val="22"/>
          <w:lang w:val="it-IT" w:eastAsia="zh-CN"/>
        </w:rPr>
      </w:pPr>
      <w:r>
        <w:rPr>
          <w:rFonts w:eastAsia="SimSun"/>
          <w:noProof/>
          <w:szCs w:val="22"/>
          <w:lang w:val="it-IT" w:eastAsia="zh-CN"/>
        </w:rPr>
        <w:t xml:space="preserve">Il profilo di sicurezza di tocilizumab </w:t>
      </w:r>
      <w:r>
        <w:rPr>
          <w:noProof/>
          <w:lang w:val="it-IT"/>
        </w:rPr>
        <w:t>in formulazione</w:t>
      </w:r>
      <w:r>
        <w:rPr>
          <w:rFonts w:eastAsia="SimSun"/>
          <w:noProof/>
          <w:szCs w:val="22"/>
          <w:lang w:val="it-IT" w:eastAsia="zh-CN"/>
        </w:rPr>
        <w:t xml:space="preserve"> endovenosa nei soggetti affetti da AIGs è stato studiato in 112 pazienti di età compresa tra 2 e 17 anni. Nella fase in doppio cieco, controllata con placebo, della durata di 12 settimane, 75 pazienti hanno ricevuto tocilizumab (8 mg/kg o 12 mg/kg in base al peso corporeo). Dopo 12 settimane o al momento del passaggio dal placebo al trattamento con tocilizumab, a causa del peggioramento della malattia, i pazienti sono stati trattati nella fase di estensione in aperto.</w:t>
      </w:r>
    </w:p>
    <w:p>
      <w:pPr>
        <w:tabs>
          <w:tab w:val="left" w:pos="180"/>
        </w:tabs>
        <w:autoSpaceDE w:val="0"/>
        <w:autoSpaceDN w:val="0"/>
        <w:adjustRightInd w:val="0"/>
        <w:rPr>
          <w:rFonts w:eastAsia="SimSun"/>
          <w:noProof/>
          <w:szCs w:val="22"/>
          <w:lang w:val="it-IT" w:eastAsia="zh-CN"/>
        </w:rPr>
      </w:pP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In generale, nei pazienti affetti da AIGs sono state osservate reazioni avverse al farmaco di tipo simile a quelle riscontrate nei pazienti affetti da AR. La frequenza delle reaazioni avversenei pazienti affetti da AIGs può essere osservata in Tabella 3. Rispetto alla popolazione adulta AR, pazienti affetti da AIGs hanno manifestato con una frequenza più alta eventi di nasofaringite, diminuzione della conta dei neutrofili, aumento delle transaminasi epatiche e diarrea. Eventi di aumenti di colesterolo sono stati riportati meno frequentemente nella popolazione AIGs rispetto alla popolazione adulta AR.</w:t>
      </w:r>
    </w:p>
    <w:p>
      <w:pPr>
        <w:tabs>
          <w:tab w:val="left" w:pos="180"/>
        </w:tabs>
        <w:autoSpaceDE w:val="0"/>
        <w:autoSpaceDN w:val="0"/>
        <w:adjustRightInd w:val="0"/>
        <w:rPr>
          <w:rFonts w:eastAsia="SimSun"/>
          <w:noProof/>
          <w:szCs w:val="22"/>
          <w:lang w:val="it-IT" w:eastAsia="zh-CN"/>
        </w:rPr>
      </w:pPr>
    </w:p>
    <w:p>
      <w:pPr>
        <w:keepNext/>
        <w:tabs>
          <w:tab w:val="left" w:pos="180"/>
        </w:tabs>
        <w:autoSpaceDE w:val="0"/>
        <w:autoSpaceDN w:val="0"/>
        <w:adjustRightInd w:val="0"/>
        <w:rPr>
          <w:rFonts w:eastAsia="SimSun"/>
          <w:i/>
          <w:noProof/>
          <w:szCs w:val="22"/>
          <w:u w:val="single"/>
          <w:lang w:val="it-IT" w:eastAsia="zh-CN"/>
        </w:rPr>
      </w:pPr>
      <w:r>
        <w:rPr>
          <w:rFonts w:eastAsia="SimSun"/>
          <w:i/>
          <w:noProof/>
          <w:szCs w:val="22"/>
          <w:u w:val="single"/>
          <w:lang w:val="it-IT" w:eastAsia="zh-CN"/>
        </w:rPr>
        <w:t>Infezioni</w:t>
      </w: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 xml:space="preserve">Nella fase controllata con placebo di 12 settimane, la frequenza di tutti i tipi di infezioni osservate nel gruppo trattato con tocilizumab </w:t>
      </w:r>
      <w:r>
        <w:rPr>
          <w:noProof/>
          <w:lang w:val="it-IT"/>
        </w:rPr>
        <w:t>in formulazione</w:t>
      </w:r>
      <w:r>
        <w:rPr>
          <w:rFonts w:eastAsia="SimSun"/>
          <w:noProof/>
          <w:szCs w:val="22"/>
          <w:lang w:val="it-IT" w:eastAsia="zh-CN"/>
        </w:rPr>
        <w:t xml:space="preserve"> endovenosa è stata di 344,7 eventi ogni 100 </w:t>
      </w:r>
      <w:r>
        <w:rPr>
          <w:noProof/>
          <w:lang w:val="it-IT"/>
        </w:rPr>
        <w:t>anni-paziente</w:t>
      </w:r>
      <w:r>
        <w:rPr>
          <w:rFonts w:eastAsia="SimSun"/>
          <w:noProof/>
          <w:szCs w:val="22"/>
          <w:lang w:val="it-IT" w:eastAsia="zh-CN"/>
        </w:rPr>
        <w:t xml:space="preserve"> e di 287,0 eventi ogni 100 </w:t>
      </w:r>
      <w:r>
        <w:rPr>
          <w:noProof/>
          <w:lang w:val="it-IT"/>
        </w:rPr>
        <w:t>anni-paziente</w:t>
      </w:r>
      <w:r>
        <w:rPr>
          <w:rFonts w:eastAsia="SimSun"/>
          <w:noProof/>
          <w:szCs w:val="22"/>
          <w:lang w:val="it-IT" w:eastAsia="zh-CN"/>
        </w:rPr>
        <w:t xml:space="preserve"> nel gruppo trattato con placebo. Nella fase di estensione in aperto (Parte II), la frequenza complessiva di infezioni è rimasta simile con 306,6 eventi per 100 </w:t>
      </w:r>
      <w:r>
        <w:rPr>
          <w:noProof/>
          <w:lang w:val="it-IT"/>
        </w:rPr>
        <w:t>anni-paziente</w:t>
      </w:r>
      <w:r>
        <w:rPr>
          <w:rFonts w:eastAsia="SimSun"/>
          <w:noProof/>
          <w:szCs w:val="22"/>
          <w:lang w:val="it-IT" w:eastAsia="zh-CN"/>
        </w:rPr>
        <w:t>.</w:t>
      </w:r>
    </w:p>
    <w:p>
      <w:pPr>
        <w:tabs>
          <w:tab w:val="left" w:pos="180"/>
        </w:tabs>
        <w:autoSpaceDE w:val="0"/>
        <w:autoSpaceDN w:val="0"/>
        <w:adjustRightInd w:val="0"/>
        <w:rPr>
          <w:rFonts w:eastAsia="SimSun"/>
          <w:noProof/>
          <w:szCs w:val="22"/>
          <w:lang w:val="it-IT" w:eastAsia="zh-CN"/>
        </w:rPr>
      </w:pP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 xml:space="preserve">Nella fase controllata con placebo di 12 settimane, la frequenza di infezioni gravi nel gruppo trattato con tocilizumab </w:t>
      </w:r>
      <w:r>
        <w:rPr>
          <w:noProof/>
          <w:lang w:val="it-IT"/>
        </w:rPr>
        <w:t>in formulazione</w:t>
      </w:r>
      <w:r>
        <w:rPr>
          <w:rFonts w:eastAsia="SimSun"/>
          <w:noProof/>
          <w:szCs w:val="22"/>
          <w:lang w:val="it-IT" w:eastAsia="zh-CN"/>
        </w:rPr>
        <w:t xml:space="preserve"> endovenosa è stata di 11,5 eventi per 100 </w:t>
      </w:r>
      <w:r>
        <w:rPr>
          <w:noProof/>
          <w:lang w:val="it-IT"/>
        </w:rPr>
        <w:t>anni-paziente</w:t>
      </w:r>
      <w:r>
        <w:rPr>
          <w:rFonts w:eastAsia="SimSun"/>
          <w:noProof/>
          <w:szCs w:val="22"/>
          <w:lang w:val="it-IT" w:eastAsia="zh-CN"/>
        </w:rPr>
        <w:t xml:space="preserve">. A distanza di un anno, nella fase di estensione in aperto, la frequenza complessiva di infezioni gravi è rimasta stabile con 11,3 eventi per 100 </w:t>
      </w:r>
      <w:r>
        <w:rPr>
          <w:noProof/>
          <w:lang w:val="it-IT"/>
        </w:rPr>
        <w:t>anni-paziente</w:t>
      </w:r>
      <w:r>
        <w:rPr>
          <w:rFonts w:eastAsia="SimSun"/>
          <w:noProof/>
          <w:szCs w:val="22"/>
          <w:lang w:val="it-IT" w:eastAsia="zh-CN"/>
        </w:rPr>
        <w:t>. Sono state riferite infezioni gravi simili a quelle riscontrate nei pazienti affetti da AR, oltre alla varicella e all’otite media.</w:t>
      </w:r>
    </w:p>
    <w:p>
      <w:pPr>
        <w:tabs>
          <w:tab w:val="left" w:pos="180"/>
        </w:tabs>
        <w:autoSpaceDE w:val="0"/>
        <w:autoSpaceDN w:val="0"/>
        <w:adjustRightInd w:val="0"/>
        <w:rPr>
          <w:rFonts w:eastAsia="SimSun"/>
          <w:noProof/>
          <w:szCs w:val="22"/>
          <w:lang w:val="it-IT" w:eastAsia="zh-CN"/>
        </w:rPr>
      </w:pPr>
    </w:p>
    <w:p>
      <w:pPr>
        <w:tabs>
          <w:tab w:val="left" w:pos="180"/>
        </w:tabs>
        <w:autoSpaceDE w:val="0"/>
        <w:autoSpaceDN w:val="0"/>
        <w:adjustRightInd w:val="0"/>
        <w:rPr>
          <w:rFonts w:eastAsia="SimSun"/>
          <w:i/>
          <w:noProof/>
          <w:szCs w:val="22"/>
          <w:u w:val="single"/>
          <w:lang w:val="it-IT" w:eastAsia="zh-CN"/>
        </w:rPr>
      </w:pPr>
      <w:r>
        <w:rPr>
          <w:rFonts w:eastAsia="SimSun"/>
          <w:i/>
          <w:noProof/>
          <w:szCs w:val="22"/>
          <w:u w:val="single"/>
          <w:lang w:val="it-IT" w:eastAsia="zh-CN"/>
        </w:rPr>
        <w:t>Reazioni correlate all’infusione</w:t>
      </w: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 xml:space="preserve">Si definiscono reazioni correlate all’infusione tutti gli eventi avversi che si verificano durante l’infusione o entro 24 ore dall’infusione. Nella fase controllata con placebo di 12 settimane, il 4% dei pazienti del gruppo trattato con tocilizumab ha sviluppato eventi durante l’infusione. Un evento (angioedema) è stato considerato </w:t>
      </w:r>
      <w:del w:id="1104" w:author="Author">
        <w:r>
          <w:rPr>
            <w:rFonts w:eastAsia="SimSun"/>
            <w:noProof/>
            <w:szCs w:val="22"/>
            <w:lang w:val="it-IT" w:eastAsia="zh-CN"/>
          </w:rPr>
          <w:delText xml:space="preserve">severo </w:delText>
        </w:r>
      </w:del>
      <w:ins w:id="1105" w:author="Author">
        <w:del w:id="1106" w:author="Author">
          <w:r>
            <w:rPr>
              <w:rFonts w:eastAsia="SimSun"/>
              <w:noProof/>
              <w:szCs w:val="22"/>
              <w:lang w:val="it-IT" w:eastAsia="zh-CN"/>
            </w:rPr>
            <w:delText>serio</w:delText>
          </w:r>
        </w:del>
        <w:r>
          <w:rPr>
            <w:rFonts w:eastAsia="SimSun"/>
            <w:noProof/>
            <w:szCs w:val="22"/>
            <w:lang w:val="it-IT" w:eastAsia="zh-CN"/>
          </w:rPr>
          <w:t xml:space="preserve">grave </w:t>
        </w:r>
      </w:ins>
      <w:r>
        <w:rPr>
          <w:rFonts w:eastAsia="SimSun"/>
          <w:noProof/>
          <w:szCs w:val="22"/>
          <w:lang w:val="it-IT" w:eastAsia="zh-CN"/>
        </w:rPr>
        <w:t>e potenzialmente letale ed ha determinato la sospensione del trattamento in studio per il paziente.</w:t>
      </w:r>
    </w:p>
    <w:p>
      <w:pPr>
        <w:tabs>
          <w:tab w:val="left" w:pos="180"/>
        </w:tabs>
        <w:autoSpaceDE w:val="0"/>
        <w:autoSpaceDN w:val="0"/>
        <w:adjustRightInd w:val="0"/>
        <w:rPr>
          <w:rFonts w:eastAsia="SimSun"/>
          <w:noProof/>
          <w:szCs w:val="22"/>
          <w:lang w:val="it-IT" w:eastAsia="zh-CN"/>
        </w:rPr>
      </w:pP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Nella fase controllata con placebo di 12 settimane, il 16% dei pazienti del gruppo trattato con tocilizumab e il 5,4% dei pazienti del gruppo trattato con placebo hanno manifestato un evento entro 24 ore dalla fine dell’infusione. Nel gruppo trattato con tocilizumab, gli eventi rilevati sono stati orticaria, diarrea, fastidio epigastrico, artralgia e cefalea, ma non sono limitati a questi. Uno di questi eventi, l’orticaria, è stato considerato severo.</w:t>
      </w:r>
    </w:p>
    <w:p>
      <w:pPr>
        <w:tabs>
          <w:tab w:val="left" w:pos="180"/>
        </w:tabs>
        <w:autoSpaceDE w:val="0"/>
        <w:autoSpaceDN w:val="0"/>
        <w:adjustRightInd w:val="0"/>
        <w:rPr>
          <w:rFonts w:eastAsia="SimSun"/>
          <w:noProof/>
          <w:szCs w:val="22"/>
          <w:lang w:val="it-IT" w:eastAsia="zh-CN"/>
        </w:rPr>
      </w:pP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lastRenderedPageBreak/>
        <w:t>Durante lo studio clinico controllato con placebo e fino all’inclusione nello studio clinico in aperto, reazioni di ipersensibilità clinicamente significative associate a tocilizumab che hanno richiesto l’interruzione del trattamento sono state riferite in 1 paziente su 112 (&lt; 1%) tra quelli trattati con tocilizumab.</w:t>
      </w:r>
    </w:p>
    <w:p>
      <w:pPr>
        <w:tabs>
          <w:tab w:val="left" w:pos="180"/>
        </w:tabs>
        <w:autoSpaceDE w:val="0"/>
        <w:autoSpaceDN w:val="0"/>
        <w:adjustRightInd w:val="0"/>
        <w:rPr>
          <w:rFonts w:eastAsia="SimSun"/>
          <w:noProof/>
          <w:szCs w:val="22"/>
          <w:lang w:val="it-IT" w:eastAsia="zh-CN"/>
        </w:rPr>
      </w:pPr>
    </w:p>
    <w:p>
      <w:pPr>
        <w:tabs>
          <w:tab w:val="left" w:pos="180"/>
        </w:tabs>
        <w:autoSpaceDE w:val="0"/>
        <w:autoSpaceDN w:val="0"/>
        <w:adjustRightInd w:val="0"/>
        <w:rPr>
          <w:rFonts w:eastAsia="SimSun"/>
          <w:i/>
          <w:noProof/>
          <w:szCs w:val="22"/>
          <w:u w:val="single"/>
          <w:lang w:val="it-IT" w:eastAsia="zh-CN"/>
        </w:rPr>
      </w:pPr>
      <w:r>
        <w:rPr>
          <w:rFonts w:eastAsia="SimSun"/>
          <w:i/>
          <w:noProof/>
          <w:szCs w:val="22"/>
          <w:u w:val="single"/>
          <w:lang w:val="it-IT" w:eastAsia="zh-CN"/>
        </w:rPr>
        <w:t>Immunogenicità</w:t>
      </w: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 xml:space="preserve">Tutti i 112 </w:t>
      </w:r>
      <w:del w:id="1107" w:author="Author">
        <w:r>
          <w:rPr>
            <w:rFonts w:eastAsia="SimSun"/>
            <w:noProof/>
            <w:szCs w:val="22"/>
            <w:lang w:val="it-IT" w:eastAsia="zh-CN"/>
          </w:rPr>
          <w:delText xml:space="preserve">i </w:delText>
        </w:r>
      </w:del>
      <w:r>
        <w:rPr>
          <w:rFonts w:eastAsia="SimSun"/>
          <w:noProof/>
          <w:szCs w:val="22"/>
          <w:lang w:val="it-IT" w:eastAsia="zh-CN"/>
        </w:rPr>
        <w:t>pazienti sono stati analizzati per rilevare anticorpi anti-tocilizumab al basale. Due pazienti hanno sviluppato anticorpi anti-tocilizumab e uno di loro ha presentato una reazione di ipersensibilità che ha comportato il ritiro dallo studio. L’incidenza di comparsa di anticorpi anti-tocilizumab potrebbe essere sottostimata per l’interferenza di tocilizumab con l’analisi e una più alta concentrazione del tocilizumab è stata osservata nei bambini rispetto agli adulti.</w:t>
      </w:r>
    </w:p>
    <w:p>
      <w:pPr>
        <w:tabs>
          <w:tab w:val="left" w:pos="180"/>
        </w:tabs>
        <w:autoSpaceDE w:val="0"/>
        <w:autoSpaceDN w:val="0"/>
        <w:adjustRightInd w:val="0"/>
        <w:rPr>
          <w:rFonts w:eastAsia="SimSun"/>
          <w:noProof/>
          <w:szCs w:val="22"/>
          <w:lang w:val="it-IT" w:eastAsia="zh-CN"/>
        </w:rPr>
      </w:pPr>
    </w:p>
    <w:p>
      <w:pPr>
        <w:keepNext/>
        <w:keepLines/>
        <w:tabs>
          <w:tab w:val="left" w:pos="180"/>
        </w:tabs>
        <w:autoSpaceDE w:val="0"/>
        <w:autoSpaceDN w:val="0"/>
        <w:adjustRightInd w:val="0"/>
        <w:rPr>
          <w:rFonts w:eastAsia="SimSun"/>
          <w:i/>
          <w:noProof/>
          <w:szCs w:val="22"/>
          <w:u w:val="single"/>
          <w:lang w:val="it-IT" w:eastAsia="zh-CN"/>
        </w:rPr>
      </w:pPr>
      <w:r>
        <w:rPr>
          <w:rFonts w:eastAsia="SimSun"/>
          <w:i/>
          <w:noProof/>
          <w:szCs w:val="22"/>
          <w:u w:val="single"/>
          <w:lang w:val="it-IT" w:eastAsia="zh-CN"/>
        </w:rPr>
        <w:t>Neutrofili</w:t>
      </w:r>
    </w:p>
    <w:p>
      <w:pPr>
        <w:keepNext/>
        <w:keepLines/>
        <w:tabs>
          <w:tab w:val="left" w:pos="180"/>
        </w:tabs>
        <w:autoSpaceDE w:val="0"/>
        <w:autoSpaceDN w:val="0"/>
        <w:adjustRightInd w:val="0"/>
        <w:rPr>
          <w:rFonts w:eastAsia="SimSun"/>
          <w:noProof/>
          <w:szCs w:val="22"/>
          <w:lang w:val="it-IT" w:eastAsia="zh-CN"/>
        </w:rPr>
      </w:pPr>
      <w:r>
        <w:rPr>
          <w:rFonts w:eastAsia="SimSun"/>
          <w:noProof/>
          <w:szCs w:val="22"/>
          <w:lang w:val="it-IT" w:eastAsia="zh-CN"/>
        </w:rPr>
        <w:t xml:space="preserve">Durante il monitoraggio di routine degli esami di laboratorio eseguito nella fase controllata con placebo di 12 settimane, una riduzione della conta dei neutrofili al di sotto di 1 </w:t>
      </w:r>
      <w:r>
        <w:rPr>
          <w:rFonts w:eastAsia="SimSun"/>
          <w:noProof/>
          <w:szCs w:val="22"/>
          <w:lang w:val="it-IT" w:eastAsia="zh-CN"/>
        </w:rPr>
        <w:sym w:font="Symbol" w:char="F0B4"/>
      </w:r>
      <w:r>
        <w:rPr>
          <w:rFonts w:eastAsia="SimSun"/>
          <w:noProof/>
          <w:szCs w:val="22"/>
          <w:lang w:val="it-IT" w:eastAsia="zh-CN"/>
        </w:rPr>
        <w:t>10</w:t>
      </w:r>
      <w:r>
        <w:rPr>
          <w:rFonts w:eastAsia="SimSun"/>
          <w:noProof/>
          <w:szCs w:val="22"/>
          <w:vertAlign w:val="superscript"/>
          <w:lang w:val="it-IT" w:eastAsia="zh-CN"/>
        </w:rPr>
        <w:t>9</w:t>
      </w:r>
      <w:r>
        <w:rPr>
          <w:rFonts w:eastAsia="SimSun"/>
          <w:noProof/>
          <w:szCs w:val="22"/>
          <w:lang w:val="it-IT" w:eastAsia="zh-CN"/>
        </w:rPr>
        <w:t>/L si è verificata nel 7% dei pazienti del gruppo trattato con tocilizumab e non si è verificata riduzione nel gruppo trattato con placebo.</w:t>
      </w:r>
    </w:p>
    <w:p>
      <w:pPr>
        <w:tabs>
          <w:tab w:val="left" w:pos="180"/>
        </w:tabs>
        <w:autoSpaceDE w:val="0"/>
        <w:autoSpaceDN w:val="0"/>
        <w:adjustRightInd w:val="0"/>
        <w:rPr>
          <w:rFonts w:eastAsia="SimSun"/>
          <w:noProof/>
          <w:szCs w:val="22"/>
          <w:lang w:val="it-IT" w:eastAsia="zh-CN"/>
        </w:rPr>
      </w:pP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 xml:space="preserve">Durante la fase di estensione in aperto, riduzioni della conta dei neutrofili al di sotto di 1 </w:t>
      </w:r>
      <w:r>
        <w:rPr>
          <w:rFonts w:eastAsia="SimSun"/>
          <w:noProof/>
          <w:szCs w:val="22"/>
          <w:lang w:val="it-IT" w:eastAsia="zh-CN"/>
        </w:rPr>
        <w:sym w:font="Symbol" w:char="F0B4"/>
      </w:r>
      <w:r>
        <w:rPr>
          <w:rFonts w:eastAsia="SimSun"/>
          <w:noProof/>
          <w:szCs w:val="22"/>
          <w:lang w:val="it-IT" w:eastAsia="zh-CN"/>
        </w:rPr>
        <w:t xml:space="preserve"> 10</w:t>
      </w:r>
      <w:r>
        <w:rPr>
          <w:rFonts w:eastAsia="SimSun"/>
          <w:noProof/>
          <w:szCs w:val="22"/>
          <w:vertAlign w:val="superscript"/>
          <w:lang w:val="it-IT" w:eastAsia="zh-CN"/>
        </w:rPr>
        <w:t>9</w:t>
      </w:r>
      <w:r>
        <w:rPr>
          <w:rFonts w:eastAsia="SimSun"/>
          <w:noProof/>
          <w:szCs w:val="22"/>
          <w:lang w:val="it-IT" w:eastAsia="zh-CN"/>
        </w:rPr>
        <w:t xml:space="preserve">/L si sono verificate nel 15% dei pazienti del gruppo trattato con tocilizumab. </w:t>
      </w:r>
    </w:p>
    <w:p>
      <w:pPr>
        <w:tabs>
          <w:tab w:val="left" w:pos="180"/>
        </w:tabs>
        <w:autoSpaceDE w:val="0"/>
        <w:autoSpaceDN w:val="0"/>
        <w:adjustRightInd w:val="0"/>
        <w:rPr>
          <w:rFonts w:eastAsia="SimSun"/>
          <w:noProof/>
          <w:szCs w:val="22"/>
          <w:lang w:val="it-IT" w:eastAsia="zh-CN"/>
        </w:rPr>
      </w:pPr>
    </w:p>
    <w:p>
      <w:pPr>
        <w:keepNext/>
        <w:tabs>
          <w:tab w:val="left" w:pos="180"/>
        </w:tabs>
        <w:autoSpaceDE w:val="0"/>
        <w:autoSpaceDN w:val="0"/>
        <w:adjustRightInd w:val="0"/>
        <w:rPr>
          <w:rFonts w:eastAsia="SimSun"/>
          <w:i/>
          <w:noProof/>
          <w:szCs w:val="22"/>
          <w:u w:val="single"/>
          <w:lang w:val="it-IT" w:eastAsia="zh-CN"/>
        </w:rPr>
      </w:pPr>
      <w:r>
        <w:rPr>
          <w:rFonts w:eastAsia="SimSun"/>
          <w:i/>
          <w:noProof/>
          <w:szCs w:val="22"/>
          <w:u w:val="single"/>
          <w:lang w:val="it-IT" w:eastAsia="zh-CN"/>
        </w:rPr>
        <w:t>Piastrine</w:t>
      </w: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Durante il monitoraggio di routine degli esami di laboratorio eseguito nella fase controllata con placebo di 12 settimane, una riduzione della conta piastrinica ≤ 100 x 10</w:t>
      </w:r>
      <w:r>
        <w:rPr>
          <w:rFonts w:eastAsia="SimSun"/>
          <w:noProof/>
          <w:szCs w:val="22"/>
          <w:vertAlign w:val="superscript"/>
          <w:lang w:val="it-IT" w:eastAsia="zh-CN"/>
        </w:rPr>
        <w:t>3</w:t>
      </w:r>
      <w:r>
        <w:rPr>
          <w:rFonts w:eastAsia="SimSun"/>
          <w:noProof/>
          <w:szCs w:val="22"/>
          <w:lang w:val="it-IT" w:eastAsia="zh-CN"/>
        </w:rPr>
        <w:t>/µl si è verificata nel 3% dei pazienti del gruppo trattato con placebo e nell’1% dei pazienti del gruppo trattato con tocilizumab.</w:t>
      </w:r>
    </w:p>
    <w:p>
      <w:pPr>
        <w:tabs>
          <w:tab w:val="left" w:pos="180"/>
        </w:tabs>
        <w:autoSpaceDE w:val="0"/>
        <w:autoSpaceDN w:val="0"/>
        <w:adjustRightInd w:val="0"/>
        <w:rPr>
          <w:rFonts w:eastAsia="SimSun"/>
          <w:noProof/>
          <w:szCs w:val="22"/>
          <w:lang w:val="it-IT" w:eastAsia="zh-CN"/>
        </w:rPr>
      </w:pP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 xml:space="preserve">Durante la fase di estensione in aperto, riduzioni della conta piastrinica al di sotto di 100 </w:t>
      </w:r>
      <w:r>
        <w:rPr>
          <w:rFonts w:eastAsia="SimSun"/>
          <w:noProof/>
          <w:szCs w:val="22"/>
          <w:lang w:val="it-IT" w:eastAsia="zh-CN"/>
        </w:rPr>
        <w:sym w:font="Symbol" w:char="F0B4"/>
      </w:r>
      <w:r>
        <w:rPr>
          <w:rFonts w:eastAsia="SimSun"/>
          <w:noProof/>
          <w:szCs w:val="22"/>
          <w:lang w:val="it-IT" w:eastAsia="zh-CN"/>
        </w:rPr>
        <w:t xml:space="preserve"> 10</w:t>
      </w:r>
      <w:r>
        <w:rPr>
          <w:rFonts w:eastAsia="SimSun"/>
          <w:noProof/>
          <w:szCs w:val="22"/>
          <w:vertAlign w:val="superscript"/>
          <w:lang w:val="it-IT" w:eastAsia="zh-CN"/>
        </w:rPr>
        <w:t>3</w:t>
      </w:r>
      <w:r>
        <w:rPr>
          <w:rFonts w:eastAsia="SimSun"/>
          <w:noProof/>
          <w:szCs w:val="22"/>
          <w:lang w:val="it-IT" w:eastAsia="zh-CN"/>
        </w:rPr>
        <w:t>/µl si sono manifestate nel 3% dei pazienti del gruppo trattato con tocilizumab, senza correlazione con eventi emorragici.</w:t>
      </w:r>
    </w:p>
    <w:p>
      <w:pPr>
        <w:tabs>
          <w:tab w:val="left" w:pos="180"/>
        </w:tabs>
        <w:autoSpaceDE w:val="0"/>
        <w:autoSpaceDN w:val="0"/>
        <w:adjustRightInd w:val="0"/>
        <w:rPr>
          <w:rFonts w:eastAsia="SimSun"/>
          <w:noProof/>
          <w:szCs w:val="22"/>
          <w:lang w:val="it-IT" w:eastAsia="zh-CN"/>
        </w:rPr>
      </w:pPr>
    </w:p>
    <w:p>
      <w:pPr>
        <w:keepNext/>
        <w:keepLines/>
        <w:tabs>
          <w:tab w:val="left" w:pos="180"/>
        </w:tabs>
        <w:autoSpaceDE w:val="0"/>
        <w:autoSpaceDN w:val="0"/>
        <w:adjustRightInd w:val="0"/>
        <w:rPr>
          <w:rFonts w:eastAsia="SimSun"/>
          <w:i/>
          <w:noProof/>
          <w:szCs w:val="22"/>
          <w:u w:val="single"/>
          <w:lang w:val="it-IT" w:eastAsia="zh-CN"/>
        </w:rPr>
      </w:pPr>
      <w:r>
        <w:rPr>
          <w:rFonts w:eastAsia="SimSun"/>
          <w:i/>
          <w:noProof/>
          <w:szCs w:val="22"/>
          <w:u w:val="single"/>
          <w:lang w:val="it-IT" w:eastAsia="zh-CN"/>
        </w:rPr>
        <w:t>Aumenti delle transaminasi epatiche</w:t>
      </w: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 xml:space="preserve">Durante il monitoraggio di routine degli esami di laboratorio eseguito nella fase controllata con placebo di 12 settimane, aumenti di ALT o AST </w:t>
      </w:r>
      <w:r>
        <w:rPr>
          <w:noProof/>
          <w:szCs w:val="22"/>
          <w:lang w:val="it-IT"/>
        </w:rPr>
        <w:t>≥ </w:t>
      </w:r>
      <w:r>
        <w:rPr>
          <w:rFonts w:eastAsia="SimSun"/>
          <w:noProof/>
          <w:szCs w:val="22"/>
          <w:lang w:val="it-IT" w:eastAsia="zh-CN"/>
        </w:rPr>
        <w:t>3 volte ULN sono stati osservati rispettivamente nel 5% e nel 3% dei pazienti del gruppo trattato con tocilizumab e nello 0% dei pazienti del gruppo trattato con placebo.</w:t>
      </w:r>
    </w:p>
    <w:p>
      <w:pPr>
        <w:tabs>
          <w:tab w:val="left" w:pos="180"/>
        </w:tabs>
        <w:autoSpaceDE w:val="0"/>
        <w:autoSpaceDN w:val="0"/>
        <w:adjustRightInd w:val="0"/>
        <w:rPr>
          <w:rFonts w:eastAsia="SimSun"/>
          <w:noProof/>
          <w:szCs w:val="22"/>
          <w:lang w:val="it-IT" w:eastAsia="zh-CN"/>
        </w:rPr>
      </w:pP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 xml:space="preserve">Durante la fase di estensione in aperto, aumenti di ALT o AST </w:t>
      </w:r>
      <w:r>
        <w:rPr>
          <w:noProof/>
          <w:szCs w:val="22"/>
          <w:lang w:val="it-IT"/>
        </w:rPr>
        <w:t>≥ </w:t>
      </w:r>
      <w:r>
        <w:rPr>
          <w:rFonts w:eastAsia="SimSun"/>
          <w:noProof/>
          <w:szCs w:val="22"/>
          <w:lang w:val="it-IT" w:eastAsia="zh-CN"/>
        </w:rPr>
        <w:t>3 volte ULN sono stati osservati rispettivamente nel 12% e nel 4% dei pazienti del gruppo trattato con tocilizumab.</w:t>
      </w:r>
    </w:p>
    <w:p>
      <w:pPr>
        <w:tabs>
          <w:tab w:val="left" w:pos="180"/>
        </w:tabs>
        <w:autoSpaceDE w:val="0"/>
        <w:autoSpaceDN w:val="0"/>
        <w:adjustRightInd w:val="0"/>
        <w:rPr>
          <w:rFonts w:eastAsia="SimSun"/>
          <w:noProof/>
          <w:szCs w:val="22"/>
          <w:lang w:val="it-IT" w:eastAsia="zh-CN"/>
        </w:rPr>
      </w:pPr>
    </w:p>
    <w:p>
      <w:pPr>
        <w:tabs>
          <w:tab w:val="left" w:pos="180"/>
        </w:tabs>
        <w:autoSpaceDE w:val="0"/>
        <w:autoSpaceDN w:val="0"/>
        <w:adjustRightInd w:val="0"/>
        <w:rPr>
          <w:rFonts w:eastAsia="SimSun"/>
          <w:i/>
          <w:noProof/>
          <w:szCs w:val="22"/>
          <w:u w:val="single"/>
          <w:lang w:val="it-IT" w:eastAsia="zh-CN"/>
        </w:rPr>
      </w:pPr>
      <w:r>
        <w:rPr>
          <w:rFonts w:eastAsia="SimSun"/>
          <w:i/>
          <w:noProof/>
          <w:szCs w:val="22"/>
          <w:u w:val="single"/>
          <w:lang w:val="it-IT" w:eastAsia="zh-CN"/>
        </w:rPr>
        <w:t>Immunoglobuline G</w:t>
      </w: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I livelli di IgG si riducono durante la terapia.</w:t>
      </w:r>
      <w:ins w:id="1108" w:author="Author">
        <w:r>
          <w:rPr>
            <w:rFonts w:eastAsia="SimSun"/>
            <w:noProof/>
            <w:szCs w:val="22"/>
            <w:lang w:val="it-IT" w:eastAsia="zh-CN"/>
          </w:rPr>
          <w:t xml:space="preserve"> E’ stata osservata una riduzione al limite inferiore del valore normale in 15 pazienti ad un qualche momento dello studio clinico. </w:t>
        </w:r>
      </w:ins>
      <w:del w:id="1109" w:author="Author">
        <w:r>
          <w:rPr>
            <w:rFonts w:eastAsia="SimSun"/>
            <w:noProof/>
            <w:szCs w:val="22"/>
            <w:lang w:val="it-IT" w:eastAsia="zh-CN"/>
          </w:rPr>
          <w:delText xml:space="preserve"> </w:delText>
        </w:r>
      </w:del>
      <w:customXmlInsRangeStart w:id="1110" w:author="Author"/>
      <w:sdt>
        <w:sdtPr>
          <w:tag w:val="goog_rdk_96"/>
          <w:id w:val="-31186041"/>
        </w:sdtPr>
        <w:sdtContent>
          <w:customXmlInsRangeEnd w:id="1110"/>
          <w:ins w:id="1111" w:author="Author">
            <w:del w:id="1112" w:author="Author">
              <w:r>
                <w:rPr>
                  <w:lang w:val="it-IT"/>
                </w:rPr>
                <w:delText xml:space="preserve">In 15 pazienti, a un certo punto dello studio clinico, si è verificato un calo </w:delText>
              </w:r>
            </w:del>
          </w:ins>
          <w:customXmlInsRangeStart w:id="1113" w:author="Author"/>
        </w:sdtContent>
      </w:sdt>
      <w:customXmlInsRangeEnd w:id="1113"/>
      <w:del w:id="1114" w:author="Author">
        <w:r>
          <w:rPr>
            <w:rFonts w:eastAsia="SimSun"/>
            <w:noProof/>
            <w:szCs w:val="22"/>
            <w:lang w:val="it-IT" w:eastAsia="zh-CN"/>
          </w:rPr>
          <w:delText>Una riduzione</w:delText>
        </w:r>
      </w:del>
      <w:r>
        <w:rPr>
          <w:rFonts w:eastAsia="SimSun"/>
          <w:noProof/>
          <w:szCs w:val="22"/>
          <w:lang w:val="it-IT" w:eastAsia="zh-CN"/>
        </w:rPr>
        <w:t xml:space="preserve"> </w:t>
      </w:r>
      <w:del w:id="1115" w:author="Author">
        <w:r>
          <w:rPr>
            <w:rFonts w:eastAsia="SimSun"/>
            <w:noProof/>
            <w:szCs w:val="22"/>
            <w:lang w:val="it-IT" w:eastAsia="zh-CN"/>
          </w:rPr>
          <w:delText>al limite inferiore della norma</w:delText>
        </w:r>
      </w:del>
      <w:ins w:id="1116" w:author="Author">
        <w:del w:id="1117" w:author="Author">
          <w:r>
            <w:rPr>
              <w:rFonts w:eastAsia="SimSun"/>
              <w:noProof/>
              <w:szCs w:val="22"/>
              <w:lang w:val="it-IT" w:eastAsia="zh-CN"/>
            </w:rPr>
            <w:delText>.</w:delText>
          </w:r>
        </w:del>
      </w:ins>
      <w:del w:id="1118" w:author="Author">
        <w:r>
          <w:rPr>
            <w:rFonts w:eastAsia="SimSun"/>
            <w:noProof/>
            <w:szCs w:val="22"/>
            <w:lang w:val="it-IT" w:eastAsia="zh-CN"/>
          </w:rPr>
          <w:delText xml:space="preserve"> è avvenuta in 15 pazienti ad un qualche momento dello studio.</w:delText>
        </w:r>
      </w:del>
    </w:p>
    <w:p>
      <w:pPr>
        <w:tabs>
          <w:tab w:val="left" w:pos="180"/>
        </w:tabs>
        <w:autoSpaceDE w:val="0"/>
        <w:autoSpaceDN w:val="0"/>
        <w:adjustRightInd w:val="0"/>
        <w:rPr>
          <w:rFonts w:eastAsia="SimSun"/>
          <w:noProof/>
          <w:szCs w:val="22"/>
          <w:lang w:val="it-IT" w:eastAsia="zh-CN"/>
        </w:rPr>
      </w:pPr>
    </w:p>
    <w:p>
      <w:pPr>
        <w:keepNext/>
        <w:tabs>
          <w:tab w:val="left" w:pos="180"/>
        </w:tabs>
        <w:autoSpaceDE w:val="0"/>
        <w:autoSpaceDN w:val="0"/>
        <w:adjustRightInd w:val="0"/>
        <w:rPr>
          <w:rFonts w:eastAsia="SimSun"/>
          <w:i/>
          <w:noProof/>
          <w:szCs w:val="22"/>
          <w:u w:val="single"/>
          <w:lang w:val="it-IT" w:eastAsia="zh-CN"/>
        </w:rPr>
      </w:pPr>
      <w:r>
        <w:rPr>
          <w:rFonts w:eastAsia="SimSun"/>
          <w:i/>
          <w:noProof/>
          <w:szCs w:val="22"/>
          <w:u w:val="single"/>
          <w:lang w:val="it-IT" w:eastAsia="zh-CN"/>
        </w:rPr>
        <w:t>Parametri lipidici</w:t>
      </w: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Durante il monitoraggio di routine degli esami di laboratorio eseguito nella fase controllata con placebo di 12 settimane (</w:t>
      </w:r>
      <w:del w:id="1119" w:author="Author">
        <w:r>
          <w:rPr>
            <w:rFonts w:eastAsia="SimSun"/>
            <w:noProof/>
            <w:szCs w:val="22"/>
            <w:lang w:val="it-IT" w:eastAsia="zh-CN"/>
          </w:rPr>
          <w:delText xml:space="preserve">studio </w:delText>
        </w:r>
      </w:del>
      <w:ins w:id="1120" w:author="Author">
        <w:r>
          <w:rPr>
            <w:rFonts w:eastAsia="SimSun"/>
            <w:noProof/>
            <w:szCs w:val="22"/>
            <w:lang w:val="it-IT" w:eastAsia="zh-CN"/>
          </w:rPr>
          <w:t xml:space="preserve">Studio </w:t>
        </w:r>
      </w:ins>
      <w:r>
        <w:rPr>
          <w:noProof/>
          <w:szCs w:val="22"/>
          <w:lang w:val="it-IT"/>
        </w:rPr>
        <w:t>WA18221)</w:t>
      </w:r>
      <w:r>
        <w:rPr>
          <w:rFonts w:eastAsia="SimSun"/>
          <w:noProof/>
          <w:szCs w:val="22"/>
          <w:lang w:val="it-IT" w:eastAsia="zh-CN"/>
        </w:rPr>
        <w:t xml:space="preserve">, il 13,4% e il 33,3% dei pazienti hanno manifestato un incremento post-basale del valore rispettivamente di colesterolo LDL </w:t>
      </w:r>
      <w:r>
        <w:rPr>
          <w:noProof/>
          <w:szCs w:val="22"/>
          <w:lang w:val="it-IT"/>
        </w:rPr>
        <w:t>≥ </w:t>
      </w:r>
      <w:del w:id="1121" w:author="Author">
        <w:r>
          <w:rPr>
            <w:rFonts w:eastAsia="SimSun"/>
            <w:noProof/>
            <w:szCs w:val="22"/>
            <w:lang w:val="it-IT" w:eastAsia="zh-CN"/>
          </w:rPr>
          <w:delText xml:space="preserve"> </w:delText>
        </w:r>
      </w:del>
      <w:r>
        <w:rPr>
          <w:rFonts w:eastAsia="SimSun"/>
          <w:noProof/>
          <w:szCs w:val="22"/>
          <w:lang w:val="it-IT" w:eastAsia="zh-CN"/>
        </w:rPr>
        <w:t xml:space="preserve">130 mg/dL e di colesterolo totale </w:t>
      </w:r>
      <w:r>
        <w:rPr>
          <w:noProof/>
          <w:szCs w:val="22"/>
          <w:lang w:val="it-IT"/>
        </w:rPr>
        <w:t>≥ </w:t>
      </w:r>
      <w:del w:id="1122" w:author="Author">
        <w:r>
          <w:rPr>
            <w:rFonts w:eastAsia="SimSun"/>
            <w:noProof/>
            <w:szCs w:val="22"/>
            <w:lang w:val="it-IT" w:eastAsia="zh-CN"/>
          </w:rPr>
          <w:delText xml:space="preserve"> </w:delText>
        </w:r>
      </w:del>
      <w:r>
        <w:rPr>
          <w:rFonts w:eastAsia="SimSun"/>
          <w:noProof/>
          <w:szCs w:val="22"/>
          <w:lang w:val="it-IT" w:eastAsia="zh-CN"/>
        </w:rPr>
        <w:t>200 mg/dL in qualsiasi momento nel corso del trattamento in studio.</w:t>
      </w:r>
    </w:p>
    <w:p>
      <w:pPr>
        <w:tabs>
          <w:tab w:val="left" w:pos="180"/>
        </w:tabs>
        <w:autoSpaceDE w:val="0"/>
        <w:autoSpaceDN w:val="0"/>
        <w:adjustRightInd w:val="0"/>
        <w:rPr>
          <w:rFonts w:eastAsia="SimSun"/>
          <w:noProof/>
          <w:szCs w:val="22"/>
          <w:lang w:val="it-IT" w:eastAsia="zh-CN"/>
        </w:rPr>
      </w:pPr>
    </w:p>
    <w:p>
      <w:pPr>
        <w:tabs>
          <w:tab w:val="left" w:pos="180"/>
        </w:tabs>
        <w:autoSpaceDE w:val="0"/>
        <w:autoSpaceDN w:val="0"/>
        <w:adjustRightInd w:val="0"/>
        <w:rPr>
          <w:rFonts w:eastAsia="SimSun"/>
          <w:noProof/>
          <w:szCs w:val="22"/>
          <w:lang w:val="it-IT" w:eastAsia="zh-CN"/>
        </w:rPr>
      </w:pPr>
      <w:r>
        <w:rPr>
          <w:rFonts w:eastAsia="SimSun"/>
          <w:noProof/>
          <w:szCs w:val="22"/>
          <w:lang w:val="it-IT" w:eastAsia="zh-CN"/>
        </w:rPr>
        <w:t>Durante la fase di estensione in aperto (</w:t>
      </w:r>
      <w:del w:id="1123" w:author="Author">
        <w:r>
          <w:rPr>
            <w:rFonts w:eastAsia="SimSun"/>
            <w:noProof/>
            <w:szCs w:val="22"/>
            <w:lang w:val="it-IT" w:eastAsia="zh-CN"/>
          </w:rPr>
          <w:delText xml:space="preserve">studio </w:delText>
        </w:r>
      </w:del>
      <w:ins w:id="1124" w:author="Author">
        <w:r>
          <w:rPr>
            <w:rFonts w:eastAsia="SimSun"/>
            <w:noProof/>
            <w:szCs w:val="22"/>
            <w:lang w:val="it-IT" w:eastAsia="zh-CN"/>
          </w:rPr>
          <w:t xml:space="preserve">Studio </w:t>
        </w:r>
      </w:ins>
      <w:r>
        <w:rPr>
          <w:noProof/>
          <w:szCs w:val="22"/>
          <w:lang w:val="it-IT"/>
        </w:rPr>
        <w:t>WA18221)</w:t>
      </w:r>
      <w:r>
        <w:rPr>
          <w:rFonts w:eastAsia="SimSun"/>
          <w:noProof/>
          <w:szCs w:val="22"/>
          <w:lang w:val="it-IT" w:eastAsia="zh-CN"/>
        </w:rPr>
        <w:t xml:space="preserve">, il 13,2% e il 27,7% dei pazienti hanno rispettivamente manifestato un incremento post-basale del valore di colesterolo LDL </w:t>
      </w:r>
      <w:r>
        <w:rPr>
          <w:noProof/>
          <w:szCs w:val="22"/>
          <w:lang w:val="it-IT"/>
        </w:rPr>
        <w:t>≥ </w:t>
      </w:r>
      <w:del w:id="1125" w:author="Author">
        <w:r>
          <w:rPr>
            <w:rFonts w:eastAsia="SimSun"/>
            <w:noProof/>
            <w:szCs w:val="22"/>
            <w:lang w:val="it-IT" w:eastAsia="zh-CN"/>
          </w:rPr>
          <w:delText xml:space="preserve"> </w:delText>
        </w:r>
      </w:del>
      <w:r>
        <w:rPr>
          <w:rFonts w:eastAsia="SimSun"/>
          <w:noProof/>
          <w:szCs w:val="22"/>
          <w:lang w:val="it-IT" w:eastAsia="zh-CN"/>
        </w:rPr>
        <w:t xml:space="preserve">130 mg/dL e di colesterolo totale </w:t>
      </w:r>
      <w:r>
        <w:rPr>
          <w:noProof/>
          <w:szCs w:val="22"/>
          <w:lang w:val="it-IT"/>
        </w:rPr>
        <w:t>≥ </w:t>
      </w:r>
      <w:del w:id="1126" w:author="Author">
        <w:r>
          <w:rPr>
            <w:rFonts w:eastAsia="SimSun"/>
            <w:noProof/>
            <w:szCs w:val="22"/>
            <w:lang w:val="it-IT" w:eastAsia="zh-CN"/>
          </w:rPr>
          <w:delText xml:space="preserve"> </w:delText>
        </w:r>
      </w:del>
      <w:r>
        <w:rPr>
          <w:rFonts w:eastAsia="SimSun"/>
          <w:noProof/>
          <w:szCs w:val="22"/>
          <w:lang w:val="it-IT" w:eastAsia="zh-CN"/>
        </w:rPr>
        <w:t>200 mg/dL in qualsiasi momento nel corso del trattamento in studio.</w:t>
      </w:r>
    </w:p>
    <w:p>
      <w:pPr>
        <w:tabs>
          <w:tab w:val="left" w:pos="180"/>
        </w:tabs>
        <w:autoSpaceDE w:val="0"/>
        <w:autoSpaceDN w:val="0"/>
        <w:adjustRightInd w:val="0"/>
        <w:rPr>
          <w:rFonts w:eastAsia="SimSun"/>
          <w:noProof/>
          <w:szCs w:val="22"/>
          <w:lang w:val="it-IT" w:eastAsia="zh-CN"/>
        </w:rPr>
      </w:pPr>
    </w:p>
    <w:p>
      <w:pPr>
        <w:tabs>
          <w:tab w:val="left" w:pos="180"/>
        </w:tabs>
        <w:autoSpaceDE w:val="0"/>
        <w:autoSpaceDN w:val="0"/>
        <w:adjustRightInd w:val="0"/>
        <w:rPr>
          <w:rFonts w:eastAsia="SimSun"/>
          <w:noProof/>
          <w:szCs w:val="22"/>
          <w:u w:val="single"/>
          <w:lang w:val="it-IT" w:eastAsia="zh-CN"/>
        </w:rPr>
      </w:pPr>
      <w:r>
        <w:rPr>
          <w:rFonts w:eastAsia="SimSun"/>
          <w:noProof/>
          <w:szCs w:val="22"/>
          <w:u w:val="single"/>
          <w:lang w:val="it-IT" w:eastAsia="zh-CN"/>
        </w:rPr>
        <w:t>Pazienti affetti da CRS</w:t>
      </w:r>
    </w:p>
    <w:p>
      <w:pPr>
        <w:autoSpaceDE w:val="0"/>
        <w:autoSpaceDN w:val="0"/>
        <w:adjustRightInd w:val="0"/>
        <w:rPr>
          <w:rFonts w:eastAsia="SimSun"/>
          <w:noProof/>
          <w:szCs w:val="22"/>
          <w:lang w:val="it-IT" w:eastAsia="zh-CN"/>
        </w:rPr>
      </w:pPr>
      <w:r>
        <w:rPr>
          <w:noProof/>
          <w:szCs w:val="22"/>
          <w:lang w:val="it-IT" w:eastAsia="en-GB"/>
        </w:rPr>
        <w:t xml:space="preserve">La sicurezza di tocilizumab nella CRS è stata valutata in un’analisi retrospettiva su dati ricavati dalle sperimentazioni cliniche, in cui 51 pazienti sono stati trattati con tocilizumab 8 mg/kg (12 mg/kg nei pazienti di peso inferiore a 30 kg) per via endovenosa per la CRS indotta dai linfociti CAR-T severa o </w:t>
      </w:r>
      <w:r>
        <w:rPr>
          <w:noProof/>
          <w:szCs w:val="22"/>
          <w:lang w:val="it-IT" w:eastAsia="en-GB"/>
        </w:rPr>
        <w:lastRenderedPageBreak/>
        <w:t>potenzialmente letale, con o senza corticosteroidi supplementari ad alte dosi. È stata somministrata una mediana di 1 dose di tocilizumab (range, 1-4 dosi).</w:t>
      </w:r>
    </w:p>
    <w:p>
      <w:pPr>
        <w:tabs>
          <w:tab w:val="left" w:pos="180"/>
        </w:tabs>
        <w:rPr>
          <w:noProof/>
          <w:lang w:val="it-IT"/>
        </w:rPr>
      </w:pPr>
    </w:p>
    <w:p>
      <w:pPr>
        <w:tabs>
          <w:tab w:val="left" w:pos="180"/>
        </w:tabs>
        <w:rPr>
          <w:noProof/>
          <w:szCs w:val="22"/>
          <w:u w:val="single"/>
          <w:lang w:val="it-IT"/>
        </w:rPr>
      </w:pPr>
      <w:r>
        <w:rPr>
          <w:noProof/>
          <w:szCs w:val="22"/>
          <w:u w:val="single"/>
          <w:lang w:val="it-IT"/>
        </w:rPr>
        <w:t>Segnalazione delle reazioni avverse sospette</w:t>
      </w:r>
    </w:p>
    <w:p>
      <w:pPr>
        <w:tabs>
          <w:tab w:val="left" w:pos="180"/>
        </w:tabs>
        <w:rPr>
          <w:noProof/>
          <w:color w:val="0000FF"/>
          <w:lang w:val="it-IT"/>
        </w:rPr>
      </w:pPr>
      <w:r>
        <w:rPr>
          <w:noProof/>
          <w:szCs w:val="22"/>
          <w:lang w:val="it-IT"/>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Pr>
          <w:noProof/>
          <w:szCs w:val="22"/>
          <w:highlight w:val="lightGray"/>
          <w:lang w:val="it-IT"/>
        </w:rPr>
        <w:t>il sistema nazionale di segnalazione riportato nell’</w:t>
      </w:r>
      <w:r>
        <w:rPr>
          <w:noProof/>
          <w:lang w:val="it-IT"/>
        </w:rPr>
        <w:fldChar w:fldCharType="begin"/>
      </w:r>
      <w:ins w:id="1127" w:author="Author">
        <w:r>
          <w:rPr>
            <w:noProof/>
            <w:lang w:val="it-IT"/>
            <w:rPrChange w:id="1128" w:author="Author">
              <w:rPr/>
            </w:rPrChange>
          </w:rPr>
          <w:instrText>HYPERLINK "https://www.ema.europa.eu/documents/template-form/qrd-appendix-v-adverse-drug-reaction-reporting-details_en.docx"</w:instrText>
        </w:r>
      </w:ins>
      <w:del w:id="1129" w:author="Author">
        <w:r>
          <w:rPr>
            <w:noProof/>
            <w:lang w:val="it-IT"/>
            <w:rPrChange w:id="1130" w:author="Author">
              <w:rPr/>
            </w:rPrChange>
          </w:rPr>
          <w:delInstrText>HYPERLINK "https://www.ema.europa.eu/documents/template-form/qrd-appendix-v-adverse-drug-reaction-reporting-details_en.docx"</w:delInstrText>
        </w:r>
      </w:del>
      <w:r>
        <w:rPr>
          <w:noProof/>
          <w:lang w:val="it-IT"/>
        </w:rPr>
        <w:fldChar w:fldCharType="separate"/>
      </w:r>
      <w:del w:id="1131" w:author="Author">
        <w:r>
          <w:rPr>
            <w:rStyle w:val="Hyperlink"/>
            <w:noProof/>
            <w:szCs w:val="22"/>
            <w:highlight w:val="lightGray"/>
            <w:lang w:val="it-IT"/>
          </w:rPr>
          <w:delText>allegato V</w:delText>
        </w:r>
        <w:r>
          <w:rPr>
            <w:rStyle w:val="Hyperlink"/>
            <w:noProof/>
            <w:highlight w:val="lightGray"/>
            <w:lang w:val="it-IT"/>
          </w:rPr>
          <w:delText>.</w:delText>
        </w:r>
      </w:del>
      <w:ins w:id="1132" w:author="Author">
        <w:r>
          <w:rPr>
            <w:rStyle w:val="Hyperlink"/>
            <w:noProof/>
            <w:highlight w:val="lightGray"/>
            <w:lang w:val="it-IT"/>
          </w:rPr>
          <w:t>allegato V</w:t>
        </w:r>
      </w:ins>
      <w:r>
        <w:rPr>
          <w:noProof/>
          <w:lang w:val="it-IT"/>
        </w:rPr>
        <w:fldChar w:fldCharType="end"/>
      </w:r>
      <w:ins w:id="1133" w:author="Author">
        <w:r>
          <w:rPr>
            <w:noProof/>
            <w:lang w:val="it-IT"/>
            <w:rPrChange w:id="1134" w:author="Author">
              <w:rPr/>
            </w:rPrChange>
          </w:rPr>
          <w:t>.</w:t>
        </w:r>
      </w:ins>
    </w:p>
    <w:p>
      <w:pPr>
        <w:tabs>
          <w:tab w:val="left" w:pos="180"/>
        </w:tabs>
        <w:rPr>
          <w:noProof/>
          <w:lang w:val="it-IT"/>
        </w:rPr>
      </w:pPr>
    </w:p>
    <w:p>
      <w:pPr>
        <w:keepNext/>
        <w:keepLines/>
        <w:tabs>
          <w:tab w:val="left" w:pos="180"/>
        </w:tabs>
        <w:ind w:left="567" w:hanging="567"/>
        <w:outlineLvl w:val="0"/>
        <w:rPr>
          <w:b/>
          <w:noProof/>
          <w:lang w:val="it-IT"/>
        </w:rPr>
      </w:pPr>
      <w:r>
        <w:rPr>
          <w:b/>
          <w:noProof/>
          <w:lang w:val="it-IT"/>
        </w:rPr>
        <w:t>4.9</w:t>
      </w:r>
      <w:r>
        <w:rPr>
          <w:b/>
          <w:noProof/>
          <w:lang w:val="it-IT"/>
        </w:rPr>
        <w:tab/>
        <w:t>Sovradosaggio</w:t>
      </w:r>
    </w:p>
    <w:p>
      <w:pPr>
        <w:keepNext/>
        <w:keepLines/>
        <w:tabs>
          <w:tab w:val="left" w:pos="180"/>
        </w:tabs>
        <w:rPr>
          <w:noProof/>
          <w:lang w:val="it-IT"/>
        </w:rPr>
      </w:pPr>
    </w:p>
    <w:p>
      <w:pPr>
        <w:keepNext/>
        <w:keepLines/>
        <w:tabs>
          <w:tab w:val="left" w:pos="180"/>
        </w:tabs>
        <w:rPr>
          <w:noProof/>
          <w:lang w:val="it-IT"/>
        </w:rPr>
      </w:pPr>
      <w:r>
        <w:rPr>
          <w:noProof/>
          <w:lang w:val="it-IT"/>
        </w:rPr>
        <w:t>I dati disponibili sul sovradosaggio di tocilizumab sono limitati. È stato riportato un caso di sovradosaggio accidentale, nel quale un paziente affetto da mieloma multiplo ha ricevuto una singola dose da 40 mg/kg. Non sono state osservate reazioni avverse.</w:t>
      </w:r>
    </w:p>
    <w:p>
      <w:pPr>
        <w:keepNext/>
        <w:keepLines/>
        <w:tabs>
          <w:tab w:val="left" w:pos="180"/>
        </w:tabs>
        <w:rPr>
          <w:noProof/>
          <w:lang w:val="it-IT"/>
        </w:rPr>
      </w:pPr>
    </w:p>
    <w:p>
      <w:pPr>
        <w:keepNext/>
        <w:keepLines/>
        <w:tabs>
          <w:tab w:val="left" w:pos="180"/>
        </w:tabs>
        <w:rPr>
          <w:noProof/>
          <w:lang w:val="it-IT"/>
        </w:rPr>
      </w:pPr>
      <w:r>
        <w:rPr>
          <w:noProof/>
          <w:lang w:val="it-IT"/>
        </w:rPr>
        <w:t xml:space="preserve">Nei volontari sani che hanno ricevuto una dose singola fino a 28 mg/kg non sono state osservate </w:t>
      </w:r>
      <w:del w:id="1135" w:author="Author">
        <w:r>
          <w:rPr>
            <w:noProof/>
            <w:lang w:val="it-IT"/>
          </w:rPr>
          <w:delText xml:space="preserve">gravi </w:delText>
        </w:r>
      </w:del>
      <w:r>
        <w:rPr>
          <w:noProof/>
          <w:lang w:val="it-IT"/>
        </w:rPr>
        <w:t>reazioni avverse</w:t>
      </w:r>
      <w:ins w:id="1136" w:author="Author">
        <w:r>
          <w:rPr>
            <w:noProof/>
            <w:lang w:val="it-IT"/>
          </w:rPr>
          <w:t xml:space="preserve"> gravi</w:t>
        </w:r>
      </w:ins>
      <w:r>
        <w:rPr>
          <w:noProof/>
          <w:lang w:val="it-IT"/>
        </w:rPr>
        <w:t>, benché si sia osservata una neutropenia dose-limitante.</w:t>
      </w:r>
    </w:p>
    <w:p>
      <w:pPr>
        <w:tabs>
          <w:tab w:val="left" w:pos="180"/>
        </w:tabs>
        <w:rPr>
          <w:noProof/>
          <w:lang w:val="it-IT"/>
        </w:rPr>
      </w:pPr>
    </w:p>
    <w:p>
      <w:pPr>
        <w:rPr>
          <w:noProof/>
          <w:lang w:val="it-IT"/>
        </w:rPr>
      </w:pPr>
    </w:p>
    <w:p>
      <w:pPr>
        <w:tabs>
          <w:tab w:val="left" w:pos="180"/>
        </w:tabs>
        <w:ind w:left="567" w:hanging="567"/>
        <w:rPr>
          <w:noProof/>
          <w:lang w:val="it-IT"/>
        </w:rPr>
      </w:pPr>
      <w:r>
        <w:rPr>
          <w:b/>
          <w:noProof/>
          <w:lang w:val="it-IT"/>
        </w:rPr>
        <w:t>5.</w:t>
      </w:r>
      <w:r>
        <w:rPr>
          <w:b/>
          <w:noProof/>
          <w:lang w:val="it-IT"/>
        </w:rPr>
        <w:tab/>
      </w:r>
      <w:r>
        <w:rPr>
          <w:b/>
          <w:noProof/>
          <w:lang w:val="it-IT"/>
        </w:rPr>
        <w:tab/>
        <w:t>PROPRIETÀ FARMACOLOGICHE</w:t>
      </w:r>
    </w:p>
    <w:p>
      <w:pPr>
        <w:tabs>
          <w:tab w:val="left" w:pos="180"/>
        </w:tabs>
        <w:rPr>
          <w:noProof/>
          <w:lang w:val="it-IT"/>
        </w:rPr>
      </w:pPr>
    </w:p>
    <w:p>
      <w:pPr>
        <w:keepNext/>
        <w:tabs>
          <w:tab w:val="left" w:pos="180"/>
        </w:tabs>
        <w:ind w:left="567" w:hanging="567"/>
        <w:outlineLvl w:val="0"/>
        <w:rPr>
          <w:noProof/>
          <w:lang w:val="it-IT"/>
        </w:rPr>
      </w:pPr>
      <w:r>
        <w:rPr>
          <w:b/>
          <w:noProof/>
          <w:lang w:val="it-IT"/>
        </w:rPr>
        <w:t xml:space="preserve">5.1 </w:t>
      </w:r>
      <w:r>
        <w:rPr>
          <w:b/>
          <w:noProof/>
          <w:lang w:val="it-IT"/>
        </w:rPr>
        <w:tab/>
        <w:t>Proprietà farmacodinamiche</w:t>
      </w:r>
    </w:p>
    <w:p>
      <w:pPr>
        <w:keepNext/>
        <w:tabs>
          <w:tab w:val="left" w:pos="180"/>
        </w:tabs>
        <w:rPr>
          <w:noProof/>
          <w:lang w:val="it-IT"/>
        </w:rPr>
      </w:pPr>
    </w:p>
    <w:p>
      <w:pPr>
        <w:numPr>
          <w:ilvl w:val="12"/>
          <w:numId w:val="0"/>
        </w:numPr>
        <w:tabs>
          <w:tab w:val="left" w:pos="180"/>
        </w:tabs>
        <w:ind w:right="-2"/>
        <w:rPr>
          <w:noProof/>
          <w:lang w:val="it-IT"/>
        </w:rPr>
      </w:pPr>
      <w:r>
        <w:rPr>
          <w:noProof/>
          <w:lang w:val="it-IT"/>
        </w:rPr>
        <w:t>Categoria farmacoterapeutica: immunosoppressori, inibitori di interleuchine; codice ATC: L04AC07.</w:t>
      </w:r>
    </w:p>
    <w:p>
      <w:pPr>
        <w:numPr>
          <w:ilvl w:val="12"/>
          <w:numId w:val="0"/>
        </w:numPr>
        <w:tabs>
          <w:tab w:val="left" w:pos="180"/>
        </w:tabs>
        <w:ind w:right="-2"/>
        <w:rPr>
          <w:noProof/>
          <w:lang w:val="it-IT"/>
        </w:rPr>
      </w:pPr>
    </w:p>
    <w:p>
      <w:pPr>
        <w:numPr>
          <w:ilvl w:val="12"/>
          <w:numId w:val="0"/>
        </w:numPr>
        <w:tabs>
          <w:tab w:val="left" w:pos="180"/>
        </w:tabs>
        <w:ind w:right="-2"/>
        <w:rPr>
          <w:noProof/>
          <w:u w:val="single"/>
          <w:lang w:val="it-IT"/>
        </w:rPr>
      </w:pPr>
      <w:r>
        <w:rPr>
          <w:noProof/>
          <w:u w:val="single"/>
          <w:lang w:val="it-IT"/>
        </w:rPr>
        <w:t>Meccanismo d’azione</w:t>
      </w:r>
    </w:p>
    <w:p>
      <w:pPr>
        <w:numPr>
          <w:ilvl w:val="12"/>
          <w:numId w:val="0"/>
        </w:numPr>
        <w:tabs>
          <w:tab w:val="left" w:pos="180"/>
        </w:tabs>
        <w:ind w:right="-2"/>
        <w:rPr>
          <w:noProof/>
          <w:lang w:val="it-IT"/>
        </w:rPr>
      </w:pPr>
      <w:r>
        <w:rPr>
          <w:noProof/>
          <w:lang w:val="it-IT"/>
        </w:rPr>
        <w:t>Tocilizumab si lega in modo specifico ai recettori di IL-6 sia solubili che di membrana (sIL-6R e mIL-6R). Tocilizumab ha dimostrato di inibire i segnali mediati da sIL-6R e mIL-6R. IL-6 è una citochina proinfiammatoria pleiotropica prodotta da diverse tipologie cellulari, tra cui cellule T e B, monociti e fibroblasti. IL-6 è coinvolta in diversi processi fisiologici, quali l’attivazione delle cellule T, l’induzione della secrezione delle immunoglobuline, l’induzione della sintesi epatica delle proteine di fase acuta e la stimolazione dell’emopoiesi. IL-6 è coinvolta nella patogenesi di malattie, tra cui malattie infiammatorie, osteoporosi e neoplasie.</w:t>
      </w:r>
    </w:p>
    <w:p>
      <w:pPr>
        <w:numPr>
          <w:ilvl w:val="12"/>
          <w:numId w:val="0"/>
        </w:numPr>
        <w:tabs>
          <w:tab w:val="left" w:pos="180"/>
        </w:tabs>
        <w:ind w:right="-2"/>
        <w:rPr>
          <w:noProof/>
          <w:lang w:val="it-IT"/>
        </w:rPr>
      </w:pPr>
    </w:p>
    <w:p>
      <w:pPr>
        <w:keepNext/>
        <w:keepLines/>
        <w:numPr>
          <w:ilvl w:val="12"/>
          <w:numId w:val="0"/>
        </w:numPr>
        <w:tabs>
          <w:tab w:val="left" w:pos="180"/>
        </w:tabs>
        <w:rPr>
          <w:noProof/>
          <w:u w:val="single"/>
          <w:lang w:val="it-IT"/>
        </w:rPr>
      </w:pPr>
      <w:r>
        <w:rPr>
          <w:noProof/>
          <w:u w:val="single"/>
          <w:lang w:val="it-IT"/>
        </w:rPr>
        <w:t>Effetti farmacodinamici</w:t>
      </w:r>
    </w:p>
    <w:p>
      <w:pPr>
        <w:numPr>
          <w:ilvl w:val="12"/>
          <w:numId w:val="0"/>
        </w:numPr>
        <w:tabs>
          <w:tab w:val="left" w:pos="180"/>
        </w:tabs>
        <w:ind w:right="-2"/>
        <w:rPr>
          <w:noProof/>
          <w:lang w:val="it-IT"/>
        </w:rPr>
      </w:pPr>
      <w:r>
        <w:rPr>
          <w:noProof/>
          <w:lang w:val="it-IT"/>
        </w:rPr>
        <w:t>Negli studi clinici su pazienti affetti da AR trattati con tocilizumab sono state osservate rapide riduzioni dei livelli di proteina C reattiva (PCR), della velocità di sedimentazione degli eritrociti (VES), della amiloide A sierica (SAA) e di fibrinogeno.</w:t>
      </w:r>
      <w:r>
        <w:rPr>
          <w:b/>
          <w:noProof/>
          <w:lang w:val="it-IT"/>
        </w:rPr>
        <w:t xml:space="preserve"> </w:t>
      </w:r>
      <w:r>
        <w:rPr>
          <w:noProof/>
          <w:lang w:val="it-IT"/>
        </w:rPr>
        <w:t>In linea con l’effetto sui reagenti di fase acuta, il trattamento con tocilizumab si è associato a una riduzione della conta piastrinica all’interno dell’intervallo di normalità. Sono stati osservati incrementi dei livelli di emoglobina, dovuti alla riduzione determinata da tocilizumab degli effetti mediati da IL-6 sulla produzione di epcidina con aumento della disponibilità di ferro. Nei pazienti trattati, già alla settimana 2 sono state rilevate riduzioni dei livelli della PCR all’interno dell’intervallo di normalità, che si sono poi mantenute per la durata del trattamento.</w:t>
      </w:r>
    </w:p>
    <w:p>
      <w:pPr>
        <w:numPr>
          <w:ilvl w:val="12"/>
          <w:numId w:val="0"/>
        </w:numPr>
        <w:tabs>
          <w:tab w:val="left" w:pos="180"/>
        </w:tabs>
        <w:ind w:right="-2"/>
        <w:rPr>
          <w:i/>
          <w:noProof/>
          <w:lang w:val="it-IT"/>
        </w:rPr>
      </w:pPr>
    </w:p>
    <w:p>
      <w:pPr>
        <w:numPr>
          <w:ilvl w:val="12"/>
          <w:numId w:val="0"/>
        </w:numPr>
        <w:tabs>
          <w:tab w:val="left" w:pos="180"/>
        </w:tabs>
        <w:ind w:right="-2"/>
        <w:rPr>
          <w:noProof/>
          <w:lang w:val="it-IT"/>
        </w:rPr>
      </w:pPr>
      <w:r>
        <w:rPr>
          <w:noProof/>
          <w:lang w:val="it-IT"/>
        </w:rPr>
        <w:t>Nei soggetti sani che hanno ricevuto tocilizumab in dosi da 2 a 28 mg/kg, la conta assoluta dei neutrofili ha raggiunto livelli più bassi dal giorno 3 al giorno 5 successivi alla somministrazione. Pertanto il ritorno dei neutrofili ai livelli del basale è dose dipendente. I pazienti affetti da artrite reumatoide hanno manifestato lo stesso grado di conta assoluta dei neutrofili a seguito della somministrazione di tocilizumab (vedere paragrafo 4.8).</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Nei pazienti affetti da COVID-19 trattati con una dose di tocilizumab 8 mg/kg somministrata per via endovenosa, già al giorno 7 sono state rilevate riduzioni dei livelli della proteina C reattiva all’interno dell’intervallo di normalità.</w:t>
      </w:r>
    </w:p>
    <w:p>
      <w:pPr>
        <w:numPr>
          <w:ilvl w:val="12"/>
          <w:numId w:val="0"/>
        </w:numPr>
        <w:tabs>
          <w:tab w:val="left" w:pos="180"/>
        </w:tabs>
        <w:ind w:right="-2"/>
        <w:rPr>
          <w:noProof/>
          <w:lang w:val="it-IT"/>
        </w:rPr>
      </w:pPr>
    </w:p>
    <w:p>
      <w:pPr>
        <w:keepNext/>
        <w:keepLines/>
        <w:numPr>
          <w:ilvl w:val="12"/>
          <w:numId w:val="0"/>
        </w:numPr>
        <w:tabs>
          <w:tab w:val="left" w:pos="180"/>
        </w:tabs>
        <w:rPr>
          <w:noProof/>
          <w:lang w:val="it-IT"/>
        </w:rPr>
      </w:pPr>
      <w:r>
        <w:rPr>
          <w:noProof/>
          <w:u w:val="single"/>
          <w:lang w:val="it-IT"/>
        </w:rPr>
        <w:lastRenderedPageBreak/>
        <w:t>Pazienti affetti da AR</w:t>
      </w:r>
    </w:p>
    <w:p>
      <w:pPr>
        <w:numPr>
          <w:ilvl w:val="12"/>
          <w:numId w:val="0"/>
        </w:numPr>
        <w:tabs>
          <w:tab w:val="left" w:pos="180"/>
        </w:tabs>
        <w:ind w:right="-2"/>
        <w:rPr>
          <w:del w:id="1137" w:author="Author"/>
          <w:i/>
          <w:noProof/>
          <w:lang w:val="it-IT"/>
        </w:rPr>
      </w:pPr>
    </w:p>
    <w:p>
      <w:pPr>
        <w:keepNext/>
        <w:numPr>
          <w:ilvl w:val="12"/>
          <w:numId w:val="0"/>
        </w:numPr>
        <w:tabs>
          <w:tab w:val="left" w:pos="180"/>
        </w:tabs>
        <w:ind w:right="-2"/>
        <w:rPr>
          <w:i/>
          <w:iCs/>
          <w:noProof/>
          <w:lang w:val="it-IT"/>
        </w:rPr>
        <w:pPrChange w:id="1138" w:author="Author">
          <w:pPr>
            <w:numPr>
              <w:ilvl w:val="12"/>
            </w:numPr>
            <w:tabs>
              <w:tab w:val="left" w:pos="180"/>
            </w:tabs>
            <w:ind w:right="-2"/>
          </w:pPr>
        </w:pPrChange>
      </w:pPr>
      <w:r>
        <w:rPr>
          <w:i/>
          <w:iCs/>
          <w:noProof/>
          <w:lang w:val="it-IT"/>
        </w:rPr>
        <w:t xml:space="preserve">Efficacia e sicurezza clinica </w:t>
      </w:r>
    </w:p>
    <w:p>
      <w:pPr>
        <w:numPr>
          <w:ilvl w:val="12"/>
          <w:numId w:val="0"/>
        </w:numPr>
        <w:tabs>
          <w:tab w:val="left" w:pos="180"/>
        </w:tabs>
        <w:ind w:right="-2"/>
        <w:rPr>
          <w:noProof/>
          <w:lang w:val="it-IT"/>
        </w:rPr>
      </w:pPr>
      <w:r>
        <w:rPr>
          <w:noProof/>
          <w:lang w:val="it-IT"/>
        </w:rPr>
        <w:t xml:space="preserve">L’efficacia di tocilizumab nel ridurre segni e sintomi dell’AR è stata valutata in cinque studi </w:t>
      </w:r>
      <w:ins w:id="1139" w:author="Author">
        <w:r>
          <w:rPr>
            <w:noProof/>
            <w:lang w:val="it-IT"/>
          </w:rPr>
          <w:t xml:space="preserve">clinici </w:t>
        </w:r>
      </w:ins>
      <w:r>
        <w:rPr>
          <w:noProof/>
          <w:lang w:val="it-IT"/>
        </w:rPr>
        <w:t xml:space="preserve">multicentrici randomizzati e in doppio cieco. Gli </w:t>
      </w:r>
      <w:del w:id="1140" w:author="Author">
        <w:r>
          <w:rPr>
            <w:noProof/>
            <w:lang w:val="it-IT"/>
          </w:rPr>
          <w:delText xml:space="preserve">studi </w:delText>
        </w:r>
      </w:del>
      <w:ins w:id="1141" w:author="Author">
        <w:r>
          <w:rPr>
            <w:noProof/>
            <w:lang w:val="it-IT"/>
          </w:rPr>
          <w:t xml:space="preserve">Studi </w:t>
        </w:r>
      </w:ins>
      <w:r>
        <w:rPr>
          <w:noProof/>
          <w:lang w:val="it-IT"/>
        </w:rPr>
        <w:t xml:space="preserve">I-V hanno arruolato pazienti di età </w:t>
      </w:r>
      <w:r>
        <w:rPr>
          <w:noProof/>
          <w:szCs w:val="22"/>
          <w:lang w:val="it-IT"/>
        </w:rPr>
        <w:t>≥</w:t>
      </w:r>
      <w:r>
        <w:rPr>
          <w:noProof/>
          <w:lang w:val="it-IT"/>
        </w:rPr>
        <w:t> 18 anni affetti da AR diagnosticata in base ai criteri dell’American College of Rheumatology (ACR) e che presentavano almeno otto articolazioni dolenti e sei articolazioni tumefatte al basale.</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 xml:space="preserve">Nello </w:t>
      </w:r>
      <w:del w:id="1142" w:author="Author">
        <w:r>
          <w:rPr>
            <w:noProof/>
            <w:lang w:val="it-IT"/>
          </w:rPr>
          <w:delText xml:space="preserve">studio </w:delText>
        </w:r>
      </w:del>
      <w:ins w:id="1143" w:author="Author">
        <w:r>
          <w:rPr>
            <w:noProof/>
            <w:lang w:val="it-IT"/>
          </w:rPr>
          <w:t xml:space="preserve">Studio </w:t>
        </w:r>
      </w:ins>
      <w:r>
        <w:rPr>
          <w:noProof/>
          <w:lang w:val="it-IT"/>
        </w:rPr>
        <w:t xml:space="preserve">I, tocilizumab è stato somministrato per via endovenosa ogni quattro settimane in monoterapia. Negli </w:t>
      </w:r>
      <w:del w:id="1144" w:author="Author">
        <w:r>
          <w:rPr>
            <w:noProof/>
            <w:lang w:val="it-IT"/>
          </w:rPr>
          <w:delText xml:space="preserve">studi </w:delText>
        </w:r>
      </w:del>
      <w:ins w:id="1145" w:author="Author">
        <w:r>
          <w:rPr>
            <w:noProof/>
            <w:lang w:val="it-IT"/>
          </w:rPr>
          <w:t xml:space="preserve">Studi </w:t>
        </w:r>
      </w:ins>
      <w:r>
        <w:rPr>
          <w:noProof/>
          <w:lang w:val="it-IT"/>
        </w:rPr>
        <w:t xml:space="preserve">II, III e V, tocilizumab è stato somministrato per via endovenosa ogni quattro settimane in </w:t>
      </w:r>
      <w:r>
        <w:rPr>
          <w:noProof/>
          <w:szCs w:val="22"/>
          <w:lang w:val="it-IT"/>
        </w:rPr>
        <w:t>associazione</w:t>
      </w:r>
      <w:r>
        <w:rPr>
          <w:noProof/>
          <w:lang w:val="it-IT"/>
        </w:rPr>
        <w:t xml:space="preserve"> con MTX </w:t>
      </w:r>
      <w:r>
        <w:rPr>
          <w:i/>
          <w:noProof/>
          <w:lang w:val="it-IT"/>
        </w:rPr>
        <w:t>versus</w:t>
      </w:r>
      <w:r>
        <w:rPr>
          <w:noProof/>
          <w:lang w:val="it-IT"/>
        </w:rPr>
        <w:t xml:space="preserve"> placebo e MTX. Nello </w:t>
      </w:r>
      <w:del w:id="1146" w:author="Author">
        <w:r>
          <w:rPr>
            <w:noProof/>
            <w:lang w:val="it-IT"/>
          </w:rPr>
          <w:delText xml:space="preserve">studio </w:delText>
        </w:r>
      </w:del>
      <w:ins w:id="1147" w:author="Author">
        <w:r>
          <w:rPr>
            <w:noProof/>
            <w:lang w:val="it-IT"/>
          </w:rPr>
          <w:t xml:space="preserve">Studio </w:t>
        </w:r>
      </w:ins>
      <w:r>
        <w:rPr>
          <w:noProof/>
          <w:lang w:val="it-IT"/>
        </w:rPr>
        <w:t xml:space="preserve">IV, tocilizumab è stato somministrato per via endovenosa ogni 4 settimane in </w:t>
      </w:r>
      <w:r>
        <w:rPr>
          <w:noProof/>
          <w:szCs w:val="22"/>
          <w:lang w:val="it-IT"/>
        </w:rPr>
        <w:t>associazione</w:t>
      </w:r>
      <w:r>
        <w:rPr>
          <w:noProof/>
          <w:lang w:val="it-IT"/>
        </w:rPr>
        <w:t xml:space="preserve"> con altri DMARD </w:t>
      </w:r>
      <w:r>
        <w:rPr>
          <w:i/>
          <w:noProof/>
          <w:lang w:val="it-IT"/>
        </w:rPr>
        <w:t>versus</w:t>
      </w:r>
      <w:r>
        <w:rPr>
          <w:noProof/>
          <w:lang w:val="it-IT"/>
        </w:rPr>
        <w:t xml:space="preserve"> placebo e altri DMARD. L’endpoint primario di ciascuno dei cinque studi </w:t>
      </w:r>
      <w:ins w:id="1148" w:author="Author">
        <w:r>
          <w:rPr>
            <w:noProof/>
            <w:lang w:val="it-IT"/>
          </w:rPr>
          <w:t xml:space="preserve">clinici </w:t>
        </w:r>
      </w:ins>
      <w:r>
        <w:rPr>
          <w:noProof/>
          <w:lang w:val="it-IT"/>
        </w:rPr>
        <w:t xml:space="preserve">è stata la percentuale dei pazienti che hanno conseguito una risposta ACR 20 alla settimana 24. </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 xml:space="preserve">Lo </w:t>
      </w:r>
      <w:del w:id="1149" w:author="Author">
        <w:r>
          <w:rPr>
            <w:noProof/>
            <w:lang w:val="it-IT"/>
          </w:rPr>
          <w:delText xml:space="preserve">studio </w:delText>
        </w:r>
      </w:del>
      <w:ins w:id="1150" w:author="Author">
        <w:r>
          <w:rPr>
            <w:noProof/>
            <w:lang w:val="it-IT"/>
          </w:rPr>
          <w:t xml:space="preserve">Studio </w:t>
        </w:r>
      </w:ins>
      <w:r>
        <w:rPr>
          <w:noProof/>
          <w:lang w:val="it-IT"/>
        </w:rPr>
        <w:t>I ha valutato 673 pazienti non trattati con MTX nei sei mesi precedenti la randomizzazione e che non avevano interrotto il precedente trattamento con MTX a causa di effetti tossici di rilievo clinico o assenza di risposta. La maggior parte dei pazienti (67%) era naïve al MTX. Dosi da 8 mg/kg di tocilizumab sono state somministrate ogni quattro settimane in monoterapia. Il gruppo di confronto è stato trattato a cadenza settimanale con MTX (con titolazione della dose da 7,5 mg fino a un massimo di 20 mg a settimana per un periodo di otto settimane).</w:t>
      </w:r>
    </w:p>
    <w:p>
      <w:pPr>
        <w:numPr>
          <w:ilvl w:val="12"/>
          <w:numId w:val="0"/>
        </w:numPr>
        <w:tabs>
          <w:tab w:val="left" w:pos="180"/>
        </w:tabs>
        <w:ind w:right="-2"/>
        <w:rPr>
          <w:noProof/>
          <w:lang w:val="it-IT"/>
        </w:rPr>
      </w:pPr>
    </w:p>
    <w:p>
      <w:pPr>
        <w:numPr>
          <w:ilvl w:val="12"/>
          <w:numId w:val="0"/>
        </w:numPr>
        <w:tabs>
          <w:tab w:val="left" w:pos="180"/>
        </w:tabs>
        <w:ind w:right="-2"/>
        <w:rPr>
          <w:noProof/>
          <w:szCs w:val="22"/>
          <w:lang w:val="it-IT"/>
        </w:rPr>
      </w:pPr>
      <w:r>
        <w:rPr>
          <w:noProof/>
          <w:szCs w:val="22"/>
          <w:lang w:val="it-IT"/>
        </w:rPr>
        <w:t xml:space="preserve">Lo </w:t>
      </w:r>
      <w:del w:id="1151" w:author="Author">
        <w:r>
          <w:rPr>
            <w:noProof/>
            <w:szCs w:val="22"/>
            <w:lang w:val="it-IT"/>
          </w:rPr>
          <w:delText xml:space="preserve">studio </w:delText>
        </w:r>
      </w:del>
      <w:ins w:id="1152" w:author="Author">
        <w:r>
          <w:rPr>
            <w:noProof/>
            <w:szCs w:val="22"/>
            <w:lang w:val="it-IT"/>
          </w:rPr>
          <w:t xml:space="preserve">Studio </w:t>
        </w:r>
      </w:ins>
      <w:r>
        <w:rPr>
          <w:noProof/>
          <w:szCs w:val="22"/>
          <w:lang w:val="it-IT"/>
        </w:rPr>
        <w:t>II, uno studio</w:t>
      </w:r>
      <w:ins w:id="1153" w:author="Author">
        <w:r>
          <w:rPr>
            <w:noProof/>
            <w:szCs w:val="22"/>
            <w:lang w:val="it-IT"/>
          </w:rPr>
          <w:t xml:space="preserve"> clinico</w:t>
        </w:r>
      </w:ins>
      <w:r>
        <w:rPr>
          <w:noProof/>
          <w:szCs w:val="22"/>
          <w:lang w:val="it-IT"/>
        </w:rPr>
        <w:t xml:space="preserve"> della durata di due anni con analisi pianificate alla settimana 24, alla settimana</w:t>
      </w:r>
      <w:ins w:id="1154" w:author="Author">
        <w:r>
          <w:rPr>
            <w:noProof/>
            <w:szCs w:val="22"/>
            <w:lang w:val="it-IT"/>
          </w:rPr>
          <w:t> </w:t>
        </w:r>
      </w:ins>
      <w:del w:id="1155" w:author="Author">
        <w:r>
          <w:rPr>
            <w:noProof/>
            <w:szCs w:val="22"/>
            <w:lang w:val="it-IT"/>
          </w:rPr>
          <w:delText xml:space="preserve"> </w:delText>
        </w:r>
      </w:del>
      <w:r>
        <w:rPr>
          <w:noProof/>
          <w:szCs w:val="22"/>
          <w:lang w:val="it-IT"/>
        </w:rPr>
        <w:t>52 e alla settimana 104, ha valutato 1</w:t>
      </w:r>
      <w:ins w:id="1156" w:author="Author">
        <w:r>
          <w:rPr>
            <w:noProof/>
            <w:szCs w:val="22"/>
            <w:lang w:val="it-IT"/>
          </w:rPr>
          <w:t> </w:t>
        </w:r>
      </w:ins>
      <w:r>
        <w:rPr>
          <w:noProof/>
          <w:szCs w:val="22"/>
          <w:lang w:val="it-IT"/>
        </w:rPr>
        <w:t>196</w:t>
      </w:r>
      <w:ins w:id="1157" w:author="Author">
        <w:r>
          <w:rPr>
            <w:noProof/>
            <w:szCs w:val="22"/>
            <w:lang w:val="it-IT"/>
          </w:rPr>
          <w:t> </w:t>
        </w:r>
      </w:ins>
      <w:del w:id="1158" w:author="Author">
        <w:r>
          <w:rPr>
            <w:noProof/>
            <w:szCs w:val="22"/>
            <w:lang w:val="it-IT"/>
          </w:rPr>
          <w:delText xml:space="preserve"> </w:delText>
        </w:r>
      </w:del>
      <w:r>
        <w:rPr>
          <w:noProof/>
          <w:szCs w:val="22"/>
          <w:lang w:val="it-IT"/>
        </w:rPr>
        <w:t xml:space="preserve">pazienti con una risposta clinica a MTX inadeguata. Dosi da 4 o 8 mg/kg di tocilizumab o placebo sono state somministrate in cieco ogni quattro settimane per 52 settimane in associazione con una dose stabile di MTX (da 10 mg a 25 mg a settimana). Dopo 52 settimane, tutti i pazienti potevano ricevere il trattamento in aperto con tocilizumab 8 mg/kg. Tra i pazienti che hanno completato lo studio </w:t>
      </w:r>
      <w:ins w:id="1159" w:author="Author">
        <w:r>
          <w:rPr>
            <w:noProof/>
            <w:szCs w:val="22"/>
            <w:lang w:val="it-IT"/>
          </w:rPr>
          <w:t xml:space="preserve">clinico </w:t>
        </w:r>
      </w:ins>
      <w:r>
        <w:rPr>
          <w:noProof/>
          <w:szCs w:val="22"/>
          <w:lang w:val="it-IT"/>
        </w:rPr>
        <w:t>e che sono stati inizialmente randomizzati a placebo</w:t>
      </w:r>
      <w:del w:id="1160" w:author="Author">
        <w:r>
          <w:rPr>
            <w:noProof/>
            <w:szCs w:val="22"/>
            <w:lang w:val="it-IT"/>
          </w:rPr>
          <w:delText xml:space="preserve"> </w:delText>
        </w:r>
      </w:del>
      <w:ins w:id="1161" w:author="Author">
        <w:r>
          <w:rPr>
            <w:noProof/>
            <w:szCs w:val="22"/>
            <w:lang w:val="it-IT"/>
          </w:rPr>
          <w:t> </w:t>
        </w:r>
      </w:ins>
      <w:r>
        <w:rPr>
          <w:noProof/>
          <w:szCs w:val="22"/>
          <w:lang w:val="it-IT"/>
        </w:rPr>
        <w:t>+</w:t>
      </w:r>
      <w:ins w:id="1162" w:author="Author">
        <w:r>
          <w:rPr>
            <w:noProof/>
            <w:szCs w:val="22"/>
            <w:lang w:val="it-IT"/>
          </w:rPr>
          <w:t> </w:t>
        </w:r>
      </w:ins>
      <w:del w:id="1163" w:author="Author">
        <w:r>
          <w:rPr>
            <w:noProof/>
            <w:szCs w:val="22"/>
            <w:lang w:val="it-IT"/>
          </w:rPr>
          <w:delText xml:space="preserve"> </w:delText>
        </w:r>
      </w:del>
      <w:r>
        <w:rPr>
          <w:noProof/>
          <w:szCs w:val="22"/>
          <w:lang w:val="it-IT"/>
        </w:rPr>
        <w:t>MTX, l'86% ha ricevuto tocilizumab alla dose di 8 mg/kg in aperto nel corso dei due anni</w:t>
      </w:r>
      <w:r>
        <w:rPr>
          <w:rStyle w:val="mediumtext1"/>
          <w:sz w:val="22"/>
          <w:szCs w:val="22"/>
          <w:shd w:val="clear" w:color="auto" w:fill="FFFFFF"/>
          <w:lang w:val="it-IT"/>
          <w:rPrChange w:id="1164" w:author="Author">
            <w:rPr>
              <w:rStyle w:val="mediumtext1"/>
              <w:rFonts w:ascii="Arial" w:hAnsi="Arial" w:cs="Arial"/>
              <w:noProof w:val="0"/>
              <w:shd w:val="clear" w:color="auto" w:fill="FFFFFF"/>
              <w:lang w:val="it-IT"/>
            </w:rPr>
          </w:rPrChange>
        </w:rPr>
        <w:t xml:space="preserve">. </w:t>
      </w:r>
      <w:r>
        <w:rPr>
          <w:noProof/>
          <w:szCs w:val="22"/>
          <w:lang w:val="it-IT"/>
        </w:rPr>
        <w:t>L’endpoint primario alla settimana 24 è stata la percentuale dei pazienti che hanno conseguito una risposta ACR 20. Alla settimana 52 e alla settimana 104 gli endpoint coprimari sono stati la prevenzione del danno articolare e il miglioramento della funzione fisica.</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 xml:space="preserve">Lo </w:t>
      </w:r>
      <w:del w:id="1165" w:author="Author">
        <w:r>
          <w:rPr>
            <w:noProof/>
            <w:lang w:val="it-IT"/>
          </w:rPr>
          <w:delText xml:space="preserve">studio </w:delText>
        </w:r>
      </w:del>
      <w:ins w:id="1166" w:author="Author">
        <w:r>
          <w:rPr>
            <w:noProof/>
            <w:lang w:val="it-IT"/>
          </w:rPr>
          <w:t xml:space="preserve">Studio </w:t>
        </w:r>
      </w:ins>
      <w:r>
        <w:rPr>
          <w:noProof/>
          <w:lang w:val="it-IT"/>
        </w:rPr>
        <w:t xml:space="preserve">III ha valutato 623 pazienti con una risposta clinica a MTX inadeguata. Dosi da 4 a 8 mg/kg di tocilizumab o placebo sono state somministrate ogni quattro settimane in </w:t>
      </w:r>
      <w:r>
        <w:rPr>
          <w:noProof/>
          <w:szCs w:val="22"/>
          <w:lang w:val="it-IT"/>
        </w:rPr>
        <w:t>associazione</w:t>
      </w:r>
      <w:r>
        <w:rPr>
          <w:noProof/>
          <w:lang w:val="it-IT"/>
        </w:rPr>
        <w:t xml:space="preserve"> con una dose stabile di MTX (da 10 mg a 25 mg a settimana).</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 xml:space="preserve">Lo </w:t>
      </w:r>
      <w:del w:id="1167" w:author="Author">
        <w:r>
          <w:rPr>
            <w:noProof/>
            <w:lang w:val="it-IT"/>
          </w:rPr>
          <w:delText xml:space="preserve">studio </w:delText>
        </w:r>
      </w:del>
      <w:ins w:id="1168" w:author="Author">
        <w:r>
          <w:rPr>
            <w:noProof/>
            <w:lang w:val="it-IT"/>
          </w:rPr>
          <w:t xml:space="preserve">Studio </w:t>
        </w:r>
      </w:ins>
      <w:r>
        <w:rPr>
          <w:noProof/>
          <w:lang w:val="it-IT"/>
        </w:rPr>
        <w:t>IV ha valutato 1</w:t>
      </w:r>
      <w:ins w:id="1169" w:author="Author">
        <w:r>
          <w:rPr>
            <w:noProof/>
            <w:lang w:val="it-IT"/>
          </w:rPr>
          <w:t> </w:t>
        </w:r>
      </w:ins>
      <w:del w:id="1170" w:author="Author">
        <w:r>
          <w:rPr>
            <w:noProof/>
            <w:lang w:val="it-IT"/>
          </w:rPr>
          <w:delText>.</w:delText>
        </w:r>
      </w:del>
      <w:r>
        <w:rPr>
          <w:noProof/>
          <w:lang w:val="it-IT"/>
        </w:rPr>
        <w:t>220</w:t>
      </w:r>
      <w:ins w:id="1171" w:author="Author">
        <w:r>
          <w:rPr>
            <w:noProof/>
            <w:lang w:val="it-IT"/>
          </w:rPr>
          <w:t> </w:t>
        </w:r>
      </w:ins>
      <w:del w:id="1172" w:author="Author">
        <w:r>
          <w:rPr>
            <w:noProof/>
            <w:lang w:val="it-IT"/>
          </w:rPr>
          <w:delText xml:space="preserve"> </w:delText>
        </w:r>
      </w:del>
      <w:r>
        <w:rPr>
          <w:noProof/>
          <w:lang w:val="it-IT"/>
        </w:rPr>
        <w:t xml:space="preserve">pazienti con una risposta inadeguata alla terapia reumatologica in atto, inclusi uno o più DMARD. Dosi da 8 mg/kg di tocilizumab o placebo sono state somministrate ogni quattro settimane in </w:t>
      </w:r>
      <w:r>
        <w:rPr>
          <w:noProof/>
          <w:szCs w:val="22"/>
          <w:lang w:val="it-IT"/>
        </w:rPr>
        <w:t>associazione</w:t>
      </w:r>
      <w:r>
        <w:rPr>
          <w:noProof/>
          <w:lang w:val="it-IT"/>
        </w:rPr>
        <w:t xml:space="preserve"> con una dose stabile di DMARD.</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 xml:space="preserve">Lo </w:t>
      </w:r>
      <w:del w:id="1173" w:author="Author">
        <w:r>
          <w:rPr>
            <w:noProof/>
            <w:lang w:val="it-IT"/>
          </w:rPr>
          <w:delText xml:space="preserve">studio </w:delText>
        </w:r>
      </w:del>
      <w:ins w:id="1174" w:author="Author">
        <w:r>
          <w:rPr>
            <w:noProof/>
            <w:lang w:val="it-IT"/>
          </w:rPr>
          <w:t xml:space="preserve">Studio </w:t>
        </w:r>
      </w:ins>
      <w:r>
        <w:rPr>
          <w:noProof/>
          <w:lang w:val="it-IT"/>
        </w:rPr>
        <w:t xml:space="preserve">V ha valutato 499 pazienti con risposta clinica inadeguata o intolleranza a una o più terapie con antagonisti del TNF. La terapia con antagonista del TNF è stata interrotta prima della randomizzazione. Dosi di 4 o 8 mg/kg di tocilizumab o placebo sono state somministrate ogni quattro settimane in </w:t>
      </w:r>
      <w:r>
        <w:rPr>
          <w:noProof/>
          <w:szCs w:val="22"/>
          <w:lang w:val="it-IT"/>
        </w:rPr>
        <w:t>associazione</w:t>
      </w:r>
      <w:r>
        <w:rPr>
          <w:noProof/>
          <w:lang w:val="it-IT"/>
        </w:rPr>
        <w:t xml:space="preserve"> con una dose stabile di MTX (da 10 mg a 25 mg a settimana).</w:t>
      </w:r>
    </w:p>
    <w:p>
      <w:pPr>
        <w:numPr>
          <w:ilvl w:val="12"/>
          <w:numId w:val="0"/>
        </w:numPr>
        <w:tabs>
          <w:tab w:val="left" w:pos="180"/>
        </w:tabs>
        <w:rPr>
          <w:noProof/>
          <w:lang w:val="it-IT"/>
        </w:rPr>
      </w:pPr>
    </w:p>
    <w:p>
      <w:pPr>
        <w:keepNext/>
        <w:numPr>
          <w:ilvl w:val="12"/>
          <w:numId w:val="0"/>
        </w:numPr>
        <w:tabs>
          <w:tab w:val="left" w:pos="180"/>
        </w:tabs>
        <w:rPr>
          <w:i/>
          <w:noProof/>
          <w:lang w:val="it-IT"/>
        </w:rPr>
      </w:pPr>
      <w:r>
        <w:rPr>
          <w:i/>
          <w:noProof/>
          <w:lang w:val="it-IT"/>
        </w:rPr>
        <w:t>Risposta clinica</w:t>
      </w:r>
    </w:p>
    <w:p>
      <w:pPr>
        <w:numPr>
          <w:ilvl w:val="12"/>
          <w:numId w:val="0"/>
        </w:numPr>
        <w:tabs>
          <w:tab w:val="left" w:pos="180"/>
        </w:tabs>
        <w:ind w:right="-2"/>
        <w:rPr>
          <w:noProof/>
          <w:lang w:val="it-IT"/>
        </w:rPr>
      </w:pPr>
      <w:r>
        <w:rPr>
          <w:noProof/>
          <w:lang w:val="it-IT"/>
        </w:rPr>
        <w:t>In tutti gli studi</w:t>
      </w:r>
      <w:ins w:id="1175" w:author="Author">
        <w:r>
          <w:rPr>
            <w:noProof/>
            <w:lang w:val="it-IT"/>
          </w:rPr>
          <w:t xml:space="preserve"> clinici</w:t>
        </w:r>
      </w:ins>
      <w:r>
        <w:rPr>
          <w:noProof/>
          <w:lang w:val="it-IT"/>
        </w:rPr>
        <w:t xml:space="preserve">, i pazienti trattati con tocilizumab alla dose di 8 mg/kg hanno manifestato tassi di risposta ACR 20, 50, 70 </w:t>
      </w:r>
      <w:ins w:id="1176" w:author="Author">
        <w:r>
          <w:rPr>
            <w:noProof/>
            <w:lang w:val="it-IT"/>
          </w:rPr>
          <w:t xml:space="preserve">a 6 mesi </w:t>
        </w:r>
      </w:ins>
      <w:r>
        <w:rPr>
          <w:noProof/>
          <w:lang w:val="it-IT"/>
        </w:rPr>
        <w:t xml:space="preserve">significativamente più elevati </w:t>
      </w:r>
      <w:del w:id="1177" w:author="Author">
        <w:r>
          <w:rPr>
            <w:noProof/>
            <w:lang w:val="it-IT"/>
          </w:rPr>
          <w:delText xml:space="preserve">a 6 mesi </w:delText>
        </w:r>
      </w:del>
      <w:r>
        <w:rPr>
          <w:noProof/>
          <w:lang w:val="it-IT"/>
        </w:rPr>
        <w:t xml:space="preserve">rispetto al gruppo di controllo (tabella 4). Nello </w:t>
      </w:r>
      <w:del w:id="1178" w:author="Author">
        <w:r>
          <w:rPr>
            <w:noProof/>
            <w:lang w:val="it-IT"/>
          </w:rPr>
          <w:delText xml:space="preserve">studio </w:delText>
        </w:r>
      </w:del>
      <w:ins w:id="1179" w:author="Author">
        <w:r>
          <w:rPr>
            <w:noProof/>
            <w:lang w:val="it-IT"/>
          </w:rPr>
          <w:t xml:space="preserve">Studio </w:t>
        </w:r>
      </w:ins>
      <w:r>
        <w:rPr>
          <w:noProof/>
          <w:lang w:val="it-IT"/>
        </w:rPr>
        <w:t>I è stata dimostrata la superiorità di tocilizumab alla dose di 8 mg/kg rispetto al prodotto attivo di confronto MTX.</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 xml:space="preserve">L’effetto del trattamento sui pazienti è stato simile a prescindere da stato del fattore reumatoide, età, sesso, razza, numero di trattamenti precedenti o stato della malattia. L’insorgenza dell’effetto è stata rapida (già alla settimana 2) e l’entità della risposta ha continuato a migliorare con il proseguimento del trattamento. Risposte durevoli e continuative sono state osservate per più di 3 anni negli studi </w:t>
      </w:r>
      <w:ins w:id="1180" w:author="Author">
        <w:r>
          <w:rPr>
            <w:noProof/>
            <w:lang w:val="it-IT"/>
          </w:rPr>
          <w:t xml:space="preserve">clinici </w:t>
        </w:r>
      </w:ins>
      <w:r>
        <w:rPr>
          <w:noProof/>
          <w:lang w:val="it-IT"/>
        </w:rPr>
        <w:t>di estensione in aperto da I a V.</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lastRenderedPageBreak/>
        <w:t>Nei pazienti trattati con tocilizumab alla dose di 8 mg/kg sono stati notati miglioramenti significativi in tutte le singole componenti della risposta ACR, incluse le seguenti: conta delle articolazioni dolenti e tumefatte; valutazione globale di paziente e medico; punteggi dell’indice di invalidità; valutazione del dolore e PCR rispetto ai pazienti trattati con placebo più MTX o altri DMARD in tutti gli studi</w:t>
      </w:r>
      <w:ins w:id="1181" w:author="Author">
        <w:r>
          <w:rPr>
            <w:noProof/>
            <w:lang w:val="it-IT"/>
          </w:rPr>
          <w:t xml:space="preserve"> clinici</w:t>
        </w:r>
      </w:ins>
      <w:r>
        <w:rPr>
          <w:noProof/>
          <w:lang w:val="it-IT"/>
        </w:rPr>
        <w:t>.</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 xml:space="preserve">I pazienti degli </w:t>
      </w:r>
      <w:del w:id="1182" w:author="Author">
        <w:r>
          <w:rPr>
            <w:noProof/>
            <w:lang w:val="it-IT"/>
          </w:rPr>
          <w:delText xml:space="preserve">studi </w:delText>
        </w:r>
      </w:del>
      <w:ins w:id="1183" w:author="Author">
        <w:r>
          <w:rPr>
            <w:noProof/>
            <w:lang w:val="it-IT"/>
          </w:rPr>
          <w:t xml:space="preserve">Studi </w:t>
        </w:r>
      </w:ins>
      <w:r>
        <w:rPr>
          <w:noProof/>
          <w:lang w:val="it-IT"/>
        </w:rPr>
        <w:t xml:space="preserve">da I a V avevano un Punteggio di Attività di Malattia (DAS28) al basale di 6,5-6,8. Riduzioni significative nel DAS28 dal basale (miglioramento medio) di 3,1-3,4 sono state osservate nei pazienti trattati con tocilizumab rispetto ai pazienti di controllo (1,3-2,1). La percentuale dei pazienti che hanno raggiunto la remissione clinica secondo i criteri del DAS28 (DAS28 </w:t>
      </w:r>
      <w:r>
        <w:rPr>
          <w:rFonts w:eastAsia="MS Mincho"/>
          <w:noProof/>
          <w:sz w:val="18"/>
          <w:szCs w:val="18"/>
          <w:lang w:val="it-IT"/>
        </w:rPr>
        <w:sym w:font="Symbol" w:char="F03C"/>
      </w:r>
      <w:r>
        <w:rPr>
          <w:noProof/>
          <w:lang w:val="it-IT"/>
        </w:rPr>
        <w:t xml:space="preserve"> 2,6) era significativamente maggiore nei pazienti che avevano ricevuto tocilizumab (28-34%) rispetto all’1-12% dei pazienti di controllo alla settimana 24. Nello </w:t>
      </w:r>
      <w:del w:id="1184" w:author="Author">
        <w:r>
          <w:rPr>
            <w:noProof/>
            <w:lang w:val="it-IT"/>
          </w:rPr>
          <w:delText xml:space="preserve">studio </w:delText>
        </w:r>
      </w:del>
      <w:ins w:id="1185" w:author="Author">
        <w:r>
          <w:rPr>
            <w:noProof/>
            <w:lang w:val="it-IT"/>
          </w:rPr>
          <w:t xml:space="preserve">Studio </w:t>
        </w:r>
      </w:ins>
      <w:r>
        <w:rPr>
          <w:noProof/>
          <w:lang w:val="it-IT"/>
        </w:rPr>
        <w:t>II, il 65% dei pazienti ha raggiunto un DAS28 &lt;</w:t>
      </w:r>
      <w:ins w:id="1186" w:author="Author">
        <w:r>
          <w:rPr>
            <w:noProof/>
            <w:lang w:val="it-IT"/>
          </w:rPr>
          <w:t xml:space="preserve"> </w:t>
        </w:r>
      </w:ins>
      <w:r>
        <w:rPr>
          <w:noProof/>
          <w:lang w:val="it-IT"/>
        </w:rPr>
        <w:t>2,6 alla settimana 104 rispetto al 48% dei pazienti alla settimana 52 e al 33% dei pazienti alla settimana 24.</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 xml:space="preserve">In un’analisi di dati </w:t>
      </w:r>
      <w:del w:id="1187" w:author="Author">
        <w:r>
          <w:rPr>
            <w:noProof/>
            <w:lang w:val="it-IT"/>
          </w:rPr>
          <w:delText xml:space="preserve">accorpati </w:delText>
        </w:r>
      </w:del>
      <w:ins w:id="1188" w:author="Author">
        <w:r>
          <w:rPr>
            <w:noProof/>
            <w:lang w:val="it-IT"/>
          </w:rPr>
          <w:t xml:space="preserve">aggregati </w:t>
        </w:r>
      </w:ins>
      <w:r>
        <w:rPr>
          <w:noProof/>
          <w:lang w:val="it-IT"/>
        </w:rPr>
        <w:t xml:space="preserve">degli </w:t>
      </w:r>
      <w:del w:id="1189" w:author="Author">
        <w:r>
          <w:rPr>
            <w:noProof/>
            <w:lang w:val="it-IT"/>
          </w:rPr>
          <w:delText xml:space="preserve">studi </w:delText>
        </w:r>
      </w:del>
      <w:ins w:id="1190" w:author="Author">
        <w:r>
          <w:rPr>
            <w:noProof/>
            <w:lang w:val="it-IT"/>
          </w:rPr>
          <w:t xml:space="preserve">Studi </w:t>
        </w:r>
      </w:ins>
      <w:r>
        <w:rPr>
          <w:noProof/>
          <w:lang w:val="it-IT"/>
        </w:rPr>
        <w:t xml:space="preserve">II, III e IV, la percentuale dei pazienti che hanno conseguito una risposta ACR 20, 50 e 70 è stata significativamente maggiore (rispettivamente 59% </w:t>
      </w:r>
      <w:r>
        <w:rPr>
          <w:i/>
          <w:noProof/>
          <w:lang w:val="it-IT"/>
        </w:rPr>
        <w:t>vs.</w:t>
      </w:r>
      <w:r>
        <w:rPr>
          <w:noProof/>
          <w:lang w:val="it-IT"/>
        </w:rPr>
        <w:t xml:space="preserve"> 50%; 37% </w:t>
      </w:r>
      <w:r>
        <w:rPr>
          <w:i/>
          <w:noProof/>
          <w:lang w:val="it-IT"/>
        </w:rPr>
        <w:t>vs.</w:t>
      </w:r>
      <w:r>
        <w:rPr>
          <w:noProof/>
          <w:lang w:val="it-IT"/>
        </w:rPr>
        <w:t xml:space="preserve"> 27%; 18% </w:t>
      </w:r>
      <w:r>
        <w:rPr>
          <w:i/>
          <w:noProof/>
          <w:lang w:val="it-IT"/>
        </w:rPr>
        <w:t>vs.</w:t>
      </w:r>
      <w:r>
        <w:rPr>
          <w:noProof/>
          <w:lang w:val="it-IT"/>
        </w:rPr>
        <w:t xml:space="preserve"> 11%) nel gruppo trattato con tocilizumab 8 mg/kg più DMARD rispetto al gruppo trattato con tocilizumab 4 mg/kg più DMARD (p </w:t>
      </w:r>
      <w:r>
        <w:rPr>
          <w:rFonts w:eastAsia="MS Mincho"/>
          <w:noProof/>
          <w:sz w:val="18"/>
          <w:szCs w:val="18"/>
          <w:lang w:val="it-IT"/>
        </w:rPr>
        <w:sym w:font="Symbol" w:char="F03C"/>
      </w:r>
      <w:r>
        <w:rPr>
          <w:noProof/>
          <w:lang w:val="it-IT"/>
        </w:rPr>
        <w:t xml:space="preserve">0,03). Analogamente, la percentuale dei pazienti che hanno conseguito una remissione in base al criterio DAS28 (DAS28 </w:t>
      </w:r>
      <w:r>
        <w:rPr>
          <w:rFonts w:eastAsia="MS Mincho"/>
          <w:noProof/>
          <w:sz w:val="18"/>
          <w:szCs w:val="18"/>
          <w:lang w:val="it-IT"/>
        </w:rPr>
        <w:sym w:font="Symbol" w:char="F03C"/>
      </w:r>
      <w:r>
        <w:rPr>
          <w:noProof/>
          <w:lang w:val="it-IT"/>
        </w:rPr>
        <w:t xml:space="preserve">2,6) è stata significativamente maggiore (rispettivamente 31% </w:t>
      </w:r>
      <w:r>
        <w:rPr>
          <w:i/>
          <w:noProof/>
          <w:lang w:val="it-IT"/>
        </w:rPr>
        <w:t>vs.</w:t>
      </w:r>
      <w:r>
        <w:rPr>
          <w:noProof/>
          <w:lang w:val="it-IT"/>
        </w:rPr>
        <w:t xml:space="preserve"> 16%) nei pazienti trattati con tocilizumab 8 mg/kg più DMARD rispetto ai pazienti trattati con tocilizumab 4 mg/kg più DMARD (p </w:t>
      </w:r>
      <w:r>
        <w:rPr>
          <w:rFonts w:eastAsia="MS Mincho"/>
          <w:noProof/>
          <w:sz w:val="18"/>
          <w:szCs w:val="18"/>
          <w:lang w:val="it-IT"/>
        </w:rPr>
        <w:sym w:font="Symbol" w:char="F03C"/>
      </w:r>
      <w:r>
        <w:rPr>
          <w:noProof/>
          <w:lang w:val="it-IT"/>
        </w:rPr>
        <w:t>0,0001).</w:t>
      </w:r>
    </w:p>
    <w:p>
      <w:pPr>
        <w:numPr>
          <w:ilvl w:val="12"/>
          <w:numId w:val="0"/>
        </w:numPr>
        <w:tabs>
          <w:tab w:val="left" w:pos="180"/>
        </w:tabs>
        <w:ind w:right="-2"/>
        <w:rPr>
          <w:noProof/>
          <w:lang w:val="it-IT"/>
        </w:rPr>
      </w:pPr>
    </w:p>
    <w:p>
      <w:pPr>
        <w:keepNext/>
        <w:keepLines/>
        <w:numPr>
          <w:ilvl w:val="12"/>
          <w:numId w:val="0"/>
        </w:numPr>
        <w:tabs>
          <w:tab w:val="left" w:pos="180"/>
        </w:tabs>
        <w:ind w:left="924" w:hanging="924"/>
        <w:rPr>
          <w:i/>
          <w:noProof/>
          <w:lang w:val="it-IT"/>
        </w:rPr>
      </w:pPr>
      <w:r>
        <w:rPr>
          <w:i/>
          <w:noProof/>
          <w:lang w:val="it-IT"/>
        </w:rPr>
        <w:t>Tabella 4. Risposte ACR osservate negli studi controllati con placebo</w:t>
      </w:r>
      <w:del w:id="1191" w:author="Author">
        <w:r>
          <w:rPr>
            <w:i/>
            <w:noProof/>
            <w:lang w:val="it-IT"/>
          </w:rPr>
          <w:delText xml:space="preserve"> </w:delText>
        </w:r>
      </w:del>
      <w:r>
        <w:rPr>
          <w:i/>
          <w:noProof/>
          <w:lang w:val="it-IT"/>
        </w:rPr>
        <w:t>/</w:t>
      </w:r>
      <w:del w:id="1192" w:author="Author">
        <w:r>
          <w:rPr>
            <w:i/>
            <w:noProof/>
            <w:lang w:val="it-IT"/>
          </w:rPr>
          <w:delText xml:space="preserve"> </w:delText>
        </w:r>
      </w:del>
      <w:r>
        <w:rPr>
          <w:i/>
          <w:noProof/>
          <w:lang w:val="it-IT"/>
        </w:rPr>
        <w:t>MTX</w:t>
      </w:r>
      <w:del w:id="1193" w:author="Author">
        <w:r>
          <w:rPr>
            <w:i/>
            <w:noProof/>
            <w:lang w:val="it-IT"/>
          </w:rPr>
          <w:delText xml:space="preserve"> </w:delText>
        </w:r>
      </w:del>
      <w:r>
        <w:rPr>
          <w:i/>
          <w:noProof/>
          <w:lang w:val="it-IT"/>
        </w:rPr>
        <w:t>/</w:t>
      </w:r>
      <w:del w:id="1194" w:author="Author">
        <w:r>
          <w:rPr>
            <w:i/>
            <w:noProof/>
            <w:lang w:val="it-IT"/>
          </w:rPr>
          <w:delText xml:space="preserve"> </w:delText>
        </w:r>
      </w:del>
      <w:r>
        <w:rPr>
          <w:i/>
          <w:noProof/>
          <w:lang w:val="it-IT"/>
        </w:rPr>
        <w:t>DMARD (% di pazienti)</w:t>
      </w:r>
    </w:p>
    <w:p>
      <w:pPr>
        <w:keepNext/>
        <w:keepLines/>
        <w:numPr>
          <w:ilvl w:val="12"/>
          <w:numId w:val="0"/>
        </w:numPr>
        <w:tabs>
          <w:tab w:val="left" w:pos="180"/>
        </w:tabs>
        <w:ind w:left="924" w:hanging="924"/>
        <w:rPr>
          <w:noProof/>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1E0" w:firstRow="1" w:lastRow="1" w:firstColumn="1" w:lastColumn="1" w:noHBand="0" w:noVBand="0"/>
      </w:tblPr>
      <w:tblGrid>
        <w:gridCol w:w="641"/>
        <w:gridCol w:w="794"/>
        <w:gridCol w:w="76"/>
        <w:gridCol w:w="672"/>
        <w:gridCol w:w="839"/>
        <w:gridCol w:w="839"/>
        <w:gridCol w:w="839"/>
        <w:gridCol w:w="839"/>
        <w:gridCol w:w="922"/>
        <w:gridCol w:w="913"/>
        <w:gridCol w:w="11"/>
        <w:gridCol w:w="790"/>
        <w:gridCol w:w="49"/>
        <w:gridCol w:w="837"/>
        <w:tblGridChange w:id="1195">
          <w:tblGrid>
            <w:gridCol w:w="641"/>
            <w:gridCol w:w="794"/>
            <w:gridCol w:w="76"/>
            <w:gridCol w:w="672"/>
            <w:gridCol w:w="839"/>
            <w:gridCol w:w="839"/>
            <w:gridCol w:w="839"/>
            <w:gridCol w:w="839"/>
            <w:gridCol w:w="922"/>
            <w:gridCol w:w="913"/>
            <w:gridCol w:w="11"/>
            <w:gridCol w:w="790"/>
            <w:gridCol w:w="49"/>
            <w:gridCol w:w="837"/>
          </w:tblGrid>
        </w:tblGridChange>
      </w:tblGrid>
      <w:tr>
        <w:trPr>
          <w:cantSplit/>
          <w:tblHeader/>
        </w:trPr>
        <w:tc>
          <w:tcPr>
            <w:tcW w:w="35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196" w:author="Author">
                <w:pPr>
                  <w:keepNext/>
                  <w:keepLines/>
                  <w:numPr>
                    <w:ilvl w:val="12"/>
                  </w:numPr>
                  <w:tabs>
                    <w:tab w:val="left" w:pos="180"/>
                  </w:tabs>
                  <w:ind w:right="-2"/>
                  <w:jc w:val="center"/>
                </w:pPr>
              </w:pPrChange>
            </w:pPr>
          </w:p>
        </w:tc>
        <w:tc>
          <w:tcPr>
            <w:tcW w:w="850" w:type="pct"/>
            <w:gridSpan w:val="3"/>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197" w:author="Author">
                <w:pPr>
                  <w:keepNext/>
                  <w:keepLines/>
                  <w:numPr>
                    <w:ilvl w:val="12"/>
                  </w:numPr>
                  <w:tabs>
                    <w:tab w:val="left" w:pos="180"/>
                  </w:tabs>
                  <w:ind w:right="-2"/>
                  <w:jc w:val="center"/>
                </w:pPr>
              </w:pPrChange>
            </w:pPr>
            <w:r>
              <w:rPr>
                <w:b/>
                <w:noProof/>
                <w:sz w:val="18"/>
                <w:szCs w:val="18"/>
                <w:lang w:val="it-IT"/>
              </w:rPr>
              <w:t>Studio I</w:t>
            </w:r>
          </w:p>
          <w:p>
            <w:pPr>
              <w:keepNext/>
              <w:numPr>
                <w:ilvl w:val="12"/>
                <w:numId w:val="0"/>
              </w:numPr>
              <w:tabs>
                <w:tab w:val="left" w:pos="180"/>
              </w:tabs>
              <w:suppressAutoHyphens/>
              <w:jc w:val="center"/>
              <w:rPr>
                <w:noProof/>
                <w:sz w:val="18"/>
                <w:szCs w:val="18"/>
                <w:lang w:val="it-IT"/>
              </w:rPr>
              <w:pPrChange w:id="1198" w:author="Author">
                <w:pPr>
                  <w:keepNext/>
                  <w:keepLines/>
                  <w:numPr>
                    <w:ilvl w:val="12"/>
                  </w:numPr>
                  <w:tabs>
                    <w:tab w:val="left" w:pos="180"/>
                  </w:tabs>
                  <w:ind w:right="-2"/>
                  <w:jc w:val="center"/>
                </w:pPr>
              </w:pPrChange>
            </w:pPr>
            <w:r>
              <w:rPr>
                <w:b/>
                <w:noProof/>
                <w:sz w:val="18"/>
                <w:szCs w:val="18"/>
                <w:lang w:val="it-IT"/>
              </w:rPr>
              <w:t>AMBITION</w:t>
            </w:r>
          </w:p>
        </w:tc>
        <w:tc>
          <w:tcPr>
            <w:tcW w:w="926" w:type="pct"/>
            <w:gridSpan w:val="2"/>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199" w:author="Author">
                <w:pPr>
                  <w:keepNext/>
                  <w:keepLines/>
                  <w:numPr>
                    <w:ilvl w:val="12"/>
                  </w:numPr>
                  <w:tabs>
                    <w:tab w:val="left" w:pos="180"/>
                  </w:tabs>
                  <w:ind w:right="-2"/>
                  <w:jc w:val="center"/>
                </w:pPr>
              </w:pPrChange>
            </w:pPr>
            <w:r>
              <w:rPr>
                <w:b/>
                <w:noProof/>
                <w:sz w:val="18"/>
                <w:szCs w:val="18"/>
                <w:lang w:val="it-IT"/>
              </w:rPr>
              <w:t>Studio II</w:t>
            </w:r>
          </w:p>
          <w:p>
            <w:pPr>
              <w:keepNext/>
              <w:numPr>
                <w:ilvl w:val="12"/>
                <w:numId w:val="0"/>
              </w:numPr>
              <w:tabs>
                <w:tab w:val="left" w:pos="180"/>
              </w:tabs>
              <w:suppressAutoHyphens/>
              <w:jc w:val="center"/>
              <w:rPr>
                <w:noProof/>
                <w:sz w:val="18"/>
                <w:szCs w:val="18"/>
                <w:lang w:val="it-IT"/>
              </w:rPr>
              <w:pPrChange w:id="1200" w:author="Author">
                <w:pPr>
                  <w:keepNext/>
                  <w:keepLines/>
                  <w:numPr>
                    <w:ilvl w:val="12"/>
                  </w:numPr>
                  <w:tabs>
                    <w:tab w:val="left" w:pos="180"/>
                  </w:tabs>
                  <w:ind w:right="-2"/>
                  <w:jc w:val="center"/>
                </w:pPr>
              </w:pPrChange>
            </w:pPr>
            <w:r>
              <w:rPr>
                <w:b/>
                <w:noProof/>
                <w:sz w:val="18"/>
                <w:szCs w:val="18"/>
                <w:lang w:val="it-IT"/>
              </w:rPr>
              <w:t>LITHE</w:t>
            </w:r>
          </w:p>
        </w:tc>
        <w:tc>
          <w:tcPr>
            <w:tcW w:w="926" w:type="pct"/>
            <w:gridSpan w:val="2"/>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01" w:author="Author">
                <w:pPr>
                  <w:keepNext/>
                  <w:keepLines/>
                  <w:numPr>
                    <w:ilvl w:val="12"/>
                  </w:numPr>
                  <w:tabs>
                    <w:tab w:val="left" w:pos="180"/>
                  </w:tabs>
                  <w:ind w:right="-2"/>
                  <w:jc w:val="center"/>
                </w:pPr>
              </w:pPrChange>
            </w:pPr>
            <w:r>
              <w:rPr>
                <w:b/>
                <w:noProof/>
                <w:sz w:val="18"/>
                <w:szCs w:val="18"/>
                <w:lang w:val="it-IT"/>
              </w:rPr>
              <w:t>Studio III</w:t>
            </w:r>
          </w:p>
          <w:p>
            <w:pPr>
              <w:keepNext/>
              <w:numPr>
                <w:ilvl w:val="12"/>
                <w:numId w:val="0"/>
              </w:numPr>
              <w:tabs>
                <w:tab w:val="left" w:pos="180"/>
              </w:tabs>
              <w:suppressAutoHyphens/>
              <w:jc w:val="center"/>
              <w:rPr>
                <w:noProof/>
                <w:sz w:val="18"/>
                <w:szCs w:val="18"/>
                <w:lang w:val="it-IT"/>
              </w:rPr>
              <w:pPrChange w:id="1202" w:author="Author">
                <w:pPr>
                  <w:keepNext/>
                  <w:keepLines/>
                  <w:numPr>
                    <w:ilvl w:val="12"/>
                  </w:numPr>
                  <w:tabs>
                    <w:tab w:val="left" w:pos="180"/>
                  </w:tabs>
                  <w:ind w:right="-2"/>
                  <w:jc w:val="center"/>
                </w:pPr>
              </w:pPrChange>
            </w:pPr>
            <w:r>
              <w:rPr>
                <w:b/>
                <w:noProof/>
                <w:sz w:val="18"/>
                <w:szCs w:val="18"/>
                <w:lang w:val="it-IT"/>
              </w:rPr>
              <w:t>OPTION</w:t>
            </w:r>
          </w:p>
        </w:tc>
        <w:tc>
          <w:tcPr>
            <w:tcW w:w="1019" w:type="pct"/>
            <w:gridSpan w:val="3"/>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03" w:author="Author">
                <w:pPr>
                  <w:keepNext/>
                  <w:keepLines/>
                  <w:numPr>
                    <w:ilvl w:val="12"/>
                  </w:numPr>
                  <w:tabs>
                    <w:tab w:val="left" w:pos="180"/>
                  </w:tabs>
                  <w:ind w:right="-2"/>
                  <w:jc w:val="center"/>
                </w:pPr>
              </w:pPrChange>
            </w:pPr>
            <w:r>
              <w:rPr>
                <w:b/>
                <w:noProof/>
                <w:sz w:val="18"/>
                <w:szCs w:val="18"/>
                <w:lang w:val="it-IT"/>
              </w:rPr>
              <w:t>Studio IV</w:t>
            </w:r>
          </w:p>
          <w:p>
            <w:pPr>
              <w:keepNext/>
              <w:numPr>
                <w:ilvl w:val="12"/>
                <w:numId w:val="0"/>
              </w:numPr>
              <w:tabs>
                <w:tab w:val="left" w:pos="180"/>
              </w:tabs>
              <w:suppressAutoHyphens/>
              <w:jc w:val="center"/>
              <w:rPr>
                <w:noProof/>
                <w:sz w:val="18"/>
                <w:szCs w:val="18"/>
                <w:lang w:val="it-IT"/>
              </w:rPr>
              <w:pPrChange w:id="1204" w:author="Author">
                <w:pPr>
                  <w:keepNext/>
                  <w:keepLines/>
                  <w:numPr>
                    <w:ilvl w:val="12"/>
                  </w:numPr>
                  <w:tabs>
                    <w:tab w:val="left" w:pos="180"/>
                  </w:tabs>
                  <w:ind w:right="-2"/>
                  <w:jc w:val="center"/>
                </w:pPr>
              </w:pPrChange>
            </w:pPr>
            <w:r>
              <w:rPr>
                <w:b/>
                <w:noProof/>
                <w:sz w:val="18"/>
                <w:szCs w:val="18"/>
                <w:lang w:val="it-IT"/>
              </w:rPr>
              <w:t>TOWARD</w:t>
            </w:r>
          </w:p>
        </w:tc>
        <w:tc>
          <w:tcPr>
            <w:tcW w:w="926" w:type="pct"/>
            <w:gridSpan w:val="3"/>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05" w:author="Author">
                <w:pPr>
                  <w:keepNext/>
                  <w:keepLines/>
                  <w:numPr>
                    <w:ilvl w:val="12"/>
                  </w:numPr>
                  <w:tabs>
                    <w:tab w:val="left" w:pos="180"/>
                  </w:tabs>
                  <w:ind w:right="-2"/>
                  <w:jc w:val="center"/>
                </w:pPr>
              </w:pPrChange>
            </w:pPr>
            <w:r>
              <w:rPr>
                <w:b/>
                <w:noProof/>
                <w:sz w:val="18"/>
                <w:szCs w:val="18"/>
                <w:lang w:val="it-IT"/>
              </w:rPr>
              <w:t>Studio V</w:t>
            </w:r>
          </w:p>
          <w:p>
            <w:pPr>
              <w:keepNext/>
              <w:numPr>
                <w:ilvl w:val="12"/>
                <w:numId w:val="0"/>
              </w:numPr>
              <w:tabs>
                <w:tab w:val="left" w:pos="180"/>
              </w:tabs>
              <w:suppressAutoHyphens/>
              <w:jc w:val="center"/>
              <w:rPr>
                <w:noProof/>
                <w:sz w:val="18"/>
                <w:szCs w:val="18"/>
                <w:lang w:val="it-IT"/>
              </w:rPr>
              <w:pPrChange w:id="1206" w:author="Author">
                <w:pPr>
                  <w:keepNext/>
                  <w:keepLines/>
                  <w:numPr>
                    <w:ilvl w:val="12"/>
                  </w:numPr>
                  <w:tabs>
                    <w:tab w:val="left" w:pos="180"/>
                  </w:tabs>
                  <w:ind w:right="-2"/>
                  <w:jc w:val="center"/>
                </w:pPr>
              </w:pPrChange>
            </w:pPr>
            <w:r>
              <w:rPr>
                <w:b/>
                <w:noProof/>
                <w:sz w:val="18"/>
                <w:szCs w:val="18"/>
                <w:lang w:val="it-IT"/>
              </w:rPr>
              <w:t>RADIATE</w:t>
            </w:r>
          </w:p>
        </w:tc>
      </w:tr>
      <w:tr>
        <w:trPr>
          <w:cantSplit/>
          <w:tblHeader/>
        </w:trPr>
        <w:tc>
          <w:tcPr>
            <w:tcW w:w="35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07" w:author="Author">
                <w:pPr>
                  <w:keepNext/>
                  <w:keepLines/>
                  <w:numPr>
                    <w:ilvl w:val="12"/>
                  </w:numPr>
                  <w:tabs>
                    <w:tab w:val="left" w:pos="180"/>
                  </w:tabs>
                  <w:ind w:right="-2"/>
                  <w:jc w:val="center"/>
                </w:pPr>
              </w:pPrChange>
            </w:pPr>
            <w:r>
              <w:rPr>
                <w:noProof/>
                <w:sz w:val="18"/>
                <w:szCs w:val="18"/>
                <w:lang w:val="it-IT"/>
              </w:rPr>
              <w:t>sett.</w:t>
            </w:r>
          </w:p>
        </w:tc>
        <w:tc>
          <w:tcPr>
            <w:tcW w:w="438"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08" w:author="Author">
                <w:pPr>
                  <w:keepNext/>
                  <w:keepLines/>
                  <w:numPr>
                    <w:ilvl w:val="12"/>
                  </w:numPr>
                  <w:tabs>
                    <w:tab w:val="left" w:pos="180"/>
                  </w:tabs>
                  <w:ind w:right="-2"/>
                  <w:jc w:val="center"/>
                </w:pPr>
              </w:pPrChange>
            </w:pPr>
            <w:r>
              <w:rPr>
                <w:b/>
                <w:noProof/>
                <w:sz w:val="18"/>
                <w:szCs w:val="18"/>
                <w:lang w:val="it-IT"/>
              </w:rPr>
              <w:t>TCZ</w:t>
            </w:r>
          </w:p>
          <w:p>
            <w:pPr>
              <w:keepNext/>
              <w:numPr>
                <w:ilvl w:val="12"/>
                <w:numId w:val="0"/>
              </w:numPr>
              <w:tabs>
                <w:tab w:val="left" w:pos="180"/>
              </w:tabs>
              <w:suppressAutoHyphens/>
              <w:jc w:val="center"/>
              <w:rPr>
                <w:noProof/>
                <w:sz w:val="18"/>
                <w:szCs w:val="18"/>
                <w:lang w:val="it-IT"/>
              </w:rPr>
              <w:pPrChange w:id="1209" w:author="Author">
                <w:pPr>
                  <w:keepNext/>
                  <w:keepLines/>
                  <w:numPr>
                    <w:ilvl w:val="12"/>
                  </w:numPr>
                  <w:tabs>
                    <w:tab w:val="left" w:pos="180"/>
                  </w:tabs>
                  <w:ind w:right="-2"/>
                  <w:jc w:val="center"/>
                </w:pPr>
              </w:pPrChange>
            </w:pPr>
            <w:r>
              <w:rPr>
                <w:b/>
                <w:noProof/>
                <w:sz w:val="18"/>
                <w:szCs w:val="18"/>
                <w:lang w:val="it-IT"/>
              </w:rPr>
              <w:t>8 mg/kg</w:t>
            </w:r>
          </w:p>
        </w:tc>
        <w:tc>
          <w:tcPr>
            <w:tcW w:w="413" w:type="pct"/>
            <w:gridSpan w:val="2"/>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10" w:author="Author">
                <w:pPr>
                  <w:keepNext/>
                  <w:keepLines/>
                  <w:numPr>
                    <w:ilvl w:val="12"/>
                  </w:numPr>
                  <w:tabs>
                    <w:tab w:val="left" w:pos="180"/>
                  </w:tabs>
                  <w:ind w:right="-2"/>
                  <w:jc w:val="center"/>
                </w:pPr>
              </w:pPrChange>
            </w:pPr>
            <w:r>
              <w:rPr>
                <w:b/>
                <w:noProof/>
                <w:sz w:val="18"/>
                <w:szCs w:val="18"/>
                <w:lang w:val="it-IT"/>
              </w:rPr>
              <w:t>MTX</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11" w:author="Author">
                <w:pPr>
                  <w:keepNext/>
                  <w:keepLines/>
                  <w:numPr>
                    <w:ilvl w:val="12"/>
                  </w:numPr>
                  <w:tabs>
                    <w:tab w:val="left" w:pos="180"/>
                  </w:tabs>
                  <w:ind w:right="-2"/>
                  <w:jc w:val="center"/>
                </w:pPr>
              </w:pPrChange>
            </w:pPr>
            <w:r>
              <w:rPr>
                <w:b/>
                <w:noProof/>
                <w:sz w:val="18"/>
                <w:szCs w:val="18"/>
                <w:lang w:val="it-IT"/>
              </w:rPr>
              <w:t>TCZ</w:t>
            </w:r>
          </w:p>
          <w:p>
            <w:pPr>
              <w:keepNext/>
              <w:numPr>
                <w:ilvl w:val="12"/>
                <w:numId w:val="0"/>
              </w:numPr>
              <w:tabs>
                <w:tab w:val="left" w:pos="180"/>
              </w:tabs>
              <w:suppressAutoHyphens/>
              <w:jc w:val="center"/>
              <w:rPr>
                <w:noProof/>
                <w:sz w:val="18"/>
                <w:szCs w:val="18"/>
                <w:lang w:val="it-IT"/>
              </w:rPr>
              <w:pPrChange w:id="1212" w:author="Author">
                <w:pPr>
                  <w:keepNext/>
                  <w:keepLines/>
                  <w:numPr>
                    <w:ilvl w:val="12"/>
                  </w:numPr>
                  <w:tabs>
                    <w:tab w:val="left" w:pos="180"/>
                  </w:tabs>
                  <w:ind w:right="-2"/>
                  <w:jc w:val="center"/>
                </w:pPr>
              </w:pPrChange>
            </w:pPr>
            <w:r>
              <w:rPr>
                <w:b/>
                <w:noProof/>
                <w:sz w:val="18"/>
                <w:szCs w:val="18"/>
                <w:lang w:val="it-IT"/>
              </w:rPr>
              <w:t>8 mg/kg + MTX</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13" w:author="Author">
                <w:pPr>
                  <w:keepNext/>
                  <w:keepLines/>
                  <w:numPr>
                    <w:ilvl w:val="12"/>
                  </w:numPr>
                  <w:tabs>
                    <w:tab w:val="left" w:pos="180"/>
                  </w:tabs>
                  <w:ind w:right="-2"/>
                  <w:jc w:val="center"/>
                </w:pPr>
              </w:pPrChange>
            </w:pPr>
            <w:r>
              <w:rPr>
                <w:b/>
                <w:noProof/>
                <w:sz w:val="18"/>
                <w:szCs w:val="18"/>
                <w:lang w:val="it-IT"/>
              </w:rPr>
              <w:t>PBO</w:t>
            </w:r>
          </w:p>
          <w:p>
            <w:pPr>
              <w:keepNext/>
              <w:numPr>
                <w:ilvl w:val="12"/>
                <w:numId w:val="0"/>
              </w:numPr>
              <w:tabs>
                <w:tab w:val="left" w:pos="180"/>
              </w:tabs>
              <w:suppressAutoHyphens/>
              <w:jc w:val="center"/>
              <w:rPr>
                <w:noProof/>
                <w:sz w:val="18"/>
                <w:szCs w:val="18"/>
                <w:lang w:val="it-IT"/>
              </w:rPr>
              <w:pPrChange w:id="1214" w:author="Author">
                <w:pPr>
                  <w:keepNext/>
                  <w:keepLines/>
                  <w:numPr>
                    <w:ilvl w:val="12"/>
                  </w:numPr>
                  <w:tabs>
                    <w:tab w:val="left" w:pos="180"/>
                  </w:tabs>
                  <w:ind w:right="-2"/>
                  <w:jc w:val="center"/>
                </w:pPr>
              </w:pPrChange>
            </w:pPr>
            <w:r>
              <w:rPr>
                <w:b/>
                <w:noProof/>
                <w:sz w:val="18"/>
                <w:szCs w:val="18"/>
                <w:lang w:val="it-IT"/>
              </w:rPr>
              <w:t>+ MTX</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15" w:author="Author">
                <w:pPr>
                  <w:keepNext/>
                  <w:keepLines/>
                  <w:numPr>
                    <w:ilvl w:val="12"/>
                  </w:numPr>
                  <w:tabs>
                    <w:tab w:val="left" w:pos="180"/>
                  </w:tabs>
                  <w:ind w:right="-2"/>
                  <w:jc w:val="center"/>
                </w:pPr>
              </w:pPrChange>
            </w:pPr>
            <w:r>
              <w:rPr>
                <w:b/>
                <w:noProof/>
                <w:sz w:val="18"/>
                <w:szCs w:val="18"/>
                <w:lang w:val="it-IT"/>
              </w:rPr>
              <w:t>TCZ</w:t>
            </w:r>
          </w:p>
          <w:p>
            <w:pPr>
              <w:keepNext/>
              <w:numPr>
                <w:ilvl w:val="12"/>
                <w:numId w:val="0"/>
              </w:numPr>
              <w:tabs>
                <w:tab w:val="left" w:pos="180"/>
              </w:tabs>
              <w:suppressAutoHyphens/>
              <w:jc w:val="center"/>
              <w:rPr>
                <w:noProof/>
                <w:sz w:val="18"/>
                <w:szCs w:val="18"/>
                <w:lang w:val="it-IT"/>
              </w:rPr>
              <w:pPrChange w:id="1216" w:author="Author">
                <w:pPr>
                  <w:keepNext/>
                  <w:keepLines/>
                  <w:numPr>
                    <w:ilvl w:val="12"/>
                  </w:numPr>
                  <w:tabs>
                    <w:tab w:val="left" w:pos="180"/>
                  </w:tabs>
                  <w:ind w:right="-2"/>
                  <w:jc w:val="center"/>
                </w:pPr>
              </w:pPrChange>
            </w:pPr>
            <w:r>
              <w:rPr>
                <w:b/>
                <w:noProof/>
                <w:sz w:val="18"/>
                <w:szCs w:val="18"/>
                <w:lang w:val="it-IT"/>
              </w:rPr>
              <w:t>8 mg/kg + MTX</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17" w:author="Author">
                <w:pPr>
                  <w:keepNext/>
                  <w:keepLines/>
                  <w:numPr>
                    <w:ilvl w:val="12"/>
                  </w:numPr>
                  <w:tabs>
                    <w:tab w:val="left" w:pos="180"/>
                  </w:tabs>
                  <w:ind w:right="-2"/>
                  <w:jc w:val="center"/>
                </w:pPr>
              </w:pPrChange>
            </w:pPr>
            <w:r>
              <w:rPr>
                <w:b/>
                <w:noProof/>
                <w:sz w:val="18"/>
                <w:szCs w:val="18"/>
                <w:lang w:val="it-IT"/>
              </w:rPr>
              <w:t>PBO</w:t>
            </w:r>
          </w:p>
          <w:p>
            <w:pPr>
              <w:keepNext/>
              <w:numPr>
                <w:ilvl w:val="12"/>
                <w:numId w:val="0"/>
              </w:numPr>
              <w:tabs>
                <w:tab w:val="left" w:pos="180"/>
              </w:tabs>
              <w:suppressAutoHyphens/>
              <w:jc w:val="center"/>
              <w:rPr>
                <w:noProof/>
                <w:sz w:val="18"/>
                <w:szCs w:val="18"/>
                <w:lang w:val="it-IT"/>
              </w:rPr>
              <w:pPrChange w:id="1218" w:author="Author">
                <w:pPr>
                  <w:keepNext/>
                  <w:keepLines/>
                  <w:numPr>
                    <w:ilvl w:val="12"/>
                  </w:numPr>
                  <w:tabs>
                    <w:tab w:val="left" w:pos="180"/>
                  </w:tabs>
                  <w:ind w:right="-2"/>
                  <w:jc w:val="center"/>
                </w:pPr>
              </w:pPrChange>
            </w:pPr>
            <w:r>
              <w:rPr>
                <w:b/>
                <w:noProof/>
                <w:sz w:val="18"/>
                <w:szCs w:val="18"/>
                <w:lang w:val="it-IT"/>
              </w:rPr>
              <w:t>+ MTX</w:t>
            </w:r>
          </w:p>
        </w:tc>
        <w:tc>
          <w:tcPr>
            <w:tcW w:w="509" w:type="pct"/>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19" w:author="Author">
                <w:pPr>
                  <w:keepNext/>
                  <w:keepLines/>
                  <w:numPr>
                    <w:ilvl w:val="12"/>
                  </w:numPr>
                  <w:tabs>
                    <w:tab w:val="left" w:pos="180"/>
                  </w:tabs>
                  <w:ind w:right="-2"/>
                  <w:jc w:val="center"/>
                </w:pPr>
              </w:pPrChange>
            </w:pPr>
            <w:r>
              <w:rPr>
                <w:b/>
                <w:noProof/>
                <w:sz w:val="18"/>
                <w:szCs w:val="18"/>
                <w:lang w:val="it-IT"/>
              </w:rPr>
              <w:t>TCZ</w:t>
            </w:r>
          </w:p>
          <w:p>
            <w:pPr>
              <w:keepNext/>
              <w:numPr>
                <w:ilvl w:val="12"/>
                <w:numId w:val="0"/>
              </w:numPr>
              <w:tabs>
                <w:tab w:val="left" w:pos="180"/>
              </w:tabs>
              <w:suppressAutoHyphens/>
              <w:jc w:val="center"/>
              <w:rPr>
                <w:noProof/>
                <w:sz w:val="18"/>
                <w:szCs w:val="18"/>
                <w:lang w:val="it-IT"/>
              </w:rPr>
              <w:pPrChange w:id="1220" w:author="Author">
                <w:pPr>
                  <w:keepNext/>
                  <w:keepLines/>
                  <w:numPr>
                    <w:ilvl w:val="12"/>
                  </w:numPr>
                  <w:tabs>
                    <w:tab w:val="left" w:pos="180"/>
                  </w:tabs>
                  <w:ind w:right="-2"/>
                  <w:jc w:val="center"/>
                </w:pPr>
              </w:pPrChange>
            </w:pPr>
            <w:r>
              <w:rPr>
                <w:b/>
                <w:noProof/>
                <w:sz w:val="18"/>
                <w:szCs w:val="18"/>
                <w:lang w:val="it-IT"/>
              </w:rPr>
              <w:t>8 mg/kg + DMARD</w:t>
            </w:r>
          </w:p>
        </w:tc>
        <w:tc>
          <w:tcPr>
            <w:tcW w:w="509" w:type="pct"/>
            <w:gridSpan w:val="2"/>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21" w:author="Author">
                <w:pPr>
                  <w:keepNext/>
                  <w:keepLines/>
                  <w:numPr>
                    <w:ilvl w:val="12"/>
                  </w:numPr>
                  <w:tabs>
                    <w:tab w:val="left" w:pos="180"/>
                  </w:tabs>
                  <w:ind w:right="-2"/>
                  <w:jc w:val="center"/>
                </w:pPr>
              </w:pPrChange>
            </w:pPr>
            <w:r>
              <w:rPr>
                <w:b/>
                <w:noProof/>
                <w:sz w:val="18"/>
                <w:szCs w:val="18"/>
                <w:lang w:val="it-IT"/>
              </w:rPr>
              <w:t>PBO + DMARD</w:t>
            </w:r>
          </w:p>
        </w:tc>
        <w:tc>
          <w:tcPr>
            <w:tcW w:w="436" w:type="pct"/>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22" w:author="Author">
                <w:pPr>
                  <w:keepNext/>
                  <w:keepLines/>
                  <w:numPr>
                    <w:ilvl w:val="12"/>
                  </w:numPr>
                  <w:tabs>
                    <w:tab w:val="left" w:pos="180"/>
                  </w:tabs>
                  <w:ind w:right="-2"/>
                  <w:jc w:val="center"/>
                </w:pPr>
              </w:pPrChange>
            </w:pPr>
            <w:r>
              <w:rPr>
                <w:b/>
                <w:noProof/>
                <w:sz w:val="18"/>
                <w:szCs w:val="18"/>
                <w:lang w:val="it-IT"/>
              </w:rPr>
              <w:t>TCZ 8 mg/kg + MTX</w:t>
            </w:r>
          </w:p>
        </w:tc>
        <w:tc>
          <w:tcPr>
            <w:tcW w:w="490" w:type="pct"/>
            <w:gridSpan w:val="2"/>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23" w:author="Author">
                <w:pPr>
                  <w:keepNext/>
                  <w:keepLines/>
                  <w:numPr>
                    <w:ilvl w:val="12"/>
                  </w:numPr>
                  <w:tabs>
                    <w:tab w:val="left" w:pos="180"/>
                  </w:tabs>
                  <w:ind w:right="-2"/>
                  <w:jc w:val="center"/>
                </w:pPr>
              </w:pPrChange>
            </w:pPr>
            <w:r>
              <w:rPr>
                <w:b/>
                <w:noProof/>
                <w:sz w:val="18"/>
                <w:szCs w:val="18"/>
                <w:lang w:val="it-IT"/>
              </w:rPr>
              <w:t>PBO</w:t>
            </w:r>
          </w:p>
          <w:p>
            <w:pPr>
              <w:keepNext/>
              <w:numPr>
                <w:ilvl w:val="12"/>
                <w:numId w:val="0"/>
              </w:numPr>
              <w:tabs>
                <w:tab w:val="left" w:pos="180"/>
              </w:tabs>
              <w:suppressAutoHyphens/>
              <w:jc w:val="center"/>
              <w:rPr>
                <w:noProof/>
                <w:sz w:val="18"/>
                <w:szCs w:val="18"/>
                <w:lang w:val="it-IT"/>
              </w:rPr>
              <w:pPrChange w:id="1224" w:author="Author">
                <w:pPr>
                  <w:keepNext/>
                  <w:keepLines/>
                  <w:numPr>
                    <w:ilvl w:val="12"/>
                  </w:numPr>
                  <w:tabs>
                    <w:tab w:val="left" w:pos="180"/>
                  </w:tabs>
                  <w:ind w:right="-2"/>
                  <w:jc w:val="center"/>
                </w:pPr>
              </w:pPrChange>
            </w:pPr>
            <w:r>
              <w:rPr>
                <w:b/>
                <w:noProof/>
                <w:sz w:val="18"/>
                <w:szCs w:val="18"/>
                <w:lang w:val="it-IT"/>
              </w:rPr>
              <w:t>+ MTX</w:t>
            </w:r>
            <w:r>
              <w:rPr>
                <w:b/>
                <w:noProof/>
                <w:sz w:val="18"/>
                <w:szCs w:val="18"/>
                <w:lang w:val="it-IT"/>
              </w:rPr>
              <w:br/>
            </w:r>
          </w:p>
        </w:tc>
      </w:tr>
      <w:tr>
        <w:trPr>
          <w:cantSplit/>
          <w:tblHeader/>
        </w:trPr>
        <w:tc>
          <w:tcPr>
            <w:tcW w:w="35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25" w:author="Author">
                <w:pPr>
                  <w:keepNext/>
                  <w:keepLines/>
                  <w:numPr>
                    <w:ilvl w:val="12"/>
                  </w:numPr>
                  <w:tabs>
                    <w:tab w:val="left" w:pos="180"/>
                  </w:tabs>
                  <w:ind w:right="-2"/>
                  <w:jc w:val="center"/>
                </w:pPr>
              </w:pPrChange>
            </w:pPr>
          </w:p>
        </w:tc>
        <w:tc>
          <w:tcPr>
            <w:tcW w:w="438"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26" w:author="Author">
                <w:pPr>
                  <w:keepNext/>
                  <w:keepLines/>
                  <w:numPr>
                    <w:ilvl w:val="12"/>
                  </w:numPr>
                  <w:tabs>
                    <w:tab w:val="left" w:pos="180"/>
                  </w:tabs>
                  <w:ind w:right="-2"/>
                  <w:jc w:val="center"/>
                </w:pPr>
              </w:pPrChange>
            </w:pPr>
            <w:del w:id="1227" w:author="Author">
              <w:r>
                <w:rPr>
                  <w:b/>
                  <w:noProof/>
                  <w:sz w:val="18"/>
                  <w:szCs w:val="18"/>
                  <w:lang w:val="it-IT"/>
                </w:rPr>
                <w:delText xml:space="preserve">N </w:delText>
              </w:r>
            </w:del>
            <w:ins w:id="1228" w:author="Author">
              <w:r>
                <w:rPr>
                  <w:b/>
                  <w:noProof/>
                  <w:sz w:val="18"/>
                  <w:szCs w:val="18"/>
                  <w:lang w:val="it-IT"/>
                </w:rPr>
                <w:t>n </w:t>
              </w:r>
            </w:ins>
            <w:r>
              <w:rPr>
                <w:b/>
                <w:noProof/>
                <w:sz w:val="18"/>
                <w:szCs w:val="18"/>
                <w:lang w:val="it-IT"/>
              </w:rPr>
              <w:t>=</w:t>
            </w:r>
          </w:p>
          <w:p>
            <w:pPr>
              <w:keepNext/>
              <w:numPr>
                <w:ilvl w:val="12"/>
                <w:numId w:val="0"/>
              </w:numPr>
              <w:tabs>
                <w:tab w:val="left" w:pos="180"/>
              </w:tabs>
              <w:suppressAutoHyphens/>
              <w:jc w:val="center"/>
              <w:rPr>
                <w:b/>
                <w:noProof/>
                <w:sz w:val="18"/>
                <w:szCs w:val="18"/>
                <w:lang w:val="it-IT"/>
              </w:rPr>
              <w:pPrChange w:id="1229" w:author="Author">
                <w:pPr>
                  <w:keepNext/>
                  <w:keepLines/>
                  <w:numPr>
                    <w:ilvl w:val="12"/>
                  </w:numPr>
                  <w:tabs>
                    <w:tab w:val="left" w:pos="180"/>
                  </w:tabs>
                  <w:ind w:right="-2"/>
                  <w:jc w:val="center"/>
                </w:pPr>
              </w:pPrChange>
            </w:pPr>
            <w:r>
              <w:rPr>
                <w:b/>
                <w:noProof/>
                <w:sz w:val="18"/>
                <w:szCs w:val="18"/>
                <w:lang w:val="it-IT"/>
              </w:rPr>
              <w:t>286</w:t>
            </w:r>
          </w:p>
        </w:tc>
        <w:tc>
          <w:tcPr>
            <w:tcW w:w="413" w:type="pct"/>
            <w:gridSpan w:val="2"/>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30" w:author="Author">
                <w:pPr>
                  <w:keepNext/>
                  <w:keepLines/>
                  <w:numPr>
                    <w:ilvl w:val="12"/>
                  </w:numPr>
                  <w:tabs>
                    <w:tab w:val="left" w:pos="180"/>
                  </w:tabs>
                  <w:ind w:right="-2"/>
                  <w:jc w:val="center"/>
                </w:pPr>
              </w:pPrChange>
            </w:pPr>
            <w:del w:id="1231" w:author="Author">
              <w:r>
                <w:rPr>
                  <w:b/>
                  <w:noProof/>
                  <w:sz w:val="18"/>
                  <w:szCs w:val="18"/>
                  <w:lang w:val="it-IT"/>
                </w:rPr>
                <w:delText xml:space="preserve">N </w:delText>
              </w:r>
            </w:del>
            <w:ins w:id="1232" w:author="Author">
              <w:r>
                <w:rPr>
                  <w:b/>
                  <w:noProof/>
                  <w:sz w:val="18"/>
                  <w:szCs w:val="18"/>
                  <w:lang w:val="it-IT"/>
                </w:rPr>
                <w:t>n </w:t>
              </w:r>
            </w:ins>
            <w:r>
              <w:rPr>
                <w:b/>
                <w:noProof/>
                <w:sz w:val="18"/>
                <w:szCs w:val="18"/>
                <w:lang w:val="it-IT"/>
              </w:rPr>
              <w:t>=</w:t>
            </w:r>
          </w:p>
          <w:p>
            <w:pPr>
              <w:keepNext/>
              <w:numPr>
                <w:ilvl w:val="12"/>
                <w:numId w:val="0"/>
              </w:numPr>
              <w:tabs>
                <w:tab w:val="left" w:pos="180"/>
              </w:tabs>
              <w:suppressAutoHyphens/>
              <w:jc w:val="center"/>
              <w:rPr>
                <w:b/>
                <w:noProof/>
                <w:sz w:val="18"/>
                <w:szCs w:val="18"/>
                <w:lang w:val="it-IT"/>
              </w:rPr>
              <w:pPrChange w:id="1233" w:author="Author">
                <w:pPr>
                  <w:keepNext/>
                  <w:keepLines/>
                  <w:numPr>
                    <w:ilvl w:val="12"/>
                  </w:numPr>
                  <w:tabs>
                    <w:tab w:val="left" w:pos="180"/>
                  </w:tabs>
                  <w:ind w:right="-2"/>
                  <w:jc w:val="center"/>
                </w:pPr>
              </w:pPrChange>
            </w:pPr>
            <w:r>
              <w:rPr>
                <w:b/>
                <w:noProof/>
                <w:sz w:val="18"/>
                <w:szCs w:val="18"/>
                <w:lang w:val="it-IT"/>
              </w:rPr>
              <w:t>284</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34" w:author="Author">
                <w:pPr>
                  <w:keepNext/>
                  <w:keepLines/>
                  <w:numPr>
                    <w:ilvl w:val="12"/>
                  </w:numPr>
                  <w:tabs>
                    <w:tab w:val="left" w:pos="180"/>
                  </w:tabs>
                  <w:ind w:right="-2"/>
                  <w:jc w:val="center"/>
                </w:pPr>
              </w:pPrChange>
            </w:pPr>
            <w:del w:id="1235" w:author="Author">
              <w:r>
                <w:rPr>
                  <w:b/>
                  <w:noProof/>
                  <w:sz w:val="18"/>
                  <w:szCs w:val="18"/>
                  <w:lang w:val="it-IT"/>
                </w:rPr>
                <w:delText xml:space="preserve">N </w:delText>
              </w:r>
            </w:del>
            <w:ins w:id="1236" w:author="Author">
              <w:r>
                <w:rPr>
                  <w:b/>
                  <w:noProof/>
                  <w:sz w:val="18"/>
                  <w:szCs w:val="18"/>
                  <w:lang w:val="it-IT"/>
                </w:rPr>
                <w:t>n </w:t>
              </w:r>
            </w:ins>
            <w:r>
              <w:rPr>
                <w:b/>
                <w:noProof/>
                <w:sz w:val="18"/>
                <w:szCs w:val="18"/>
                <w:lang w:val="it-IT"/>
              </w:rPr>
              <w:t>=</w:t>
            </w:r>
          </w:p>
          <w:p>
            <w:pPr>
              <w:keepNext/>
              <w:numPr>
                <w:ilvl w:val="12"/>
                <w:numId w:val="0"/>
              </w:numPr>
              <w:tabs>
                <w:tab w:val="left" w:pos="180"/>
              </w:tabs>
              <w:suppressAutoHyphens/>
              <w:jc w:val="center"/>
              <w:rPr>
                <w:b/>
                <w:noProof/>
                <w:sz w:val="18"/>
                <w:szCs w:val="18"/>
                <w:lang w:val="it-IT"/>
              </w:rPr>
              <w:pPrChange w:id="1237" w:author="Author">
                <w:pPr>
                  <w:keepNext/>
                  <w:keepLines/>
                  <w:numPr>
                    <w:ilvl w:val="12"/>
                  </w:numPr>
                  <w:tabs>
                    <w:tab w:val="left" w:pos="180"/>
                  </w:tabs>
                  <w:ind w:right="-2"/>
                  <w:jc w:val="center"/>
                </w:pPr>
              </w:pPrChange>
            </w:pPr>
            <w:r>
              <w:rPr>
                <w:b/>
                <w:noProof/>
                <w:sz w:val="18"/>
                <w:szCs w:val="18"/>
                <w:lang w:val="it-IT"/>
              </w:rPr>
              <w:t>398</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38" w:author="Author">
                <w:pPr>
                  <w:keepNext/>
                  <w:keepLines/>
                  <w:numPr>
                    <w:ilvl w:val="12"/>
                  </w:numPr>
                  <w:tabs>
                    <w:tab w:val="left" w:pos="180"/>
                  </w:tabs>
                  <w:ind w:right="-2"/>
                  <w:jc w:val="center"/>
                </w:pPr>
              </w:pPrChange>
            </w:pPr>
            <w:del w:id="1239" w:author="Author">
              <w:r>
                <w:rPr>
                  <w:b/>
                  <w:noProof/>
                  <w:sz w:val="18"/>
                  <w:szCs w:val="18"/>
                  <w:lang w:val="it-IT"/>
                </w:rPr>
                <w:delText xml:space="preserve">N </w:delText>
              </w:r>
            </w:del>
            <w:ins w:id="1240" w:author="Author">
              <w:r>
                <w:rPr>
                  <w:b/>
                  <w:noProof/>
                  <w:sz w:val="18"/>
                  <w:szCs w:val="18"/>
                  <w:lang w:val="it-IT"/>
                </w:rPr>
                <w:t>n </w:t>
              </w:r>
            </w:ins>
            <w:r>
              <w:rPr>
                <w:b/>
                <w:noProof/>
                <w:sz w:val="18"/>
                <w:szCs w:val="18"/>
                <w:lang w:val="it-IT"/>
              </w:rPr>
              <w:t>=</w:t>
            </w:r>
          </w:p>
          <w:p>
            <w:pPr>
              <w:keepNext/>
              <w:numPr>
                <w:ilvl w:val="12"/>
                <w:numId w:val="0"/>
              </w:numPr>
              <w:tabs>
                <w:tab w:val="left" w:pos="180"/>
              </w:tabs>
              <w:suppressAutoHyphens/>
              <w:jc w:val="center"/>
              <w:rPr>
                <w:b/>
                <w:noProof/>
                <w:sz w:val="18"/>
                <w:szCs w:val="18"/>
                <w:lang w:val="it-IT"/>
              </w:rPr>
              <w:pPrChange w:id="1241" w:author="Author">
                <w:pPr>
                  <w:keepNext/>
                  <w:keepLines/>
                  <w:numPr>
                    <w:ilvl w:val="12"/>
                  </w:numPr>
                  <w:tabs>
                    <w:tab w:val="left" w:pos="180"/>
                  </w:tabs>
                  <w:ind w:right="-2"/>
                  <w:jc w:val="center"/>
                </w:pPr>
              </w:pPrChange>
            </w:pPr>
            <w:r>
              <w:rPr>
                <w:b/>
                <w:noProof/>
                <w:sz w:val="18"/>
                <w:szCs w:val="18"/>
                <w:lang w:val="it-IT"/>
              </w:rPr>
              <w:t>393</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42" w:author="Author">
                <w:pPr>
                  <w:keepNext/>
                  <w:keepLines/>
                  <w:numPr>
                    <w:ilvl w:val="12"/>
                  </w:numPr>
                  <w:tabs>
                    <w:tab w:val="left" w:pos="180"/>
                  </w:tabs>
                  <w:ind w:right="-2"/>
                  <w:jc w:val="center"/>
                </w:pPr>
              </w:pPrChange>
            </w:pPr>
            <w:del w:id="1243" w:author="Author">
              <w:r>
                <w:rPr>
                  <w:b/>
                  <w:noProof/>
                  <w:sz w:val="18"/>
                  <w:szCs w:val="18"/>
                  <w:lang w:val="it-IT"/>
                </w:rPr>
                <w:delText xml:space="preserve">N </w:delText>
              </w:r>
            </w:del>
            <w:ins w:id="1244" w:author="Author">
              <w:r>
                <w:rPr>
                  <w:b/>
                  <w:noProof/>
                  <w:sz w:val="18"/>
                  <w:szCs w:val="18"/>
                  <w:lang w:val="it-IT"/>
                </w:rPr>
                <w:t>n </w:t>
              </w:r>
            </w:ins>
            <w:r>
              <w:rPr>
                <w:b/>
                <w:noProof/>
                <w:sz w:val="18"/>
                <w:szCs w:val="18"/>
                <w:lang w:val="it-IT"/>
              </w:rPr>
              <w:t>=</w:t>
            </w:r>
          </w:p>
          <w:p>
            <w:pPr>
              <w:keepNext/>
              <w:numPr>
                <w:ilvl w:val="12"/>
                <w:numId w:val="0"/>
              </w:numPr>
              <w:tabs>
                <w:tab w:val="left" w:pos="180"/>
              </w:tabs>
              <w:suppressAutoHyphens/>
              <w:jc w:val="center"/>
              <w:rPr>
                <w:b/>
                <w:noProof/>
                <w:sz w:val="18"/>
                <w:szCs w:val="18"/>
                <w:lang w:val="it-IT"/>
              </w:rPr>
              <w:pPrChange w:id="1245" w:author="Author">
                <w:pPr>
                  <w:keepNext/>
                  <w:keepLines/>
                  <w:numPr>
                    <w:ilvl w:val="12"/>
                  </w:numPr>
                  <w:tabs>
                    <w:tab w:val="left" w:pos="180"/>
                  </w:tabs>
                  <w:ind w:right="-2"/>
                  <w:jc w:val="center"/>
                </w:pPr>
              </w:pPrChange>
            </w:pPr>
            <w:r>
              <w:rPr>
                <w:b/>
                <w:noProof/>
                <w:sz w:val="18"/>
                <w:szCs w:val="18"/>
                <w:lang w:val="it-IT"/>
              </w:rPr>
              <w:t>205</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46" w:author="Author">
                <w:pPr>
                  <w:keepNext/>
                  <w:keepLines/>
                  <w:numPr>
                    <w:ilvl w:val="12"/>
                  </w:numPr>
                  <w:tabs>
                    <w:tab w:val="left" w:pos="180"/>
                  </w:tabs>
                  <w:ind w:right="-2"/>
                  <w:jc w:val="center"/>
                </w:pPr>
              </w:pPrChange>
            </w:pPr>
            <w:del w:id="1247" w:author="Author">
              <w:r>
                <w:rPr>
                  <w:b/>
                  <w:noProof/>
                  <w:sz w:val="18"/>
                  <w:szCs w:val="18"/>
                  <w:lang w:val="it-IT"/>
                </w:rPr>
                <w:delText xml:space="preserve">N </w:delText>
              </w:r>
            </w:del>
            <w:ins w:id="1248" w:author="Author">
              <w:r>
                <w:rPr>
                  <w:b/>
                  <w:noProof/>
                  <w:sz w:val="18"/>
                  <w:szCs w:val="18"/>
                  <w:lang w:val="it-IT"/>
                </w:rPr>
                <w:t>n </w:t>
              </w:r>
            </w:ins>
            <w:r>
              <w:rPr>
                <w:b/>
                <w:noProof/>
                <w:sz w:val="18"/>
                <w:szCs w:val="18"/>
                <w:lang w:val="it-IT"/>
              </w:rPr>
              <w:t>=</w:t>
            </w:r>
          </w:p>
          <w:p>
            <w:pPr>
              <w:keepNext/>
              <w:numPr>
                <w:ilvl w:val="12"/>
                <w:numId w:val="0"/>
              </w:numPr>
              <w:tabs>
                <w:tab w:val="left" w:pos="180"/>
              </w:tabs>
              <w:suppressAutoHyphens/>
              <w:jc w:val="center"/>
              <w:rPr>
                <w:b/>
                <w:noProof/>
                <w:sz w:val="18"/>
                <w:szCs w:val="18"/>
                <w:lang w:val="it-IT"/>
              </w:rPr>
              <w:pPrChange w:id="1249" w:author="Author">
                <w:pPr>
                  <w:keepNext/>
                  <w:keepLines/>
                  <w:numPr>
                    <w:ilvl w:val="12"/>
                  </w:numPr>
                  <w:tabs>
                    <w:tab w:val="left" w:pos="180"/>
                  </w:tabs>
                  <w:ind w:right="-2"/>
                  <w:jc w:val="center"/>
                </w:pPr>
              </w:pPrChange>
            </w:pPr>
            <w:r>
              <w:rPr>
                <w:b/>
                <w:noProof/>
                <w:sz w:val="18"/>
                <w:szCs w:val="18"/>
                <w:lang w:val="it-IT"/>
              </w:rPr>
              <w:t>204</w:t>
            </w:r>
          </w:p>
        </w:tc>
        <w:tc>
          <w:tcPr>
            <w:tcW w:w="509" w:type="pct"/>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50" w:author="Author">
                <w:pPr>
                  <w:keepNext/>
                  <w:keepLines/>
                  <w:numPr>
                    <w:ilvl w:val="12"/>
                  </w:numPr>
                  <w:tabs>
                    <w:tab w:val="left" w:pos="180"/>
                  </w:tabs>
                  <w:ind w:right="-2"/>
                  <w:jc w:val="center"/>
                </w:pPr>
              </w:pPrChange>
            </w:pPr>
            <w:del w:id="1251" w:author="Author">
              <w:r>
                <w:rPr>
                  <w:b/>
                  <w:noProof/>
                  <w:sz w:val="18"/>
                  <w:szCs w:val="18"/>
                  <w:lang w:val="it-IT"/>
                </w:rPr>
                <w:delText xml:space="preserve">N </w:delText>
              </w:r>
            </w:del>
            <w:ins w:id="1252" w:author="Author">
              <w:r>
                <w:rPr>
                  <w:b/>
                  <w:noProof/>
                  <w:sz w:val="18"/>
                  <w:szCs w:val="18"/>
                  <w:lang w:val="it-IT"/>
                </w:rPr>
                <w:t>n </w:t>
              </w:r>
            </w:ins>
            <w:r>
              <w:rPr>
                <w:b/>
                <w:noProof/>
                <w:sz w:val="18"/>
                <w:szCs w:val="18"/>
                <w:lang w:val="it-IT"/>
              </w:rPr>
              <w:t>=</w:t>
            </w:r>
          </w:p>
          <w:p>
            <w:pPr>
              <w:keepNext/>
              <w:numPr>
                <w:ilvl w:val="12"/>
                <w:numId w:val="0"/>
              </w:numPr>
              <w:tabs>
                <w:tab w:val="left" w:pos="180"/>
              </w:tabs>
              <w:suppressAutoHyphens/>
              <w:jc w:val="center"/>
              <w:rPr>
                <w:b/>
                <w:noProof/>
                <w:sz w:val="18"/>
                <w:szCs w:val="18"/>
                <w:lang w:val="it-IT"/>
              </w:rPr>
              <w:pPrChange w:id="1253" w:author="Author">
                <w:pPr>
                  <w:keepNext/>
                  <w:keepLines/>
                  <w:numPr>
                    <w:ilvl w:val="12"/>
                  </w:numPr>
                  <w:tabs>
                    <w:tab w:val="left" w:pos="180"/>
                  </w:tabs>
                  <w:ind w:right="-2"/>
                  <w:jc w:val="center"/>
                </w:pPr>
              </w:pPrChange>
            </w:pPr>
            <w:r>
              <w:rPr>
                <w:b/>
                <w:noProof/>
                <w:sz w:val="18"/>
                <w:szCs w:val="18"/>
                <w:lang w:val="it-IT"/>
              </w:rPr>
              <w:t>803</w:t>
            </w:r>
          </w:p>
        </w:tc>
        <w:tc>
          <w:tcPr>
            <w:tcW w:w="509" w:type="pct"/>
            <w:gridSpan w:val="2"/>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54" w:author="Author">
                <w:pPr>
                  <w:keepNext/>
                  <w:keepLines/>
                  <w:numPr>
                    <w:ilvl w:val="12"/>
                  </w:numPr>
                  <w:tabs>
                    <w:tab w:val="left" w:pos="180"/>
                  </w:tabs>
                  <w:ind w:right="-2"/>
                  <w:jc w:val="center"/>
                </w:pPr>
              </w:pPrChange>
            </w:pPr>
            <w:del w:id="1255" w:author="Author">
              <w:r>
                <w:rPr>
                  <w:b/>
                  <w:noProof/>
                  <w:sz w:val="18"/>
                  <w:szCs w:val="18"/>
                  <w:lang w:val="it-IT"/>
                </w:rPr>
                <w:delText xml:space="preserve">N </w:delText>
              </w:r>
            </w:del>
            <w:ins w:id="1256" w:author="Author">
              <w:r>
                <w:rPr>
                  <w:b/>
                  <w:noProof/>
                  <w:sz w:val="18"/>
                  <w:szCs w:val="18"/>
                  <w:lang w:val="it-IT"/>
                </w:rPr>
                <w:t>n </w:t>
              </w:r>
            </w:ins>
            <w:r>
              <w:rPr>
                <w:b/>
                <w:noProof/>
                <w:sz w:val="18"/>
                <w:szCs w:val="18"/>
                <w:lang w:val="it-IT"/>
              </w:rPr>
              <w:t>=</w:t>
            </w:r>
          </w:p>
          <w:p>
            <w:pPr>
              <w:keepNext/>
              <w:numPr>
                <w:ilvl w:val="12"/>
                <w:numId w:val="0"/>
              </w:numPr>
              <w:tabs>
                <w:tab w:val="left" w:pos="180"/>
              </w:tabs>
              <w:suppressAutoHyphens/>
              <w:jc w:val="center"/>
              <w:rPr>
                <w:b/>
                <w:noProof/>
                <w:sz w:val="18"/>
                <w:szCs w:val="18"/>
                <w:lang w:val="it-IT"/>
              </w:rPr>
              <w:pPrChange w:id="1257" w:author="Author">
                <w:pPr>
                  <w:keepNext/>
                  <w:keepLines/>
                  <w:numPr>
                    <w:ilvl w:val="12"/>
                  </w:numPr>
                  <w:tabs>
                    <w:tab w:val="left" w:pos="180"/>
                  </w:tabs>
                  <w:ind w:right="-2"/>
                  <w:jc w:val="center"/>
                </w:pPr>
              </w:pPrChange>
            </w:pPr>
            <w:r>
              <w:rPr>
                <w:b/>
                <w:noProof/>
                <w:sz w:val="18"/>
                <w:szCs w:val="18"/>
                <w:lang w:val="it-IT"/>
              </w:rPr>
              <w:t>413</w:t>
            </w:r>
          </w:p>
        </w:tc>
        <w:tc>
          <w:tcPr>
            <w:tcW w:w="436" w:type="pct"/>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58" w:author="Author">
                <w:pPr>
                  <w:keepNext/>
                  <w:keepLines/>
                  <w:numPr>
                    <w:ilvl w:val="12"/>
                  </w:numPr>
                  <w:tabs>
                    <w:tab w:val="left" w:pos="180"/>
                  </w:tabs>
                  <w:ind w:right="-2"/>
                  <w:jc w:val="center"/>
                </w:pPr>
              </w:pPrChange>
            </w:pPr>
            <w:del w:id="1259" w:author="Author">
              <w:r>
                <w:rPr>
                  <w:b/>
                  <w:noProof/>
                  <w:sz w:val="18"/>
                  <w:szCs w:val="18"/>
                  <w:lang w:val="it-IT"/>
                </w:rPr>
                <w:delText xml:space="preserve">N </w:delText>
              </w:r>
            </w:del>
            <w:ins w:id="1260" w:author="Author">
              <w:r>
                <w:rPr>
                  <w:b/>
                  <w:noProof/>
                  <w:sz w:val="18"/>
                  <w:szCs w:val="18"/>
                  <w:lang w:val="it-IT"/>
                </w:rPr>
                <w:t>n </w:t>
              </w:r>
            </w:ins>
            <w:r>
              <w:rPr>
                <w:b/>
                <w:noProof/>
                <w:sz w:val="18"/>
                <w:szCs w:val="18"/>
                <w:lang w:val="it-IT"/>
              </w:rPr>
              <w:t>=</w:t>
            </w:r>
          </w:p>
          <w:p>
            <w:pPr>
              <w:keepNext/>
              <w:numPr>
                <w:ilvl w:val="12"/>
                <w:numId w:val="0"/>
              </w:numPr>
              <w:tabs>
                <w:tab w:val="left" w:pos="180"/>
              </w:tabs>
              <w:suppressAutoHyphens/>
              <w:jc w:val="center"/>
              <w:rPr>
                <w:b/>
                <w:noProof/>
                <w:sz w:val="18"/>
                <w:szCs w:val="18"/>
                <w:lang w:val="it-IT"/>
              </w:rPr>
              <w:pPrChange w:id="1261" w:author="Author">
                <w:pPr>
                  <w:keepNext/>
                  <w:keepLines/>
                  <w:numPr>
                    <w:ilvl w:val="12"/>
                  </w:numPr>
                  <w:tabs>
                    <w:tab w:val="left" w:pos="180"/>
                  </w:tabs>
                  <w:ind w:right="-2"/>
                  <w:jc w:val="center"/>
                </w:pPr>
              </w:pPrChange>
            </w:pPr>
            <w:r>
              <w:rPr>
                <w:b/>
                <w:noProof/>
                <w:sz w:val="18"/>
                <w:szCs w:val="18"/>
                <w:lang w:val="it-IT"/>
              </w:rPr>
              <w:t>170</w:t>
            </w:r>
          </w:p>
        </w:tc>
        <w:tc>
          <w:tcPr>
            <w:tcW w:w="490" w:type="pct"/>
            <w:gridSpan w:val="2"/>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b/>
                <w:noProof/>
                <w:sz w:val="18"/>
                <w:szCs w:val="18"/>
                <w:lang w:val="it-IT"/>
              </w:rPr>
              <w:pPrChange w:id="1262" w:author="Author">
                <w:pPr>
                  <w:keepNext/>
                  <w:keepLines/>
                  <w:numPr>
                    <w:ilvl w:val="12"/>
                  </w:numPr>
                  <w:tabs>
                    <w:tab w:val="left" w:pos="180"/>
                  </w:tabs>
                  <w:ind w:right="-2"/>
                  <w:jc w:val="center"/>
                </w:pPr>
              </w:pPrChange>
            </w:pPr>
            <w:del w:id="1263" w:author="Author">
              <w:r>
                <w:rPr>
                  <w:b/>
                  <w:noProof/>
                  <w:sz w:val="18"/>
                  <w:szCs w:val="18"/>
                  <w:lang w:val="it-IT"/>
                </w:rPr>
                <w:delText xml:space="preserve">N </w:delText>
              </w:r>
            </w:del>
            <w:ins w:id="1264" w:author="Author">
              <w:r>
                <w:rPr>
                  <w:b/>
                  <w:noProof/>
                  <w:sz w:val="18"/>
                  <w:szCs w:val="18"/>
                  <w:lang w:val="it-IT"/>
                </w:rPr>
                <w:t>n </w:t>
              </w:r>
            </w:ins>
            <w:r>
              <w:rPr>
                <w:b/>
                <w:noProof/>
                <w:sz w:val="18"/>
                <w:szCs w:val="18"/>
                <w:lang w:val="it-IT"/>
              </w:rPr>
              <w:t>=</w:t>
            </w:r>
          </w:p>
          <w:p>
            <w:pPr>
              <w:keepNext/>
              <w:numPr>
                <w:ilvl w:val="12"/>
                <w:numId w:val="0"/>
              </w:numPr>
              <w:tabs>
                <w:tab w:val="left" w:pos="180"/>
              </w:tabs>
              <w:suppressAutoHyphens/>
              <w:jc w:val="center"/>
              <w:rPr>
                <w:b/>
                <w:noProof/>
                <w:sz w:val="18"/>
                <w:szCs w:val="18"/>
                <w:lang w:val="it-IT"/>
              </w:rPr>
              <w:pPrChange w:id="1265" w:author="Author">
                <w:pPr>
                  <w:keepNext/>
                  <w:keepLines/>
                  <w:numPr>
                    <w:ilvl w:val="12"/>
                  </w:numPr>
                  <w:tabs>
                    <w:tab w:val="left" w:pos="180"/>
                  </w:tabs>
                  <w:ind w:right="-2"/>
                  <w:jc w:val="center"/>
                </w:pPr>
              </w:pPrChange>
            </w:pPr>
            <w:r>
              <w:rPr>
                <w:b/>
                <w:noProof/>
                <w:sz w:val="18"/>
                <w:szCs w:val="18"/>
                <w:lang w:val="it-IT"/>
              </w:rPr>
              <w:t>158</w:t>
            </w:r>
          </w:p>
        </w:tc>
      </w:tr>
      <w:tr>
        <w:trPr>
          <w:cantSplit/>
        </w:trPr>
        <w:tc>
          <w:tcPr>
            <w:tcW w:w="5000" w:type="pct"/>
            <w:gridSpan w:val="14"/>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66" w:author="Author">
                <w:pPr>
                  <w:keepNext/>
                  <w:keepLines/>
                  <w:numPr>
                    <w:ilvl w:val="12"/>
                  </w:numPr>
                  <w:tabs>
                    <w:tab w:val="left" w:pos="180"/>
                  </w:tabs>
                  <w:ind w:right="-2"/>
                  <w:jc w:val="center"/>
                </w:pPr>
              </w:pPrChange>
            </w:pPr>
            <w:r>
              <w:rPr>
                <w:b/>
                <w:noProof/>
                <w:sz w:val="18"/>
                <w:szCs w:val="18"/>
                <w:lang w:val="it-IT"/>
              </w:rPr>
              <w:t>ACR 20</w:t>
            </w:r>
          </w:p>
        </w:tc>
      </w:tr>
      <w:tr>
        <w:trPr>
          <w:cantSplit/>
        </w:trPr>
        <w:tc>
          <w:tcPr>
            <w:tcW w:w="35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67" w:author="Author">
                <w:pPr>
                  <w:keepNext/>
                  <w:keepLines/>
                  <w:numPr>
                    <w:ilvl w:val="12"/>
                  </w:numPr>
                  <w:tabs>
                    <w:tab w:val="left" w:pos="180"/>
                  </w:tabs>
                  <w:ind w:right="-2"/>
                  <w:jc w:val="center"/>
                </w:pPr>
              </w:pPrChange>
            </w:pPr>
            <w:r>
              <w:rPr>
                <w:noProof/>
                <w:sz w:val="18"/>
                <w:szCs w:val="18"/>
                <w:lang w:val="it-IT"/>
              </w:rPr>
              <w:t>24</w:t>
            </w:r>
          </w:p>
        </w:tc>
        <w:tc>
          <w:tcPr>
            <w:tcW w:w="480" w:type="pct"/>
            <w:gridSpan w:val="2"/>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68" w:author="Author">
                <w:pPr>
                  <w:keepNext/>
                  <w:keepLines/>
                  <w:numPr>
                    <w:ilvl w:val="12"/>
                  </w:numPr>
                  <w:tabs>
                    <w:tab w:val="left" w:pos="180"/>
                  </w:tabs>
                  <w:ind w:right="-2"/>
                  <w:jc w:val="center"/>
                </w:pPr>
              </w:pPrChange>
            </w:pPr>
            <w:r>
              <w:rPr>
                <w:noProof/>
                <w:sz w:val="18"/>
                <w:szCs w:val="18"/>
                <w:lang w:val="it-IT"/>
              </w:rPr>
              <w:t>70%***</w:t>
            </w:r>
          </w:p>
        </w:tc>
        <w:tc>
          <w:tcPr>
            <w:tcW w:w="370"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69" w:author="Author">
                <w:pPr>
                  <w:keepNext/>
                  <w:keepLines/>
                  <w:numPr>
                    <w:ilvl w:val="12"/>
                  </w:numPr>
                  <w:tabs>
                    <w:tab w:val="left" w:pos="180"/>
                  </w:tabs>
                  <w:ind w:right="-2"/>
                  <w:jc w:val="center"/>
                </w:pPr>
              </w:pPrChange>
            </w:pPr>
            <w:r>
              <w:rPr>
                <w:noProof/>
                <w:sz w:val="18"/>
                <w:szCs w:val="18"/>
                <w:lang w:val="it-IT"/>
              </w:rPr>
              <w:t>52%</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70" w:author="Author">
                <w:pPr>
                  <w:keepNext/>
                  <w:keepLines/>
                  <w:numPr>
                    <w:ilvl w:val="12"/>
                  </w:numPr>
                  <w:tabs>
                    <w:tab w:val="left" w:pos="180"/>
                  </w:tabs>
                  <w:ind w:right="-2"/>
                  <w:jc w:val="center"/>
                </w:pPr>
              </w:pPrChange>
            </w:pPr>
            <w:r>
              <w:rPr>
                <w:noProof/>
                <w:sz w:val="18"/>
                <w:szCs w:val="18"/>
                <w:lang w:val="it-IT"/>
              </w:rPr>
              <w:t>56%***</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71" w:author="Author">
                <w:pPr>
                  <w:keepNext/>
                  <w:keepLines/>
                  <w:numPr>
                    <w:ilvl w:val="12"/>
                  </w:numPr>
                  <w:tabs>
                    <w:tab w:val="left" w:pos="180"/>
                  </w:tabs>
                  <w:ind w:right="-2"/>
                  <w:jc w:val="center"/>
                </w:pPr>
              </w:pPrChange>
            </w:pPr>
            <w:r>
              <w:rPr>
                <w:noProof/>
                <w:sz w:val="18"/>
                <w:szCs w:val="18"/>
                <w:lang w:val="it-IT"/>
              </w:rPr>
              <w:t>27%</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72" w:author="Author">
                <w:pPr>
                  <w:keepNext/>
                  <w:keepLines/>
                  <w:numPr>
                    <w:ilvl w:val="12"/>
                  </w:numPr>
                  <w:tabs>
                    <w:tab w:val="left" w:pos="180"/>
                  </w:tabs>
                  <w:ind w:right="-2"/>
                  <w:jc w:val="center"/>
                </w:pPr>
              </w:pPrChange>
            </w:pPr>
            <w:r>
              <w:rPr>
                <w:noProof/>
                <w:sz w:val="18"/>
                <w:szCs w:val="18"/>
                <w:lang w:val="it-IT"/>
              </w:rPr>
              <w:t>59%***</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73" w:author="Author">
                <w:pPr>
                  <w:keepNext/>
                  <w:keepLines/>
                  <w:numPr>
                    <w:ilvl w:val="12"/>
                  </w:numPr>
                  <w:tabs>
                    <w:tab w:val="left" w:pos="180"/>
                  </w:tabs>
                  <w:ind w:right="-2"/>
                  <w:jc w:val="center"/>
                </w:pPr>
              </w:pPrChange>
            </w:pPr>
            <w:r>
              <w:rPr>
                <w:noProof/>
                <w:sz w:val="18"/>
                <w:szCs w:val="18"/>
                <w:lang w:val="it-IT"/>
              </w:rPr>
              <w:t>26%</w:t>
            </w:r>
          </w:p>
        </w:tc>
        <w:tc>
          <w:tcPr>
            <w:tcW w:w="509" w:type="pct"/>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74" w:author="Author">
                <w:pPr>
                  <w:keepNext/>
                  <w:keepLines/>
                  <w:numPr>
                    <w:ilvl w:val="12"/>
                  </w:numPr>
                  <w:tabs>
                    <w:tab w:val="left" w:pos="180"/>
                  </w:tabs>
                  <w:ind w:right="-2"/>
                  <w:jc w:val="center"/>
                </w:pPr>
              </w:pPrChange>
            </w:pPr>
            <w:r>
              <w:rPr>
                <w:noProof/>
                <w:sz w:val="18"/>
                <w:szCs w:val="18"/>
                <w:lang w:val="it-IT"/>
              </w:rPr>
              <w:t>61%***</w:t>
            </w:r>
          </w:p>
        </w:tc>
        <w:tc>
          <w:tcPr>
            <w:tcW w:w="509" w:type="pct"/>
            <w:gridSpan w:val="2"/>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75" w:author="Author">
                <w:pPr>
                  <w:keepNext/>
                  <w:keepLines/>
                  <w:numPr>
                    <w:ilvl w:val="12"/>
                  </w:numPr>
                  <w:tabs>
                    <w:tab w:val="left" w:pos="180"/>
                  </w:tabs>
                  <w:ind w:right="-2"/>
                  <w:jc w:val="center"/>
                </w:pPr>
              </w:pPrChange>
            </w:pPr>
            <w:r>
              <w:rPr>
                <w:noProof/>
                <w:sz w:val="18"/>
                <w:szCs w:val="18"/>
                <w:lang w:val="it-IT"/>
              </w:rPr>
              <w:t>24%</w:t>
            </w:r>
          </w:p>
        </w:tc>
        <w:tc>
          <w:tcPr>
            <w:tcW w:w="463" w:type="pct"/>
            <w:gridSpan w:val="2"/>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76" w:author="Author">
                <w:pPr>
                  <w:keepNext/>
                  <w:keepLines/>
                  <w:numPr>
                    <w:ilvl w:val="12"/>
                  </w:numPr>
                  <w:tabs>
                    <w:tab w:val="left" w:pos="180"/>
                  </w:tabs>
                  <w:ind w:right="-2"/>
                  <w:jc w:val="center"/>
                </w:pPr>
              </w:pPrChange>
            </w:pPr>
            <w:r>
              <w:rPr>
                <w:noProof/>
                <w:sz w:val="18"/>
                <w:szCs w:val="18"/>
                <w:lang w:val="it-IT"/>
              </w:rPr>
              <w:t>50%***</w:t>
            </w:r>
          </w:p>
        </w:tc>
        <w:tc>
          <w:tcPr>
            <w:tcW w:w="463" w:type="pct"/>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77" w:author="Author">
                <w:pPr>
                  <w:keepNext/>
                  <w:keepLines/>
                  <w:numPr>
                    <w:ilvl w:val="12"/>
                  </w:numPr>
                  <w:tabs>
                    <w:tab w:val="left" w:pos="180"/>
                  </w:tabs>
                  <w:ind w:right="-2"/>
                  <w:jc w:val="center"/>
                </w:pPr>
              </w:pPrChange>
            </w:pPr>
            <w:r>
              <w:rPr>
                <w:noProof/>
                <w:sz w:val="18"/>
                <w:szCs w:val="18"/>
                <w:lang w:val="it-IT"/>
              </w:rPr>
              <w:t>10%</w:t>
            </w:r>
          </w:p>
        </w:tc>
      </w:tr>
      <w:tr>
        <w:trPr>
          <w:cantSplit/>
        </w:trPr>
        <w:tc>
          <w:tcPr>
            <w:tcW w:w="353" w:type="pct"/>
            <w:tcBorders>
              <w:top w:val="single" w:sz="4" w:space="0" w:color="auto"/>
              <w:left w:val="single" w:sz="4" w:space="0" w:color="auto"/>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278" w:author="Author">
                <w:pPr>
                  <w:keepNext/>
                  <w:keepLines/>
                  <w:numPr>
                    <w:ilvl w:val="12"/>
                  </w:numPr>
                  <w:tabs>
                    <w:tab w:val="left" w:pos="180"/>
                  </w:tabs>
                  <w:ind w:right="-2"/>
                  <w:jc w:val="center"/>
                </w:pPr>
              </w:pPrChange>
            </w:pPr>
            <w:r>
              <w:rPr>
                <w:noProof/>
                <w:sz w:val="18"/>
                <w:szCs w:val="18"/>
                <w:lang w:val="it-IT"/>
              </w:rPr>
              <w:t>52</w:t>
            </w:r>
          </w:p>
        </w:tc>
        <w:tc>
          <w:tcPr>
            <w:tcW w:w="480" w:type="pct"/>
            <w:gridSpan w:val="2"/>
            <w:tcBorders>
              <w:top w:val="single" w:sz="4" w:space="0" w:color="auto"/>
              <w:left w:val="single" w:sz="4" w:space="0" w:color="auto"/>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279" w:author="Author">
                <w:pPr>
                  <w:keepNext/>
                  <w:keepLines/>
                  <w:numPr>
                    <w:ilvl w:val="12"/>
                  </w:numPr>
                  <w:tabs>
                    <w:tab w:val="left" w:pos="180"/>
                  </w:tabs>
                  <w:ind w:right="-2"/>
                  <w:jc w:val="center"/>
                </w:pPr>
              </w:pPrChange>
            </w:pPr>
          </w:p>
        </w:tc>
        <w:tc>
          <w:tcPr>
            <w:tcW w:w="370" w:type="pct"/>
            <w:tcBorders>
              <w:top w:val="single" w:sz="4" w:space="0" w:color="auto"/>
              <w:left w:val="single" w:sz="4" w:space="0" w:color="auto"/>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280" w:author="Author">
                <w:pPr>
                  <w:keepNext/>
                  <w:keepLines/>
                  <w:numPr>
                    <w:ilvl w:val="12"/>
                  </w:numPr>
                  <w:tabs>
                    <w:tab w:val="left" w:pos="180"/>
                  </w:tabs>
                  <w:ind w:right="-2"/>
                  <w:jc w:val="center"/>
                </w:pPr>
              </w:pPrChange>
            </w:pPr>
          </w:p>
        </w:tc>
        <w:tc>
          <w:tcPr>
            <w:tcW w:w="463" w:type="pct"/>
            <w:tcBorders>
              <w:top w:val="single" w:sz="4" w:space="0" w:color="auto"/>
              <w:left w:val="single" w:sz="4" w:space="0" w:color="auto"/>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281" w:author="Author">
                <w:pPr>
                  <w:keepNext/>
                  <w:keepLines/>
                  <w:numPr>
                    <w:ilvl w:val="12"/>
                  </w:numPr>
                  <w:tabs>
                    <w:tab w:val="left" w:pos="180"/>
                  </w:tabs>
                  <w:ind w:right="-2"/>
                  <w:jc w:val="center"/>
                </w:pPr>
              </w:pPrChange>
            </w:pPr>
            <w:r>
              <w:rPr>
                <w:noProof/>
                <w:sz w:val="18"/>
                <w:szCs w:val="18"/>
                <w:lang w:val="it-IT"/>
              </w:rPr>
              <w:t>56%***</w:t>
            </w:r>
          </w:p>
        </w:tc>
        <w:tc>
          <w:tcPr>
            <w:tcW w:w="463" w:type="pct"/>
            <w:tcBorders>
              <w:top w:val="single" w:sz="4" w:space="0" w:color="auto"/>
              <w:left w:val="single" w:sz="4" w:space="0" w:color="auto"/>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282" w:author="Author">
                <w:pPr>
                  <w:keepNext/>
                  <w:keepLines/>
                  <w:numPr>
                    <w:ilvl w:val="12"/>
                  </w:numPr>
                  <w:tabs>
                    <w:tab w:val="left" w:pos="180"/>
                  </w:tabs>
                  <w:ind w:right="-2"/>
                  <w:jc w:val="center"/>
                </w:pPr>
              </w:pPrChange>
            </w:pPr>
            <w:r>
              <w:rPr>
                <w:noProof/>
                <w:sz w:val="18"/>
                <w:szCs w:val="18"/>
                <w:lang w:val="it-IT"/>
              </w:rPr>
              <w:t>25%</w:t>
            </w:r>
          </w:p>
        </w:tc>
        <w:tc>
          <w:tcPr>
            <w:tcW w:w="463" w:type="pct"/>
            <w:tcBorders>
              <w:top w:val="single" w:sz="4" w:space="0" w:color="auto"/>
              <w:left w:val="single" w:sz="4" w:space="0" w:color="auto"/>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283" w:author="Author">
                <w:pPr>
                  <w:keepNext/>
                  <w:keepLines/>
                  <w:numPr>
                    <w:ilvl w:val="12"/>
                  </w:numPr>
                  <w:tabs>
                    <w:tab w:val="left" w:pos="180"/>
                  </w:tabs>
                  <w:ind w:right="-2"/>
                  <w:jc w:val="center"/>
                </w:pPr>
              </w:pPrChange>
            </w:pPr>
          </w:p>
        </w:tc>
        <w:tc>
          <w:tcPr>
            <w:tcW w:w="463" w:type="pct"/>
            <w:tcBorders>
              <w:top w:val="single" w:sz="4" w:space="0" w:color="auto"/>
              <w:left w:val="single" w:sz="4" w:space="0" w:color="auto"/>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284" w:author="Author">
                <w:pPr>
                  <w:keepNext/>
                  <w:keepLines/>
                  <w:numPr>
                    <w:ilvl w:val="12"/>
                  </w:numPr>
                  <w:tabs>
                    <w:tab w:val="left" w:pos="180"/>
                  </w:tabs>
                  <w:ind w:right="-2"/>
                  <w:jc w:val="center"/>
                </w:pPr>
              </w:pPrChange>
            </w:pPr>
          </w:p>
        </w:tc>
        <w:tc>
          <w:tcPr>
            <w:tcW w:w="509" w:type="pct"/>
            <w:tcBorders>
              <w:top w:val="single" w:sz="4" w:space="0" w:color="auto"/>
              <w:left w:val="nil"/>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285" w:author="Author">
                <w:pPr>
                  <w:keepNext/>
                  <w:keepLines/>
                  <w:numPr>
                    <w:ilvl w:val="12"/>
                  </w:numPr>
                  <w:tabs>
                    <w:tab w:val="left" w:pos="180"/>
                  </w:tabs>
                  <w:ind w:right="-2"/>
                  <w:jc w:val="center"/>
                </w:pPr>
              </w:pPrChange>
            </w:pPr>
          </w:p>
        </w:tc>
        <w:tc>
          <w:tcPr>
            <w:tcW w:w="509" w:type="pct"/>
            <w:gridSpan w:val="2"/>
            <w:tcBorders>
              <w:top w:val="single" w:sz="4" w:space="0" w:color="auto"/>
              <w:left w:val="nil"/>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286" w:author="Author">
                <w:pPr>
                  <w:keepNext/>
                  <w:keepLines/>
                  <w:numPr>
                    <w:ilvl w:val="12"/>
                  </w:numPr>
                  <w:tabs>
                    <w:tab w:val="left" w:pos="180"/>
                  </w:tabs>
                  <w:ind w:right="-2"/>
                  <w:jc w:val="center"/>
                </w:pPr>
              </w:pPrChange>
            </w:pPr>
          </w:p>
        </w:tc>
        <w:tc>
          <w:tcPr>
            <w:tcW w:w="463" w:type="pct"/>
            <w:gridSpan w:val="2"/>
            <w:tcBorders>
              <w:top w:val="single" w:sz="4" w:space="0" w:color="auto"/>
              <w:left w:val="nil"/>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287" w:author="Author">
                <w:pPr>
                  <w:keepNext/>
                  <w:keepLines/>
                  <w:numPr>
                    <w:ilvl w:val="12"/>
                  </w:numPr>
                  <w:tabs>
                    <w:tab w:val="left" w:pos="180"/>
                  </w:tabs>
                  <w:ind w:right="-2"/>
                  <w:jc w:val="center"/>
                </w:pPr>
              </w:pPrChange>
            </w:pPr>
          </w:p>
        </w:tc>
        <w:tc>
          <w:tcPr>
            <w:tcW w:w="463" w:type="pct"/>
            <w:tcBorders>
              <w:top w:val="single" w:sz="4" w:space="0" w:color="auto"/>
              <w:left w:val="nil"/>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288" w:author="Author">
                <w:pPr>
                  <w:keepNext/>
                  <w:keepLines/>
                  <w:numPr>
                    <w:ilvl w:val="12"/>
                  </w:numPr>
                  <w:tabs>
                    <w:tab w:val="left" w:pos="180"/>
                  </w:tabs>
                  <w:ind w:right="-2"/>
                  <w:jc w:val="center"/>
                </w:pPr>
              </w:pPrChange>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1E0" w:firstRow="1" w:lastRow="1" w:firstColumn="1" w:lastColumn="1" w:noHBand="0" w:noVBand="0"/>
          <w:tblPrExChange w:id="1289"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1E0" w:firstRow="1" w:lastRow="1" w:firstColumn="1" w:lastColumn="1" w:noHBand="0" w:noVBand="0"/>
            </w:tblPrEx>
          </w:tblPrExChange>
        </w:tblPrEx>
        <w:trPr>
          <w:cantSplit/>
        </w:trPr>
        <w:tc>
          <w:tcPr>
            <w:tcW w:w="5000" w:type="pct"/>
            <w:gridSpan w:val="14"/>
            <w:tcBorders>
              <w:top w:val="single" w:sz="4" w:space="0" w:color="auto"/>
              <w:left w:val="single" w:sz="4" w:space="0" w:color="auto"/>
              <w:bottom w:val="single" w:sz="4" w:space="0" w:color="auto"/>
              <w:right w:val="single" w:sz="4" w:space="0" w:color="auto"/>
            </w:tcBorders>
            <w:tcPrChange w:id="1290" w:author="Author">
              <w:tcPr>
                <w:tcW w:w="5000" w:type="pct"/>
                <w:gridSpan w:val="14"/>
                <w:tcBorders>
                  <w:top w:val="single" w:sz="4" w:space="0" w:color="auto"/>
                  <w:left w:val="single" w:sz="4" w:space="0" w:color="auto"/>
                  <w:bottom w:val="single" w:sz="4" w:space="0" w:color="auto"/>
                  <w:right w:val="single" w:sz="4" w:space="0" w:color="auto"/>
                </w:tcBorders>
              </w:tcPr>
            </w:tcPrChange>
          </w:tcPr>
          <w:p>
            <w:pPr>
              <w:keepNext/>
              <w:numPr>
                <w:ilvl w:val="12"/>
                <w:numId w:val="0"/>
              </w:numPr>
              <w:tabs>
                <w:tab w:val="left" w:pos="180"/>
              </w:tabs>
              <w:suppressAutoHyphens/>
              <w:jc w:val="center"/>
              <w:rPr>
                <w:noProof/>
                <w:sz w:val="18"/>
                <w:szCs w:val="18"/>
                <w:lang w:val="it-IT"/>
              </w:rPr>
              <w:pPrChange w:id="1291" w:author="Author">
                <w:pPr>
                  <w:keepNext/>
                  <w:keepLines/>
                  <w:numPr>
                    <w:ilvl w:val="12"/>
                  </w:numPr>
                  <w:tabs>
                    <w:tab w:val="left" w:pos="180"/>
                  </w:tabs>
                  <w:ind w:right="-2"/>
                  <w:jc w:val="center"/>
                </w:pPr>
              </w:pPrChange>
            </w:pPr>
            <w:r>
              <w:rPr>
                <w:b/>
                <w:noProof/>
                <w:sz w:val="18"/>
                <w:szCs w:val="18"/>
                <w:lang w:val="it-IT"/>
              </w:rPr>
              <w:t>ACR 50</w:t>
            </w:r>
          </w:p>
        </w:tc>
      </w:tr>
      <w:tr>
        <w:trPr>
          <w:cantSplit/>
        </w:trPr>
        <w:tc>
          <w:tcPr>
            <w:tcW w:w="35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92" w:author="Author">
                <w:pPr>
                  <w:keepNext/>
                  <w:keepLines/>
                  <w:numPr>
                    <w:ilvl w:val="12"/>
                  </w:numPr>
                  <w:tabs>
                    <w:tab w:val="left" w:pos="180"/>
                  </w:tabs>
                  <w:ind w:right="-2"/>
                  <w:jc w:val="center"/>
                </w:pPr>
              </w:pPrChange>
            </w:pPr>
            <w:r>
              <w:rPr>
                <w:noProof/>
                <w:sz w:val="18"/>
                <w:szCs w:val="18"/>
                <w:lang w:val="it-IT"/>
              </w:rPr>
              <w:t>24</w:t>
            </w:r>
          </w:p>
        </w:tc>
        <w:tc>
          <w:tcPr>
            <w:tcW w:w="480" w:type="pct"/>
            <w:gridSpan w:val="2"/>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93" w:author="Author">
                <w:pPr>
                  <w:keepNext/>
                  <w:keepLines/>
                  <w:numPr>
                    <w:ilvl w:val="12"/>
                  </w:numPr>
                  <w:tabs>
                    <w:tab w:val="left" w:pos="180"/>
                  </w:tabs>
                  <w:ind w:right="-2"/>
                  <w:jc w:val="center"/>
                </w:pPr>
              </w:pPrChange>
            </w:pPr>
            <w:r>
              <w:rPr>
                <w:noProof/>
                <w:sz w:val="18"/>
                <w:szCs w:val="18"/>
                <w:lang w:val="it-IT"/>
              </w:rPr>
              <w:t>44%**</w:t>
            </w:r>
          </w:p>
        </w:tc>
        <w:tc>
          <w:tcPr>
            <w:tcW w:w="370"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94" w:author="Author">
                <w:pPr>
                  <w:keepNext/>
                  <w:keepLines/>
                  <w:numPr>
                    <w:ilvl w:val="12"/>
                  </w:numPr>
                  <w:tabs>
                    <w:tab w:val="left" w:pos="180"/>
                  </w:tabs>
                  <w:ind w:right="-2"/>
                  <w:jc w:val="center"/>
                </w:pPr>
              </w:pPrChange>
            </w:pPr>
            <w:r>
              <w:rPr>
                <w:noProof/>
                <w:sz w:val="18"/>
                <w:szCs w:val="18"/>
                <w:lang w:val="it-IT"/>
              </w:rPr>
              <w:t>33%</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95" w:author="Author">
                <w:pPr>
                  <w:keepNext/>
                  <w:keepLines/>
                  <w:numPr>
                    <w:ilvl w:val="12"/>
                  </w:numPr>
                  <w:tabs>
                    <w:tab w:val="left" w:pos="180"/>
                  </w:tabs>
                  <w:ind w:right="-2"/>
                  <w:jc w:val="center"/>
                </w:pPr>
              </w:pPrChange>
            </w:pPr>
            <w:r>
              <w:rPr>
                <w:noProof/>
                <w:sz w:val="18"/>
                <w:szCs w:val="18"/>
                <w:lang w:val="it-IT"/>
              </w:rPr>
              <w:t>32%***</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96" w:author="Author">
                <w:pPr>
                  <w:keepNext/>
                  <w:keepLines/>
                  <w:numPr>
                    <w:ilvl w:val="12"/>
                  </w:numPr>
                  <w:tabs>
                    <w:tab w:val="left" w:pos="180"/>
                  </w:tabs>
                  <w:ind w:right="-2"/>
                  <w:jc w:val="center"/>
                </w:pPr>
              </w:pPrChange>
            </w:pPr>
            <w:r>
              <w:rPr>
                <w:noProof/>
                <w:sz w:val="18"/>
                <w:szCs w:val="18"/>
                <w:lang w:val="it-IT"/>
              </w:rPr>
              <w:t>10%</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97" w:author="Author">
                <w:pPr>
                  <w:keepNext/>
                  <w:keepLines/>
                  <w:numPr>
                    <w:ilvl w:val="12"/>
                  </w:numPr>
                  <w:tabs>
                    <w:tab w:val="left" w:pos="180"/>
                  </w:tabs>
                  <w:ind w:right="-2"/>
                  <w:jc w:val="center"/>
                </w:pPr>
              </w:pPrChange>
            </w:pPr>
            <w:r>
              <w:rPr>
                <w:noProof/>
                <w:sz w:val="18"/>
                <w:szCs w:val="18"/>
                <w:lang w:val="it-IT"/>
              </w:rPr>
              <w:t>44%***</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98" w:author="Author">
                <w:pPr>
                  <w:keepNext/>
                  <w:keepLines/>
                  <w:numPr>
                    <w:ilvl w:val="12"/>
                  </w:numPr>
                  <w:tabs>
                    <w:tab w:val="left" w:pos="180"/>
                  </w:tabs>
                  <w:ind w:right="-2"/>
                  <w:jc w:val="center"/>
                </w:pPr>
              </w:pPrChange>
            </w:pPr>
            <w:r>
              <w:rPr>
                <w:noProof/>
                <w:sz w:val="18"/>
                <w:szCs w:val="18"/>
                <w:lang w:val="it-IT"/>
              </w:rPr>
              <w:t>11%</w:t>
            </w:r>
          </w:p>
        </w:tc>
        <w:tc>
          <w:tcPr>
            <w:tcW w:w="509" w:type="pct"/>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299" w:author="Author">
                <w:pPr>
                  <w:keepNext/>
                  <w:keepLines/>
                  <w:numPr>
                    <w:ilvl w:val="12"/>
                  </w:numPr>
                  <w:tabs>
                    <w:tab w:val="left" w:pos="180"/>
                  </w:tabs>
                  <w:ind w:right="-2"/>
                  <w:jc w:val="center"/>
                </w:pPr>
              </w:pPrChange>
            </w:pPr>
            <w:r>
              <w:rPr>
                <w:noProof/>
                <w:sz w:val="18"/>
                <w:szCs w:val="18"/>
                <w:lang w:val="it-IT"/>
              </w:rPr>
              <w:t>38%***</w:t>
            </w:r>
          </w:p>
        </w:tc>
        <w:tc>
          <w:tcPr>
            <w:tcW w:w="504" w:type="pct"/>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00" w:author="Author">
                <w:pPr>
                  <w:keepNext/>
                  <w:keepLines/>
                  <w:numPr>
                    <w:ilvl w:val="12"/>
                  </w:numPr>
                  <w:tabs>
                    <w:tab w:val="left" w:pos="180"/>
                  </w:tabs>
                  <w:ind w:right="-2"/>
                  <w:jc w:val="center"/>
                </w:pPr>
              </w:pPrChange>
            </w:pPr>
            <w:r>
              <w:rPr>
                <w:noProof/>
                <w:sz w:val="18"/>
                <w:szCs w:val="18"/>
                <w:lang w:val="it-IT"/>
              </w:rPr>
              <w:t>9%</w:t>
            </w:r>
          </w:p>
        </w:tc>
        <w:tc>
          <w:tcPr>
            <w:tcW w:w="469" w:type="pct"/>
            <w:gridSpan w:val="3"/>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01" w:author="Author">
                <w:pPr>
                  <w:keepNext/>
                  <w:keepLines/>
                  <w:numPr>
                    <w:ilvl w:val="12"/>
                  </w:numPr>
                  <w:tabs>
                    <w:tab w:val="left" w:pos="180"/>
                  </w:tabs>
                  <w:ind w:right="-2"/>
                  <w:jc w:val="center"/>
                </w:pPr>
              </w:pPrChange>
            </w:pPr>
            <w:r>
              <w:rPr>
                <w:noProof/>
                <w:sz w:val="18"/>
                <w:szCs w:val="18"/>
                <w:lang w:val="it-IT"/>
              </w:rPr>
              <w:t>29%***</w:t>
            </w:r>
          </w:p>
        </w:tc>
        <w:tc>
          <w:tcPr>
            <w:tcW w:w="463" w:type="pct"/>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02" w:author="Author">
                <w:pPr>
                  <w:keepNext/>
                  <w:keepLines/>
                  <w:numPr>
                    <w:ilvl w:val="12"/>
                  </w:numPr>
                  <w:tabs>
                    <w:tab w:val="left" w:pos="180"/>
                  </w:tabs>
                  <w:ind w:right="-2"/>
                  <w:jc w:val="center"/>
                </w:pPr>
              </w:pPrChange>
            </w:pPr>
            <w:r>
              <w:rPr>
                <w:noProof/>
                <w:sz w:val="18"/>
                <w:szCs w:val="18"/>
                <w:lang w:val="it-IT"/>
              </w:rPr>
              <w:t>4%</w:t>
            </w:r>
          </w:p>
        </w:tc>
      </w:tr>
      <w:tr>
        <w:trPr>
          <w:cantSplit/>
        </w:trPr>
        <w:tc>
          <w:tcPr>
            <w:tcW w:w="353" w:type="pct"/>
            <w:tcBorders>
              <w:top w:val="single" w:sz="4" w:space="0" w:color="auto"/>
              <w:left w:val="single" w:sz="4" w:space="0" w:color="auto"/>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303" w:author="Author">
                <w:pPr>
                  <w:keepNext/>
                  <w:keepLines/>
                  <w:numPr>
                    <w:ilvl w:val="12"/>
                  </w:numPr>
                  <w:tabs>
                    <w:tab w:val="left" w:pos="180"/>
                  </w:tabs>
                  <w:ind w:right="-2"/>
                  <w:jc w:val="center"/>
                </w:pPr>
              </w:pPrChange>
            </w:pPr>
            <w:r>
              <w:rPr>
                <w:noProof/>
                <w:sz w:val="18"/>
                <w:szCs w:val="18"/>
                <w:lang w:val="it-IT"/>
              </w:rPr>
              <w:t>52</w:t>
            </w:r>
          </w:p>
        </w:tc>
        <w:tc>
          <w:tcPr>
            <w:tcW w:w="480" w:type="pct"/>
            <w:gridSpan w:val="2"/>
            <w:tcBorders>
              <w:top w:val="single" w:sz="4" w:space="0" w:color="auto"/>
              <w:left w:val="single" w:sz="4" w:space="0" w:color="auto"/>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304" w:author="Author">
                <w:pPr>
                  <w:keepNext/>
                  <w:keepLines/>
                  <w:numPr>
                    <w:ilvl w:val="12"/>
                  </w:numPr>
                  <w:tabs>
                    <w:tab w:val="left" w:pos="180"/>
                  </w:tabs>
                  <w:ind w:right="-2"/>
                  <w:jc w:val="center"/>
                </w:pPr>
              </w:pPrChange>
            </w:pPr>
          </w:p>
        </w:tc>
        <w:tc>
          <w:tcPr>
            <w:tcW w:w="370" w:type="pct"/>
            <w:tcBorders>
              <w:top w:val="single" w:sz="4" w:space="0" w:color="auto"/>
              <w:left w:val="single" w:sz="4" w:space="0" w:color="auto"/>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305" w:author="Author">
                <w:pPr>
                  <w:keepNext/>
                  <w:keepLines/>
                  <w:numPr>
                    <w:ilvl w:val="12"/>
                  </w:numPr>
                  <w:tabs>
                    <w:tab w:val="left" w:pos="180"/>
                  </w:tabs>
                  <w:ind w:right="-2"/>
                  <w:jc w:val="center"/>
                </w:pPr>
              </w:pPrChange>
            </w:pPr>
          </w:p>
        </w:tc>
        <w:tc>
          <w:tcPr>
            <w:tcW w:w="463" w:type="pct"/>
            <w:tcBorders>
              <w:top w:val="single" w:sz="4" w:space="0" w:color="auto"/>
              <w:left w:val="single" w:sz="4" w:space="0" w:color="auto"/>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306" w:author="Author">
                <w:pPr>
                  <w:keepNext/>
                  <w:keepLines/>
                  <w:numPr>
                    <w:ilvl w:val="12"/>
                  </w:numPr>
                  <w:tabs>
                    <w:tab w:val="left" w:pos="180"/>
                  </w:tabs>
                  <w:ind w:right="-2"/>
                  <w:jc w:val="center"/>
                </w:pPr>
              </w:pPrChange>
            </w:pPr>
            <w:r>
              <w:rPr>
                <w:noProof/>
                <w:sz w:val="18"/>
                <w:szCs w:val="18"/>
                <w:lang w:val="it-IT"/>
              </w:rPr>
              <w:t>36%***</w:t>
            </w:r>
          </w:p>
        </w:tc>
        <w:tc>
          <w:tcPr>
            <w:tcW w:w="463" w:type="pct"/>
            <w:tcBorders>
              <w:top w:val="single" w:sz="4" w:space="0" w:color="auto"/>
              <w:left w:val="single" w:sz="4" w:space="0" w:color="auto"/>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307" w:author="Author">
                <w:pPr>
                  <w:keepNext/>
                  <w:keepLines/>
                  <w:numPr>
                    <w:ilvl w:val="12"/>
                  </w:numPr>
                  <w:tabs>
                    <w:tab w:val="left" w:pos="180"/>
                  </w:tabs>
                  <w:ind w:right="-2"/>
                  <w:jc w:val="center"/>
                </w:pPr>
              </w:pPrChange>
            </w:pPr>
            <w:r>
              <w:rPr>
                <w:noProof/>
                <w:sz w:val="18"/>
                <w:szCs w:val="18"/>
                <w:lang w:val="it-IT"/>
              </w:rPr>
              <w:t>10%</w:t>
            </w:r>
          </w:p>
        </w:tc>
        <w:tc>
          <w:tcPr>
            <w:tcW w:w="463" w:type="pct"/>
            <w:tcBorders>
              <w:top w:val="single" w:sz="4" w:space="0" w:color="auto"/>
              <w:left w:val="single" w:sz="4" w:space="0" w:color="auto"/>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308" w:author="Author">
                <w:pPr>
                  <w:keepNext/>
                  <w:keepLines/>
                  <w:numPr>
                    <w:ilvl w:val="12"/>
                  </w:numPr>
                  <w:tabs>
                    <w:tab w:val="left" w:pos="180"/>
                  </w:tabs>
                  <w:ind w:right="-2"/>
                  <w:jc w:val="center"/>
                </w:pPr>
              </w:pPrChange>
            </w:pPr>
          </w:p>
        </w:tc>
        <w:tc>
          <w:tcPr>
            <w:tcW w:w="463" w:type="pct"/>
            <w:tcBorders>
              <w:top w:val="single" w:sz="4" w:space="0" w:color="auto"/>
              <w:left w:val="single" w:sz="4" w:space="0" w:color="auto"/>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309" w:author="Author">
                <w:pPr>
                  <w:keepNext/>
                  <w:keepLines/>
                  <w:numPr>
                    <w:ilvl w:val="12"/>
                  </w:numPr>
                  <w:tabs>
                    <w:tab w:val="left" w:pos="180"/>
                  </w:tabs>
                  <w:ind w:right="-2"/>
                  <w:jc w:val="center"/>
                </w:pPr>
              </w:pPrChange>
            </w:pPr>
          </w:p>
        </w:tc>
        <w:tc>
          <w:tcPr>
            <w:tcW w:w="509" w:type="pct"/>
            <w:tcBorders>
              <w:top w:val="single" w:sz="4" w:space="0" w:color="auto"/>
              <w:left w:val="nil"/>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310" w:author="Author">
                <w:pPr>
                  <w:keepNext/>
                  <w:keepLines/>
                  <w:numPr>
                    <w:ilvl w:val="12"/>
                  </w:numPr>
                  <w:tabs>
                    <w:tab w:val="left" w:pos="180"/>
                  </w:tabs>
                  <w:ind w:right="-2"/>
                  <w:jc w:val="center"/>
                </w:pPr>
              </w:pPrChange>
            </w:pPr>
          </w:p>
        </w:tc>
        <w:tc>
          <w:tcPr>
            <w:tcW w:w="504" w:type="pct"/>
            <w:tcBorders>
              <w:top w:val="single" w:sz="4" w:space="0" w:color="auto"/>
              <w:left w:val="nil"/>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311" w:author="Author">
                <w:pPr>
                  <w:keepNext/>
                  <w:keepLines/>
                  <w:numPr>
                    <w:ilvl w:val="12"/>
                  </w:numPr>
                  <w:tabs>
                    <w:tab w:val="left" w:pos="180"/>
                  </w:tabs>
                  <w:ind w:right="-2"/>
                  <w:jc w:val="center"/>
                </w:pPr>
              </w:pPrChange>
            </w:pPr>
          </w:p>
        </w:tc>
        <w:tc>
          <w:tcPr>
            <w:tcW w:w="469" w:type="pct"/>
            <w:gridSpan w:val="3"/>
            <w:tcBorders>
              <w:top w:val="single" w:sz="4" w:space="0" w:color="auto"/>
              <w:left w:val="nil"/>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312" w:author="Author">
                <w:pPr>
                  <w:keepNext/>
                  <w:keepLines/>
                  <w:numPr>
                    <w:ilvl w:val="12"/>
                  </w:numPr>
                  <w:tabs>
                    <w:tab w:val="left" w:pos="180"/>
                  </w:tabs>
                  <w:ind w:right="-2"/>
                  <w:jc w:val="center"/>
                </w:pPr>
              </w:pPrChange>
            </w:pPr>
          </w:p>
        </w:tc>
        <w:tc>
          <w:tcPr>
            <w:tcW w:w="463" w:type="pct"/>
            <w:tcBorders>
              <w:top w:val="single" w:sz="4" w:space="0" w:color="auto"/>
              <w:left w:val="nil"/>
              <w:bottom w:val="single" w:sz="4" w:space="0" w:color="auto"/>
              <w:right w:val="single" w:sz="4" w:space="0" w:color="auto"/>
            </w:tcBorders>
          </w:tcPr>
          <w:p>
            <w:pPr>
              <w:numPr>
                <w:ilvl w:val="12"/>
                <w:numId w:val="0"/>
              </w:numPr>
              <w:tabs>
                <w:tab w:val="left" w:pos="180"/>
              </w:tabs>
              <w:suppressAutoHyphens/>
              <w:jc w:val="center"/>
              <w:rPr>
                <w:noProof/>
                <w:sz w:val="18"/>
                <w:szCs w:val="18"/>
                <w:lang w:val="it-IT"/>
              </w:rPr>
              <w:pPrChange w:id="1313" w:author="Author">
                <w:pPr>
                  <w:keepNext/>
                  <w:keepLines/>
                  <w:numPr>
                    <w:ilvl w:val="12"/>
                  </w:numPr>
                  <w:tabs>
                    <w:tab w:val="left" w:pos="180"/>
                  </w:tabs>
                  <w:ind w:right="-2"/>
                  <w:jc w:val="center"/>
                </w:pPr>
              </w:pPrChange>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1E0" w:firstRow="1" w:lastRow="1" w:firstColumn="1" w:lastColumn="1" w:noHBand="0" w:noVBand="0"/>
          <w:tblPrExChange w:id="1314"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1E0" w:firstRow="1" w:lastRow="1" w:firstColumn="1" w:lastColumn="1" w:noHBand="0" w:noVBand="0"/>
            </w:tblPrEx>
          </w:tblPrExChange>
        </w:tblPrEx>
        <w:trPr>
          <w:cantSplit/>
        </w:trPr>
        <w:tc>
          <w:tcPr>
            <w:tcW w:w="5000" w:type="pct"/>
            <w:gridSpan w:val="14"/>
            <w:tcBorders>
              <w:top w:val="single" w:sz="4" w:space="0" w:color="auto"/>
              <w:left w:val="single" w:sz="4" w:space="0" w:color="auto"/>
              <w:bottom w:val="single" w:sz="4" w:space="0" w:color="auto"/>
              <w:right w:val="single" w:sz="4" w:space="0" w:color="auto"/>
            </w:tcBorders>
            <w:tcPrChange w:id="1315" w:author="Author">
              <w:tcPr>
                <w:tcW w:w="5000" w:type="pct"/>
                <w:gridSpan w:val="14"/>
                <w:tcBorders>
                  <w:top w:val="single" w:sz="4" w:space="0" w:color="auto"/>
                  <w:left w:val="single" w:sz="4" w:space="0" w:color="auto"/>
                  <w:bottom w:val="single" w:sz="4" w:space="0" w:color="auto"/>
                  <w:right w:val="single" w:sz="4" w:space="0" w:color="auto"/>
                </w:tcBorders>
              </w:tcPr>
            </w:tcPrChange>
          </w:tcPr>
          <w:p>
            <w:pPr>
              <w:keepNext/>
              <w:numPr>
                <w:ilvl w:val="12"/>
                <w:numId w:val="0"/>
              </w:numPr>
              <w:tabs>
                <w:tab w:val="left" w:pos="180"/>
              </w:tabs>
              <w:suppressAutoHyphens/>
              <w:jc w:val="center"/>
              <w:rPr>
                <w:noProof/>
                <w:sz w:val="18"/>
                <w:szCs w:val="18"/>
                <w:lang w:val="it-IT"/>
              </w:rPr>
              <w:pPrChange w:id="1316" w:author="Author">
                <w:pPr>
                  <w:keepNext/>
                  <w:keepLines/>
                  <w:numPr>
                    <w:ilvl w:val="12"/>
                  </w:numPr>
                  <w:tabs>
                    <w:tab w:val="left" w:pos="180"/>
                  </w:tabs>
                  <w:jc w:val="center"/>
                </w:pPr>
              </w:pPrChange>
            </w:pPr>
            <w:r>
              <w:rPr>
                <w:b/>
                <w:noProof/>
                <w:sz w:val="18"/>
                <w:szCs w:val="18"/>
                <w:lang w:val="it-IT"/>
              </w:rPr>
              <w:t>ACR 70</w:t>
            </w:r>
          </w:p>
        </w:tc>
      </w:tr>
      <w:tr>
        <w:trPr>
          <w:cantSplit/>
        </w:trPr>
        <w:tc>
          <w:tcPr>
            <w:tcW w:w="35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17" w:author="Author">
                <w:pPr>
                  <w:keepNext/>
                  <w:keepLines/>
                  <w:numPr>
                    <w:ilvl w:val="12"/>
                  </w:numPr>
                  <w:tabs>
                    <w:tab w:val="left" w:pos="180"/>
                  </w:tabs>
                  <w:jc w:val="center"/>
                </w:pPr>
              </w:pPrChange>
            </w:pPr>
            <w:r>
              <w:rPr>
                <w:noProof/>
                <w:sz w:val="18"/>
                <w:szCs w:val="18"/>
                <w:lang w:val="it-IT"/>
              </w:rPr>
              <w:t>24</w:t>
            </w:r>
          </w:p>
        </w:tc>
        <w:tc>
          <w:tcPr>
            <w:tcW w:w="480" w:type="pct"/>
            <w:gridSpan w:val="2"/>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18" w:author="Author">
                <w:pPr>
                  <w:keepNext/>
                  <w:keepLines/>
                  <w:numPr>
                    <w:ilvl w:val="12"/>
                  </w:numPr>
                  <w:tabs>
                    <w:tab w:val="left" w:pos="180"/>
                  </w:tabs>
                  <w:jc w:val="center"/>
                </w:pPr>
              </w:pPrChange>
            </w:pPr>
            <w:r>
              <w:rPr>
                <w:noProof/>
                <w:sz w:val="18"/>
                <w:szCs w:val="18"/>
                <w:lang w:val="it-IT"/>
              </w:rPr>
              <w:t>28%**</w:t>
            </w:r>
          </w:p>
        </w:tc>
        <w:tc>
          <w:tcPr>
            <w:tcW w:w="370"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19" w:author="Author">
                <w:pPr>
                  <w:keepNext/>
                  <w:keepLines/>
                  <w:numPr>
                    <w:ilvl w:val="12"/>
                  </w:numPr>
                  <w:tabs>
                    <w:tab w:val="left" w:pos="180"/>
                  </w:tabs>
                  <w:jc w:val="center"/>
                </w:pPr>
              </w:pPrChange>
            </w:pPr>
            <w:r>
              <w:rPr>
                <w:noProof/>
                <w:sz w:val="18"/>
                <w:szCs w:val="18"/>
                <w:lang w:val="it-IT"/>
              </w:rPr>
              <w:t>15%</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20" w:author="Author">
                <w:pPr>
                  <w:keepNext/>
                  <w:keepLines/>
                  <w:numPr>
                    <w:ilvl w:val="12"/>
                  </w:numPr>
                  <w:tabs>
                    <w:tab w:val="left" w:pos="180"/>
                  </w:tabs>
                  <w:jc w:val="center"/>
                </w:pPr>
              </w:pPrChange>
            </w:pPr>
            <w:r>
              <w:rPr>
                <w:noProof/>
                <w:sz w:val="18"/>
                <w:szCs w:val="18"/>
                <w:lang w:val="it-IT"/>
              </w:rPr>
              <w:t>13%***</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21" w:author="Author">
                <w:pPr>
                  <w:keepNext/>
                  <w:keepLines/>
                  <w:numPr>
                    <w:ilvl w:val="12"/>
                  </w:numPr>
                  <w:tabs>
                    <w:tab w:val="left" w:pos="180"/>
                  </w:tabs>
                  <w:jc w:val="center"/>
                </w:pPr>
              </w:pPrChange>
            </w:pPr>
            <w:r>
              <w:rPr>
                <w:noProof/>
                <w:sz w:val="18"/>
                <w:szCs w:val="18"/>
                <w:lang w:val="it-IT"/>
              </w:rPr>
              <w:t>2%</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22" w:author="Author">
                <w:pPr>
                  <w:keepNext/>
                  <w:keepLines/>
                  <w:numPr>
                    <w:ilvl w:val="12"/>
                  </w:numPr>
                  <w:tabs>
                    <w:tab w:val="left" w:pos="180"/>
                  </w:tabs>
                  <w:jc w:val="center"/>
                </w:pPr>
              </w:pPrChange>
            </w:pPr>
            <w:r>
              <w:rPr>
                <w:noProof/>
                <w:sz w:val="18"/>
                <w:szCs w:val="18"/>
                <w:lang w:val="it-IT"/>
              </w:rPr>
              <w:t>22%***</w:t>
            </w:r>
          </w:p>
        </w:tc>
        <w:tc>
          <w:tcPr>
            <w:tcW w:w="46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23" w:author="Author">
                <w:pPr>
                  <w:keepNext/>
                  <w:keepLines/>
                  <w:numPr>
                    <w:ilvl w:val="12"/>
                  </w:numPr>
                  <w:tabs>
                    <w:tab w:val="left" w:pos="180"/>
                  </w:tabs>
                  <w:jc w:val="center"/>
                </w:pPr>
              </w:pPrChange>
            </w:pPr>
            <w:r>
              <w:rPr>
                <w:noProof/>
                <w:sz w:val="18"/>
                <w:szCs w:val="18"/>
                <w:lang w:val="it-IT"/>
              </w:rPr>
              <w:t>2%</w:t>
            </w:r>
          </w:p>
        </w:tc>
        <w:tc>
          <w:tcPr>
            <w:tcW w:w="509" w:type="pct"/>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24" w:author="Author">
                <w:pPr>
                  <w:keepNext/>
                  <w:keepLines/>
                  <w:numPr>
                    <w:ilvl w:val="12"/>
                  </w:numPr>
                  <w:tabs>
                    <w:tab w:val="left" w:pos="180"/>
                  </w:tabs>
                  <w:jc w:val="center"/>
                </w:pPr>
              </w:pPrChange>
            </w:pPr>
            <w:r>
              <w:rPr>
                <w:noProof/>
                <w:sz w:val="18"/>
                <w:szCs w:val="18"/>
                <w:lang w:val="it-IT"/>
              </w:rPr>
              <w:t>21%***</w:t>
            </w:r>
          </w:p>
        </w:tc>
        <w:tc>
          <w:tcPr>
            <w:tcW w:w="509" w:type="pct"/>
            <w:gridSpan w:val="2"/>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25" w:author="Author">
                <w:pPr>
                  <w:keepNext/>
                  <w:keepLines/>
                  <w:numPr>
                    <w:ilvl w:val="12"/>
                  </w:numPr>
                  <w:tabs>
                    <w:tab w:val="left" w:pos="180"/>
                  </w:tabs>
                  <w:jc w:val="center"/>
                </w:pPr>
              </w:pPrChange>
            </w:pPr>
            <w:r>
              <w:rPr>
                <w:noProof/>
                <w:sz w:val="18"/>
                <w:szCs w:val="18"/>
                <w:lang w:val="it-IT"/>
              </w:rPr>
              <w:t>3%</w:t>
            </w:r>
          </w:p>
        </w:tc>
        <w:tc>
          <w:tcPr>
            <w:tcW w:w="463" w:type="pct"/>
            <w:gridSpan w:val="2"/>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26" w:author="Author">
                <w:pPr>
                  <w:keepNext/>
                  <w:keepLines/>
                  <w:numPr>
                    <w:ilvl w:val="12"/>
                  </w:numPr>
                  <w:tabs>
                    <w:tab w:val="left" w:pos="180"/>
                  </w:tabs>
                  <w:jc w:val="center"/>
                </w:pPr>
              </w:pPrChange>
            </w:pPr>
            <w:r>
              <w:rPr>
                <w:noProof/>
                <w:sz w:val="18"/>
                <w:szCs w:val="18"/>
                <w:lang w:val="it-IT"/>
              </w:rPr>
              <w:t>12%**</w:t>
            </w:r>
          </w:p>
        </w:tc>
        <w:tc>
          <w:tcPr>
            <w:tcW w:w="463" w:type="pct"/>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27" w:author="Author">
                <w:pPr>
                  <w:keepNext/>
                  <w:keepLines/>
                  <w:numPr>
                    <w:ilvl w:val="12"/>
                  </w:numPr>
                  <w:tabs>
                    <w:tab w:val="left" w:pos="180"/>
                  </w:tabs>
                  <w:jc w:val="center"/>
                </w:pPr>
              </w:pPrChange>
            </w:pPr>
            <w:r>
              <w:rPr>
                <w:noProof/>
                <w:sz w:val="18"/>
                <w:szCs w:val="18"/>
                <w:lang w:val="it-IT"/>
              </w:rPr>
              <w:t>1%</w:t>
            </w:r>
          </w:p>
        </w:tc>
      </w:tr>
      <w:tr>
        <w:trPr>
          <w:cantSplit/>
        </w:trPr>
        <w:tc>
          <w:tcPr>
            <w:tcW w:w="353" w:type="pct"/>
            <w:tcBorders>
              <w:top w:val="single" w:sz="4" w:space="0" w:color="auto"/>
              <w:left w:val="single" w:sz="4" w:space="0" w:color="auto"/>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28" w:author="Author">
                <w:pPr>
                  <w:keepNext/>
                  <w:keepLines/>
                  <w:numPr>
                    <w:ilvl w:val="12"/>
                  </w:numPr>
                  <w:tabs>
                    <w:tab w:val="left" w:pos="180"/>
                  </w:tabs>
                  <w:jc w:val="center"/>
                </w:pPr>
              </w:pPrChange>
            </w:pPr>
            <w:r>
              <w:rPr>
                <w:noProof/>
                <w:sz w:val="18"/>
                <w:szCs w:val="18"/>
                <w:lang w:val="it-IT"/>
              </w:rPr>
              <w:t>52</w:t>
            </w:r>
          </w:p>
        </w:tc>
        <w:tc>
          <w:tcPr>
            <w:tcW w:w="480" w:type="pct"/>
            <w:gridSpan w:val="2"/>
            <w:tcBorders>
              <w:top w:val="single" w:sz="4" w:space="0" w:color="auto"/>
              <w:left w:val="single" w:sz="4" w:space="0" w:color="auto"/>
              <w:bottom w:val="single" w:sz="4" w:space="0" w:color="auto"/>
              <w:right w:val="nil"/>
            </w:tcBorders>
          </w:tcPr>
          <w:p>
            <w:pPr>
              <w:keepNext/>
              <w:numPr>
                <w:ilvl w:val="12"/>
                <w:numId w:val="0"/>
              </w:numPr>
              <w:tabs>
                <w:tab w:val="left" w:pos="180"/>
              </w:tabs>
              <w:suppressAutoHyphens/>
              <w:jc w:val="center"/>
              <w:rPr>
                <w:noProof/>
                <w:sz w:val="18"/>
                <w:szCs w:val="18"/>
                <w:lang w:val="it-IT"/>
              </w:rPr>
              <w:pPrChange w:id="1329" w:author="Author">
                <w:pPr>
                  <w:keepNext/>
                  <w:keepLines/>
                  <w:numPr>
                    <w:ilvl w:val="12"/>
                  </w:numPr>
                  <w:tabs>
                    <w:tab w:val="left" w:pos="180"/>
                  </w:tabs>
                  <w:jc w:val="center"/>
                </w:pPr>
              </w:pPrChange>
            </w:pPr>
          </w:p>
        </w:tc>
        <w:tc>
          <w:tcPr>
            <w:tcW w:w="370" w:type="pct"/>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30" w:author="Author">
                <w:pPr>
                  <w:keepNext/>
                  <w:keepLines/>
                  <w:numPr>
                    <w:ilvl w:val="12"/>
                  </w:numPr>
                  <w:tabs>
                    <w:tab w:val="left" w:pos="180"/>
                  </w:tabs>
                  <w:jc w:val="center"/>
                </w:pPr>
              </w:pPrChange>
            </w:pPr>
          </w:p>
        </w:tc>
        <w:tc>
          <w:tcPr>
            <w:tcW w:w="463" w:type="pct"/>
            <w:tcBorders>
              <w:top w:val="single" w:sz="4" w:space="0" w:color="auto"/>
              <w:left w:val="single" w:sz="4" w:space="0" w:color="auto"/>
              <w:bottom w:val="single" w:sz="4" w:space="0" w:color="auto"/>
              <w:right w:val="nil"/>
            </w:tcBorders>
          </w:tcPr>
          <w:p>
            <w:pPr>
              <w:keepNext/>
              <w:numPr>
                <w:ilvl w:val="12"/>
                <w:numId w:val="0"/>
              </w:numPr>
              <w:tabs>
                <w:tab w:val="left" w:pos="180"/>
              </w:tabs>
              <w:suppressAutoHyphens/>
              <w:jc w:val="center"/>
              <w:rPr>
                <w:noProof/>
                <w:sz w:val="18"/>
                <w:szCs w:val="18"/>
                <w:lang w:val="it-IT"/>
              </w:rPr>
              <w:pPrChange w:id="1331" w:author="Author">
                <w:pPr>
                  <w:keepNext/>
                  <w:keepLines/>
                  <w:numPr>
                    <w:ilvl w:val="12"/>
                  </w:numPr>
                  <w:tabs>
                    <w:tab w:val="left" w:pos="180"/>
                  </w:tabs>
                  <w:jc w:val="center"/>
                </w:pPr>
              </w:pPrChange>
            </w:pPr>
            <w:r>
              <w:rPr>
                <w:noProof/>
                <w:sz w:val="18"/>
                <w:szCs w:val="18"/>
                <w:lang w:val="it-IT"/>
              </w:rPr>
              <w:t>20%***</w:t>
            </w:r>
          </w:p>
        </w:tc>
        <w:tc>
          <w:tcPr>
            <w:tcW w:w="463" w:type="pct"/>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32" w:author="Author">
                <w:pPr>
                  <w:keepNext/>
                  <w:keepLines/>
                  <w:numPr>
                    <w:ilvl w:val="12"/>
                  </w:numPr>
                  <w:tabs>
                    <w:tab w:val="left" w:pos="180"/>
                  </w:tabs>
                  <w:jc w:val="center"/>
                </w:pPr>
              </w:pPrChange>
            </w:pPr>
            <w:r>
              <w:rPr>
                <w:noProof/>
                <w:sz w:val="18"/>
                <w:szCs w:val="18"/>
                <w:lang w:val="it-IT"/>
              </w:rPr>
              <w:t>4%</w:t>
            </w:r>
          </w:p>
        </w:tc>
        <w:tc>
          <w:tcPr>
            <w:tcW w:w="463" w:type="pct"/>
            <w:tcBorders>
              <w:top w:val="single" w:sz="4" w:space="0" w:color="auto"/>
              <w:left w:val="single" w:sz="4" w:space="0" w:color="auto"/>
              <w:bottom w:val="single" w:sz="4" w:space="0" w:color="auto"/>
              <w:right w:val="nil"/>
            </w:tcBorders>
          </w:tcPr>
          <w:p>
            <w:pPr>
              <w:keepNext/>
              <w:numPr>
                <w:ilvl w:val="12"/>
                <w:numId w:val="0"/>
              </w:numPr>
              <w:tabs>
                <w:tab w:val="left" w:pos="180"/>
              </w:tabs>
              <w:suppressAutoHyphens/>
              <w:jc w:val="center"/>
              <w:rPr>
                <w:noProof/>
                <w:sz w:val="18"/>
                <w:szCs w:val="18"/>
                <w:lang w:val="it-IT"/>
              </w:rPr>
              <w:pPrChange w:id="1333" w:author="Author">
                <w:pPr>
                  <w:keepNext/>
                  <w:keepLines/>
                  <w:numPr>
                    <w:ilvl w:val="12"/>
                  </w:numPr>
                  <w:tabs>
                    <w:tab w:val="left" w:pos="180"/>
                  </w:tabs>
                  <w:jc w:val="center"/>
                </w:pPr>
              </w:pPrChange>
            </w:pPr>
          </w:p>
        </w:tc>
        <w:tc>
          <w:tcPr>
            <w:tcW w:w="463" w:type="pct"/>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34" w:author="Author">
                <w:pPr>
                  <w:keepNext/>
                  <w:keepLines/>
                  <w:numPr>
                    <w:ilvl w:val="12"/>
                  </w:numPr>
                  <w:tabs>
                    <w:tab w:val="left" w:pos="180"/>
                  </w:tabs>
                  <w:jc w:val="center"/>
                </w:pPr>
              </w:pPrChange>
            </w:pPr>
          </w:p>
        </w:tc>
        <w:tc>
          <w:tcPr>
            <w:tcW w:w="509" w:type="pct"/>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35" w:author="Author">
                <w:pPr>
                  <w:keepNext/>
                  <w:keepLines/>
                  <w:numPr>
                    <w:ilvl w:val="12"/>
                  </w:numPr>
                  <w:tabs>
                    <w:tab w:val="left" w:pos="180"/>
                  </w:tabs>
                  <w:jc w:val="center"/>
                </w:pPr>
              </w:pPrChange>
            </w:pPr>
          </w:p>
        </w:tc>
        <w:tc>
          <w:tcPr>
            <w:tcW w:w="509" w:type="pct"/>
            <w:gridSpan w:val="2"/>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36" w:author="Author">
                <w:pPr>
                  <w:keepNext/>
                  <w:keepLines/>
                  <w:numPr>
                    <w:ilvl w:val="12"/>
                  </w:numPr>
                  <w:tabs>
                    <w:tab w:val="left" w:pos="180"/>
                  </w:tabs>
                  <w:jc w:val="center"/>
                </w:pPr>
              </w:pPrChange>
            </w:pPr>
          </w:p>
        </w:tc>
        <w:tc>
          <w:tcPr>
            <w:tcW w:w="463" w:type="pct"/>
            <w:gridSpan w:val="2"/>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37" w:author="Author">
                <w:pPr>
                  <w:keepNext/>
                  <w:keepLines/>
                  <w:numPr>
                    <w:ilvl w:val="12"/>
                  </w:numPr>
                  <w:tabs>
                    <w:tab w:val="left" w:pos="180"/>
                  </w:tabs>
                  <w:jc w:val="center"/>
                </w:pPr>
              </w:pPrChange>
            </w:pPr>
          </w:p>
        </w:tc>
        <w:tc>
          <w:tcPr>
            <w:tcW w:w="463" w:type="pct"/>
            <w:tcBorders>
              <w:top w:val="single" w:sz="4" w:space="0" w:color="auto"/>
              <w:left w:val="nil"/>
              <w:bottom w:val="single" w:sz="4" w:space="0" w:color="auto"/>
              <w:right w:val="single" w:sz="4" w:space="0" w:color="auto"/>
            </w:tcBorders>
          </w:tcPr>
          <w:p>
            <w:pPr>
              <w:keepNext/>
              <w:numPr>
                <w:ilvl w:val="12"/>
                <w:numId w:val="0"/>
              </w:numPr>
              <w:tabs>
                <w:tab w:val="left" w:pos="180"/>
              </w:tabs>
              <w:suppressAutoHyphens/>
              <w:jc w:val="center"/>
              <w:rPr>
                <w:noProof/>
                <w:sz w:val="18"/>
                <w:szCs w:val="18"/>
                <w:lang w:val="it-IT"/>
              </w:rPr>
              <w:pPrChange w:id="1338" w:author="Author">
                <w:pPr>
                  <w:keepNext/>
                  <w:keepLines/>
                  <w:numPr>
                    <w:ilvl w:val="12"/>
                  </w:numPr>
                  <w:tabs>
                    <w:tab w:val="left" w:pos="180"/>
                  </w:tabs>
                  <w:jc w:val="center"/>
                </w:pPr>
              </w:pPrChange>
            </w:pPr>
          </w:p>
        </w:tc>
      </w:tr>
    </w:tbl>
    <w:p>
      <w:pPr>
        <w:keepNext/>
        <w:keepLines/>
        <w:numPr>
          <w:ilvl w:val="12"/>
          <w:numId w:val="0"/>
        </w:numPr>
        <w:rPr>
          <w:i/>
          <w:noProof/>
          <w:sz w:val="18"/>
          <w:szCs w:val="18"/>
          <w:rPrChange w:id="1339" w:author="Author">
            <w:rPr>
              <w:i/>
              <w:noProof/>
              <w:sz w:val="18"/>
              <w:szCs w:val="18"/>
              <w:lang w:val="it-IT"/>
            </w:rPr>
          </w:rPrChange>
        </w:rPr>
        <w:pPrChange w:id="1340" w:author="Author">
          <w:pPr>
            <w:keepNext/>
            <w:keepLines/>
            <w:numPr>
              <w:ilvl w:val="12"/>
            </w:numPr>
            <w:tabs>
              <w:tab w:val="left" w:pos="180"/>
            </w:tabs>
          </w:pPr>
        </w:pPrChange>
      </w:pPr>
      <w:r>
        <w:rPr>
          <w:i/>
          <w:noProof/>
          <w:sz w:val="18"/>
          <w:szCs w:val="18"/>
          <w:rPrChange w:id="1341" w:author="Author">
            <w:rPr>
              <w:i/>
              <w:noProof/>
              <w:sz w:val="18"/>
              <w:szCs w:val="18"/>
              <w:lang w:val="it-IT"/>
            </w:rPr>
          </w:rPrChange>
        </w:rPr>
        <w:t xml:space="preserve">ACR </w:t>
      </w:r>
      <w:r>
        <w:rPr>
          <w:i/>
          <w:noProof/>
          <w:sz w:val="18"/>
          <w:szCs w:val="18"/>
          <w:rPrChange w:id="1342" w:author="Author">
            <w:rPr>
              <w:i/>
              <w:noProof/>
              <w:sz w:val="18"/>
              <w:szCs w:val="18"/>
              <w:lang w:val="it-IT"/>
            </w:rPr>
          </w:rPrChange>
        </w:rPr>
        <w:tab/>
      </w:r>
      <w:r>
        <w:rPr>
          <w:i/>
          <w:noProof/>
          <w:sz w:val="18"/>
          <w:szCs w:val="18"/>
          <w:rPrChange w:id="1343" w:author="Author">
            <w:rPr>
              <w:i/>
              <w:noProof/>
              <w:sz w:val="18"/>
              <w:szCs w:val="18"/>
              <w:lang w:val="it-IT"/>
            </w:rPr>
          </w:rPrChange>
        </w:rPr>
        <w:tab/>
        <w:t xml:space="preserve">- American College of Rheumatology (ACR) </w:t>
      </w:r>
      <w:del w:id="1344" w:author="Author">
        <w:r>
          <w:rPr>
            <w:i/>
            <w:noProof/>
            <w:sz w:val="18"/>
            <w:szCs w:val="18"/>
            <w:rPrChange w:id="1345" w:author="Author">
              <w:rPr>
                <w:i/>
                <w:noProof/>
                <w:sz w:val="18"/>
                <w:szCs w:val="18"/>
                <w:lang w:val="it-IT"/>
              </w:rPr>
            </w:rPrChange>
          </w:rPr>
          <w:delText>criterio</w:delText>
        </w:r>
      </w:del>
      <w:ins w:id="1346" w:author="Author">
        <w:r>
          <w:rPr>
            <w:i/>
            <w:noProof/>
            <w:sz w:val="18"/>
            <w:szCs w:val="18"/>
            <w:rPrChange w:id="1347" w:author="Author">
              <w:rPr>
                <w:i/>
                <w:noProof/>
                <w:sz w:val="18"/>
                <w:szCs w:val="18"/>
                <w:lang w:val="it-IT"/>
              </w:rPr>
            </w:rPrChange>
          </w:rPr>
          <w:t>criteri</w:t>
        </w:r>
        <w:r>
          <w:rPr>
            <w:i/>
            <w:noProof/>
            <w:sz w:val="18"/>
            <w:szCs w:val="18"/>
          </w:rPr>
          <w:t>a</w:t>
        </w:r>
      </w:ins>
    </w:p>
    <w:p>
      <w:pPr>
        <w:keepNext/>
        <w:keepLines/>
        <w:numPr>
          <w:ilvl w:val="12"/>
          <w:numId w:val="0"/>
        </w:numPr>
        <w:rPr>
          <w:i/>
          <w:noProof/>
          <w:sz w:val="18"/>
          <w:szCs w:val="18"/>
          <w:rPrChange w:id="1348" w:author="Author">
            <w:rPr>
              <w:i/>
              <w:noProof/>
              <w:sz w:val="18"/>
              <w:szCs w:val="18"/>
              <w:lang w:val="it-IT"/>
            </w:rPr>
          </w:rPrChange>
        </w:rPr>
        <w:pPrChange w:id="1349" w:author="Author">
          <w:pPr>
            <w:keepNext/>
            <w:keepLines/>
            <w:numPr>
              <w:ilvl w:val="12"/>
            </w:numPr>
            <w:tabs>
              <w:tab w:val="left" w:pos="180"/>
            </w:tabs>
          </w:pPr>
        </w:pPrChange>
      </w:pPr>
      <w:r>
        <w:rPr>
          <w:i/>
          <w:noProof/>
          <w:sz w:val="18"/>
          <w:szCs w:val="18"/>
          <w:rPrChange w:id="1350" w:author="Author">
            <w:rPr>
              <w:i/>
              <w:noProof/>
              <w:sz w:val="18"/>
              <w:szCs w:val="18"/>
              <w:lang w:val="it-IT"/>
            </w:rPr>
          </w:rPrChange>
        </w:rPr>
        <w:t xml:space="preserve">TCZ </w:t>
      </w:r>
      <w:r>
        <w:rPr>
          <w:i/>
          <w:noProof/>
          <w:sz w:val="18"/>
          <w:szCs w:val="18"/>
          <w:rPrChange w:id="1351" w:author="Author">
            <w:rPr>
              <w:i/>
              <w:noProof/>
              <w:sz w:val="18"/>
              <w:szCs w:val="18"/>
              <w:lang w:val="it-IT"/>
            </w:rPr>
          </w:rPrChange>
        </w:rPr>
        <w:tab/>
      </w:r>
      <w:r>
        <w:rPr>
          <w:i/>
          <w:noProof/>
          <w:sz w:val="18"/>
          <w:szCs w:val="18"/>
          <w:rPrChange w:id="1352" w:author="Author">
            <w:rPr>
              <w:i/>
              <w:noProof/>
              <w:sz w:val="18"/>
              <w:szCs w:val="18"/>
              <w:lang w:val="it-IT"/>
            </w:rPr>
          </w:rPrChange>
        </w:rPr>
        <w:tab/>
        <w:t xml:space="preserve">- </w:t>
      </w:r>
      <w:ins w:id="1353" w:author="Author">
        <w:r>
          <w:rPr>
            <w:i/>
            <w:noProof/>
            <w:sz w:val="18"/>
            <w:szCs w:val="18"/>
            <w:rPrChange w:id="1354" w:author="Author">
              <w:rPr>
                <w:i/>
                <w:noProof/>
                <w:sz w:val="18"/>
                <w:szCs w:val="18"/>
                <w:lang w:val="it-IT"/>
              </w:rPr>
            </w:rPrChange>
          </w:rPr>
          <w:t>t</w:t>
        </w:r>
      </w:ins>
      <w:del w:id="1355" w:author="Author">
        <w:r>
          <w:rPr>
            <w:i/>
            <w:noProof/>
            <w:sz w:val="18"/>
            <w:szCs w:val="18"/>
            <w:rPrChange w:id="1356" w:author="Author">
              <w:rPr>
                <w:i/>
                <w:noProof/>
                <w:sz w:val="18"/>
                <w:szCs w:val="18"/>
                <w:lang w:val="it-IT"/>
              </w:rPr>
            </w:rPrChange>
          </w:rPr>
          <w:delText>T</w:delText>
        </w:r>
      </w:del>
      <w:r>
        <w:rPr>
          <w:i/>
          <w:noProof/>
          <w:sz w:val="18"/>
          <w:szCs w:val="18"/>
          <w:rPrChange w:id="1357" w:author="Author">
            <w:rPr>
              <w:i/>
              <w:noProof/>
              <w:sz w:val="18"/>
              <w:szCs w:val="18"/>
              <w:lang w:val="it-IT"/>
            </w:rPr>
          </w:rPrChange>
        </w:rPr>
        <w:t>ocilizumab</w:t>
      </w:r>
    </w:p>
    <w:p>
      <w:pPr>
        <w:keepNext/>
        <w:keepLines/>
        <w:numPr>
          <w:ilvl w:val="12"/>
          <w:numId w:val="0"/>
        </w:numPr>
        <w:rPr>
          <w:noProof/>
          <w:sz w:val="18"/>
          <w:szCs w:val="18"/>
          <w:rPrChange w:id="1358" w:author="Author">
            <w:rPr>
              <w:noProof/>
              <w:sz w:val="18"/>
              <w:szCs w:val="18"/>
              <w:lang w:val="it-IT"/>
            </w:rPr>
          </w:rPrChange>
        </w:rPr>
        <w:pPrChange w:id="1359" w:author="Author">
          <w:pPr>
            <w:keepNext/>
            <w:keepLines/>
            <w:numPr>
              <w:ilvl w:val="12"/>
            </w:numPr>
            <w:tabs>
              <w:tab w:val="left" w:pos="180"/>
            </w:tabs>
          </w:pPr>
        </w:pPrChange>
      </w:pPr>
      <w:r>
        <w:rPr>
          <w:i/>
          <w:noProof/>
          <w:sz w:val="18"/>
          <w:szCs w:val="18"/>
          <w:rPrChange w:id="1360" w:author="Author">
            <w:rPr>
              <w:i/>
              <w:noProof/>
              <w:sz w:val="18"/>
              <w:szCs w:val="18"/>
              <w:lang w:val="it-IT"/>
            </w:rPr>
          </w:rPrChange>
        </w:rPr>
        <w:t>MTX</w:t>
      </w:r>
      <w:r>
        <w:rPr>
          <w:i/>
          <w:noProof/>
          <w:sz w:val="18"/>
          <w:szCs w:val="18"/>
          <w:rPrChange w:id="1361" w:author="Author">
            <w:rPr>
              <w:i/>
              <w:noProof/>
              <w:sz w:val="18"/>
              <w:szCs w:val="18"/>
              <w:lang w:val="it-IT"/>
            </w:rPr>
          </w:rPrChange>
        </w:rPr>
        <w:tab/>
      </w:r>
      <w:r>
        <w:rPr>
          <w:i/>
          <w:noProof/>
          <w:sz w:val="18"/>
          <w:szCs w:val="18"/>
          <w:rPrChange w:id="1362" w:author="Author">
            <w:rPr>
              <w:i/>
              <w:noProof/>
              <w:sz w:val="18"/>
              <w:szCs w:val="18"/>
              <w:lang w:val="it-IT"/>
            </w:rPr>
          </w:rPrChange>
        </w:rPr>
        <w:tab/>
        <w:t xml:space="preserve">- </w:t>
      </w:r>
      <w:ins w:id="1363" w:author="Author">
        <w:r>
          <w:rPr>
            <w:i/>
            <w:noProof/>
            <w:sz w:val="18"/>
            <w:szCs w:val="18"/>
            <w:rPrChange w:id="1364" w:author="Author">
              <w:rPr>
                <w:i/>
                <w:noProof/>
                <w:sz w:val="18"/>
                <w:szCs w:val="18"/>
                <w:lang w:val="it-IT"/>
              </w:rPr>
            </w:rPrChange>
          </w:rPr>
          <w:t>m</w:t>
        </w:r>
      </w:ins>
      <w:del w:id="1365" w:author="Author">
        <w:r>
          <w:rPr>
            <w:i/>
            <w:noProof/>
            <w:sz w:val="18"/>
            <w:szCs w:val="18"/>
            <w:rPrChange w:id="1366" w:author="Author">
              <w:rPr>
                <w:i/>
                <w:noProof/>
                <w:sz w:val="18"/>
                <w:szCs w:val="18"/>
                <w:lang w:val="it-IT"/>
              </w:rPr>
            </w:rPrChange>
          </w:rPr>
          <w:delText>M</w:delText>
        </w:r>
      </w:del>
      <w:r>
        <w:rPr>
          <w:i/>
          <w:noProof/>
          <w:sz w:val="18"/>
          <w:szCs w:val="18"/>
          <w:rPrChange w:id="1367" w:author="Author">
            <w:rPr>
              <w:i/>
              <w:noProof/>
              <w:sz w:val="18"/>
              <w:szCs w:val="18"/>
              <w:lang w:val="it-IT"/>
            </w:rPr>
          </w:rPrChange>
        </w:rPr>
        <w:t>etotre</w:t>
      </w:r>
      <w:del w:id="1368" w:author="Author">
        <w:r>
          <w:rPr>
            <w:i/>
            <w:noProof/>
            <w:sz w:val="18"/>
            <w:szCs w:val="18"/>
            <w:rPrChange w:id="1369" w:author="Author">
              <w:rPr>
                <w:i/>
                <w:noProof/>
                <w:sz w:val="18"/>
                <w:szCs w:val="18"/>
                <w:lang w:val="it-IT"/>
              </w:rPr>
            </w:rPrChange>
          </w:rPr>
          <w:delText>ss</w:delText>
        </w:r>
      </w:del>
      <w:ins w:id="1370" w:author="Author">
        <w:r>
          <w:rPr>
            <w:i/>
            <w:noProof/>
            <w:sz w:val="18"/>
            <w:szCs w:val="18"/>
          </w:rPr>
          <w:t>x</w:t>
        </w:r>
      </w:ins>
      <w:r>
        <w:rPr>
          <w:i/>
          <w:noProof/>
          <w:sz w:val="18"/>
          <w:szCs w:val="18"/>
          <w:rPrChange w:id="1371" w:author="Author">
            <w:rPr>
              <w:i/>
              <w:noProof/>
              <w:sz w:val="18"/>
              <w:szCs w:val="18"/>
              <w:lang w:val="it-IT"/>
            </w:rPr>
          </w:rPrChange>
        </w:rPr>
        <w:t>ato</w:t>
      </w:r>
    </w:p>
    <w:p>
      <w:pPr>
        <w:keepNext/>
        <w:keepLines/>
        <w:numPr>
          <w:ilvl w:val="12"/>
          <w:numId w:val="0"/>
        </w:numPr>
        <w:rPr>
          <w:noProof/>
          <w:sz w:val="18"/>
          <w:szCs w:val="18"/>
          <w:rPrChange w:id="1372" w:author="Author">
            <w:rPr>
              <w:noProof/>
              <w:sz w:val="18"/>
              <w:szCs w:val="18"/>
              <w:lang w:val="it-IT"/>
            </w:rPr>
          </w:rPrChange>
        </w:rPr>
        <w:pPrChange w:id="1373" w:author="Author">
          <w:pPr>
            <w:keepNext/>
            <w:keepLines/>
            <w:numPr>
              <w:ilvl w:val="12"/>
            </w:numPr>
            <w:tabs>
              <w:tab w:val="left" w:pos="180"/>
            </w:tabs>
          </w:pPr>
        </w:pPrChange>
      </w:pPr>
      <w:r>
        <w:rPr>
          <w:i/>
          <w:noProof/>
          <w:sz w:val="18"/>
          <w:szCs w:val="18"/>
          <w:rPrChange w:id="1374" w:author="Author">
            <w:rPr>
              <w:i/>
              <w:noProof/>
              <w:sz w:val="18"/>
              <w:szCs w:val="18"/>
              <w:lang w:val="it-IT"/>
            </w:rPr>
          </w:rPrChange>
        </w:rPr>
        <w:t>PBO</w:t>
      </w:r>
      <w:r>
        <w:rPr>
          <w:i/>
          <w:noProof/>
          <w:sz w:val="18"/>
          <w:szCs w:val="18"/>
          <w:rPrChange w:id="1375" w:author="Author">
            <w:rPr>
              <w:i/>
              <w:noProof/>
              <w:sz w:val="18"/>
              <w:szCs w:val="18"/>
              <w:lang w:val="it-IT"/>
            </w:rPr>
          </w:rPrChange>
        </w:rPr>
        <w:tab/>
      </w:r>
      <w:r>
        <w:rPr>
          <w:i/>
          <w:noProof/>
          <w:sz w:val="18"/>
          <w:szCs w:val="18"/>
          <w:rPrChange w:id="1376" w:author="Author">
            <w:rPr>
              <w:i/>
              <w:noProof/>
              <w:sz w:val="18"/>
              <w:szCs w:val="18"/>
              <w:lang w:val="it-IT"/>
            </w:rPr>
          </w:rPrChange>
        </w:rPr>
        <w:tab/>
        <w:t>- Placebo</w:t>
      </w:r>
    </w:p>
    <w:p>
      <w:pPr>
        <w:keepNext/>
        <w:keepLines/>
        <w:numPr>
          <w:ilvl w:val="12"/>
          <w:numId w:val="0"/>
        </w:numPr>
        <w:rPr>
          <w:noProof/>
          <w:sz w:val="18"/>
          <w:szCs w:val="18"/>
          <w:lang w:val="it-IT"/>
        </w:rPr>
        <w:pPrChange w:id="1377" w:author="Author">
          <w:pPr>
            <w:keepNext/>
            <w:keepLines/>
            <w:numPr>
              <w:ilvl w:val="12"/>
            </w:numPr>
            <w:tabs>
              <w:tab w:val="left" w:pos="180"/>
            </w:tabs>
          </w:pPr>
        </w:pPrChange>
      </w:pPr>
      <w:r>
        <w:rPr>
          <w:i/>
          <w:noProof/>
          <w:sz w:val="18"/>
          <w:szCs w:val="18"/>
          <w:lang w:val="it-IT"/>
        </w:rPr>
        <w:t xml:space="preserve">DMARD </w:t>
      </w:r>
      <w:r>
        <w:rPr>
          <w:i/>
          <w:noProof/>
          <w:sz w:val="18"/>
          <w:szCs w:val="18"/>
          <w:lang w:val="it-IT"/>
        </w:rPr>
        <w:tab/>
        <w:t>- Farmaco antireumatico modificante la malattia</w:t>
      </w:r>
    </w:p>
    <w:p>
      <w:pPr>
        <w:keepNext/>
        <w:keepLines/>
        <w:numPr>
          <w:ilvl w:val="12"/>
          <w:numId w:val="0"/>
        </w:numPr>
        <w:rPr>
          <w:i/>
          <w:noProof/>
          <w:sz w:val="18"/>
          <w:szCs w:val="18"/>
          <w:lang w:val="it-IT"/>
        </w:rPr>
        <w:pPrChange w:id="1378" w:author="Author">
          <w:pPr>
            <w:keepNext/>
            <w:keepLines/>
            <w:numPr>
              <w:ilvl w:val="12"/>
            </w:numPr>
            <w:tabs>
              <w:tab w:val="left" w:pos="180"/>
            </w:tabs>
          </w:pPr>
        </w:pPrChange>
      </w:pPr>
      <w:r>
        <w:rPr>
          <w:i/>
          <w:noProof/>
          <w:sz w:val="18"/>
          <w:szCs w:val="18"/>
          <w:lang w:val="it-IT"/>
        </w:rPr>
        <w:t xml:space="preserve">** </w:t>
      </w:r>
      <w:r>
        <w:rPr>
          <w:i/>
          <w:noProof/>
          <w:sz w:val="18"/>
          <w:szCs w:val="18"/>
          <w:lang w:val="it-IT"/>
        </w:rPr>
        <w:tab/>
      </w:r>
      <w:r>
        <w:rPr>
          <w:i/>
          <w:noProof/>
          <w:sz w:val="18"/>
          <w:szCs w:val="18"/>
          <w:lang w:val="it-IT"/>
        </w:rPr>
        <w:tab/>
        <w:t xml:space="preserve">- p </w:t>
      </w:r>
      <w:r>
        <w:rPr>
          <w:rFonts w:eastAsia="MS Mincho"/>
          <w:noProof/>
          <w:sz w:val="18"/>
          <w:szCs w:val="18"/>
          <w:lang w:val="it-IT"/>
        </w:rPr>
        <w:sym w:font="Symbol" w:char="F03C"/>
      </w:r>
      <w:r>
        <w:rPr>
          <w:i/>
          <w:noProof/>
          <w:sz w:val="18"/>
          <w:szCs w:val="18"/>
          <w:lang w:val="it-IT"/>
        </w:rPr>
        <w:t>0,01; TCZ vs. PBO</w:t>
      </w:r>
      <w:del w:id="1379" w:author="Author">
        <w:r>
          <w:rPr>
            <w:i/>
            <w:noProof/>
            <w:sz w:val="18"/>
            <w:szCs w:val="18"/>
            <w:lang w:val="it-IT"/>
          </w:rPr>
          <w:delText xml:space="preserve"> </w:delText>
        </w:r>
      </w:del>
      <w:ins w:id="1380" w:author="Author">
        <w:r>
          <w:rPr>
            <w:i/>
            <w:noProof/>
            <w:sz w:val="18"/>
            <w:szCs w:val="18"/>
            <w:lang w:val="it-IT"/>
          </w:rPr>
          <w:t> </w:t>
        </w:r>
      </w:ins>
      <w:r>
        <w:rPr>
          <w:i/>
          <w:noProof/>
          <w:sz w:val="18"/>
          <w:szCs w:val="18"/>
          <w:lang w:val="it-IT"/>
        </w:rPr>
        <w:t>+</w:t>
      </w:r>
      <w:ins w:id="1381" w:author="Author">
        <w:r>
          <w:rPr>
            <w:i/>
            <w:noProof/>
            <w:sz w:val="18"/>
            <w:szCs w:val="18"/>
            <w:lang w:val="it-IT"/>
          </w:rPr>
          <w:t> </w:t>
        </w:r>
      </w:ins>
      <w:del w:id="1382" w:author="Author">
        <w:r>
          <w:rPr>
            <w:i/>
            <w:noProof/>
            <w:sz w:val="18"/>
            <w:szCs w:val="18"/>
            <w:lang w:val="it-IT"/>
          </w:rPr>
          <w:delText xml:space="preserve"> </w:delText>
        </w:r>
      </w:del>
      <w:r>
        <w:rPr>
          <w:i/>
          <w:noProof/>
          <w:sz w:val="18"/>
          <w:szCs w:val="18"/>
          <w:lang w:val="it-IT"/>
        </w:rPr>
        <w:t>MTX/DMARD</w:t>
      </w:r>
    </w:p>
    <w:p>
      <w:pPr>
        <w:numPr>
          <w:ilvl w:val="12"/>
          <w:numId w:val="0"/>
        </w:numPr>
        <w:rPr>
          <w:i/>
          <w:noProof/>
          <w:sz w:val="18"/>
          <w:szCs w:val="18"/>
          <w:lang w:val="it-IT"/>
        </w:rPr>
        <w:pPrChange w:id="1383" w:author="Author">
          <w:pPr>
            <w:numPr>
              <w:ilvl w:val="12"/>
            </w:numPr>
            <w:tabs>
              <w:tab w:val="left" w:pos="180"/>
            </w:tabs>
            <w:ind w:right="-2"/>
          </w:pPr>
        </w:pPrChange>
      </w:pPr>
      <w:r>
        <w:rPr>
          <w:i/>
          <w:noProof/>
          <w:sz w:val="18"/>
          <w:szCs w:val="18"/>
          <w:lang w:val="it-IT"/>
        </w:rPr>
        <w:t xml:space="preserve">*** </w:t>
      </w:r>
      <w:r>
        <w:rPr>
          <w:i/>
          <w:noProof/>
          <w:sz w:val="18"/>
          <w:szCs w:val="18"/>
          <w:lang w:val="it-IT"/>
        </w:rPr>
        <w:tab/>
      </w:r>
      <w:r>
        <w:rPr>
          <w:i/>
          <w:noProof/>
          <w:sz w:val="18"/>
          <w:szCs w:val="18"/>
          <w:lang w:val="it-IT"/>
        </w:rPr>
        <w:tab/>
        <w:t xml:space="preserve">- p </w:t>
      </w:r>
      <w:r>
        <w:rPr>
          <w:rFonts w:eastAsia="MS Mincho"/>
          <w:noProof/>
          <w:sz w:val="18"/>
          <w:szCs w:val="18"/>
          <w:lang w:val="it-IT"/>
        </w:rPr>
        <w:sym w:font="Symbol" w:char="F03C"/>
      </w:r>
      <w:r>
        <w:rPr>
          <w:i/>
          <w:noProof/>
          <w:sz w:val="18"/>
          <w:szCs w:val="18"/>
          <w:lang w:val="it-IT"/>
        </w:rPr>
        <w:t>0,0001, TCZ vs. PBO</w:t>
      </w:r>
      <w:del w:id="1384" w:author="Author">
        <w:r>
          <w:rPr>
            <w:i/>
            <w:noProof/>
            <w:sz w:val="18"/>
            <w:szCs w:val="18"/>
            <w:lang w:val="it-IT"/>
          </w:rPr>
          <w:delText xml:space="preserve"> </w:delText>
        </w:r>
      </w:del>
      <w:ins w:id="1385" w:author="Author">
        <w:r>
          <w:rPr>
            <w:i/>
            <w:noProof/>
            <w:sz w:val="18"/>
            <w:szCs w:val="18"/>
            <w:lang w:val="it-IT"/>
          </w:rPr>
          <w:t> </w:t>
        </w:r>
      </w:ins>
      <w:r>
        <w:rPr>
          <w:i/>
          <w:noProof/>
          <w:sz w:val="18"/>
          <w:szCs w:val="18"/>
          <w:lang w:val="it-IT"/>
        </w:rPr>
        <w:t>+</w:t>
      </w:r>
      <w:ins w:id="1386" w:author="Author">
        <w:r>
          <w:rPr>
            <w:i/>
            <w:noProof/>
            <w:sz w:val="18"/>
            <w:szCs w:val="18"/>
            <w:lang w:val="it-IT"/>
          </w:rPr>
          <w:t> </w:t>
        </w:r>
      </w:ins>
      <w:del w:id="1387" w:author="Author">
        <w:r>
          <w:rPr>
            <w:i/>
            <w:noProof/>
            <w:sz w:val="18"/>
            <w:szCs w:val="18"/>
            <w:lang w:val="it-IT"/>
          </w:rPr>
          <w:delText xml:space="preserve"> </w:delText>
        </w:r>
      </w:del>
      <w:r>
        <w:rPr>
          <w:i/>
          <w:noProof/>
          <w:sz w:val="18"/>
          <w:szCs w:val="18"/>
          <w:lang w:val="it-IT"/>
        </w:rPr>
        <w:t>MTX/DMARD</w:t>
      </w:r>
    </w:p>
    <w:p>
      <w:pPr>
        <w:numPr>
          <w:ilvl w:val="12"/>
          <w:numId w:val="0"/>
        </w:numPr>
        <w:tabs>
          <w:tab w:val="left" w:pos="180"/>
        </w:tabs>
        <w:ind w:right="-2"/>
        <w:rPr>
          <w:b/>
          <w:noProof/>
          <w:lang w:val="it-IT"/>
        </w:rPr>
      </w:pPr>
    </w:p>
    <w:p>
      <w:pPr>
        <w:keepNext/>
        <w:keepLines/>
        <w:tabs>
          <w:tab w:val="left" w:pos="180"/>
        </w:tabs>
        <w:rPr>
          <w:noProof/>
          <w:lang w:val="it-IT"/>
        </w:rPr>
      </w:pPr>
      <w:r>
        <w:rPr>
          <w:i/>
          <w:noProof/>
          <w:lang w:val="it-IT"/>
        </w:rPr>
        <w:t>Risposta clinica maggiore</w:t>
      </w:r>
    </w:p>
    <w:p>
      <w:pPr>
        <w:keepNext/>
        <w:keepLines/>
        <w:numPr>
          <w:ilvl w:val="12"/>
          <w:numId w:val="0"/>
        </w:numPr>
        <w:tabs>
          <w:tab w:val="left" w:pos="180"/>
        </w:tabs>
        <w:ind w:right="-2"/>
        <w:rPr>
          <w:noProof/>
          <w:lang w:val="it-IT"/>
        </w:rPr>
      </w:pPr>
      <w:r>
        <w:rPr>
          <w:noProof/>
          <w:lang w:val="it-IT"/>
        </w:rPr>
        <w:t>Dopo due anni di trattamento con tocilizumab più MTX, il 14% dei pazienti ha raggiunto la risposta clinica maggiore (mantenimento della risposta ACR 70 per 24 settimane o più).</w:t>
      </w:r>
    </w:p>
    <w:p>
      <w:pPr>
        <w:numPr>
          <w:ilvl w:val="12"/>
          <w:numId w:val="0"/>
        </w:numPr>
        <w:tabs>
          <w:tab w:val="left" w:pos="180"/>
        </w:tabs>
        <w:ind w:right="-2"/>
        <w:rPr>
          <w:b/>
          <w:noProof/>
          <w:lang w:val="it-IT"/>
        </w:rPr>
      </w:pPr>
    </w:p>
    <w:p>
      <w:pPr>
        <w:tabs>
          <w:tab w:val="left" w:pos="180"/>
        </w:tabs>
        <w:rPr>
          <w:i/>
          <w:noProof/>
          <w:lang w:val="it-IT"/>
        </w:rPr>
      </w:pPr>
      <w:r>
        <w:rPr>
          <w:i/>
          <w:noProof/>
          <w:lang w:val="it-IT"/>
        </w:rPr>
        <w:t>Risposta radiografica</w:t>
      </w:r>
    </w:p>
    <w:p>
      <w:pPr>
        <w:tabs>
          <w:tab w:val="left" w:pos="180"/>
        </w:tabs>
        <w:rPr>
          <w:noProof/>
          <w:lang w:val="it-IT"/>
        </w:rPr>
      </w:pPr>
      <w:r>
        <w:rPr>
          <w:noProof/>
          <w:lang w:val="it-IT"/>
        </w:rPr>
        <w:t xml:space="preserve">Nello </w:t>
      </w:r>
      <w:del w:id="1388" w:author="Author">
        <w:r>
          <w:rPr>
            <w:noProof/>
            <w:lang w:val="it-IT"/>
          </w:rPr>
          <w:delText xml:space="preserve">studio </w:delText>
        </w:r>
      </w:del>
      <w:ins w:id="1389" w:author="Author">
        <w:r>
          <w:rPr>
            <w:noProof/>
            <w:lang w:val="it-IT"/>
          </w:rPr>
          <w:t xml:space="preserve">Studio </w:t>
        </w:r>
      </w:ins>
      <w:r>
        <w:rPr>
          <w:noProof/>
          <w:lang w:val="it-IT"/>
        </w:rPr>
        <w:t xml:space="preserve">II condotto su pazienti con risposta inadeguata a MTX, l’inibizione del danno articolare strutturale è stata valutata radiograficamente ed espressa come variazione del punteggio di Sharp modificato e delle sue componenti, del punteggio dell’erosione e del punteggio relativo al </w:t>
      </w:r>
      <w:r>
        <w:rPr>
          <w:noProof/>
          <w:lang w:val="it-IT"/>
        </w:rPr>
        <w:lastRenderedPageBreak/>
        <w:t>restringimento dello spazio articolare. Nei pazienti trattati con tocilizumab si è ottenuta l’inibizione del danno articolare strutturale dimostrata da una progressione radiografica significativamente inferiore rispetto ai pazienti del gruppo di controllo (tabella 5).</w:t>
      </w:r>
    </w:p>
    <w:p>
      <w:pPr>
        <w:tabs>
          <w:tab w:val="left" w:pos="180"/>
        </w:tabs>
        <w:rPr>
          <w:noProof/>
          <w:lang w:val="it-IT"/>
        </w:rPr>
      </w:pPr>
    </w:p>
    <w:p>
      <w:pPr>
        <w:tabs>
          <w:tab w:val="left" w:pos="180"/>
        </w:tabs>
        <w:rPr>
          <w:noProof/>
          <w:lang w:val="it-IT"/>
        </w:rPr>
      </w:pPr>
      <w:r>
        <w:rPr>
          <w:noProof/>
          <w:lang w:val="it-IT"/>
        </w:rPr>
        <w:t xml:space="preserve">Nella fase di estensione in aperto dello </w:t>
      </w:r>
      <w:del w:id="1390" w:author="Author">
        <w:r>
          <w:rPr>
            <w:noProof/>
            <w:lang w:val="it-IT"/>
          </w:rPr>
          <w:delText xml:space="preserve">studio </w:delText>
        </w:r>
      </w:del>
      <w:ins w:id="1391" w:author="Author">
        <w:r>
          <w:rPr>
            <w:noProof/>
            <w:lang w:val="it-IT"/>
          </w:rPr>
          <w:t xml:space="preserve">Studio </w:t>
        </w:r>
      </w:ins>
      <w:r>
        <w:rPr>
          <w:noProof/>
          <w:lang w:val="it-IT"/>
        </w:rPr>
        <w:t xml:space="preserve">II, l’inibizione della progressione del danno articolare nei pazienti trattati con tocilizumab più MTX si è mantenuta nel secondo anno di trattamento. Alla settimana 104, la </w:t>
      </w:r>
      <w:del w:id="1392" w:author="Author">
        <w:r>
          <w:rPr>
            <w:noProof/>
            <w:lang w:val="it-IT"/>
          </w:rPr>
          <w:delText xml:space="preserve">media di </w:delText>
        </w:r>
      </w:del>
      <w:r>
        <w:rPr>
          <w:noProof/>
          <w:lang w:val="it-IT"/>
        </w:rPr>
        <w:t xml:space="preserve">variazione </w:t>
      </w:r>
      <w:ins w:id="1393" w:author="Author">
        <w:r>
          <w:rPr>
            <w:noProof/>
            <w:lang w:val="it-IT"/>
          </w:rPr>
          <w:t xml:space="preserve">media rispetto </w:t>
        </w:r>
      </w:ins>
      <w:del w:id="1394" w:author="Author">
        <w:r>
          <w:rPr>
            <w:noProof/>
            <w:lang w:val="it-IT"/>
          </w:rPr>
          <w:delText>d</w:delText>
        </w:r>
      </w:del>
      <w:r>
        <w:rPr>
          <w:noProof/>
          <w:lang w:val="it-IT"/>
        </w:rPr>
        <w:t>al basale del total Sharp-Genant score è stata significativamente più bassa per i pazienti randomizzati a tocilizumab 8 mg/kg più MTX (p</w:t>
      </w:r>
      <w:r>
        <w:rPr>
          <w:rFonts w:eastAsia="MS Mincho"/>
          <w:noProof/>
          <w:sz w:val="18"/>
          <w:szCs w:val="18"/>
          <w:lang w:val="it-IT"/>
        </w:rPr>
        <w:sym w:font="Symbol" w:char="F03C"/>
      </w:r>
      <w:r>
        <w:rPr>
          <w:noProof/>
          <w:lang w:val="it-IT"/>
        </w:rPr>
        <w:t>0,0001) rispetto ai pazienti randomizzati a placebo più MTX.</w:t>
      </w:r>
    </w:p>
    <w:p>
      <w:pPr>
        <w:tabs>
          <w:tab w:val="left" w:pos="180"/>
        </w:tabs>
        <w:rPr>
          <w:noProof/>
          <w:lang w:val="it-IT"/>
        </w:rPr>
      </w:pPr>
    </w:p>
    <w:p>
      <w:pPr>
        <w:keepNext/>
        <w:keepLines/>
        <w:tabs>
          <w:tab w:val="left" w:pos="180"/>
        </w:tabs>
        <w:rPr>
          <w:i/>
          <w:noProof/>
          <w:lang w:val="it-IT"/>
        </w:rPr>
      </w:pPr>
      <w:r>
        <w:rPr>
          <w:i/>
          <w:noProof/>
          <w:lang w:val="it-IT"/>
        </w:rPr>
        <w:t xml:space="preserve">Tabella 5. Variazioni radiografiche medie nell’arco di 52 settimane nello </w:t>
      </w:r>
      <w:del w:id="1395" w:author="Author">
        <w:r>
          <w:rPr>
            <w:i/>
            <w:noProof/>
            <w:lang w:val="it-IT"/>
          </w:rPr>
          <w:delText xml:space="preserve">studio </w:delText>
        </w:r>
      </w:del>
      <w:ins w:id="1396" w:author="Author">
        <w:r>
          <w:rPr>
            <w:i/>
            <w:noProof/>
            <w:lang w:val="it-IT"/>
          </w:rPr>
          <w:t xml:space="preserve">Studio </w:t>
        </w:r>
      </w:ins>
      <w:r>
        <w:rPr>
          <w:i/>
          <w:noProof/>
          <w:lang w:val="it-IT"/>
        </w:rPr>
        <w:t>II</w:t>
      </w:r>
    </w:p>
    <w:p>
      <w:pPr>
        <w:keepNext/>
        <w:keepLines/>
        <w:tabs>
          <w:tab w:val="left" w:pos="180"/>
        </w:tabs>
        <w:rPr>
          <w:noProof/>
          <w:lang w:val="it-IT"/>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1397"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3114"/>
        <w:gridCol w:w="3118"/>
        <w:gridCol w:w="2835"/>
        <w:tblGridChange w:id="1398">
          <w:tblGrid>
            <w:gridCol w:w="2358"/>
            <w:gridCol w:w="2790"/>
            <w:gridCol w:w="2610"/>
          </w:tblGrid>
        </w:tblGridChange>
      </w:tblGrid>
      <w:tr>
        <w:trPr>
          <w:cantSplit/>
          <w:tblHeader/>
        </w:trPr>
        <w:tc>
          <w:tcPr>
            <w:tcW w:w="3114" w:type="dxa"/>
            <w:tcBorders>
              <w:top w:val="single" w:sz="4" w:space="0" w:color="auto"/>
              <w:left w:val="single" w:sz="4" w:space="0" w:color="auto"/>
              <w:bottom w:val="single" w:sz="4" w:space="0" w:color="auto"/>
              <w:right w:val="single" w:sz="4" w:space="0" w:color="auto"/>
            </w:tcBorders>
            <w:tcPrChange w:id="1399" w:author="Author">
              <w:tcPr>
                <w:tcW w:w="2358" w:type="dxa"/>
                <w:tcBorders>
                  <w:top w:val="single" w:sz="4" w:space="0" w:color="auto"/>
                  <w:left w:val="single" w:sz="4" w:space="0" w:color="auto"/>
                  <w:bottom w:val="single" w:sz="4" w:space="0" w:color="auto"/>
                  <w:right w:val="single" w:sz="4" w:space="0" w:color="auto"/>
                </w:tcBorders>
              </w:tcPr>
            </w:tcPrChange>
          </w:tcPr>
          <w:p>
            <w:pPr>
              <w:keepNext/>
              <w:tabs>
                <w:tab w:val="left" w:pos="180"/>
              </w:tabs>
              <w:suppressAutoHyphens/>
              <w:rPr>
                <w:noProof/>
                <w:sz w:val="20"/>
                <w:lang w:val="it-IT"/>
                <w:rPrChange w:id="1400" w:author="Author">
                  <w:rPr>
                    <w:lang w:val="it-IT"/>
                  </w:rPr>
                </w:rPrChange>
              </w:rPr>
              <w:pPrChange w:id="1401" w:author="Author">
                <w:pPr>
                  <w:keepNext/>
                  <w:keepLines/>
                  <w:tabs>
                    <w:tab w:val="left" w:pos="180"/>
                  </w:tabs>
                </w:pPr>
              </w:pPrChange>
            </w:pPr>
          </w:p>
        </w:tc>
        <w:tc>
          <w:tcPr>
            <w:tcW w:w="3118" w:type="dxa"/>
            <w:tcBorders>
              <w:top w:val="single" w:sz="4" w:space="0" w:color="auto"/>
              <w:left w:val="single" w:sz="4" w:space="0" w:color="auto"/>
              <w:bottom w:val="single" w:sz="4" w:space="0" w:color="auto"/>
              <w:right w:val="single" w:sz="4" w:space="0" w:color="auto"/>
            </w:tcBorders>
            <w:tcPrChange w:id="1402" w:author="Author">
              <w:tcPr>
                <w:tcW w:w="2790" w:type="dxa"/>
                <w:tcBorders>
                  <w:top w:val="single" w:sz="4" w:space="0" w:color="auto"/>
                  <w:left w:val="single" w:sz="4" w:space="0" w:color="auto"/>
                  <w:bottom w:val="single" w:sz="4" w:space="0" w:color="auto"/>
                  <w:right w:val="single" w:sz="4" w:space="0" w:color="auto"/>
                </w:tcBorders>
              </w:tcPr>
            </w:tcPrChange>
          </w:tcPr>
          <w:p>
            <w:pPr>
              <w:keepNext/>
              <w:numPr>
                <w:ilvl w:val="12"/>
                <w:numId w:val="0"/>
              </w:numPr>
              <w:tabs>
                <w:tab w:val="left" w:pos="180"/>
              </w:tabs>
              <w:suppressAutoHyphens/>
              <w:jc w:val="center"/>
              <w:rPr>
                <w:noProof/>
                <w:sz w:val="20"/>
                <w:lang w:val="it-IT"/>
                <w:rPrChange w:id="1403" w:author="Author">
                  <w:rPr>
                    <w:lang w:val="it-IT"/>
                  </w:rPr>
                </w:rPrChange>
              </w:rPr>
              <w:pPrChange w:id="1404" w:author="Author">
                <w:pPr>
                  <w:keepNext/>
                  <w:keepLines/>
                  <w:numPr>
                    <w:ilvl w:val="12"/>
                  </w:numPr>
                  <w:tabs>
                    <w:tab w:val="left" w:pos="180"/>
                  </w:tabs>
                  <w:ind w:right="-2"/>
                  <w:jc w:val="center"/>
                </w:pPr>
              </w:pPrChange>
            </w:pPr>
            <w:r>
              <w:rPr>
                <w:b/>
                <w:noProof/>
                <w:sz w:val="20"/>
                <w:lang w:val="it-IT"/>
              </w:rPr>
              <w:t>PBO</w:t>
            </w:r>
            <w:del w:id="1405" w:author="Author">
              <w:r>
                <w:rPr>
                  <w:b/>
                  <w:noProof/>
                  <w:sz w:val="20"/>
                  <w:lang w:val="it-IT"/>
                </w:rPr>
                <w:delText xml:space="preserve"> </w:delText>
              </w:r>
            </w:del>
            <w:ins w:id="1406" w:author="Author">
              <w:r>
                <w:rPr>
                  <w:b/>
                  <w:noProof/>
                  <w:sz w:val="20"/>
                  <w:lang w:val="it-IT"/>
                </w:rPr>
                <w:t> </w:t>
              </w:r>
            </w:ins>
            <w:r>
              <w:rPr>
                <w:b/>
                <w:noProof/>
                <w:sz w:val="20"/>
                <w:lang w:val="it-IT"/>
              </w:rPr>
              <w:t>+</w:t>
            </w:r>
            <w:ins w:id="1407" w:author="Author">
              <w:r>
                <w:rPr>
                  <w:b/>
                  <w:noProof/>
                  <w:sz w:val="20"/>
                  <w:lang w:val="it-IT"/>
                </w:rPr>
                <w:t> </w:t>
              </w:r>
            </w:ins>
            <w:del w:id="1408" w:author="Author">
              <w:r>
                <w:rPr>
                  <w:b/>
                  <w:noProof/>
                  <w:sz w:val="20"/>
                  <w:lang w:val="it-IT"/>
                </w:rPr>
                <w:delText xml:space="preserve"> </w:delText>
              </w:r>
            </w:del>
            <w:r>
              <w:rPr>
                <w:b/>
                <w:noProof/>
                <w:sz w:val="20"/>
                <w:lang w:val="it-IT"/>
              </w:rPr>
              <w:t xml:space="preserve">MTX </w:t>
            </w:r>
          </w:p>
          <w:p>
            <w:pPr>
              <w:keepNext/>
              <w:numPr>
                <w:ilvl w:val="12"/>
                <w:numId w:val="0"/>
              </w:numPr>
              <w:tabs>
                <w:tab w:val="left" w:pos="180"/>
              </w:tabs>
              <w:suppressAutoHyphens/>
              <w:jc w:val="center"/>
              <w:rPr>
                <w:b/>
                <w:noProof/>
                <w:sz w:val="20"/>
                <w:lang w:val="it-IT"/>
              </w:rPr>
              <w:pPrChange w:id="1409" w:author="Author">
                <w:pPr>
                  <w:keepNext/>
                  <w:keepLines/>
                  <w:numPr>
                    <w:ilvl w:val="12"/>
                  </w:numPr>
                  <w:tabs>
                    <w:tab w:val="left" w:pos="180"/>
                  </w:tabs>
                  <w:ind w:right="-2"/>
                  <w:jc w:val="center"/>
                </w:pPr>
              </w:pPrChange>
            </w:pPr>
            <w:r>
              <w:rPr>
                <w:b/>
                <w:noProof/>
                <w:sz w:val="20"/>
                <w:lang w:val="it-IT"/>
              </w:rPr>
              <w:t>(+TCZ dalla settimana 24)</w:t>
            </w:r>
          </w:p>
          <w:p>
            <w:pPr>
              <w:keepNext/>
              <w:tabs>
                <w:tab w:val="left" w:pos="180"/>
              </w:tabs>
              <w:suppressAutoHyphens/>
              <w:jc w:val="center"/>
              <w:rPr>
                <w:noProof/>
                <w:sz w:val="20"/>
                <w:lang w:val="it-IT"/>
                <w:rPrChange w:id="1410" w:author="Author">
                  <w:rPr>
                    <w:lang w:val="it-IT"/>
                  </w:rPr>
                </w:rPrChange>
              </w:rPr>
              <w:pPrChange w:id="1411" w:author="Author">
                <w:pPr>
                  <w:keepNext/>
                  <w:keepLines/>
                  <w:tabs>
                    <w:tab w:val="left" w:pos="180"/>
                  </w:tabs>
                  <w:jc w:val="center"/>
                </w:pPr>
              </w:pPrChange>
            </w:pPr>
            <w:del w:id="1412" w:author="Author">
              <w:r>
                <w:rPr>
                  <w:b/>
                  <w:noProof/>
                  <w:sz w:val="20"/>
                  <w:lang w:val="it-IT"/>
                </w:rPr>
                <w:delText xml:space="preserve">N </w:delText>
              </w:r>
            </w:del>
            <w:ins w:id="1413" w:author="Author">
              <w:r>
                <w:rPr>
                  <w:b/>
                  <w:noProof/>
                  <w:sz w:val="20"/>
                  <w:lang w:val="it-IT"/>
                </w:rPr>
                <w:t>n </w:t>
              </w:r>
            </w:ins>
            <w:r>
              <w:rPr>
                <w:b/>
                <w:noProof/>
                <w:sz w:val="20"/>
                <w:lang w:val="it-IT"/>
              </w:rPr>
              <w:t>=</w:t>
            </w:r>
            <w:ins w:id="1414" w:author="Author">
              <w:r>
                <w:rPr>
                  <w:b/>
                  <w:noProof/>
                  <w:sz w:val="20"/>
                  <w:lang w:val="it-IT"/>
                </w:rPr>
                <w:t> </w:t>
              </w:r>
            </w:ins>
            <w:del w:id="1415" w:author="Author">
              <w:r>
                <w:rPr>
                  <w:b/>
                  <w:noProof/>
                  <w:sz w:val="20"/>
                  <w:lang w:val="it-IT"/>
                </w:rPr>
                <w:delText xml:space="preserve"> </w:delText>
              </w:r>
            </w:del>
            <w:r>
              <w:rPr>
                <w:b/>
                <w:noProof/>
                <w:sz w:val="20"/>
                <w:lang w:val="it-IT"/>
              </w:rPr>
              <w:t>393</w:t>
            </w:r>
          </w:p>
        </w:tc>
        <w:tc>
          <w:tcPr>
            <w:tcW w:w="2835" w:type="dxa"/>
            <w:tcBorders>
              <w:top w:val="single" w:sz="4" w:space="0" w:color="auto"/>
              <w:left w:val="single" w:sz="4" w:space="0" w:color="auto"/>
              <w:bottom w:val="single" w:sz="4" w:space="0" w:color="auto"/>
              <w:right w:val="single" w:sz="4" w:space="0" w:color="auto"/>
            </w:tcBorders>
            <w:tcPrChange w:id="1416" w:author="Author">
              <w:tcPr>
                <w:tcW w:w="2610" w:type="dxa"/>
                <w:tcBorders>
                  <w:top w:val="single" w:sz="4" w:space="0" w:color="auto"/>
                  <w:left w:val="single" w:sz="4" w:space="0" w:color="auto"/>
                  <w:bottom w:val="single" w:sz="4" w:space="0" w:color="auto"/>
                  <w:right w:val="single" w:sz="4" w:space="0" w:color="auto"/>
                </w:tcBorders>
              </w:tcPr>
            </w:tcPrChange>
          </w:tcPr>
          <w:p>
            <w:pPr>
              <w:keepNext/>
              <w:tabs>
                <w:tab w:val="left" w:pos="180"/>
              </w:tabs>
              <w:suppressAutoHyphens/>
              <w:jc w:val="center"/>
              <w:rPr>
                <w:b/>
                <w:noProof/>
                <w:sz w:val="20"/>
                <w:lang w:val="pt-BR"/>
                <w:rPrChange w:id="1417" w:author="Author">
                  <w:rPr>
                    <w:b/>
                    <w:sz w:val="20"/>
                    <w:lang w:val="it-IT"/>
                  </w:rPr>
                </w:rPrChange>
              </w:rPr>
              <w:pPrChange w:id="1418" w:author="Author">
                <w:pPr>
                  <w:keepNext/>
                  <w:keepLines/>
                  <w:tabs>
                    <w:tab w:val="left" w:pos="180"/>
                  </w:tabs>
                  <w:jc w:val="center"/>
                </w:pPr>
              </w:pPrChange>
            </w:pPr>
            <w:r>
              <w:rPr>
                <w:b/>
                <w:noProof/>
                <w:sz w:val="20"/>
                <w:lang w:val="pt-BR"/>
                <w:rPrChange w:id="1419" w:author="Author">
                  <w:rPr>
                    <w:b/>
                    <w:sz w:val="20"/>
                    <w:lang w:val="it-IT"/>
                  </w:rPr>
                </w:rPrChange>
              </w:rPr>
              <w:t>TCZ 8 mg/kg</w:t>
            </w:r>
            <w:del w:id="1420" w:author="Author">
              <w:r>
                <w:rPr>
                  <w:b/>
                  <w:noProof/>
                  <w:sz w:val="20"/>
                  <w:lang w:val="pt-BR"/>
                  <w:rPrChange w:id="1421" w:author="Author">
                    <w:rPr>
                      <w:b/>
                      <w:sz w:val="20"/>
                      <w:lang w:val="it-IT"/>
                    </w:rPr>
                  </w:rPrChange>
                </w:rPr>
                <w:delText xml:space="preserve"> </w:delText>
              </w:r>
            </w:del>
            <w:ins w:id="1422" w:author="Author">
              <w:r>
                <w:rPr>
                  <w:b/>
                  <w:noProof/>
                  <w:sz w:val="20"/>
                  <w:lang w:val="pt-BR"/>
                  <w:rPrChange w:id="1423" w:author="Author">
                    <w:rPr>
                      <w:b/>
                      <w:sz w:val="20"/>
                      <w:lang w:val="it-IT"/>
                    </w:rPr>
                  </w:rPrChange>
                </w:rPr>
                <w:t> </w:t>
              </w:r>
            </w:ins>
            <w:r>
              <w:rPr>
                <w:b/>
                <w:noProof/>
                <w:sz w:val="20"/>
                <w:lang w:val="pt-BR"/>
                <w:rPrChange w:id="1424" w:author="Author">
                  <w:rPr>
                    <w:b/>
                    <w:sz w:val="20"/>
                    <w:lang w:val="it-IT"/>
                  </w:rPr>
                </w:rPrChange>
              </w:rPr>
              <w:t>+ MTX</w:t>
            </w:r>
            <w:r>
              <w:rPr>
                <w:b/>
                <w:noProof/>
                <w:sz w:val="20"/>
                <w:lang w:val="pt-BR"/>
                <w:rPrChange w:id="1425" w:author="Author">
                  <w:rPr>
                    <w:b/>
                    <w:sz w:val="20"/>
                    <w:lang w:val="it-IT"/>
                  </w:rPr>
                </w:rPrChange>
              </w:rPr>
              <w:br/>
            </w:r>
          </w:p>
          <w:p>
            <w:pPr>
              <w:keepNext/>
              <w:tabs>
                <w:tab w:val="left" w:pos="180"/>
              </w:tabs>
              <w:suppressAutoHyphens/>
              <w:jc w:val="center"/>
              <w:rPr>
                <w:noProof/>
                <w:sz w:val="20"/>
                <w:lang w:val="pt-BR"/>
                <w:rPrChange w:id="1426" w:author="Author">
                  <w:rPr>
                    <w:lang w:val="it-IT"/>
                  </w:rPr>
                </w:rPrChange>
              </w:rPr>
              <w:pPrChange w:id="1427" w:author="Author">
                <w:pPr>
                  <w:keepNext/>
                  <w:keepLines/>
                  <w:tabs>
                    <w:tab w:val="left" w:pos="180"/>
                  </w:tabs>
                  <w:jc w:val="center"/>
                </w:pPr>
              </w:pPrChange>
            </w:pPr>
            <w:del w:id="1428" w:author="Author">
              <w:r>
                <w:rPr>
                  <w:b/>
                  <w:noProof/>
                  <w:sz w:val="20"/>
                  <w:lang w:val="pt-BR"/>
                  <w:rPrChange w:id="1429" w:author="Author">
                    <w:rPr>
                      <w:b/>
                      <w:sz w:val="20"/>
                      <w:lang w:val="it-IT"/>
                    </w:rPr>
                  </w:rPrChange>
                </w:rPr>
                <w:delText xml:space="preserve">N </w:delText>
              </w:r>
            </w:del>
            <w:ins w:id="1430" w:author="Author">
              <w:r>
                <w:rPr>
                  <w:b/>
                  <w:noProof/>
                  <w:sz w:val="20"/>
                  <w:lang w:val="pt-BR"/>
                  <w:rPrChange w:id="1431" w:author="Author">
                    <w:rPr>
                      <w:b/>
                      <w:sz w:val="20"/>
                      <w:lang w:val="it-IT"/>
                    </w:rPr>
                  </w:rPrChange>
                </w:rPr>
                <w:t>n </w:t>
              </w:r>
            </w:ins>
            <w:r>
              <w:rPr>
                <w:b/>
                <w:noProof/>
                <w:sz w:val="20"/>
                <w:lang w:val="pt-BR"/>
                <w:rPrChange w:id="1432" w:author="Author">
                  <w:rPr>
                    <w:b/>
                    <w:sz w:val="20"/>
                    <w:lang w:val="it-IT"/>
                  </w:rPr>
                </w:rPrChange>
              </w:rPr>
              <w:t>=</w:t>
            </w:r>
            <w:ins w:id="1433" w:author="Author">
              <w:r>
                <w:rPr>
                  <w:b/>
                  <w:noProof/>
                  <w:sz w:val="20"/>
                  <w:lang w:val="pt-BR"/>
                  <w:rPrChange w:id="1434" w:author="Author">
                    <w:rPr>
                      <w:b/>
                      <w:sz w:val="20"/>
                      <w:lang w:val="it-IT"/>
                    </w:rPr>
                  </w:rPrChange>
                </w:rPr>
                <w:t> </w:t>
              </w:r>
            </w:ins>
            <w:del w:id="1435" w:author="Author">
              <w:r>
                <w:rPr>
                  <w:b/>
                  <w:noProof/>
                  <w:sz w:val="20"/>
                  <w:lang w:val="pt-BR"/>
                  <w:rPrChange w:id="1436" w:author="Author">
                    <w:rPr>
                      <w:b/>
                      <w:sz w:val="20"/>
                      <w:lang w:val="it-IT"/>
                    </w:rPr>
                  </w:rPrChange>
                </w:rPr>
                <w:delText xml:space="preserve"> </w:delText>
              </w:r>
            </w:del>
            <w:r>
              <w:rPr>
                <w:b/>
                <w:noProof/>
                <w:sz w:val="20"/>
                <w:lang w:val="pt-BR"/>
                <w:rPrChange w:id="1437" w:author="Author">
                  <w:rPr>
                    <w:b/>
                    <w:sz w:val="20"/>
                    <w:lang w:val="it-IT"/>
                  </w:rPr>
                </w:rPrChange>
              </w:rPr>
              <w:t>398</w:t>
            </w:r>
          </w:p>
        </w:tc>
      </w:tr>
      <w:tr>
        <w:trPr>
          <w:cantSplit/>
        </w:trPr>
        <w:tc>
          <w:tcPr>
            <w:tcW w:w="3114" w:type="dxa"/>
            <w:tcBorders>
              <w:top w:val="single" w:sz="4" w:space="0" w:color="auto"/>
              <w:left w:val="single" w:sz="4" w:space="0" w:color="auto"/>
              <w:bottom w:val="single" w:sz="4" w:space="0" w:color="auto"/>
              <w:right w:val="single" w:sz="4" w:space="0" w:color="auto"/>
            </w:tcBorders>
            <w:tcPrChange w:id="1438" w:author="Author">
              <w:tcPr>
                <w:tcW w:w="2358" w:type="dxa"/>
                <w:tcBorders>
                  <w:top w:val="single" w:sz="4" w:space="0" w:color="auto"/>
                  <w:left w:val="single" w:sz="4" w:space="0" w:color="auto"/>
                  <w:bottom w:val="single" w:sz="4" w:space="0" w:color="auto"/>
                  <w:right w:val="single" w:sz="4" w:space="0" w:color="auto"/>
                </w:tcBorders>
              </w:tcPr>
            </w:tcPrChange>
          </w:tcPr>
          <w:p>
            <w:pPr>
              <w:keepNext/>
              <w:tabs>
                <w:tab w:val="left" w:pos="180"/>
              </w:tabs>
              <w:suppressAutoHyphens/>
              <w:rPr>
                <w:noProof/>
                <w:sz w:val="20"/>
                <w:lang w:val="it-IT"/>
                <w:rPrChange w:id="1439" w:author="Author">
                  <w:rPr>
                    <w:lang w:val="it-IT"/>
                  </w:rPr>
                </w:rPrChange>
              </w:rPr>
              <w:pPrChange w:id="1440" w:author="Author">
                <w:pPr>
                  <w:keepNext/>
                  <w:keepLines/>
                  <w:tabs>
                    <w:tab w:val="left" w:pos="180"/>
                  </w:tabs>
                </w:pPr>
              </w:pPrChange>
            </w:pPr>
            <w:r>
              <w:rPr>
                <w:noProof/>
                <w:sz w:val="20"/>
                <w:lang w:val="it-IT"/>
                <w:rPrChange w:id="1441" w:author="Author">
                  <w:rPr>
                    <w:lang w:val="it-IT"/>
                  </w:rPr>
                </w:rPrChange>
              </w:rPr>
              <w:t>Punteggio totale Sharp</w:t>
            </w:r>
            <w:r>
              <w:rPr>
                <w:noProof/>
                <w:sz w:val="20"/>
                <w:lang w:val="it-IT"/>
                <w:rPrChange w:id="1442" w:author="Author">
                  <w:rPr>
                    <w:lang w:val="it-IT"/>
                  </w:rPr>
                </w:rPrChange>
              </w:rPr>
              <w:noBreakHyphen/>
              <w:t>Genant</w:t>
            </w:r>
          </w:p>
        </w:tc>
        <w:tc>
          <w:tcPr>
            <w:tcW w:w="3118" w:type="dxa"/>
            <w:tcBorders>
              <w:top w:val="single" w:sz="4" w:space="0" w:color="auto"/>
              <w:left w:val="single" w:sz="4" w:space="0" w:color="auto"/>
              <w:bottom w:val="single" w:sz="4" w:space="0" w:color="auto"/>
              <w:right w:val="single" w:sz="4" w:space="0" w:color="auto"/>
            </w:tcBorders>
            <w:tcPrChange w:id="1443" w:author="Author">
              <w:tcPr>
                <w:tcW w:w="2790" w:type="dxa"/>
                <w:tcBorders>
                  <w:top w:val="single" w:sz="4" w:space="0" w:color="auto"/>
                  <w:left w:val="single" w:sz="4" w:space="0" w:color="auto"/>
                  <w:bottom w:val="single" w:sz="4" w:space="0" w:color="auto"/>
                  <w:right w:val="single" w:sz="4" w:space="0" w:color="auto"/>
                </w:tcBorders>
              </w:tcPr>
            </w:tcPrChange>
          </w:tcPr>
          <w:p>
            <w:pPr>
              <w:keepNext/>
              <w:tabs>
                <w:tab w:val="left" w:pos="180"/>
              </w:tabs>
              <w:suppressAutoHyphens/>
              <w:jc w:val="center"/>
              <w:rPr>
                <w:noProof/>
                <w:sz w:val="20"/>
                <w:lang w:val="it-IT"/>
                <w:rPrChange w:id="1444" w:author="Author">
                  <w:rPr>
                    <w:lang w:val="it-IT"/>
                  </w:rPr>
                </w:rPrChange>
              </w:rPr>
              <w:pPrChange w:id="1445" w:author="Author">
                <w:pPr>
                  <w:keepNext/>
                  <w:keepLines/>
                  <w:tabs>
                    <w:tab w:val="left" w:pos="180"/>
                  </w:tabs>
                  <w:jc w:val="center"/>
                </w:pPr>
              </w:pPrChange>
            </w:pPr>
            <w:r>
              <w:rPr>
                <w:noProof/>
                <w:sz w:val="20"/>
                <w:lang w:val="it-IT"/>
                <w:rPrChange w:id="1446" w:author="Author">
                  <w:rPr>
                    <w:lang w:val="it-IT"/>
                  </w:rPr>
                </w:rPrChange>
              </w:rPr>
              <w:t>1,13</w:t>
            </w:r>
          </w:p>
        </w:tc>
        <w:tc>
          <w:tcPr>
            <w:tcW w:w="2835" w:type="dxa"/>
            <w:tcBorders>
              <w:top w:val="single" w:sz="4" w:space="0" w:color="auto"/>
              <w:left w:val="single" w:sz="4" w:space="0" w:color="auto"/>
              <w:bottom w:val="single" w:sz="4" w:space="0" w:color="auto"/>
              <w:right w:val="single" w:sz="4" w:space="0" w:color="auto"/>
            </w:tcBorders>
            <w:tcPrChange w:id="1447" w:author="Author">
              <w:tcPr>
                <w:tcW w:w="2610" w:type="dxa"/>
                <w:tcBorders>
                  <w:top w:val="single" w:sz="4" w:space="0" w:color="auto"/>
                  <w:left w:val="single" w:sz="4" w:space="0" w:color="auto"/>
                  <w:bottom w:val="single" w:sz="4" w:space="0" w:color="auto"/>
                  <w:right w:val="single" w:sz="4" w:space="0" w:color="auto"/>
                </w:tcBorders>
              </w:tcPr>
            </w:tcPrChange>
          </w:tcPr>
          <w:p>
            <w:pPr>
              <w:keepNext/>
              <w:tabs>
                <w:tab w:val="left" w:pos="180"/>
              </w:tabs>
              <w:suppressAutoHyphens/>
              <w:jc w:val="center"/>
              <w:rPr>
                <w:noProof/>
                <w:sz w:val="20"/>
                <w:lang w:val="it-IT"/>
                <w:rPrChange w:id="1448" w:author="Author">
                  <w:rPr>
                    <w:lang w:val="it-IT"/>
                  </w:rPr>
                </w:rPrChange>
              </w:rPr>
              <w:pPrChange w:id="1449" w:author="Author">
                <w:pPr>
                  <w:keepNext/>
                  <w:keepLines/>
                  <w:tabs>
                    <w:tab w:val="left" w:pos="180"/>
                  </w:tabs>
                  <w:jc w:val="center"/>
                </w:pPr>
              </w:pPrChange>
            </w:pPr>
            <w:r>
              <w:rPr>
                <w:noProof/>
                <w:sz w:val="20"/>
                <w:lang w:val="it-IT"/>
                <w:rPrChange w:id="1450" w:author="Author">
                  <w:rPr>
                    <w:lang w:val="it-IT"/>
                  </w:rPr>
                </w:rPrChange>
              </w:rPr>
              <w:t>0,29*</w:t>
            </w:r>
          </w:p>
        </w:tc>
      </w:tr>
      <w:tr>
        <w:trPr>
          <w:cantSplit/>
        </w:trPr>
        <w:tc>
          <w:tcPr>
            <w:tcW w:w="3114" w:type="dxa"/>
            <w:tcBorders>
              <w:top w:val="single" w:sz="4" w:space="0" w:color="auto"/>
              <w:left w:val="single" w:sz="4" w:space="0" w:color="auto"/>
              <w:bottom w:val="single" w:sz="4" w:space="0" w:color="auto"/>
              <w:right w:val="single" w:sz="4" w:space="0" w:color="auto"/>
            </w:tcBorders>
            <w:tcPrChange w:id="1451" w:author="Author">
              <w:tcPr>
                <w:tcW w:w="2358" w:type="dxa"/>
                <w:tcBorders>
                  <w:top w:val="single" w:sz="4" w:space="0" w:color="auto"/>
                  <w:left w:val="single" w:sz="4" w:space="0" w:color="auto"/>
                  <w:bottom w:val="single" w:sz="4" w:space="0" w:color="auto"/>
                  <w:right w:val="single" w:sz="4" w:space="0" w:color="auto"/>
                </w:tcBorders>
              </w:tcPr>
            </w:tcPrChange>
          </w:tcPr>
          <w:p>
            <w:pPr>
              <w:keepNext/>
              <w:tabs>
                <w:tab w:val="left" w:pos="180"/>
              </w:tabs>
              <w:suppressAutoHyphens/>
              <w:rPr>
                <w:noProof/>
                <w:sz w:val="20"/>
                <w:lang w:val="it-IT"/>
                <w:rPrChange w:id="1452" w:author="Author">
                  <w:rPr>
                    <w:lang w:val="it-IT"/>
                  </w:rPr>
                </w:rPrChange>
              </w:rPr>
              <w:pPrChange w:id="1453" w:author="Author">
                <w:pPr>
                  <w:keepNext/>
                  <w:keepLines/>
                  <w:tabs>
                    <w:tab w:val="left" w:pos="180"/>
                  </w:tabs>
                </w:pPr>
              </w:pPrChange>
            </w:pPr>
            <w:r>
              <w:rPr>
                <w:noProof/>
                <w:sz w:val="20"/>
                <w:lang w:val="it-IT"/>
                <w:rPrChange w:id="1454" w:author="Author">
                  <w:rPr>
                    <w:lang w:val="it-IT"/>
                  </w:rPr>
                </w:rPrChange>
              </w:rPr>
              <w:t>Punteggio erosione</w:t>
            </w:r>
          </w:p>
        </w:tc>
        <w:tc>
          <w:tcPr>
            <w:tcW w:w="3118" w:type="dxa"/>
            <w:tcBorders>
              <w:top w:val="single" w:sz="4" w:space="0" w:color="auto"/>
              <w:left w:val="single" w:sz="4" w:space="0" w:color="auto"/>
              <w:bottom w:val="single" w:sz="4" w:space="0" w:color="auto"/>
              <w:right w:val="single" w:sz="4" w:space="0" w:color="auto"/>
            </w:tcBorders>
            <w:tcPrChange w:id="1455" w:author="Author">
              <w:tcPr>
                <w:tcW w:w="2790" w:type="dxa"/>
                <w:tcBorders>
                  <w:top w:val="single" w:sz="4" w:space="0" w:color="auto"/>
                  <w:left w:val="single" w:sz="4" w:space="0" w:color="auto"/>
                  <w:bottom w:val="single" w:sz="4" w:space="0" w:color="auto"/>
                  <w:right w:val="single" w:sz="4" w:space="0" w:color="auto"/>
                </w:tcBorders>
              </w:tcPr>
            </w:tcPrChange>
          </w:tcPr>
          <w:p>
            <w:pPr>
              <w:keepNext/>
              <w:tabs>
                <w:tab w:val="left" w:pos="180"/>
              </w:tabs>
              <w:suppressAutoHyphens/>
              <w:jc w:val="center"/>
              <w:rPr>
                <w:noProof/>
                <w:sz w:val="20"/>
                <w:lang w:val="it-IT"/>
                <w:rPrChange w:id="1456" w:author="Author">
                  <w:rPr>
                    <w:lang w:val="it-IT"/>
                  </w:rPr>
                </w:rPrChange>
              </w:rPr>
              <w:pPrChange w:id="1457" w:author="Author">
                <w:pPr>
                  <w:keepNext/>
                  <w:keepLines/>
                  <w:tabs>
                    <w:tab w:val="left" w:pos="180"/>
                  </w:tabs>
                  <w:jc w:val="center"/>
                </w:pPr>
              </w:pPrChange>
            </w:pPr>
            <w:r>
              <w:rPr>
                <w:noProof/>
                <w:sz w:val="20"/>
                <w:lang w:val="it-IT"/>
                <w:rPrChange w:id="1458" w:author="Author">
                  <w:rPr>
                    <w:lang w:val="it-IT"/>
                  </w:rPr>
                </w:rPrChange>
              </w:rPr>
              <w:t>0,71</w:t>
            </w:r>
          </w:p>
        </w:tc>
        <w:tc>
          <w:tcPr>
            <w:tcW w:w="2835" w:type="dxa"/>
            <w:tcBorders>
              <w:top w:val="single" w:sz="4" w:space="0" w:color="auto"/>
              <w:left w:val="single" w:sz="4" w:space="0" w:color="auto"/>
              <w:bottom w:val="single" w:sz="4" w:space="0" w:color="auto"/>
              <w:right w:val="single" w:sz="4" w:space="0" w:color="auto"/>
            </w:tcBorders>
            <w:tcPrChange w:id="1459" w:author="Author">
              <w:tcPr>
                <w:tcW w:w="2610" w:type="dxa"/>
                <w:tcBorders>
                  <w:top w:val="single" w:sz="4" w:space="0" w:color="auto"/>
                  <w:left w:val="single" w:sz="4" w:space="0" w:color="auto"/>
                  <w:bottom w:val="single" w:sz="4" w:space="0" w:color="auto"/>
                  <w:right w:val="single" w:sz="4" w:space="0" w:color="auto"/>
                </w:tcBorders>
              </w:tcPr>
            </w:tcPrChange>
          </w:tcPr>
          <w:p>
            <w:pPr>
              <w:keepNext/>
              <w:tabs>
                <w:tab w:val="left" w:pos="180"/>
              </w:tabs>
              <w:suppressAutoHyphens/>
              <w:jc w:val="center"/>
              <w:rPr>
                <w:noProof/>
                <w:sz w:val="20"/>
                <w:lang w:val="it-IT"/>
                <w:rPrChange w:id="1460" w:author="Author">
                  <w:rPr>
                    <w:lang w:val="it-IT"/>
                  </w:rPr>
                </w:rPrChange>
              </w:rPr>
              <w:pPrChange w:id="1461" w:author="Author">
                <w:pPr>
                  <w:keepNext/>
                  <w:keepLines/>
                  <w:tabs>
                    <w:tab w:val="left" w:pos="180"/>
                  </w:tabs>
                  <w:jc w:val="center"/>
                </w:pPr>
              </w:pPrChange>
            </w:pPr>
            <w:r>
              <w:rPr>
                <w:noProof/>
                <w:sz w:val="20"/>
                <w:lang w:val="it-IT"/>
                <w:rPrChange w:id="1462" w:author="Author">
                  <w:rPr>
                    <w:lang w:val="it-IT"/>
                  </w:rPr>
                </w:rPrChange>
              </w:rPr>
              <w:t>0,17*</w:t>
            </w:r>
          </w:p>
        </w:tc>
      </w:tr>
      <w:tr>
        <w:trPr>
          <w:cantSplit/>
        </w:trPr>
        <w:tc>
          <w:tcPr>
            <w:tcW w:w="3114" w:type="dxa"/>
            <w:tcBorders>
              <w:top w:val="single" w:sz="4" w:space="0" w:color="auto"/>
              <w:left w:val="single" w:sz="4" w:space="0" w:color="auto"/>
              <w:bottom w:val="single" w:sz="4" w:space="0" w:color="auto"/>
              <w:right w:val="single" w:sz="4" w:space="0" w:color="auto"/>
            </w:tcBorders>
            <w:tcPrChange w:id="1463" w:author="Author">
              <w:tcPr>
                <w:tcW w:w="2358" w:type="dxa"/>
                <w:tcBorders>
                  <w:top w:val="single" w:sz="4" w:space="0" w:color="auto"/>
                  <w:left w:val="single" w:sz="4" w:space="0" w:color="auto"/>
                  <w:bottom w:val="single" w:sz="4" w:space="0" w:color="auto"/>
                  <w:right w:val="single" w:sz="4" w:space="0" w:color="auto"/>
                </w:tcBorders>
              </w:tcPr>
            </w:tcPrChange>
          </w:tcPr>
          <w:p>
            <w:pPr>
              <w:keepNext/>
              <w:tabs>
                <w:tab w:val="left" w:pos="180"/>
              </w:tabs>
              <w:suppressAutoHyphens/>
              <w:rPr>
                <w:noProof/>
                <w:sz w:val="20"/>
                <w:lang w:val="it-IT"/>
                <w:rPrChange w:id="1464" w:author="Author">
                  <w:rPr>
                    <w:lang w:val="it-IT"/>
                  </w:rPr>
                </w:rPrChange>
              </w:rPr>
              <w:pPrChange w:id="1465" w:author="Author">
                <w:pPr>
                  <w:keepNext/>
                  <w:keepLines/>
                  <w:tabs>
                    <w:tab w:val="left" w:pos="180"/>
                  </w:tabs>
                </w:pPr>
              </w:pPrChange>
            </w:pPr>
            <w:r>
              <w:rPr>
                <w:noProof/>
                <w:sz w:val="20"/>
                <w:lang w:val="it-IT"/>
                <w:rPrChange w:id="1466" w:author="Author">
                  <w:rPr>
                    <w:lang w:val="it-IT"/>
                  </w:rPr>
                </w:rPrChange>
              </w:rPr>
              <w:t>Punteggio JSN</w:t>
            </w:r>
          </w:p>
        </w:tc>
        <w:tc>
          <w:tcPr>
            <w:tcW w:w="3118" w:type="dxa"/>
            <w:tcBorders>
              <w:top w:val="single" w:sz="4" w:space="0" w:color="auto"/>
              <w:left w:val="single" w:sz="4" w:space="0" w:color="auto"/>
              <w:bottom w:val="single" w:sz="4" w:space="0" w:color="auto"/>
              <w:right w:val="single" w:sz="4" w:space="0" w:color="auto"/>
            </w:tcBorders>
            <w:tcPrChange w:id="1467" w:author="Author">
              <w:tcPr>
                <w:tcW w:w="2790" w:type="dxa"/>
                <w:tcBorders>
                  <w:top w:val="single" w:sz="4" w:space="0" w:color="auto"/>
                  <w:left w:val="single" w:sz="4" w:space="0" w:color="auto"/>
                  <w:bottom w:val="single" w:sz="4" w:space="0" w:color="auto"/>
                  <w:right w:val="single" w:sz="4" w:space="0" w:color="auto"/>
                </w:tcBorders>
              </w:tcPr>
            </w:tcPrChange>
          </w:tcPr>
          <w:p>
            <w:pPr>
              <w:keepNext/>
              <w:tabs>
                <w:tab w:val="left" w:pos="180"/>
              </w:tabs>
              <w:suppressAutoHyphens/>
              <w:jc w:val="center"/>
              <w:rPr>
                <w:noProof/>
                <w:sz w:val="20"/>
                <w:lang w:val="it-IT"/>
                <w:rPrChange w:id="1468" w:author="Author">
                  <w:rPr>
                    <w:lang w:val="it-IT"/>
                  </w:rPr>
                </w:rPrChange>
              </w:rPr>
              <w:pPrChange w:id="1469" w:author="Author">
                <w:pPr>
                  <w:keepNext/>
                  <w:keepLines/>
                  <w:tabs>
                    <w:tab w:val="left" w:pos="180"/>
                  </w:tabs>
                  <w:jc w:val="center"/>
                </w:pPr>
              </w:pPrChange>
            </w:pPr>
            <w:r>
              <w:rPr>
                <w:noProof/>
                <w:sz w:val="20"/>
                <w:lang w:val="it-IT"/>
                <w:rPrChange w:id="1470" w:author="Author">
                  <w:rPr>
                    <w:lang w:val="it-IT"/>
                  </w:rPr>
                </w:rPrChange>
              </w:rPr>
              <w:t>0,42</w:t>
            </w:r>
          </w:p>
        </w:tc>
        <w:tc>
          <w:tcPr>
            <w:tcW w:w="2835" w:type="dxa"/>
            <w:tcBorders>
              <w:top w:val="single" w:sz="4" w:space="0" w:color="auto"/>
              <w:left w:val="single" w:sz="4" w:space="0" w:color="auto"/>
              <w:bottom w:val="single" w:sz="4" w:space="0" w:color="auto"/>
              <w:right w:val="single" w:sz="4" w:space="0" w:color="auto"/>
            </w:tcBorders>
            <w:tcPrChange w:id="1471" w:author="Author">
              <w:tcPr>
                <w:tcW w:w="2610" w:type="dxa"/>
                <w:tcBorders>
                  <w:top w:val="single" w:sz="4" w:space="0" w:color="auto"/>
                  <w:left w:val="single" w:sz="4" w:space="0" w:color="auto"/>
                  <w:bottom w:val="single" w:sz="4" w:space="0" w:color="auto"/>
                  <w:right w:val="single" w:sz="4" w:space="0" w:color="auto"/>
                </w:tcBorders>
              </w:tcPr>
            </w:tcPrChange>
          </w:tcPr>
          <w:p>
            <w:pPr>
              <w:keepNext/>
              <w:tabs>
                <w:tab w:val="left" w:pos="180"/>
              </w:tabs>
              <w:suppressAutoHyphens/>
              <w:jc w:val="center"/>
              <w:rPr>
                <w:noProof/>
                <w:sz w:val="20"/>
                <w:lang w:val="it-IT"/>
                <w:rPrChange w:id="1472" w:author="Author">
                  <w:rPr>
                    <w:lang w:val="it-IT"/>
                  </w:rPr>
                </w:rPrChange>
              </w:rPr>
              <w:pPrChange w:id="1473" w:author="Author">
                <w:pPr>
                  <w:keepNext/>
                  <w:keepLines/>
                  <w:tabs>
                    <w:tab w:val="left" w:pos="180"/>
                  </w:tabs>
                  <w:jc w:val="center"/>
                </w:pPr>
              </w:pPrChange>
            </w:pPr>
            <w:r>
              <w:rPr>
                <w:noProof/>
                <w:sz w:val="20"/>
                <w:lang w:val="it-IT"/>
                <w:rPrChange w:id="1474" w:author="Author">
                  <w:rPr>
                    <w:lang w:val="it-IT"/>
                  </w:rPr>
                </w:rPrChange>
              </w:rPr>
              <w:t>0,12**</w:t>
            </w:r>
          </w:p>
        </w:tc>
      </w:tr>
    </w:tbl>
    <w:p>
      <w:pPr>
        <w:keepNext/>
        <w:keepLines/>
        <w:tabs>
          <w:tab w:val="left" w:pos="180"/>
        </w:tabs>
        <w:rPr>
          <w:i/>
          <w:noProof/>
          <w:sz w:val="18"/>
          <w:szCs w:val="18"/>
          <w:lang w:val="it-IT"/>
        </w:rPr>
      </w:pPr>
      <w:r>
        <w:rPr>
          <w:i/>
          <w:noProof/>
          <w:sz w:val="18"/>
          <w:szCs w:val="18"/>
          <w:lang w:val="it-IT"/>
        </w:rPr>
        <w:t>PBO</w:t>
      </w:r>
      <w:r>
        <w:rPr>
          <w:i/>
          <w:noProof/>
          <w:sz w:val="18"/>
          <w:szCs w:val="18"/>
          <w:lang w:val="it-IT"/>
        </w:rPr>
        <w:tab/>
        <w:t>-</w:t>
      </w:r>
      <w:ins w:id="1475" w:author="Author">
        <w:r>
          <w:rPr>
            <w:i/>
            <w:noProof/>
            <w:sz w:val="18"/>
            <w:szCs w:val="18"/>
            <w:lang w:val="it-IT"/>
          </w:rPr>
          <w:t xml:space="preserve"> </w:t>
        </w:r>
      </w:ins>
      <w:r>
        <w:rPr>
          <w:i/>
          <w:noProof/>
          <w:sz w:val="18"/>
          <w:szCs w:val="18"/>
          <w:lang w:val="it-IT"/>
        </w:rPr>
        <w:t>Placebo</w:t>
      </w:r>
    </w:p>
    <w:p>
      <w:pPr>
        <w:keepNext/>
        <w:keepLines/>
        <w:tabs>
          <w:tab w:val="left" w:pos="180"/>
        </w:tabs>
        <w:rPr>
          <w:noProof/>
          <w:sz w:val="18"/>
          <w:szCs w:val="18"/>
          <w:lang w:val="it-IT"/>
        </w:rPr>
      </w:pPr>
      <w:r>
        <w:rPr>
          <w:i/>
          <w:noProof/>
          <w:sz w:val="18"/>
          <w:szCs w:val="18"/>
          <w:lang w:val="it-IT"/>
        </w:rPr>
        <w:t>MTX</w:t>
      </w:r>
      <w:r>
        <w:rPr>
          <w:i/>
          <w:noProof/>
          <w:sz w:val="18"/>
          <w:szCs w:val="18"/>
          <w:lang w:val="it-IT"/>
        </w:rPr>
        <w:tab/>
        <w:t xml:space="preserve">- </w:t>
      </w:r>
      <w:ins w:id="1476" w:author="Author">
        <w:r>
          <w:rPr>
            <w:i/>
            <w:noProof/>
            <w:sz w:val="18"/>
            <w:szCs w:val="18"/>
            <w:lang w:val="it-IT"/>
          </w:rPr>
          <w:t>m</w:t>
        </w:r>
      </w:ins>
      <w:del w:id="1477" w:author="Author">
        <w:r>
          <w:rPr>
            <w:i/>
            <w:noProof/>
            <w:sz w:val="18"/>
            <w:szCs w:val="18"/>
            <w:lang w:val="it-IT"/>
          </w:rPr>
          <w:delText>M</w:delText>
        </w:r>
      </w:del>
      <w:r>
        <w:rPr>
          <w:i/>
          <w:noProof/>
          <w:sz w:val="18"/>
          <w:szCs w:val="18"/>
          <w:lang w:val="it-IT"/>
        </w:rPr>
        <w:t>etotre</w:t>
      </w:r>
      <w:ins w:id="1478" w:author="Author">
        <w:r>
          <w:rPr>
            <w:i/>
            <w:noProof/>
            <w:sz w:val="18"/>
            <w:szCs w:val="18"/>
            <w:lang w:val="it-IT"/>
          </w:rPr>
          <w:t>x</w:t>
        </w:r>
      </w:ins>
      <w:del w:id="1479" w:author="Author">
        <w:r>
          <w:rPr>
            <w:i/>
            <w:noProof/>
            <w:sz w:val="18"/>
            <w:szCs w:val="18"/>
            <w:lang w:val="it-IT"/>
          </w:rPr>
          <w:delText>ss</w:delText>
        </w:r>
      </w:del>
      <w:r>
        <w:rPr>
          <w:i/>
          <w:noProof/>
          <w:sz w:val="18"/>
          <w:szCs w:val="18"/>
          <w:lang w:val="it-IT"/>
        </w:rPr>
        <w:t>ato</w:t>
      </w:r>
    </w:p>
    <w:p>
      <w:pPr>
        <w:keepNext/>
        <w:keepLines/>
        <w:tabs>
          <w:tab w:val="left" w:pos="180"/>
        </w:tabs>
        <w:rPr>
          <w:noProof/>
          <w:sz w:val="18"/>
          <w:szCs w:val="18"/>
          <w:lang w:val="it-IT"/>
        </w:rPr>
      </w:pPr>
      <w:r>
        <w:rPr>
          <w:i/>
          <w:noProof/>
          <w:sz w:val="18"/>
          <w:szCs w:val="18"/>
          <w:lang w:val="it-IT"/>
        </w:rPr>
        <w:t>TCZ</w:t>
      </w:r>
      <w:r>
        <w:rPr>
          <w:i/>
          <w:noProof/>
          <w:sz w:val="18"/>
          <w:szCs w:val="18"/>
          <w:lang w:val="it-IT"/>
        </w:rPr>
        <w:tab/>
        <w:t xml:space="preserve">- </w:t>
      </w:r>
      <w:ins w:id="1480" w:author="Author">
        <w:r>
          <w:rPr>
            <w:i/>
            <w:noProof/>
            <w:sz w:val="18"/>
            <w:szCs w:val="18"/>
            <w:lang w:val="it-IT"/>
          </w:rPr>
          <w:t>t</w:t>
        </w:r>
      </w:ins>
      <w:del w:id="1481" w:author="Author">
        <w:r>
          <w:rPr>
            <w:i/>
            <w:noProof/>
            <w:sz w:val="18"/>
            <w:szCs w:val="18"/>
            <w:lang w:val="it-IT"/>
          </w:rPr>
          <w:delText>T</w:delText>
        </w:r>
      </w:del>
      <w:r>
        <w:rPr>
          <w:i/>
          <w:noProof/>
          <w:sz w:val="18"/>
          <w:szCs w:val="18"/>
          <w:lang w:val="it-IT"/>
        </w:rPr>
        <w:t>ocilizumab</w:t>
      </w:r>
    </w:p>
    <w:p>
      <w:pPr>
        <w:keepNext/>
        <w:keepLines/>
        <w:tabs>
          <w:tab w:val="left" w:pos="180"/>
        </w:tabs>
        <w:rPr>
          <w:noProof/>
          <w:sz w:val="18"/>
          <w:szCs w:val="18"/>
          <w:lang w:val="it-IT"/>
        </w:rPr>
      </w:pPr>
      <w:r>
        <w:rPr>
          <w:i/>
          <w:noProof/>
          <w:sz w:val="18"/>
          <w:szCs w:val="18"/>
          <w:lang w:val="it-IT"/>
        </w:rPr>
        <w:t>JSN</w:t>
      </w:r>
      <w:r>
        <w:rPr>
          <w:i/>
          <w:noProof/>
          <w:sz w:val="18"/>
          <w:szCs w:val="18"/>
          <w:lang w:val="it-IT"/>
        </w:rPr>
        <w:tab/>
        <w:t>- Joint Space Narrowing, restringimento dello spazio articolare</w:t>
      </w:r>
    </w:p>
    <w:p>
      <w:pPr>
        <w:keepNext/>
        <w:keepLines/>
        <w:numPr>
          <w:ilvl w:val="12"/>
          <w:numId w:val="0"/>
        </w:numPr>
        <w:tabs>
          <w:tab w:val="left" w:pos="567"/>
        </w:tabs>
        <w:ind w:right="-2"/>
        <w:rPr>
          <w:i/>
          <w:noProof/>
          <w:sz w:val="18"/>
          <w:szCs w:val="18"/>
          <w:lang w:val="it-IT"/>
        </w:rPr>
      </w:pPr>
      <w:r>
        <w:rPr>
          <w:i/>
          <w:noProof/>
          <w:sz w:val="18"/>
          <w:szCs w:val="18"/>
          <w:lang w:val="it-IT"/>
        </w:rPr>
        <w:t>*</w:t>
      </w:r>
      <w:r>
        <w:rPr>
          <w:i/>
          <w:noProof/>
          <w:sz w:val="18"/>
          <w:szCs w:val="18"/>
          <w:lang w:val="it-IT"/>
        </w:rPr>
        <w:tab/>
        <w:t>- p ≤ 0,0001; TCZ vs PBO</w:t>
      </w:r>
      <w:del w:id="1482" w:author="Author">
        <w:r>
          <w:rPr>
            <w:i/>
            <w:noProof/>
            <w:sz w:val="18"/>
            <w:szCs w:val="18"/>
            <w:lang w:val="it-IT"/>
          </w:rPr>
          <w:delText xml:space="preserve"> </w:delText>
        </w:r>
      </w:del>
      <w:ins w:id="1483" w:author="Author">
        <w:r>
          <w:rPr>
            <w:i/>
            <w:noProof/>
            <w:sz w:val="18"/>
            <w:szCs w:val="18"/>
            <w:lang w:val="it-IT"/>
          </w:rPr>
          <w:t> </w:t>
        </w:r>
      </w:ins>
      <w:r>
        <w:rPr>
          <w:i/>
          <w:noProof/>
          <w:sz w:val="18"/>
          <w:szCs w:val="18"/>
          <w:lang w:val="it-IT"/>
        </w:rPr>
        <w:t>+</w:t>
      </w:r>
      <w:ins w:id="1484" w:author="Author">
        <w:r>
          <w:rPr>
            <w:i/>
            <w:noProof/>
            <w:sz w:val="18"/>
            <w:szCs w:val="18"/>
            <w:lang w:val="it-IT"/>
          </w:rPr>
          <w:t> </w:t>
        </w:r>
      </w:ins>
      <w:del w:id="1485" w:author="Author">
        <w:r>
          <w:rPr>
            <w:i/>
            <w:noProof/>
            <w:sz w:val="18"/>
            <w:szCs w:val="18"/>
            <w:lang w:val="it-IT"/>
          </w:rPr>
          <w:delText xml:space="preserve"> </w:delText>
        </w:r>
      </w:del>
      <w:r>
        <w:rPr>
          <w:i/>
          <w:noProof/>
          <w:sz w:val="18"/>
          <w:szCs w:val="18"/>
          <w:lang w:val="it-IT"/>
        </w:rPr>
        <w:t>MTX</w:t>
      </w:r>
    </w:p>
    <w:p>
      <w:pPr>
        <w:numPr>
          <w:ilvl w:val="12"/>
          <w:numId w:val="0"/>
        </w:numPr>
        <w:tabs>
          <w:tab w:val="left" w:pos="180"/>
        </w:tabs>
        <w:ind w:right="-2"/>
        <w:rPr>
          <w:i/>
          <w:noProof/>
          <w:sz w:val="18"/>
          <w:szCs w:val="18"/>
          <w:lang w:val="it-IT"/>
        </w:rPr>
      </w:pPr>
      <w:r>
        <w:rPr>
          <w:i/>
          <w:noProof/>
          <w:sz w:val="18"/>
          <w:szCs w:val="18"/>
          <w:lang w:val="it-IT"/>
        </w:rPr>
        <w:t xml:space="preserve">** </w:t>
      </w:r>
      <w:r>
        <w:rPr>
          <w:i/>
          <w:noProof/>
          <w:sz w:val="18"/>
          <w:szCs w:val="18"/>
          <w:lang w:val="it-IT"/>
        </w:rPr>
        <w:tab/>
        <w:t xml:space="preserve">- p </w:t>
      </w:r>
      <w:r>
        <w:rPr>
          <w:rFonts w:eastAsia="MS Mincho"/>
          <w:noProof/>
          <w:sz w:val="18"/>
          <w:szCs w:val="18"/>
          <w:lang w:val="it-IT"/>
        </w:rPr>
        <w:sym w:font="Symbol" w:char="F03C"/>
      </w:r>
      <w:r>
        <w:rPr>
          <w:i/>
          <w:noProof/>
          <w:sz w:val="18"/>
          <w:szCs w:val="18"/>
          <w:lang w:val="it-IT"/>
        </w:rPr>
        <w:t xml:space="preserve"> 0,005; TCZ vs PBO</w:t>
      </w:r>
      <w:del w:id="1486" w:author="Author">
        <w:r>
          <w:rPr>
            <w:i/>
            <w:noProof/>
            <w:sz w:val="18"/>
            <w:szCs w:val="18"/>
            <w:lang w:val="it-IT"/>
          </w:rPr>
          <w:delText xml:space="preserve"> </w:delText>
        </w:r>
      </w:del>
      <w:ins w:id="1487" w:author="Author">
        <w:r>
          <w:rPr>
            <w:i/>
            <w:noProof/>
            <w:sz w:val="18"/>
            <w:szCs w:val="18"/>
            <w:lang w:val="it-IT"/>
          </w:rPr>
          <w:t> </w:t>
        </w:r>
      </w:ins>
      <w:r>
        <w:rPr>
          <w:i/>
          <w:noProof/>
          <w:sz w:val="18"/>
          <w:szCs w:val="18"/>
          <w:lang w:val="it-IT"/>
        </w:rPr>
        <w:t>+</w:t>
      </w:r>
      <w:ins w:id="1488" w:author="Author">
        <w:r>
          <w:rPr>
            <w:i/>
            <w:noProof/>
            <w:sz w:val="18"/>
            <w:szCs w:val="18"/>
            <w:lang w:val="it-IT"/>
          </w:rPr>
          <w:t> </w:t>
        </w:r>
      </w:ins>
      <w:del w:id="1489" w:author="Author">
        <w:r>
          <w:rPr>
            <w:i/>
            <w:noProof/>
            <w:sz w:val="18"/>
            <w:szCs w:val="18"/>
            <w:lang w:val="it-IT"/>
          </w:rPr>
          <w:delText xml:space="preserve"> </w:delText>
        </w:r>
      </w:del>
      <w:r>
        <w:rPr>
          <w:i/>
          <w:noProof/>
          <w:sz w:val="18"/>
          <w:szCs w:val="18"/>
          <w:lang w:val="it-IT"/>
        </w:rPr>
        <w:t>MTX</w:t>
      </w:r>
    </w:p>
    <w:p>
      <w:pPr>
        <w:tabs>
          <w:tab w:val="left" w:pos="180"/>
        </w:tabs>
        <w:rPr>
          <w:b/>
          <w:i/>
          <w:noProof/>
          <w:lang w:val="it-IT"/>
        </w:rPr>
      </w:pPr>
    </w:p>
    <w:p>
      <w:pPr>
        <w:tabs>
          <w:tab w:val="left" w:pos="180"/>
        </w:tabs>
        <w:rPr>
          <w:noProof/>
          <w:lang w:val="it-IT"/>
        </w:rPr>
      </w:pPr>
      <w:r>
        <w:rPr>
          <w:noProof/>
          <w:lang w:val="it-IT"/>
        </w:rPr>
        <w:t>Dopo 1 anno di trattamento con tocilizumab</w:t>
      </w:r>
      <w:del w:id="1490" w:author="Author">
        <w:r>
          <w:rPr>
            <w:noProof/>
            <w:lang w:val="it-IT"/>
          </w:rPr>
          <w:delText xml:space="preserve"> </w:delText>
        </w:r>
      </w:del>
      <w:ins w:id="1491" w:author="Author">
        <w:r>
          <w:rPr>
            <w:noProof/>
            <w:lang w:val="it-IT"/>
          </w:rPr>
          <w:t> </w:t>
        </w:r>
      </w:ins>
      <w:r>
        <w:rPr>
          <w:noProof/>
          <w:lang w:val="it-IT"/>
        </w:rPr>
        <w:t>+</w:t>
      </w:r>
      <w:ins w:id="1492" w:author="Author">
        <w:r>
          <w:rPr>
            <w:noProof/>
            <w:lang w:val="it-IT"/>
          </w:rPr>
          <w:t> </w:t>
        </w:r>
      </w:ins>
      <w:del w:id="1493" w:author="Author">
        <w:r>
          <w:rPr>
            <w:noProof/>
            <w:lang w:val="it-IT"/>
          </w:rPr>
          <w:delText xml:space="preserve"> </w:delText>
        </w:r>
      </w:del>
      <w:r>
        <w:rPr>
          <w:noProof/>
          <w:lang w:val="it-IT"/>
        </w:rPr>
        <w:t>MTX, 85% dei pazienti (n</w:t>
      </w:r>
      <w:ins w:id="1494" w:author="Author">
        <w:r>
          <w:rPr>
            <w:noProof/>
            <w:lang w:val="it-IT"/>
          </w:rPr>
          <w:t> </w:t>
        </w:r>
      </w:ins>
      <w:r>
        <w:rPr>
          <w:noProof/>
          <w:lang w:val="it-IT"/>
        </w:rPr>
        <w:t>=</w:t>
      </w:r>
      <w:ins w:id="1495" w:author="Author">
        <w:r>
          <w:rPr>
            <w:noProof/>
            <w:lang w:val="it-IT"/>
          </w:rPr>
          <w:t> </w:t>
        </w:r>
      </w:ins>
      <w:r>
        <w:rPr>
          <w:noProof/>
          <w:lang w:val="it-IT"/>
        </w:rPr>
        <w:t>348) non ha avuto progressione del danno articolare, come definito dal cambiamento nel Total Sharp Score di zero o meno, rispetto al 67% dei pazienti trattati con placebo più MTX (n</w:t>
      </w:r>
      <w:ins w:id="1496" w:author="Author">
        <w:r>
          <w:rPr>
            <w:noProof/>
            <w:lang w:val="it-IT"/>
          </w:rPr>
          <w:t> </w:t>
        </w:r>
      </w:ins>
      <w:r>
        <w:rPr>
          <w:noProof/>
          <w:lang w:val="it-IT"/>
        </w:rPr>
        <w:t>=</w:t>
      </w:r>
      <w:ins w:id="1497" w:author="Author">
        <w:r>
          <w:rPr>
            <w:noProof/>
            <w:lang w:val="it-IT"/>
          </w:rPr>
          <w:t> </w:t>
        </w:r>
      </w:ins>
      <w:r>
        <w:rPr>
          <w:noProof/>
          <w:lang w:val="it-IT"/>
        </w:rPr>
        <w:t>290) (p </w:t>
      </w:r>
      <w:r>
        <w:rPr>
          <w:noProof/>
          <w:lang w:val="it-IT"/>
        </w:rPr>
        <w:sym w:font="Symbol" w:char="F0A3"/>
      </w:r>
      <w:r>
        <w:rPr>
          <w:noProof/>
          <w:lang w:val="it-IT"/>
        </w:rPr>
        <w:t> 0,001). Questo dato rimane costante nei 2 anni di trattamento (83%; n</w:t>
      </w:r>
      <w:ins w:id="1498" w:author="Author">
        <w:r>
          <w:rPr>
            <w:noProof/>
            <w:lang w:val="it-IT"/>
          </w:rPr>
          <w:t> </w:t>
        </w:r>
      </w:ins>
      <w:r>
        <w:rPr>
          <w:noProof/>
          <w:lang w:val="it-IT"/>
        </w:rPr>
        <w:t>=</w:t>
      </w:r>
      <w:ins w:id="1499" w:author="Author">
        <w:r>
          <w:rPr>
            <w:noProof/>
            <w:lang w:val="it-IT"/>
          </w:rPr>
          <w:t> </w:t>
        </w:r>
      </w:ins>
      <w:r>
        <w:rPr>
          <w:noProof/>
          <w:lang w:val="it-IT"/>
        </w:rPr>
        <w:t>353). Il 93% dei pazienti (n</w:t>
      </w:r>
      <w:ins w:id="1500" w:author="Author">
        <w:r>
          <w:rPr>
            <w:noProof/>
            <w:lang w:val="it-IT"/>
          </w:rPr>
          <w:t> </w:t>
        </w:r>
      </w:ins>
      <w:r>
        <w:rPr>
          <w:noProof/>
          <w:lang w:val="it-IT"/>
        </w:rPr>
        <w:t>=</w:t>
      </w:r>
      <w:ins w:id="1501" w:author="Author">
        <w:r>
          <w:rPr>
            <w:noProof/>
            <w:lang w:val="it-IT"/>
          </w:rPr>
          <w:t> </w:t>
        </w:r>
      </w:ins>
      <w:r>
        <w:rPr>
          <w:noProof/>
          <w:lang w:val="it-IT"/>
        </w:rPr>
        <w:t>271) non ha avuto progressione del danno articolare tra la settimana 52 e la settimana 104.</w:t>
      </w:r>
    </w:p>
    <w:p>
      <w:pPr>
        <w:tabs>
          <w:tab w:val="left" w:pos="180"/>
        </w:tabs>
        <w:rPr>
          <w:b/>
          <w:i/>
          <w:noProof/>
          <w:lang w:val="it-IT"/>
        </w:rPr>
      </w:pPr>
    </w:p>
    <w:p>
      <w:pPr>
        <w:tabs>
          <w:tab w:val="left" w:pos="180"/>
        </w:tabs>
        <w:rPr>
          <w:i/>
          <w:noProof/>
          <w:lang w:val="it-IT"/>
        </w:rPr>
      </w:pPr>
      <w:r>
        <w:rPr>
          <w:i/>
          <w:noProof/>
          <w:lang w:val="it-IT"/>
        </w:rPr>
        <w:t>Esiti correlati alla salute e alla qualità di vita</w:t>
      </w:r>
    </w:p>
    <w:p>
      <w:pPr>
        <w:numPr>
          <w:ilvl w:val="12"/>
          <w:numId w:val="0"/>
        </w:numPr>
        <w:tabs>
          <w:tab w:val="left" w:pos="180"/>
        </w:tabs>
        <w:rPr>
          <w:i/>
          <w:noProof/>
          <w:sz w:val="18"/>
          <w:lang w:val="it-IT"/>
        </w:rPr>
      </w:pPr>
      <w:r>
        <w:rPr>
          <w:noProof/>
          <w:lang w:val="it-IT"/>
        </w:rPr>
        <w:t xml:space="preserve">I pazienti trattati con tocilizumab hanno riportato un miglioramento in tutti gli esiti riferiti dal paziente (questionari: Health Assessment Questionnaire Disability Index - HAQ-DI, Short Form-36 e Functional Assessment of Chronic Illness Therapy). Miglioramenti statisticamente significativi nei punteggi dell’HAQ-DI sono stati osservati nei pazienti trattati con tocilizumab rispetto ai pazienti trattati con DMARD. Durante il periodo in aperto dello </w:t>
      </w:r>
      <w:del w:id="1502" w:author="Author">
        <w:r>
          <w:rPr>
            <w:noProof/>
            <w:lang w:val="it-IT"/>
          </w:rPr>
          <w:delText xml:space="preserve">studio </w:delText>
        </w:r>
      </w:del>
      <w:ins w:id="1503" w:author="Author">
        <w:r>
          <w:rPr>
            <w:noProof/>
            <w:lang w:val="it-IT"/>
          </w:rPr>
          <w:t xml:space="preserve">Studio </w:t>
        </w:r>
      </w:ins>
      <w:r>
        <w:rPr>
          <w:noProof/>
          <w:lang w:val="it-IT"/>
        </w:rPr>
        <w:t xml:space="preserve">II, il miglioramento della funzione fisica si è mantenuto fino ai 2 anni. Alla settimana 52, il cambiamento medio di </w:t>
      </w:r>
      <w:r>
        <w:rPr>
          <w:rFonts w:eastAsia="MS Mincho"/>
          <w:noProof/>
          <w:lang w:val="it-IT"/>
        </w:rPr>
        <w:t>HAQ-DI è stato -0,58 nel gruppo di tocilizumab 8 mg/kg più MTX rispetto a -0,39 nel gruppo placebo + MTX. I</w:t>
      </w:r>
      <w:r>
        <w:rPr>
          <w:noProof/>
          <w:lang w:val="it-IT"/>
        </w:rPr>
        <w:t>l cambiamento medio</w:t>
      </w:r>
      <w:r>
        <w:rPr>
          <w:rFonts w:eastAsia="MS Mincho"/>
          <w:noProof/>
          <w:lang w:val="it-IT"/>
        </w:rPr>
        <w:t xml:space="preserve"> di HAQ-DI si è mantenuto costante alla settimana 104 nel gruppo di tocilizumab 8 mg/kg più MTX (-0,61).</w:t>
      </w:r>
    </w:p>
    <w:p>
      <w:pPr>
        <w:numPr>
          <w:ilvl w:val="12"/>
          <w:numId w:val="0"/>
        </w:numPr>
        <w:tabs>
          <w:tab w:val="left" w:pos="180"/>
        </w:tabs>
        <w:rPr>
          <w:i/>
          <w:noProof/>
          <w:szCs w:val="22"/>
          <w:lang w:val="it-IT"/>
        </w:rPr>
      </w:pPr>
    </w:p>
    <w:p>
      <w:pPr>
        <w:numPr>
          <w:ilvl w:val="12"/>
          <w:numId w:val="0"/>
        </w:numPr>
        <w:tabs>
          <w:tab w:val="left" w:pos="180"/>
        </w:tabs>
        <w:rPr>
          <w:noProof/>
          <w:lang w:val="it-IT"/>
        </w:rPr>
      </w:pPr>
      <w:r>
        <w:rPr>
          <w:i/>
          <w:noProof/>
          <w:lang w:val="it-IT"/>
        </w:rPr>
        <w:t xml:space="preserve">Livelli dell’emoglobina </w:t>
      </w:r>
    </w:p>
    <w:p>
      <w:pPr>
        <w:numPr>
          <w:ilvl w:val="12"/>
          <w:numId w:val="0"/>
        </w:numPr>
        <w:tabs>
          <w:tab w:val="left" w:pos="180"/>
        </w:tabs>
        <w:rPr>
          <w:noProof/>
          <w:lang w:val="it-IT"/>
        </w:rPr>
      </w:pPr>
      <w:r>
        <w:rPr>
          <w:noProof/>
          <w:lang w:val="it-IT"/>
        </w:rPr>
        <w:t>Miglioramenti statisticamente significativi dei livelli di emoglobina sono stati osservati con tocilizumab rispetto ai DMARD (p &lt;0,0001) alla settimana 24. I livelli medi di emoglobina sono aumentati entro la settimana 2 e si sono mantenuti nell’intervallo di normalità fino alla settimana 24.</w:t>
      </w:r>
    </w:p>
    <w:p>
      <w:pPr>
        <w:numPr>
          <w:ilvl w:val="12"/>
          <w:numId w:val="0"/>
        </w:numPr>
        <w:tabs>
          <w:tab w:val="left" w:pos="180"/>
        </w:tabs>
        <w:ind w:right="-2"/>
        <w:rPr>
          <w:i/>
          <w:noProof/>
          <w:lang w:val="it-IT"/>
        </w:rPr>
      </w:pPr>
    </w:p>
    <w:p>
      <w:pPr>
        <w:numPr>
          <w:ilvl w:val="12"/>
          <w:numId w:val="0"/>
        </w:numPr>
        <w:tabs>
          <w:tab w:val="left" w:pos="180"/>
        </w:tabs>
        <w:ind w:right="-2"/>
        <w:rPr>
          <w:i/>
          <w:noProof/>
          <w:lang w:val="it-IT"/>
        </w:rPr>
      </w:pPr>
      <w:r>
        <w:rPr>
          <w:i/>
          <w:noProof/>
          <w:lang w:val="it-IT"/>
        </w:rPr>
        <w:t>Tocilizumab versus adalimumab in monoterapia</w:t>
      </w:r>
    </w:p>
    <w:p>
      <w:pPr>
        <w:numPr>
          <w:ilvl w:val="12"/>
          <w:numId w:val="0"/>
        </w:numPr>
        <w:tabs>
          <w:tab w:val="left" w:pos="180"/>
        </w:tabs>
        <w:rPr>
          <w:noProof/>
          <w:lang w:val="it-IT"/>
        </w:rPr>
      </w:pPr>
      <w:r>
        <w:rPr>
          <w:noProof/>
          <w:lang w:val="it-IT"/>
        </w:rPr>
        <w:t xml:space="preserve">Lo </w:t>
      </w:r>
      <w:del w:id="1504" w:author="Author">
        <w:r>
          <w:rPr>
            <w:noProof/>
            <w:lang w:val="it-IT"/>
          </w:rPr>
          <w:delText xml:space="preserve">studio </w:delText>
        </w:r>
      </w:del>
      <w:ins w:id="1505" w:author="Author">
        <w:r>
          <w:rPr>
            <w:noProof/>
            <w:lang w:val="it-IT"/>
          </w:rPr>
          <w:t xml:space="preserve">Studio </w:t>
        </w:r>
      </w:ins>
      <w:r>
        <w:rPr>
          <w:noProof/>
          <w:lang w:val="it-IT"/>
        </w:rPr>
        <w:t>VI (WA19924), uno studio clinico in doppio cieco di 24 settimane che ha confrontato la monoterapia di tocilizumab con la monoterapia di adalimumab, ha coinvolto 326 pazienti affetti da AR intolleranti al MTX o per i quali il trattamento continuato con MTX era considerato inappropriato (compresi pazienti con risposta inadeguata a MTX). I pazienti nel braccio tocilizumab hanno ricevuto una infusione endovenosa di tocilizumab (8 mg/kg) ogni 4 settimane (q4w) ed una iniezione sottocute di placebo ogni 2 settimane(q2w). I pazienti nel braccio adalimumab hanno ricevuto una iniezione sottocute di adalimumab (40 mg) q2w ed un’infusione endovenosa di placebo q4w. Un effetto superiore del trattamento statisticamente significativo è stato osservato in favore di tocilizumab rispetto ad adalimumab nel controllo nell’attività di malattia dal basale alla settimana 24 per l’obiettivo primario di variazione nel DAS28 e per tutti gli obiettivi secondari (Tabella 6).</w:t>
      </w:r>
    </w:p>
    <w:p>
      <w:pPr>
        <w:numPr>
          <w:ilvl w:val="12"/>
          <w:numId w:val="0"/>
        </w:numPr>
        <w:tabs>
          <w:tab w:val="left" w:pos="180"/>
        </w:tabs>
        <w:rPr>
          <w:noProof/>
          <w:lang w:val="it-IT"/>
        </w:rPr>
      </w:pPr>
    </w:p>
    <w:p>
      <w:pPr>
        <w:keepNext/>
        <w:keepLines/>
        <w:tabs>
          <w:tab w:val="left" w:pos="180"/>
        </w:tabs>
        <w:rPr>
          <w:bCs/>
          <w:i/>
          <w:noProof/>
          <w:lang w:val="it-IT"/>
        </w:rPr>
      </w:pPr>
      <w:r>
        <w:rPr>
          <w:bCs/>
          <w:i/>
          <w:noProof/>
          <w:lang w:val="it-IT"/>
        </w:rPr>
        <w:t xml:space="preserve">Tabella 6: Risultati di efficacia per lo </w:t>
      </w:r>
      <w:del w:id="1506" w:author="Author">
        <w:r>
          <w:rPr>
            <w:bCs/>
            <w:i/>
            <w:noProof/>
            <w:lang w:val="it-IT"/>
          </w:rPr>
          <w:delText xml:space="preserve">studio </w:delText>
        </w:r>
      </w:del>
      <w:ins w:id="1507" w:author="Author">
        <w:r>
          <w:rPr>
            <w:bCs/>
            <w:i/>
            <w:noProof/>
            <w:lang w:val="it-IT"/>
          </w:rPr>
          <w:t xml:space="preserve">Studio </w:t>
        </w:r>
      </w:ins>
      <w:r>
        <w:rPr>
          <w:bCs/>
          <w:i/>
          <w:noProof/>
          <w:lang w:val="it-IT"/>
        </w:rPr>
        <w:t>VI (WA19924)</w:t>
      </w:r>
    </w:p>
    <w:p>
      <w:pPr>
        <w:keepNext/>
        <w:keepLines/>
        <w:tabs>
          <w:tab w:val="left" w:pos="180"/>
        </w:tabs>
        <w:rPr>
          <w:noProof/>
          <w:lang w:val="it-IT"/>
        </w:rPr>
      </w:pPr>
    </w:p>
    <w:tbl>
      <w:tblPr>
        <w:tblW w:w="9067" w:type="dxa"/>
        <w:tblLayout w:type="fixed"/>
        <w:tblCellMar>
          <w:top w:w="28" w:type="dxa"/>
          <w:bottom w:w="28" w:type="dxa"/>
        </w:tblCellMar>
        <w:tblLook w:val="04A0" w:firstRow="1" w:lastRow="0" w:firstColumn="1" w:lastColumn="0" w:noHBand="0" w:noVBand="1"/>
      </w:tblPr>
      <w:tblGrid>
        <w:gridCol w:w="3964"/>
        <w:gridCol w:w="1843"/>
        <w:gridCol w:w="1985"/>
        <w:gridCol w:w="1275"/>
        <w:tblGridChange w:id="1508">
          <w:tblGrid>
            <w:gridCol w:w="5"/>
            <w:gridCol w:w="3345"/>
            <w:gridCol w:w="619"/>
            <w:gridCol w:w="1843"/>
            <w:gridCol w:w="849"/>
            <w:gridCol w:w="1136"/>
            <w:gridCol w:w="139"/>
            <w:gridCol w:w="14"/>
            <w:gridCol w:w="1122"/>
          </w:tblGrid>
        </w:tblGridChange>
      </w:tblGrid>
      <w:tr>
        <w:trPr>
          <w:cantSplit/>
        </w:trPr>
        <w:tc>
          <w:tcPr>
            <w:tcW w:w="3964"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pPr>
              <w:keepNext/>
              <w:keepLines/>
              <w:tabs>
                <w:tab w:val="left" w:pos="180"/>
              </w:tabs>
              <w:suppressAutoHyphens/>
              <w:rPr>
                <w:noProof/>
                <w:sz w:val="20"/>
                <w:lang w:val="it-IT" w:eastAsia="zh-TW"/>
              </w:rPr>
              <w:pPrChange w:id="1509" w:author="Author">
                <w:pPr>
                  <w:keepNext/>
                  <w:keepLines/>
                  <w:tabs>
                    <w:tab w:val="left" w:pos="180"/>
                  </w:tabs>
                </w:pPr>
              </w:pPrChange>
            </w:pPr>
          </w:p>
        </w:tc>
        <w:tc>
          <w:tcPr>
            <w:tcW w:w="1843" w:type="dxa"/>
            <w:tcBorders>
              <w:top w:val="single" w:sz="8" w:space="0" w:color="auto"/>
              <w:left w:val="nil"/>
              <w:bottom w:val="single" w:sz="8" w:space="0" w:color="auto"/>
              <w:right w:val="nil"/>
            </w:tcBorders>
            <w:tcMar>
              <w:top w:w="0" w:type="dxa"/>
              <w:left w:w="57" w:type="dxa"/>
              <w:bottom w:w="0" w:type="dxa"/>
              <w:right w:w="57" w:type="dxa"/>
            </w:tcMar>
            <w:vAlign w:val="bottom"/>
          </w:tcPr>
          <w:p>
            <w:pPr>
              <w:keepNext/>
              <w:keepLines/>
              <w:tabs>
                <w:tab w:val="left" w:pos="180"/>
              </w:tabs>
              <w:suppressAutoHyphens/>
              <w:jc w:val="center"/>
              <w:rPr>
                <w:rFonts w:eastAsia="SimSun"/>
                <w:b/>
                <w:noProof/>
                <w:sz w:val="20"/>
                <w:lang w:val="it-IT" w:eastAsia="zh-CN"/>
                <w:rPrChange w:id="1510" w:author="Author">
                  <w:rPr>
                    <w:rFonts w:eastAsia="SimSun"/>
                    <w:b/>
                    <w:sz w:val="16"/>
                    <w:lang w:val="it-IT" w:eastAsia="zh-CN"/>
                  </w:rPr>
                </w:rPrChange>
              </w:rPr>
              <w:pPrChange w:id="1511" w:author="Author">
                <w:pPr>
                  <w:keepNext/>
                  <w:keepLines/>
                  <w:tabs>
                    <w:tab w:val="left" w:pos="180"/>
                  </w:tabs>
                  <w:spacing w:before="50" w:after="50" w:line="240" w:lineRule="exact"/>
                  <w:jc w:val="center"/>
                </w:pPr>
              </w:pPrChange>
            </w:pPr>
            <w:r>
              <w:rPr>
                <w:rFonts w:eastAsia="SimSun"/>
                <w:b/>
                <w:noProof/>
                <w:sz w:val="20"/>
                <w:lang w:val="it-IT" w:eastAsia="zh-CN"/>
                <w:rPrChange w:id="1512" w:author="Author">
                  <w:rPr>
                    <w:rFonts w:eastAsia="SimSun"/>
                    <w:b/>
                    <w:sz w:val="16"/>
                    <w:lang w:val="it-IT" w:eastAsia="zh-CN"/>
                  </w:rPr>
                </w:rPrChange>
              </w:rPr>
              <w:t>ADA</w:t>
            </w:r>
            <w:del w:id="1513" w:author="Author">
              <w:r>
                <w:rPr>
                  <w:rFonts w:eastAsia="SimSun"/>
                  <w:b/>
                  <w:noProof/>
                  <w:sz w:val="20"/>
                  <w:lang w:val="it-IT" w:eastAsia="zh-CN"/>
                  <w:rPrChange w:id="1514" w:author="Author">
                    <w:rPr>
                      <w:rFonts w:eastAsia="SimSun"/>
                      <w:b/>
                      <w:sz w:val="16"/>
                      <w:lang w:val="it-IT" w:eastAsia="zh-CN"/>
                    </w:rPr>
                  </w:rPrChange>
                </w:rPr>
                <w:delText xml:space="preserve"> </w:delText>
              </w:r>
            </w:del>
            <w:ins w:id="1515" w:author="Author">
              <w:r>
                <w:rPr>
                  <w:rFonts w:eastAsia="SimSun"/>
                  <w:b/>
                  <w:noProof/>
                  <w:sz w:val="20"/>
                  <w:lang w:val="it-IT" w:eastAsia="zh-CN"/>
                  <w:rPrChange w:id="1516" w:author="Author">
                    <w:rPr>
                      <w:rFonts w:eastAsia="SimSun"/>
                      <w:b/>
                      <w:sz w:val="16"/>
                      <w:lang w:val="it-IT" w:eastAsia="zh-CN"/>
                    </w:rPr>
                  </w:rPrChange>
                </w:rPr>
                <w:t> </w:t>
              </w:r>
            </w:ins>
            <w:r>
              <w:rPr>
                <w:rFonts w:eastAsia="SimSun"/>
                <w:b/>
                <w:noProof/>
                <w:sz w:val="20"/>
                <w:lang w:val="it-IT" w:eastAsia="zh-CN"/>
                <w:rPrChange w:id="1517" w:author="Author">
                  <w:rPr>
                    <w:rFonts w:eastAsia="SimSun"/>
                    <w:b/>
                    <w:sz w:val="16"/>
                    <w:lang w:val="it-IT" w:eastAsia="zh-CN"/>
                  </w:rPr>
                </w:rPrChange>
              </w:rPr>
              <w:t>+</w:t>
            </w:r>
            <w:ins w:id="1518" w:author="Author">
              <w:r>
                <w:rPr>
                  <w:rFonts w:eastAsia="SimSun"/>
                  <w:b/>
                  <w:noProof/>
                  <w:sz w:val="20"/>
                  <w:lang w:val="it-IT" w:eastAsia="zh-CN"/>
                  <w:rPrChange w:id="1519" w:author="Author">
                    <w:rPr>
                      <w:rFonts w:eastAsia="SimSun"/>
                      <w:b/>
                      <w:sz w:val="16"/>
                      <w:lang w:val="it-IT" w:eastAsia="zh-CN"/>
                    </w:rPr>
                  </w:rPrChange>
                </w:rPr>
                <w:t> </w:t>
              </w:r>
            </w:ins>
            <w:del w:id="1520" w:author="Author">
              <w:r>
                <w:rPr>
                  <w:rFonts w:eastAsia="SimSun"/>
                  <w:b/>
                  <w:noProof/>
                  <w:sz w:val="20"/>
                  <w:lang w:val="it-IT" w:eastAsia="zh-CN"/>
                  <w:rPrChange w:id="1521" w:author="Author">
                    <w:rPr>
                      <w:rFonts w:eastAsia="SimSun"/>
                      <w:b/>
                      <w:sz w:val="16"/>
                      <w:lang w:val="it-IT" w:eastAsia="zh-CN"/>
                    </w:rPr>
                  </w:rPrChange>
                </w:rPr>
                <w:delText xml:space="preserve"> </w:delText>
              </w:r>
            </w:del>
            <w:r>
              <w:rPr>
                <w:rFonts w:eastAsia="SimSun"/>
                <w:b/>
                <w:noProof/>
                <w:sz w:val="20"/>
                <w:lang w:val="it-IT" w:eastAsia="zh-CN"/>
                <w:rPrChange w:id="1522" w:author="Author">
                  <w:rPr>
                    <w:rFonts w:eastAsia="SimSun"/>
                    <w:b/>
                    <w:sz w:val="16"/>
                    <w:lang w:val="it-IT" w:eastAsia="zh-CN"/>
                  </w:rPr>
                </w:rPrChange>
              </w:rPr>
              <w:t>Placebo (IV)</w:t>
            </w:r>
          </w:p>
          <w:p>
            <w:pPr>
              <w:keepNext/>
              <w:keepLines/>
              <w:tabs>
                <w:tab w:val="left" w:pos="180"/>
              </w:tabs>
              <w:suppressAutoHyphens/>
              <w:jc w:val="center"/>
              <w:rPr>
                <w:rFonts w:eastAsia="SimSun"/>
                <w:b/>
                <w:noProof/>
                <w:sz w:val="20"/>
                <w:lang w:val="it-IT" w:eastAsia="zh-CN"/>
                <w:rPrChange w:id="1523" w:author="Author">
                  <w:rPr>
                    <w:rFonts w:eastAsia="SimSun"/>
                    <w:b/>
                    <w:sz w:val="16"/>
                    <w:lang w:val="it-IT" w:eastAsia="zh-CN"/>
                  </w:rPr>
                </w:rPrChange>
              </w:rPr>
              <w:pPrChange w:id="1524" w:author="Author">
                <w:pPr>
                  <w:keepNext/>
                  <w:keepLines/>
                  <w:tabs>
                    <w:tab w:val="left" w:pos="180"/>
                  </w:tabs>
                  <w:spacing w:before="50" w:after="50" w:line="240" w:lineRule="exact"/>
                  <w:jc w:val="center"/>
                </w:pPr>
              </w:pPrChange>
            </w:pPr>
            <w:del w:id="1525" w:author="Author">
              <w:r>
                <w:rPr>
                  <w:rFonts w:eastAsia="SimSun"/>
                  <w:b/>
                  <w:noProof/>
                  <w:sz w:val="20"/>
                  <w:lang w:val="it-IT" w:eastAsia="zh-CN"/>
                  <w:rPrChange w:id="1526" w:author="Author">
                    <w:rPr>
                      <w:rFonts w:eastAsia="SimSun"/>
                      <w:b/>
                      <w:sz w:val="16"/>
                      <w:lang w:val="it-IT" w:eastAsia="zh-CN"/>
                    </w:rPr>
                  </w:rPrChange>
                </w:rPr>
                <w:delText xml:space="preserve">N </w:delText>
              </w:r>
            </w:del>
            <w:ins w:id="1527" w:author="Author">
              <w:r>
                <w:rPr>
                  <w:rFonts w:eastAsia="SimSun"/>
                  <w:b/>
                  <w:noProof/>
                  <w:sz w:val="20"/>
                  <w:lang w:val="it-IT" w:eastAsia="zh-CN"/>
                  <w:rPrChange w:id="1528" w:author="Author">
                    <w:rPr>
                      <w:rFonts w:eastAsia="SimSun"/>
                      <w:b/>
                      <w:sz w:val="16"/>
                      <w:lang w:val="it-IT" w:eastAsia="zh-CN"/>
                    </w:rPr>
                  </w:rPrChange>
                </w:rPr>
                <w:t>n </w:t>
              </w:r>
            </w:ins>
            <w:r>
              <w:rPr>
                <w:rFonts w:eastAsia="SimSun"/>
                <w:b/>
                <w:noProof/>
                <w:sz w:val="20"/>
                <w:lang w:val="it-IT" w:eastAsia="zh-CN"/>
                <w:rPrChange w:id="1529" w:author="Author">
                  <w:rPr>
                    <w:rFonts w:eastAsia="SimSun"/>
                    <w:b/>
                    <w:sz w:val="16"/>
                    <w:lang w:val="it-IT" w:eastAsia="zh-CN"/>
                  </w:rPr>
                </w:rPrChange>
              </w:rPr>
              <w:t>=</w:t>
            </w:r>
            <w:ins w:id="1530" w:author="Author">
              <w:r>
                <w:rPr>
                  <w:rFonts w:eastAsia="SimSun"/>
                  <w:b/>
                  <w:noProof/>
                  <w:sz w:val="20"/>
                  <w:lang w:val="it-IT" w:eastAsia="zh-CN"/>
                  <w:rPrChange w:id="1531" w:author="Author">
                    <w:rPr>
                      <w:rFonts w:eastAsia="SimSun"/>
                      <w:b/>
                      <w:sz w:val="16"/>
                      <w:lang w:val="it-IT" w:eastAsia="zh-CN"/>
                    </w:rPr>
                  </w:rPrChange>
                </w:rPr>
                <w:t> </w:t>
              </w:r>
            </w:ins>
            <w:del w:id="1532" w:author="Author">
              <w:r>
                <w:rPr>
                  <w:rFonts w:eastAsia="SimSun"/>
                  <w:b/>
                  <w:noProof/>
                  <w:sz w:val="20"/>
                  <w:lang w:val="it-IT" w:eastAsia="zh-CN"/>
                  <w:rPrChange w:id="1533" w:author="Author">
                    <w:rPr>
                      <w:rFonts w:eastAsia="SimSun"/>
                      <w:b/>
                      <w:sz w:val="16"/>
                      <w:lang w:val="it-IT" w:eastAsia="zh-CN"/>
                    </w:rPr>
                  </w:rPrChange>
                </w:rPr>
                <w:delText xml:space="preserve"> </w:delText>
              </w:r>
            </w:del>
            <w:r>
              <w:rPr>
                <w:rFonts w:eastAsia="SimSun"/>
                <w:b/>
                <w:noProof/>
                <w:sz w:val="20"/>
                <w:lang w:val="it-IT" w:eastAsia="zh-CN"/>
                <w:rPrChange w:id="1534" w:author="Author">
                  <w:rPr>
                    <w:rFonts w:eastAsia="SimSun"/>
                    <w:b/>
                    <w:sz w:val="16"/>
                    <w:lang w:val="it-IT" w:eastAsia="zh-CN"/>
                  </w:rPr>
                </w:rPrChange>
              </w:rPr>
              <w:t>162</w:t>
            </w:r>
          </w:p>
        </w:tc>
        <w:tc>
          <w:tcPr>
            <w:tcW w:w="1985" w:type="dxa"/>
            <w:tcBorders>
              <w:top w:val="single" w:sz="8" w:space="0" w:color="auto"/>
              <w:left w:val="nil"/>
              <w:bottom w:val="single" w:sz="8" w:space="0" w:color="auto"/>
              <w:right w:val="nil"/>
            </w:tcBorders>
            <w:tcMar>
              <w:top w:w="0" w:type="dxa"/>
              <w:left w:w="57" w:type="dxa"/>
              <w:bottom w:w="0" w:type="dxa"/>
              <w:right w:w="57" w:type="dxa"/>
            </w:tcMar>
            <w:vAlign w:val="bottom"/>
          </w:tcPr>
          <w:p>
            <w:pPr>
              <w:keepNext/>
              <w:keepLines/>
              <w:tabs>
                <w:tab w:val="left" w:pos="180"/>
              </w:tabs>
              <w:suppressAutoHyphens/>
              <w:jc w:val="center"/>
              <w:rPr>
                <w:rFonts w:eastAsia="SimSun"/>
                <w:b/>
                <w:noProof/>
                <w:sz w:val="20"/>
                <w:lang w:val="it-IT" w:eastAsia="zh-CN"/>
                <w:rPrChange w:id="1535" w:author="Author">
                  <w:rPr>
                    <w:rFonts w:eastAsia="SimSun"/>
                    <w:b/>
                    <w:sz w:val="16"/>
                    <w:lang w:val="it-IT" w:eastAsia="zh-CN"/>
                  </w:rPr>
                </w:rPrChange>
              </w:rPr>
              <w:pPrChange w:id="1536" w:author="Author">
                <w:pPr>
                  <w:keepNext/>
                  <w:keepLines/>
                  <w:tabs>
                    <w:tab w:val="left" w:pos="180"/>
                  </w:tabs>
                  <w:spacing w:before="50" w:after="50" w:line="240" w:lineRule="exact"/>
                  <w:jc w:val="center"/>
                </w:pPr>
              </w:pPrChange>
            </w:pPr>
            <w:r>
              <w:rPr>
                <w:rFonts w:eastAsia="SimSun"/>
                <w:b/>
                <w:noProof/>
                <w:sz w:val="20"/>
                <w:lang w:val="it-IT" w:eastAsia="zh-CN"/>
                <w:rPrChange w:id="1537" w:author="Author">
                  <w:rPr>
                    <w:rFonts w:eastAsia="SimSun"/>
                    <w:b/>
                    <w:sz w:val="16"/>
                    <w:lang w:val="it-IT" w:eastAsia="zh-CN"/>
                  </w:rPr>
                </w:rPrChange>
              </w:rPr>
              <w:t>TCZ</w:t>
            </w:r>
            <w:ins w:id="1538" w:author="Author">
              <w:r>
                <w:rPr>
                  <w:rFonts w:eastAsia="SimSun"/>
                  <w:b/>
                  <w:noProof/>
                  <w:sz w:val="20"/>
                  <w:lang w:val="it-IT" w:eastAsia="zh-CN"/>
                  <w:rPrChange w:id="1539" w:author="Author">
                    <w:rPr>
                      <w:rFonts w:eastAsia="SimSun"/>
                      <w:b/>
                      <w:sz w:val="16"/>
                      <w:lang w:val="it-IT" w:eastAsia="zh-CN"/>
                    </w:rPr>
                  </w:rPrChange>
                </w:rPr>
                <w:t> </w:t>
              </w:r>
            </w:ins>
            <w:del w:id="1540" w:author="Author">
              <w:r>
                <w:rPr>
                  <w:rFonts w:eastAsia="SimSun"/>
                  <w:b/>
                  <w:noProof/>
                  <w:sz w:val="20"/>
                  <w:lang w:val="it-IT" w:eastAsia="zh-CN"/>
                  <w:rPrChange w:id="1541" w:author="Author">
                    <w:rPr>
                      <w:rFonts w:eastAsia="SimSun"/>
                      <w:b/>
                      <w:sz w:val="16"/>
                      <w:lang w:val="it-IT" w:eastAsia="zh-CN"/>
                    </w:rPr>
                  </w:rPrChange>
                </w:rPr>
                <w:delText xml:space="preserve"> </w:delText>
              </w:r>
            </w:del>
            <w:r>
              <w:rPr>
                <w:rFonts w:eastAsia="SimSun"/>
                <w:b/>
                <w:noProof/>
                <w:sz w:val="20"/>
                <w:lang w:val="it-IT" w:eastAsia="zh-CN"/>
                <w:rPrChange w:id="1542" w:author="Author">
                  <w:rPr>
                    <w:rFonts w:eastAsia="SimSun"/>
                    <w:b/>
                    <w:sz w:val="16"/>
                    <w:lang w:val="it-IT" w:eastAsia="zh-CN"/>
                  </w:rPr>
                </w:rPrChange>
              </w:rPr>
              <w:t>+</w:t>
            </w:r>
            <w:ins w:id="1543" w:author="Author">
              <w:r>
                <w:rPr>
                  <w:rFonts w:eastAsia="SimSun"/>
                  <w:b/>
                  <w:noProof/>
                  <w:sz w:val="20"/>
                  <w:lang w:val="it-IT" w:eastAsia="zh-CN"/>
                  <w:rPrChange w:id="1544" w:author="Author">
                    <w:rPr>
                      <w:rFonts w:eastAsia="SimSun"/>
                      <w:b/>
                      <w:sz w:val="16"/>
                      <w:lang w:val="it-IT" w:eastAsia="zh-CN"/>
                    </w:rPr>
                  </w:rPrChange>
                </w:rPr>
                <w:t> </w:t>
              </w:r>
            </w:ins>
            <w:del w:id="1545" w:author="Author">
              <w:r>
                <w:rPr>
                  <w:rFonts w:eastAsia="SimSun"/>
                  <w:b/>
                  <w:noProof/>
                  <w:sz w:val="20"/>
                  <w:lang w:val="it-IT" w:eastAsia="zh-CN"/>
                  <w:rPrChange w:id="1546" w:author="Author">
                    <w:rPr>
                      <w:rFonts w:eastAsia="SimSun"/>
                      <w:b/>
                      <w:sz w:val="16"/>
                      <w:lang w:val="it-IT" w:eastAsia="zh-CN"/>
                    </w:rPr>
                  </w:rPrChange>
                </w:rPr>
                <w:delText xml:space="preserve"> </w:delText>
              </w:r>
            </w:del>
            <w:r>
              <w:rPr>
                <w:rFonts w:eastAsia="SimSun"/>
                <w:b/>
                <w:noProof/>
                <w:sz w:val="20"/>
                <w:lang w:val="it-IT" w:eastAsia="zh-CN"/>
                <w:rPrChange w:id="1547" w:author="Author">
                  <w:rPr>
                    <w:rFonts w:eastAsia="SimSun"/>
                    <w:b/>
                    <w:sz w:val="16"/>
                    <w:lang w:val="it-IT" w:eastAsia="zh-CN"/>
                  </w:rPr>
                </w:rPrChange>
              </w:rPr>
              <w:t>Placebo (SC)</w:t>
            </w:r>
          </w:p>
          <w:p>
            <w:pPr>
              <w:keepNext/>
              <w:keepLines/>
              <w:tabs>
                <w:tab w:val="left" w:pos="180"/>
              </w:tabs>
              <w:suppressAutoHyphens/>
              <w:jc w:val="center"/>
              <w:rPr>
                <w:rFonts w:eastAsia="SimSun"/>
                <w:b/>
                <w:noProof/>
                <w:sz w:val="20"/>
                <w:lang w:val="it-IT" w:eastAsia="zh-CN"/>
                <w:rPrChange w:id="1548" w:author="Author">
                  <w:rPr>
                    <w:rFonts w:eastAsia="SimSun"/>
                    <w:b/>
                    <w:sz w:val="16"/>
                    <w:lang w:val="it-IT" w:eastAsia="zh-CN"/>
                  </w:rPr>
                </w:rPrChange>
              </w:rPr>
              <w:pPrChange w:id="1549" w:author="Author">
                <w:pPr>
                  <w:keepNext/>
                  <w:keepLines/>
                  <w:tabs>
                    <w:tab w:val="left" w:pos="180"/>
                  </w:tabs>
                  <w:spacing w:before="50" w:after="50" w:line="240" w:lineRule="exact"/>
                  <w:jc w:val="center"/>
                </w:pPr>
              </w:pPrChange>
            </w:pPr>
            <w:del w:id="1550" w:author="Author">
              <w:r>
                <w:rPr>
                  <w:rFonts w:eastAsia="SimSun"/>
                  <w:b/>
                  <w:noProof/>
                  <w:sz w:val="20"/>
                  <w:lang w:val="it-IT" w:eastAsia="zh-CN"/>
                  <w:rPrChange w:id="1551" w:author="Author">
                    <w:rPr>
                      <w:rFonts w:eastAsia="SimSun"/>
                      <w:b/>
                      <w:sz w:val="16"/>
                      <w:lang w:val="it-IT" w:eastAsia="zh-CN"/>
                    </w:rPr>
                  </w:rPrChange>
                </w:rPr>
                <w:delText xml:space="preserve">N </w:delText>
              </w:r>
            </w:del>
            <w:ins w:id="1552" w:author="Author">
              <w:r>
                <w:rPr>
                  <w:rFonts w:eastAsia="SimSun"/>
                  <w:b/>
                  <w:noProof/>
                  <w:sz w:val="20"/>
                  <w:lang w:val="it-IT" w:eastAsia="zh-CN"/>
                  <w:rPrChange w:id="1553" w:author="Author">
                    <w:rPr>
                      <w:rFonts w:eastAsia="SimSun"/>
                      <w:b/>
                      <w:sz w:val="16"/>
                      <w:lang w:val="it-IT" w:eastAsia="zh-CN"/>
                    </w:rPr>
                  </w:rPrChange>
                </w:rPr>
                <w:t>n </w:t>
              </w:r>
            </w:ins>
            <w:r>
              <w:rPr>
                <w:rFonts w:eastAsia="SimSun"/>
                <w:b/>
                <w:noProof/>
                <w:sz w:val="20"/>
                <w:lang w:val="it-IT" w:eastAsia="zh-CN"/>
                <w:rPrChange w:id="1554" w:author="Author">
                  <w:rPr>
                    <w:rFonts w:eastAsia="SimSun"/>
                    <w:b/>
                    <w:sz w:val="16"/>
                    <w:lang w:val="it-IT" w:eastAsia="zh-CN"/>
                  </w:rPr>
                </w:rPrChange>
              </w:rPr>
              <w:t>=</w:t>
            </w:r>
            <w:ins w:id="1555" w:author="Author">
              <w:r>
                <w:rPr>
                  <w:rFonts w:eastAsia="SimSun"/>
                  <w:b/>
                  <w:noProof/>
                  <w:sz w:val="20"/>
                  <w:lang w:val="it-IT" w:eastAsia="zh-CN"/>
                  <w:rPrChange w:id="1556" w:author="Author">
                    <w:rPr>
                      <w:rFonts w:eastAsia="SimSun"/>
                      <w:b/>
                      <w:sz w:val="16"/>
                      <w:lang w:val="it-IT" w:eastAsia="zh-CN"/>
                    </w:rPr>
                  </w:rPrChange>
                </w:rPr>
                <w:t> </w:t>
              </w:r>
            </w:ins>
            <w:del w:id="1557" w:author="Author">
              <w:r>
                <w:rPr>
                  <w:rFonts w:eastAsia="SimSun"/>
                  <w:b/>
                  <w:noProof/>
                  <w:sz w:val="20"/>
                  <w:lang w:val="it-IT" w:eastAsia="zh-CN"/>
                  <w:rPrChange w:id="1558" w:author="Author">
                    <w:rPr>
                      <w:rFonts w:eastAsia="SimSun"/>
                      <w:b/>
                      <w:sz w:val="16"/>
                      <w:lang w:val="it-IT" w:eastAsia="zh-CN"/>
                    </w:rPr>
                  </w:rPrChange>
                </w:rPr>
                <w:delText xml:space="preserve"> </w:delText>
              </w:r>
            </w:del>
            <w:r>
              <w:rPr>
                <w:rFonts w:eastAsia="SimSun"/>
                <w:b/>
                <w:noProof/>
                <w:sz w:val="20"/>
                <w:lang w:val="it-IT" w:eastAsia="zh-CN"/>
                <w:rPrChange w:id="1559" w:author="Author">
                  <w:rPr>
                    <w:rFonts w:eastAsia="SimSun"/>
                    <w:b/>
                    <w:sz w:val="16"/>
                    <w:lang w:val="it-IT" w:eastAsia="zh-CN"/>
                  </w:rPr>
                </w:rPrChange>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pPr>
              <w:keepNext/>
              <w:keepLines/>
              <w:tabs>
                <w:tab w:val="left" w:pos="180"/>
              </w:tabs>
              <w:suppressAutoHyphens/>
              <w:jc w:val="center"/>
              <w:rPr>
                <w:rFonts w:eastAsia="SimSun"/>
                <w:b/>
                <w:bCs/>
                <w:noProof/>
                <w:sz w:val="20"/>
                <w:lang w:val="it-IT" w:eastAsia="zh-CN"/>
                <w:rPrChange w:id="1560" w:author="Author">
                  <w:rPr>
                    <w:rFonts w:eastAsia="SimSun"/>
                    <w:sz w:val="16"/>
                    <w:lang w:val="it-IT" w:eastAsia="zh-CN"/>
                  </w:rPr>
                </w:rPrChange>
              </w:rPr>
              <w:pPrChange w:id="1561" w:author="Author">
                <w:pPr>
                  <w:keepNext/>
                  <w:keepLines/>
                  <w:tabs>
                    <w:tab w:val="left" w:pos="180"/>
                  </w:tabs>
                  <w:spacing w:before="50" w:after="50" w:line="240" w:lineRule="exact"/>
                  <w:jc w:val="center"/>
                </w:pPr>
              </w:pPrChange>
            </w:pPr>
            <w:r>
              <w:rPr>
                <w:rFonts w:eastAsia="SimSun"/>
                <w:b/>
                <w:bCs/>
                <w:noProof/>
                <w:sz w:val="20"/>
                <w:lang w:val="it-IT" w:eastAsia="zh-CN"/>
                <w:rPrChange w:id="1562" w:author="Author">
                  <w:rPr>
                    <w:rFonts w:eastAsia="SimSun"/>
                    <w:sz w:val="16"/>
                    <w:lang w:val="it-IT" w:eastAsia="zh-CN"/>
                  </w:rPr>
                </w:rPrChange>
              </w:rPr>
              <w:t>p-valore</w:t>
            </w:r>
            <w:r>
              <w:rPr>
                <w:rFonts w:eastAsia="SimSun"/>
                <w:b/>
                <w:bCs/>
                <w:noProof/>
                <w:sz w:val="20"/>
                <w:vertAlign w:val="superscript"/>
                <w:lang w:val="it-IT" w:eastAsia="zh-CN"/>
                <w:rPrChange w:id="1563" w:author="Author">
                  <w:rPr>
                    <w:rFonts w:eastAsia="SimSun"/>
                    <w:b/>
                    <w:sz w:val="16"/>
                    <w:vertAlign w:val="superscript"/>
                    <w:lang w:val="it-IT" w:eastAsia="zh-CN"/>
                  </w:rPr>
                </w:rPrChange>
              </w:rPr>
              <w:t xml:space="preserve"> (a)</w:t>
            </w:r>
          </w:p>
        </w:tc>
      </w:tr>
      <w:tr>
        <w:tblPrEx>
          <w:tblW w:w="9067" w:type="dxa"/>
          <w:tblLayout w:type="fixed"/>
          <w:tblCellMar>
            <w:top w:w="28" w:type="dxa"/>
            <w:bottom w:w="28" w:type="dxa"/>
          </w:tblCellMar>
          <w:tblPrExChange w:id="1564" w:author="Author">
            <w:tblPrEx>
              <w:tblW w:w="7950" w:type="dxa"/>
              <w:tblLayout w:type="fixed"/>
              <w:tblCellMar>
                <w:top w:w="28" w:type="dxa"/>
                <w:bottom w:w="28" w:type="dxa"/>
              </w:tblCellMar>
            </w:tblPrEx>
          </w:tblPrExChange>
        </w:tblPrEx>
        <w:trPr>
          <w:cantSplit/>
          <w:trPrChange w:id="1565" w:author="Author">
            <w:trPr>
              <w:gridAfter w:val="0"/>
              <w:cantSplit/>
            </w:trPr>
          </w:trPrChange>
        </w:trPr>
        <w:tc>
          <w:tcPr>
            <w:tcW w:w="9067" w:type="dxa"/>
            <w:gridSpan w:val="4"/>
            <w:tcBorders>
              <w:top w:val="nil"/>
              <w:left w:val="single" w:sz="4" w:space="0" w:color="auto"/>
              <w:bottom w:val="nil"/>
              <w:right w:val="single" w:sz="8" w:space="0" w:color="auto"/>
            </w:tcBorders>
            <w:tcMar>
              <w:top w:w="0" w:type="dxa"/>
              <w:left w:w="57" w:type="dxa"/>
              <w:bottom w:w="0" w:type="dxa"/>
              <w:right w:w="57" w:type="dxa"/>
            </w:tcMar>
            <w:tcPrChange w:id="1566" w:author="Author">
              <w:tcPr>
                <w:tcW w:w="7950" w:type="dxa"/>
                <w:gridSpan w:val="8"/>
                <w:tcBorders>
                  <w:top w:val="nil"/>
                  <w:left w:val="single" w:sz="4" w:space="0" w:color="auto"/>
                  <w:bottom w:val="nil"/>
                  <w:right w:val="single" w:sz="8" w:space="0" w:color="auto"/>
                </w:tcBorders>
                <w:tcMar>
                  <w:top w:w="0" w:type="dxa"/>
                  <w:left w:w="57" w:type="dxa"/>
                  <w:bottom w:w="0" w:type="dxa"/>
                  <w:right w:w="57" w:type="dxa"/>
                </w:tcMar>
              </w:tcPr>
            </w:tcPrChange>
          </w:tcPr>
          <w:p>
            <w:pPr>
              <w:keepNext/>
              <w:keepLines/>
              <w:tabs>
                <w:tab w:val="left" w:pos="180"/>
              </w:tabs>
              <w:suppressAutoHyphens/>
              <w:rPr>
                <w:rFonts w:eastAsia="SimSun"/>
                <w:noProof/>
                <w:sz w:val="20"/>
                <w:lang w:val="it-IT" w:eastAsia="zh-CN"/>
                <w:rPrChange w:id="1567" w:author="Author">
                  <w:rPr>
                    <w:rFonts w:eastAsia="SimSun"/>
                    <w:sz w:val="16"/>
                    <w:lang w:val="it-IT" w:eastAsia="zh-CN"/>
                  </w:rPr>
                </w:rPrChange>
              </w:rPr>
              <w:pPrChange w:id="1568" w:author="Author">
                <w:pPr>
                  <w:keepNext/>
                  <w:keepLines/>
                  <w:tabs>
                    <w:tab w:val="left" w:pos="180"/>
                  </w:tabs>
                  <w:spacing w:before="50" w:after="50" w:line="240" w:lineRule="exact"/>
                </w:pPr>
              </w:pPrChange>
            </w:pPr>
            <w:r>
              <w:rPr>
                <w:rFonts w:eastAsia="SimSun"/>
                <w:b/>
                <w:noProof/>
                <w:sz w:val="20"/>
                <w:lang w:val="it-IT" w:eastAsia="zh-CN"/>
                <w:rPrChange w:id="1569" w:author="Author">
                  <w:rPr>
                    <w:rFonts w:eastAsia="SimSun"/>
                    <w:b/>
                    <w:sz w:val="16"/>
                    <w:lang w:val="it-IT" w:eastAsia="zh-CN"/>
                  </w:rPr>
                </w:rPrChange>
              </w:rPr>
              <w:t>Endpoint primario – Variazione media dal basale alla settimana 24</w:t>
            </w:r>
          </w:p>
        </w:tc>
      </w:tr>
      <w:tr>
        <w:trPr>
          <w:cantSplit/>
        </w:trPr>
        <w:tc>
          <w:tcPr>
            <w:tcW w:w="3964" w:type="dxa"/>
            <w:tcBorders>
              <w:top w:val="single" w:sz="4" w:space="0" w:color="auto"/>
              <w:left w:val="single" w:sz="4" w:space="0" w:color="auto"/>
              <w:bottom w:val="nil"/>
              <w:right w:val="nil"/>
            </w:tcBorders>
            <w:tcMar>
              <w:top w:w="0" w:type="dxa"/>
              <w:left w:w="57" w:type="dxa"/>
              <w:bottom w:w="0" w:type="dxa"/>
              <w:right w:w="57" w:type="dxa"/>
            </w:tcMar>
          </w:tcPr>
          <w:p>
            <w:pPr>
              <w:keepNext/>
              <w:keepLines/>
              <w:tabs>
                <w:tab w:val="left" w:pos="180"/>
              </w:tabs>
              <w:suppressAutoHyphens/>
              <w:jc w:val="right"/>
              <w:rPr>
                <w:rFonts w:eastAsia="SimSun"/>
                <w:bCs/>
                <w:noProof/>
                <w:sz w:val="20"/>
                <w:lang w:val="it-IT" w:eastAsia="zh-CN"/>
                <w:rPrChange w:id="1570" w:author="Author">
                  <w:rPr>
                    <w:rFonts w:eastAsia="SimSun"/>
                    <w:b/>
                    <w:sz w:val="16"/>
                    <w:lang w:val="it-IT" w:eastAsia="zh-CN"/>
                  </w:rPr>
                </w:rPrChange>
              </w:rPr>
              <w:pPrChange w:id="1571" w:author="Author">
                <w:pPr>
                  <w:keepNext/>
                  <w:keepLines/>
                  <w:tabs>
                    <w:tab w:val="left" w:pos="180"/>
                  </w:tabs>
                  <w:spacing w:before="50" w:after="50" w:line="240" w:lineRule="exact"/>
                  <w:jc w:val="right"/>
                </w:pPr>
              </w:pPrChange>
            </w:pPr>
            <w:r>
              <w:rPr>
                <w:rFonts w:eastAsia="SimSun"/>
                <w:bCs/>
                <w:noProof/>
                <w:sz w:val="20"/>
                <w:lang w:val="it-IT" w:eastAsia="zh-CN"/>
                <w:rPrChange w:id="1572" w:author="Author">
                  <w:rPr>
                    <w:rFonts w:eastAsia="SimSun"/>
                    <w:b/>
                    <w:sz w:val="16"/>
                    <w:lang w:val="it-IT" w:eastAsia="zh-CN"/>
                  </w:rPr>
                </w:rPrChange>
              </w:rPr>
              <w:t xml:space="preserve">DAS28 (media aggiustata) </w:t>
            </w:r>
          </w:p>
        </w:tc>
        <w:tc>
          <w:tcPr>
            <w:tcW w:w="1843" w:type="dxa"/>
            <w:tcBorders>
              <w:top w:val="single" w:sz="4" w:space="0" w:color="auto"/>
              <w:left w:val="nil"/>
              <w:bottom w:val="nil"/>
              <w:right w:val="nil"/>
            </w:tcBorders>
            <w:tcMar>
              <w:top w:w="0" w:type="dxa"/>
              <w:left w:w="57" w:type="dxa"/>
              <w:bottom w:w="0" w:type="dxa"/>
              <w:right w:w="57" w:type="dxa"/>
            </w:tcMar>
          </w:tcPr>
          <w:p>
            <w:pPr>
              <w:keepNext/>
              <w:keepLines/>
              <w:tabs>
                <w:tab w:val="left" w:pos="180"/>
              </w:tabs>
              <w:suppressAutoHyphens/>
              <w:jc w:val="center"/>
              <w:rPr>
                <w:rFonts w:eastAsia="SimSun"/>
                <w:bCs/>
                <w:noProof/>
                <w:sz w:val="20"/>
                <w:lang w:val="it-IT" w:eastAsia="zh-CN"/>
                <w:rPrChange w:id="1573" w:author="Author">
                  <w:rPr>
                    <w:rFonts w:eastAsia="SimSun"/>
                    <w:b/>
                    <w:sz w:val="16"/>
                    <w:lang w:val="it-IT" w:eastAsia="zh-CN"/>
                  </w:rPr>
                </w:rPrChange>
              </w:rPr>
              <w:pPrChange w:id="1574" w:author="Author">
                <w:pPr>
                  <w:keepNext/>
                  <w:keepLines/>
                  <w:tabs>
                    <w:tab w:val="left" w:pos="180"/>
                  </w:tabs>
                  <w:spacing w:before="50" w:after="50" w:line="240" w:lineRule="exact"/>
                  <w:jc w:val="center"/>
                </w:pPr>
              </w:pPrChange>
            </w:pPr>
            <w:r>
              <w:rPr>
                <w:rFonts w:eastAsia="SimSun"/>
                <w:bCs/>
                <w:noProof/>
                <w:sz w:val="20"/>
                <w:lang w:val="it-IT" w:eastAsia="zh-CN"/>
                <w:rPrChange w:id="1575" w:author="Author">
                  <w:rPr>
                    <w:rFonts w:eastAsia="SimSun"/>
                    <w:b/>
                    <w:sz w:val="16"/>
                    <w:lang w:val="it-IT" w:eastAsia="zh-CN"/>
                  </w:rPr>
                </w:rPrChange>
              </w:rPr>
              <w:t>-1,8</w:t>
            </w:r>
          </w:p>
        </w:tc>
        <w:tc>
          <w:tcPr>
            <w:tcW w:w="1985" w:type="dxa"/>
            <w:tcBorders>
              <w:top w:val="single" w:sz="4" w:space="0" w:color="auto"/>
              <w:left w:val="nil"/>
              <w:bottom w:val="nil"/>
              <w:right w:val="nil"/>
            </w:tcBorders>
            <w:tcMar>
              <w:top w:w="0" w:type="dxa"/>
              <w:left w:w="57" w:type="dxa"/>
              <w:bottom w:w="0" w:type="dxa"/>
              <w:right w:w="57" w:type="dxa"/>
            </w:tcMar>
          </w:tcPr>
          <w:p>
            <w:pPr>
              <w:keepNext/>
              <w:keepLines/>
              <w:tabs>
                <w:tab w:val="left" w:pos="180"/>
              </w:tabs>
              <w:suppressAutoHyphens/>
              <w:jc w:val="center"/>
              <w:rPr>
                <w:rFonts w:eastAsia="SimSun"/>
                <w:bCs/>
                <w:noProof/>
                <w:sz w:val="20"/>
                <w:lang w:val="it-IT" w:eastAsia="zh-CN"/>
                <w:rPrChange w:id="1576" w:author="Author">
                  <w:rPr>
                    <w:rFonts w:eastAsia="SimSun"/>
                    <w:b/>
                    <w:sz w:val="16"/>
                    <w:lang w:val="it-IT" w:eastAsia="zh-CN"/>
                  </w:rPr>
                </w:rPrChange>
              </w:rPr>
              <w:pPrChange w:id="1577" w:author="Author">
                <w:pPr>
                  <w:keepNext/>
                  <w:keepLines/>
                  <w:tabs>
                    <w:tab w:val="left" w:pos="180"/>
                  </w:tabs>
                  <w:spacing w:before="50" w:after="50" w:line="240" w:lineRule="exact"/>
                  <w:jc w:val="center"/>
                </w:pPr>
              </w:pPrChange>
            </w:pPr>
            <w:r>
              <w:rPr>
                <w:rFonts w:eastAsia="SimSun"/>
                <w:bCs/>
                <w:noProof/>
                <w:sz w:val="20"/>
                <w:lang w:val="it-IT" w:eastAsia="zh-CN"/>
                <w:rPrChange w:id="1578" w:author="Author">
                  <w:rPr>
                    <w:rFonts w:eastAsia="SimSun"/>
                    <w:b/>
                    <w:sz w:val="16"/>
                    <w:lang w:val="it-IT" w:eastAsia="zh-CN"/>
                  </w:rPr>
                </w:rPrChange>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pPr>
              <w:keepNext/>
              <w:keepLines/>
              <w:tabs>
                <w:tab w:val="left" w:pos="180"/>
              </w:tabs>
              <w:suppressAutoHyphens/>
              <w:jc w:val="center"/>
              <w:rPr>
                <w:rFonts w:eastAsia="SimSun"/>
                <w:bCs/>
                <w:noProof/>
                <w:sz w:val="20"/>
                <w:lang w:val="it-IT" w:eastAsia="zh-CN"/>
                <w:rPrChange w:id="1579" w:author="Author">
                  <w:rPr>
                    <w:rFonts w:eastAsia="SimSun"/>
                    <w:b/>
                    <w:sz w:val="16"/>
                    <w:lang w:val="it-IT" w:eastAsia="zh-CN"/>
                  </w:rPr>
                </w:rPrChange>
              </w:rPr>
              <w:pPrChange w:id="1580" w:author="Author">
                <w:pPr>
                  <w:keepNext/>
                  <w:keepLines/>
                  <w:tabs>
                    <w:tab w:val="left" w:pos="180"/>
                  </w:tabs>
                  <w:spacing w:before="50" w:after="50" w:line="240" w:lineRule="exact"/>
                  <w:jc w:val="center"/>
                </w:pPr>
              </w:pPrChange>
            </w:pPr>
          </w:p>
        </w:tc>
      </w:tr>
      <w:tr>
        <w:tblPrEx>
          <w:tblW w:w="9067" w:type="dxa"/>
          <w:tblLayout w:type="fixed"/>
          <w:tblCellMar>
            <w:top w:w="28" w:type="dxa"/>
            <w:bottom w:w="28" w:type="dxa"/>
          </w:tblCellMar>
          <w:tblPrExChange w:id="1581" w:author="Author">
            <w:tblPrEx>
              <w:tblW w:w="7950" w:type="dxa"/>
              <w:tblLayout w:type="fixed"/>
              <w:tblCellMar>
                <w:top w:w="28" w:type="dxa"/>
                <w:bottom w:w="28" w:type="dxa"/>
              </w:tblCellMar>
            </w:tblPrEx>
          </w:tblPrExChange>
        </w:tblPrEx>
        <w:trPr>
          <w:cantSplit/>
          <w:trPrChange w:id="1582" w:author="Author">
            <w:trPr>
              <w:gridAfter w:val="0"/>
              <w:wAfter w:w="14" w:type="dxa"/>
              <w:cantSplit/>
            </w:trPr>
          </w:trPrChange>
        </w:trPr>
        <w:tc>
          <w:tcPr>
            <w:tcW w:w="3964" w:type="dxa"/>
            <w:tcBorders>
              <w:top w:val="nil"/>
              <w:left w:val="single" w:sz="4" w:space="0" w:color="auto"/>
              <w:bottom w:val="single" w:sz="4" w:space="0" w:color="auto"/>
              <w:right w:val="nil"/>
            </w:tcBorders>
            <w:tcMar>
              <w:top w:w="0" w:type="dxa"/>
              <w:left w:w="57" w:type="dxa"/>
              <w:bottom w:w="0" w:type="dxa"/>
              <w:right w:w="57" w:type="dxa"/>
            </w:tcMar>
            <w:tcPrChange w:id="1583" w:author="Author">
              <w:tcPr>
                <w:tcW w:w="3350" w:type="dxa"/>
                <w:gridSpan w:val="2"/>
                <w:tcBorders>
                  <w:top w:val="nil"/>
                  <w:left w:val="single" w:sz="4" w:space="0" w:color="auto"/>
                  <w:bottom w:val="single" w:sz="4" w:space="0" w:color="auto"/>
                  <w:right w:val="nil"/>
                </w:tcBorders>
                <w:tcMar>
                  <w:top w:w="0" w:type="dxa"/>
                  <w:left w:w="57" w:type="dxa"/>
                  <w:bottom w:w="0" w:type="dxa"/>
                  <w:right w:w="57" w:type="dxa"/>
                </w:tcMar>
              </w:tcPr>
            </w:tcPrChange>
          </w:tcPr>
          <w:p>
            <w:pPr>
              <w:keepNext/>
              <w:keepLines/>
              <w:tabs>
                <w:tab w:val="left" w:pos="180"/>
              </w:tabs>
              <w:suppressAutoHyphens/>
              <w:jc w:val="right"/>
              <w:rPr>
                <w:rFonts w:eastAsia="SimSun"/>
                <w:bCs/>
                <w:noProof/>
                <w:sz w:val="20"/>
                <w:lang w:val="it-IT" w:eastAsia="zh-CN"/>
                <w:rPrChange w:id="1584" w:author="Author">
                  <w:rPr>
                    <w:rFonts w:eastAsia="SimSun"/>
                    <w:b/>
                    <w:sz w:val="16"/>
                    <w:lang w:val="it-IT" w:eastAsia="zh-CN"/>
                  </w:rPr>
                </w:rPrChange>
              </w:rPr>
              <w:pPrChange w:id="1585" w:author="Author">
                <w:pPr>
                  <w:keepNext/>
                  <w:keepLines/>
                  <w:tabs>
                    <w:tab w:val="left" w:pos="180"/>
                  </w:tabs>
                  <w:spacing w:before="50" w:after="50" w:line="240" w:lineRule="exact"/>
                  <w:jc w:val="right"/>
                </w:pPr>
              </w:pPrChange>
            </w:pPr>
            <w:r>
              <w:rPr>
                <w:rFonts w:eastAsia="SimSun"/>
                <w:bCs/>
                <w:noProof/>
                <w:sz w:val="20"/>
                <w:lang w:val="it-IT" w:eastAsia="zh-CN"/>
                <w:rPrChange w:id="1586" w:author="Author">
                  <w:rPr>
                    <w:rFonts w:eastAsia="SimSun"/>
                    <w:b/>
                    <w:sz w:val="16"/>
                    <w:lang w:val="it-IT" w:eastAsia="zh-CN"/>
                  </w:rPr>
                </w:rPrChange>
              </w:rPr>
              <w:t>Differenza nella media aggiustata (95% CI)</w:t>
            </w:r>
          </w:p>
        </w:tc>
        <w:tc>
          <w:tcPr>
            <w:tcW w:w="3828" w:type="dxa"/>
            <w:gridSpan w:val="2"/>
            <w:tcBorders>
              <w:top w:val="nil"/>
              <w:left w:val="nil"/>
              <w:bottom w:val="single" w:sz="4" w:space="0" w:color="auto"/>
              <w:right w:val="nil"/>
            </w:tcBorders>
            <w:tcMar>
              <w:top w:w="0" w:type="dxa"/>
              <w:left w:w="57" w:type="dxa"/>
              <w:bottom w:w="0" w:type="dxa"/>
              <w:right w:w="57" w:type="dxa"/>
            </w:tcMar>
            <w:tcPrChange w:id="1587" w:author="Author">
              <w:tcPr>
                <w:tcW w:w="3311" w:type="dxa"/>
                <w:gridSpan w:val="3"/>
                <w:tcBorders>
                  <w:top w:val="nil"/>
                  <w:left w:val="nil"/>
                  <w:bottom w:val="single" w:sz="4" w:space="0" w:color="auto"/>
                  <w:right w:val="nil"/>
                </w:tcBorders>
                <w:tcMar>
                  <w:top w:w="0" w:type="dxa"/>
                  <w:left w:w="57" w:type="dxa"/>
                  <w:bottom w:w="0" w:type="dxa"/>
                  <w:right w:w="57" w:type="dxa"/>
                </w:tcMar>
              </w:tcPr>
            </w:tcPrChange>
          </w:tcPr>
          <w:p>
            <w:pPr>
              <w:keepNext/>
              <w:keepLines/>
              <w:tabs>
                <w:tab w:val="left" w:pos="180"/>
              </w:tabs>
              <w:suppressAutoHyphens/>
              <w:jc w:val="center"/>
              <w:rPr>
                <w:rFonts w:eastAsia="SimSun"/>
                <w:bCs/>
                <w:noProof/>
                <w:sz w:val="20"/>
                <w:lang w:val="it-IT" w:eastAsia="zh-CN"/>
                <w:rPrChange w:id="1588" w:author="Author">
                  <w:rPr>
                    <w:rFonts w:eastAsia="SimSun"/>
                    <w:b/>
                    <w:sz w:val="16"/>
                    <w:lang w:val="it-IT" w:eastAsia="zh-CN"/>
                  </w:rPr>
                </w:rPrChange>
              </w:rPr>
              <w:pPrChange w:id="1589" w:author="Author">
                <w:pPr>
                  <w:keepNext/>
                  <w:keepLines/>
                  <w:tabs>
                    <w:tab w:val="left" w:pos="180"/>
                  </w:tabs>
                  <w:spacing w:before="50" w:after="50" w:line="240" w:lineRule="exact"/>
                  <w:jc w:val="center"/>
                </w:pPr>
              </w:pPrChange>
            </w:pPr>
            <w:r>
              <w:rPr>
                <w:rFonts w:eastAsia="SimSun"/>
                <w:bCs/>
                <w:noProof/>
                <w:sz w:val="20"/>
                <w:lang w:val="it-IT" w:eastAsia="zh-CN"/>
                <w:rPrChange w:id="1590" w:author="Author">
                  <w:rPr>
                    <w:rFonts w:eastAsia="SimSun"/>
                    <w:b/>
                    <w:sz w:val="16"/>
                    <w:lang w:val="it-IT" w:eastAsia="zh-CN"/>
                  </w:rPr>
                </w:rPrChange>
              </w:rPr>
              <w:t>-1,5 (-1,8;-1,1)</w:t>
            </w:r>
          </w:p>
        </w:tc>
        <w:tc>
          <w:tcPr>
            <w:tcW w:w="1275" w:type="dxa"/>
            <w:tcBorders>
              <w:top w:val="nil"/>
              <w:left w:val="nil"/>
              <w:bottom w:val="single" w:sz="4" w:space="0" w:color="auto"/>
              <w:right w:val="single" w:sz="8" w:space="0" w:color="auto"/>
            </w:tcBorders>
            <w:tcMar>
              <w:top w:w="0" w:type="dxa"/>
              <w:left w:w="57" w:type="dxa"/>
              <w:bottom w:w="0" w:type="dxa"/>
              <w:right w:w="57" w:type="dxa"/>
            </w:tcMar>
            <w:tcPrChange w:id="1591" w:author="Author">
              <w:tcPr>
                <w:tcW w:w="1275" w:type="dxa"/>
                <w:gridSpan w:val="2"/>
                <w:tcBorders>
                  <w:top w:val="nil"/>
                  <w:left w:val="nil"/>
                  <w:bottom w:val="single" w:sz="4" w:space="0" w:color="auto"/>
                  <w:right w:val="single" w:sz="8" w:space="0" w:color="auto"/>
                </w:tcBorders>
                <w:tcMar>
                  <w:top w:w="0" w:type="dxa"/>
                  <w:left w:w="57" w:type="dxa"/>
                  <w:bottom w:w="0" w:type="dxa"/>
                  <w:right w:w="57" w:type="dxa"/>
                </w:tcMar>
              </w:tcPr>
            </w:tcPrChange>
          </w:tcPr>
          <w:p>
            <w:pPr>
              <w:keepNext/>
              <w:keepLines/>
              <w:tabs>
                <w:tab w:val="left" w:pos="180"/>
              </w:tabs>
              <w:suppressAutoHyphens/>
              <w:jc w:val="center"/>
              <w:rPr>
                <w:rFonts w:eastAsia="SimSun"/>
                <w:bCs/>
                <w:noProof/>
                <w:sz w:val="20"/>
                <w:lang w:val="it-IT" w:eastAsia="zh-CN"/>
                <w:rPrChange w:id="1592" w:author="Author">
                  <w:rPr>
                    <w:rFonts w:eastAsia="SimSun"/>
                    <w:b/>
                    <w:sz w:val="16"/>
                    <w:lang w:val="it-IT" w:eastAsia="zh-CN"/>
                  </w:rPr>
                </w:rPrChange>
              </w:rPr>
              <w:pPrChange w:id="1593" w:author="Author">
                <w:pPr>
                  <w:keepNext/>
                  <w:keepLines/>
                  <w:tabs>
                    <w:tab w:val="left" w:pos="180"/>
                  </w:tabs>
                  <w:spacing w:before="50" w:after="50" w:line="240" w:lineRule="exact"/>
                  <w:jc w:val="center"/>
                </w:pPr>
              </w:pPrChange>
            </w:pPr>
            <w:r>
              <w:rPr>
                <w:rFonts w:eastAsia="SimSun"/>
                <w:bCs/>
                <w:noProof/>
                <w:sz w:val="20"/>
                <w:lang w:val="it-IT" w:eastAsia="zh-CN"/>
                <w:rPrChange w:id="1594" w:author="Author">
                  <w:rPr>
                    <w:rFonts w:eastAsia="SimSun"/>
                    <w:b/>
                    <w:sz w:val="16"/>
                    <w:lang w:val="it-IT" w:eastAsia="zh-CN"/>
                  </w:rPr>
                </w:rPrChange>
              </w:rPr>
              <w:t>&lt;</w:t>
            </w:r>
            <w:ins w:id="1595" w:author="Author">
              <w:r>
                <w:rPr>
                  <w:rFonts w:eastAsia="SimSun"/>
                  <w:bCs/>
                  <w:noProof/>
                  <w:sz w:val="20"/>
                  <w:lang w:val="it-IT" w:eastAsia="zh-CN"/>
                </w:rPr>
                <w:t xml:space="preserve"> </w:t>
              </w:r>
            </w:ins>
            <w:r>
              <w:rPr>
                <w:rFonts w:eastAsia="SimSun"/>
                <w:bCs/>
                <w:noProof/>
                <w:sz w:val="20"/>
                <w:lang w:val="it-IT" w:eastAsia="zh-CN"/>
                <w:rPrChange w:id="1596" w:author="Author">
                  <w:rPr>
                    <w:rFonts w:eastAsia="SimSun"/>
                    <w:b/>
                    <w:sz w:val="16"/>
                    <w:lang w:val="it-IT" w:eastAsia="zh-CN"/>
                  </w:rPr>
                </w:rPrChange>
              </w:rPr>
              <w:t>0.0001</w:t>
            </w:r>
          </w:p>
        </w:tc>
      </w:tr>
      <w:tr>
        <w:tblPrEx>
          <w:tblW w:w="9067" w:type="dxa"/>
          <w:tblLayout w:type="fixed"/>
          <w:tblCellMar>
            <w:top w:w="28" w:type="dxa"/>
            <w:bottom w:w="28" w:type="dxa"/>
          </w:tblCellMar>
          <w:tblPrExChange w:id="1597" w:author="Author">
            <w:tblPrEx>
              <w:tblW w:w="7950" w:type="dxa"/>
              <w:tblLayout w:type="fixed"/>
              <w:tblCellMar>
                <w:top w:w="28" w:type="dxa"/>
                <w:bottom w:w="28" w:type="dxa"/>
              </w:tblCellMar>
            </w:tblPrEx>
          </w:tblPrExChange>
        </w:tblPrEx>
        <w:trPr>
          <w:cantSplit/>
          <w:trPrChange w:id="1598" w:author="Author">
            <w:trPr>
              <w:gridAfter w:val="0"/>
              <w:wAfter w:w="14" w:type="dxa"/>
              <w:cantSplit/>
            </w:trPr>
          </w:trPrChange>
        </w:trPr>
        <w:tc>
          <w:tcPr>
            <w:tcW w:w="9067"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Change w:id="1599" w:author="Author">
              <w:tcPr>
                <w:tcW w:w="7936" w:type="dxa"/>
                <w:gridSpan w:val="7"/>
                <w:tcBorders>
                  <w:top w:val="nil"/>
                  <w:left w:val="single" w:sz="4" w:space="0" w:color="auto"/>
                  <w:bottom w:val="single" w:sz="4" w:space="0" w:color="auto"/>
                  <w:right w:val="single" w:sz="8" w:space="0" w:color="auto"/>
                </w:tcBorders>
                <w:tcMar>
                  <w:top w:w="0" w:type="dxa"/>
                  <w:left w:w="57" w:type="dxa"/>
                  <w:bottom w:w="0" w:type="dxa"/>
                  <w:right w:w="57" w:type="dxa"/>
                </w:tcMar>
              </w:tcPr>
            </w:tcPrChange>
          </w:tcPr>
          <w:p>
            <w:pPr>
              <w:keepNext/>
              <w:keepLines/>
              <w:tabs>
                <w:tab w:val="left" w:pos="180"/>
              </w:tabs>
              <w:suppressAutoHyphens/>
              <w:rPr>
                <w:rFonts w:eastAsia="SimSun"/>
                <w:noProof/>
                <w:sz w:val="20"/>
                <w:lang w:val="it-IT" w:eastAsia="zh-CN"/>
                <w:rPrChange w:id="1600" w:author="Author">
                  <w:rPr>
                    <w:rFonts w:eastAsia="SimSun"/>
                    <w:sz w:val="16"/>
                    <w:lang w:val="it-IT" w:eastAsia="zh-CN"/>
                  </w:rPr>
                </w:rPrChange>
              </w:rPr>
              <w:pPrChange w:id="1601" w:author="Author">
                <w:pPr>
                  <w:keepNext/>
                  <w:keepLines/>
                  <w:tabs>
                    <w:tab w:val="left" w:pos="180"/>
                  </w:tabs>
                  <w:spacing w:before="50" w:after="50" w:line="240" w:lineRule="exact"/>
                </w:pPr>
              </w:pPrChange>
            </w:pPr>
            <w:r>
              <w:rPr>
                <w:rFonts w:eastAsia="SimSun"/>
                <w:b/>
                <w:noProof/>
                <w:sz w:val="20"/>
                <w:lang w:val="it-IT" w:eastAsia="zh-CN"/>
                <w:rPrChange w:id="1602" w:author="Author">
                  <w:rPr>
                    <w:rFonts w:eastAsia="SimSun"/>
                    <w:b/>
                    <w:sz w:val="16"/>
                    <w:lang w:val="it-IT" w:eastAsia="zh-CN"/>
                  </w:rPr>
                </w:rPrChange>
              </w:rPr>
              <w:t xml:space="preserve">Endpoint secondari – Percentuale di risposte alla settimana 24 </w:t>
            </w:r>
            <w:r>
              <w:rPr>
                <w:rFonts w:eastAsia="SimSun"/>
                <w:b/>
                <w:noProof/>
                <w:sz w:val="20"/>
                <w:vertAlign w:val="superscript"/>
                <w:lang w:val="it-IT" w:eastAsia="zh-CN"/>
                <w:rPrChange w:id="1603" w:author="Author">
                  <w:rPr>
                    <w:rFonts w:eastAsia="SimSun"/>
                    <w:b/>
                    <w:sz w:val="16"/>
                    <w:vertAlign w:val="superscript"/>
                    <w:lang w:val="it-IT" w:eastAsia="zh-CN"/>
                  </w:rPr>
                </w:rPrChange>
              </w:rPr>
              <w:t>(b)</w:t>
            </w:r>
          </w:p>
        </w:tc>
      </w:tr>
      <w:tr>
        <w:trPr>
          <w:cantSplit/>
        </w:trPr>
        <w:tc>
          <w:tcPr>
            <w:tcW w:w="3964" w:type="dxa"/>
            <w:tcBorders>
              <w:top w:val="single" w:sz="4" w:space="0" w:color="auto"/>
              <w:left w:val="single" w:sz="4" w:space="0" w:color="auto"/>
              <w:bottom w:val="nil"/>
              <w:right w:val="nil"/>
            </w:tcBorders>
            <w:tcMar>
              <w:top w:w="0" w:type="dxa"/>
              <w:left w:w="57" w:type="dxa"/>
              <w:bottom w:w="0" w:type="dxa"/>
              <w:right w:w="57" w:type="dxa"/>
            </w:tcMar>
          </w:tcPr>
          <w:p>
            <w:pPr>
              <w:keepNext/>
              <w:keepLines/>
              <w:tabs>
                <w:tab w:val="left" w:pos="180"/>
              </w:tabs>
              <w:suppressAutoHyphens/>
              <w:jc w:val="right"/>
              <w:rPr>
                <w:rFonts w:eastAsia="SimSun"/>
                <w:noProof/>
                <w:sz w:val="20"/>
                <w:lang w:val="it-IT" w:eastAsia="zh-CN"/>
                <w:rPrChange w:id="1604" w:author="Author">
                  <w:rPr>
                    <w:rFonts w:eastAsia="SimSun"/>
                    <w:sz w:val="16"/>
                    <w:lang w:val="it-IT" w:eastAsia="zh-CN"/>
                  </w:rPr>
                </w:rPrChange>
              </w:rPr>
              <w:pPrChange w:id="1605" w:author="Author">
                <w:pPr>
                  <w:keepNext/>
                  <w:keepLines/>
                  <w:tabs>
                    <w:tab w:val="left" w:pos="180"/>
                  </w:tabs>
                  <w:spacing w:before="50" w:after="50" w:line="240" w:lineRule="exact"/>
                  <w:jc w:val="right"/>
                </w:pPr>
              </w:pPrChange>
            </w:pPr>
            <w:r>
              <w:rPr>
                <w:rFonts w:eastAsia="SimSun"/>
                <w:noProof/>
                <w:sz w:val="20"/>
                <w:lang w:val="it-IT" w:eastAsia="zh-CN"/>
                <w:rPrChange w:id="1606" w:author="Author">
                  <w:rPr>
                    <w:rFonts w:eastAsia="SimSun"/>
                    <w:sz w:val="16"/>
                    <w:lang w:val="it-IT" w:eastAsia="zh-CN"/>
                  </w:rPr>
                </w:rPrChange>
              </w:rPr>
              <w:t>DAS28 &lt;</w:t>
            </w:r>
            <w:ins w:id="1607" w:author="Author">
              <w:r>
                <w:rPr>
                  <w:rFonts w:eastAsia="SimSun"/>
                  <w:noProof/>
                  <w:sz w:val="20"/>
                  <w:lang w:val="it-IT" w:eastAsia="zh-CN"/>
                </w:rPr>
                <w:t xml:space="preserve"> </w:t>
              </w:r>
            </w:ins>
            <w:r>
              <w:rPr>
                <w:rFonts w:eastAsia="SimSun"/>
                <w:noProof/>
                <w:sz w:val="20"/>
                <w:lang w:val="it-IT" w:eastAsia="zh-CN"/>
                <w:rPrChange w:id="1608" w:author="Author">
                  <w:rPr>
                    <w:rFonts w:eastAsia="SimSun"/>
                    <w:sz w:val="16"/>
                    <w:lang w:val="it-IT" w:eastAsia="zh-CN"/>
                  </w:rPr>
                </w:rPrChange>
              </w:rPr>
              <w:t>2,6, n (%)</w:t>
            </w:r>
          </w:p>
        </w:tc>
        <w:tc>
          <w:tcPr>
            <w:tcW w:w="1843" w:type="dxa"/>
            <w:tcBorders>
              <w:top w:val="single" w:sz="4" w:space="0" w:color="auto"/>
              <w:left w:val="nil"/>
              <w:bottom w:val="nil"/>
              <w:right w:val="nil"/>
            </w:tcBorders>
            <w:tcMar>
              <w:top w:w="0" w:type="dxa"/>
              <w:left w:w="57" w:type="dxa"/>
              <w:bottom w:w="0" w:type="dxa"/>
              <w:right w:w="57" w:type="dxa"/>
            </w:tcMar>
          </w:tcPr>
          <w:p>
            <w:pPr>
              <w:keepNext/>
              <w:keepLines/>
              <w:tabs>
                <w:tab w:val="left" w:pos="180"/>
              </w:tabs>
              <w:suppressAutoHyphens/>
              <w:jc w:val="center"/>
              <w:rPr>
                <w:rFonts w:eastAsia="SimSun"/>
                <w:noProof/>
                <w:sz w:val="20"/>
                <w:lang w:val="it-IT" w:eastAsia="zh-CN"/>
                <w:rPrChange w:id="1609" w:author="Author">
                  <w:rPr>
                    <w:rFonts w:eastAsia="SimSun"/>
                    <w:sz w:val="16"/>
                    <w:lang w:val="it-IT" w:eastAsia="zh-CN"/>
                  </w:rPr>
                </w:rPrChange>
              </w:rPr>
              <w:pPrChange w:id="1610" w:author="Author">
                <w:pPr>
                  <w:keepNext/>
                  <w:keepLines/>
                  <w:tabs>
                    <w:tab w:val="left" w:pos="180"/>
                  </w:tabs>
                  <w:spacing w:before="50" w:after="50" w:line="240" w:lineRule="exact"/>
                  <w:jc w:val="center"/>
                </w:pPr>
              </w:pPrChange>
            </w:pPr>
            <w:r>
              <w:rPr>
                <w:rFonts w:eastAsia="SimSun"/>
                <w:noProof/>
                <w:sz w:val="20"/>
                <w:lang w:val="it-IT" w:eastAsia="zh-CN"/>
                <w:rPrChange w:id="1611" w:author="Author">
                  <w:rPr>
                    <w:rFonts w:eastAsia="SimSun"/>
                    <w:sz w:val="16"/>
                    <w:lang w:val="it-IT" w:eastAsia="zh-CN"/>
                  </w:rPr>
                </w:rPrChange>
              </w:rPr>
              <w:t>17 (10,5)</w:t>
            </w:r>
          </w:p>
        </w:tc>
        <w:tc>
          <w:tcPr>
            <w:tcW w:w="1985" w:type="dxa"/>
            <w:tcBorders>
              <w:top w:val="single" w:sz="4" w:space="0" w:color="auto"/>
              <w:left w:val="nil"/>
              <w:bottom w:val="nil"/>
              <w:right w:val="nil"/>
            </w:tcBorders>
            <w:tcMar>
              <w:top w:w="0" w:type="dxa"/>
              <w:left w:w="57" w:type="dxa"/>
              <w:bottom w:w="0" w:type="dxa"/>
              <w:right w:w="57" w:type="dxa"/>
            </w:tcMar>
          </w:tcPr>
          <w:p>
            <w:pPr>
              <w:keepNext/>
              <w:keepLines/>
              <w:tabs>
                <w:tab w:val="left" w:pos="180"/>
              </w:tabs>
              <w:suppressAutoHyphens/>
              <w:jc w:val="center"/>
              <w:rPr>
                <w:rFonts w:eastAsia="SimSun"/>
                <w:noProof/>
                <w:sz w:val="20"/>
                <w:lang w:val="it-IT" w:eastAsia="zh-CN"/>
                <w:rPrChange w:id="1612" w:author="Author">
                  <w:rPr>
                    <w:rFonts w:eastAsia="SimSun"/>
                    <w:sz w:val="16"/>
                    <w:lang w:val="it-IT" w:eastAsia="zh-CN"/>
                  </w:rPr>
                </w:rPrChange>
              </w:rPr>
              <w:pPrChange w:id="1613" w:author="Author">
                <w:pPr>
                  <w:keepNext/>
                  <w:keepLines/>
                  <w:tabs>
                    <w:tab w:val="left" w:pos="180"/>
                  </w:tabs>
                  <w:spacing w:before="50" w:after="50" w:line="240" w:lineRule="exact"/>
                  <w:jc w:val="center"/>
                </w:pPr>
              </w:pPrChange>
            </w:pPr>
            <w:r>
              <w:rPr>
                <w:rFonts w:eastAsia="SimSun"/>
                <w:noProof/>
                <w:sz w:val="20"/>
                <w:lang w:val="it-IT" w:eastAsia="zh-CN"/>
                <w:rPrChange w:id="1614" w:author="Author">
                  <w:rPr>
                    <w:rFonts w:eastAsia="SimSun"/>
                    <w:sz w:val="16"/>
                    <w:lang w:val="it-IT" w:eastAsia="zh-CN"/>
                  </w:rPr>
                </w:rPrChange>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pPr>
              <w:keepNext/>
              <w:keepLines/>
              <w:tabs>
                <w:tab w:val="left" w:pos="180"/>
              </w:tabs>
              <w:suppressAutoHyphens/>
              <w:jc w:val="center"/>
              <w:rPr>
                <w:rFonts w:eastAsia="SimSun"/>
                <w:noProof/>
                <w:sz w:val="20"/>
                <w:lang w:val="it-IT" w:eastAsia="zh-CN"/>
                <w:rPrChange w:id="1615" w:author="Author">
                  <w:rPr>
                    <w:rFonts w:eastAsia="SimSun"/>
                    <w:sz w:val="16"/>
                    <w:lang w:val="it-IT" w:eastAsia="zh-CN"/>
                  </w:rPr>
                </w:rPrChange>
              </w:rPr>
              <w:pPrChange w:id="1616" w:author="Author">
                <w:pPr>
                  <w:keepNext/>
                  <w:keepLines/>
                  <w:tabs>
                    <w:tab w:val="left" w:pos="180"/>
                  </w:tabs>
                  <w:spacing w:before="50" w:after="50" w:line="240" w:lineRule="exact"/>
                  <w:jc w:val="center"/>
                </w:pPr>
              </w:pPrChange>
            </w:pPr>
            <w:r>
              <w:rPr>
                <w:rFonts w:eastAsia="SimSun"/>
                <w:noProof/>
                <w:sz w:val="20"/>
                <w:lang w:val="it-IT" w:eastAsia="zh-CN"/>
                <w:rPrChange w:id="1617" w:author="Author">
                  <w:rPr>
                    <w:rFonts w:eastAsia="SimSun"/>
                    <w:sz w:val="16"/>
                    <w:lang w:val="it-IT" w:eastAsia="zh-CN"/>
                  </w:rPr>
                </w:rPrChange>
              </w:rPr>
              <w:t>&lt;</w:t>
            </w:r>
            <w:ins w:id="1618" w:author="Author">
              <w:r>
                <w:rPr>
                  <w:rFonts w:eastAsia="SimSun"/>
                  <w:noProof/>
                  <w:sz w:val="20"/>
                  <w:lang w:val="it-IT" w:eastAsia="zh-CN"/>
                </w:rPr>
                <w:t xml:space="preserve"> </w:t>
              </w:r>
            </w:ins>
            <w:r>
              <w:rPr>
                <w:rFonts w:eastAsia="SimSun"/>
                <w:noProof/>
                <w:sz w:val="20"/>
                <w:lang w:val="it-IT" w:eastAsia="zh-CN"/>
                <w:rPrChange w:id="1619" w:author="Author">
                  <w:rPr>
                    <w:rFonts w:eastAsia="SimSun"/>
                    <w:sz w:val="16"/>
                    <w:lang w:val="it-IT" w:eastAsia="zh-CN"/>
                  </w:rPr>
                </w:rPrChange>
              </w:rPr>
              <w:t>0,0001</w:t>
            </w:r>
          </w:p>
        </w:tc>
      </w:tr>
      <w:tr>
        <w:trPr>
          <w:cantSplit/>
        </w:trPr>
        <w:tc>
          <w:tcPr>
            <w:tcW w:w="3964" w:type="dxa"/>
            <w:tcBorders>
              <w:top w:val="nil"/>
              <w:left w:val="single" w:sz="4" w:space="0" w:color="auto"/>
              <w:bottom w:val="nil"/>
              <w:right w:val="nil"/>
            </w:tcBorders>
            <w:tcMar>
              <w:top w:w="0" w:type="dxa"/>
              <w:left w:w="57" w:type="dxa"/>
              <w:bottom w:w="0" w:type="dxa"/>
              <w:right w:w="57" w:type="dxa"/>
            </w:tcMar>
          </w:tcPr>
          <w:p>
            <w:pPr>
              <w:tabs>
                <w:tab w:val="left" w:pos="180"/>
              </w:tabs>
              <w:suppressAutoHyphens/>
              <w:jc w:val="right"/>
              <w:rPr>
                <w:rFonts w:eastAsia="SimSun"/>
                <w:noProof/>
                <w:sz w:val="20"/>
                <w:lang w:val="it-IT" w:eastAsia="zh-CN"/>
                <w:rPrChange w:id="1620" w:author="Author">
                  <w:rPr>
                    <w:rFonts w:eastAsia="SimSun"/>
                    <w:sz w:val="16"/>
                    <w:lang w:val="it-IT" w:eastAsia="zh-CN"/>
                  </w:rPr>
                </w:rPrChange>
              </w:rPr>
              <w:pPrChange w:id="1621" w:author="Author">
                <w:pPr>
                  <w:keepNext/>
                  <w:keepLines/>
                  <w:tabs>
                    <w:tab w:val="left" w:pos="180"/>
                  </w:tabs>
                  <w:spacing w:before="50" w:after="50" w:line="240" w:lineRule="exact"/>
                  <w:jc w:val="right"/>
                </w:pPr>
              </w:pPrChange>
            </w:pPr>
            <w:r>
              <w:rPr>
                <w:rFonts w:eastAsia="SimSun"/>
                <w:noProof/>
                <w:sz w:val="20"/>
                <w:lang w:val="it-IT" w:eastAsia="zh-CN"/>
                <w:rPrChange w:id="1622" w:author="Author">
                  <w:rPr>
                    <w:rFonts w:eastAsia="SimSun"/>
                    <w:sz w:val="16"/>
                    <w:lang w:val="it-IT" w:eastAsia="zh-CN"/>
                  </w:rPr>
                </w:rPrChange>
              </w:rPr>
              <w:t>DAS28</w:t>
            </w:r>
            <w:ins w:id="1623" w:author="Author">
              <w:r>
                <w:rPr>
                  <w:rFonts w:eastAsia="SimSun"/>
                  <w:noProof/>
                  <w:sz w:val="20"/>
                  <w:lang w:val="it-IT" w:eastAsia="zh-CN"/>
                </w:rPr>
                <w:t xml:space="preserve"> </w:t>
              </w:r>
            </w:ins>
            <w:r>
              <w:rPr>
                <w:rFonts w:eastAsia="SimSun"/>
                <w:noProof/>
                <w:sz w:val="20"/>
                <w:lang w:val="it-IT" w:eastAsia="zh-CN"/>
              </w:rPr>
              <w:t>≤</w:t>
            </w:r>
            <w:r>
              <w:rPr>
                <w:rFonts w:eastAsia="SimSun" w:hint="eastAsia"/>
                <w:noProof/>
                <w:sz w:val="20"/>
                <w:lang w:val="it-IT" w:eastAsia="zh-CN"/>
                <w:rPrChange w:id="1624" w:author="Author">
                  <w:rPr>
                    <w:rFonts w:eastAsia="SimSun" w:hint="eastAsia"/>
                    <w:sz w:val="16"/>
                    <w:lang w:val="it-IT" w:eastAsia="zh-CN"/>
                  </w:rPr>
                </w:rPrChange>
              </w:rPr>
              <w:t> </w:t>
            </w:r>
            <w:r>
              <w:rPr>
                <w:rFonts w:eastAsia="SimSun"/>
                <w:noProof/>
                <w:sz w:val="20"/>
                <w:lang w:val="it-IT" w:eastAsia="zh-CN"/>
                <w:rPrChange w:id="1625" w:author="Author">
                  <w:rPr>
                    <w:rFonts w:eastAsia="SimSun"/>
                    <w:sz w:val="16"/>
                    <w:lang w:val="it-IT" w:eastAsia="zh-CN"/>
                  </w:rPr>
                </w:rPrChange>
              </w:rPr>
              <w:t xml:space="preserve">3,2, n (%) </w:t>
            </w:r>
          </w:p>
        </w:tc>
        <w:tc>
          <w:tcPr>
            <w:tcW w:w="1843" w:type="dxa"/>
            <w:tcMar>
              <w:top w:w="0" w:type="dxa"/>
              <w:left w:w="57" w:type="dxa"/>
              <w:bottom w:w="0" w:type="dxa"/>
              <w:right w:w="57" w:type="dxa"/>
            </w:tcMar>
          </w:tcPr>
          <w:p>
            <w:pPr>
              <w:tabs>
                <w:tab w:val="left" w:pos="180"/>
              </w:tabs>
              <w:suppressAutoHyphens/>
              <w:jc w:val="center"/>
              <w:rPr>
                <w:rFonts w:eastAsia="SimSun"/>
                <w:noProof/>
                <w:sz w:val="20"/>
                <w:lang w:val="it-IT" w:eastAsia="zh-CN"/>
                <w:rPrChange w:id="1626" w:author="Author">
                  <w:rPr>
                    <w:rFonts w:eastAsia="SimSun"/>
                    <w:sz w:val="16"/>
                    <w:lang w:val="it-IT" w:eastAsia="zh-CN"/>
                  </w:rPr>
                </w:rPrChange>
              </w:rPr>
              <w:pPrChange w:id="1627" w:author="Author">
                <w:pPr>
                  <w:keepNext/>
                  <w:keepLines/>
                  <w:tabs>
                    <w:tab w:val="left" w:pos="180"/>
                  </w:tabs>
                  <w:spacing w:before="50" w:after="50" w:line="240" w:lineRule="exact"/>
                  <w:jc w:val="center"/>
                </w:pPr>
              </w:pPrChange>
            </w:pPr>
            <w:r>
              <w:rPr>
                <w:rFonts w:eastAsia="SimSun"/>
                <w:noProof/>
                <w:sz w:val="20"/>
                <w:lang w:val="it-IT" w:eastAsia="zh-CN"/>
                <w:rPrChange w:id="1628" w:author="Author">
                  <w:rPr>
                    <w:rFonts w:eastAsia="SimSun"/>
                    <w:sz w:val="16"/>
                    <w:lang w:val="it-IT" w:eastAsia="zh-CN"/>
                  </w:rPr>
                </w:rPrChange>
              </w:rPr>
              <w:t xml:space="preserve">32 (19,8) </w:t>
            </w:r>
          </w:p>
        </w:tc>
        <w:tc>
          <w:tcPr>
            <w:tcW w:w="1985" w:type="dxa"/>
            <w:tcMar>
              <w:top w:w="0" w:type="dxa"/>
              <w:left w:w="57" w:type="dxa"/>
              <w:bottom w:w="0" w:type="dxa"/>
              <w:right w:w="57" w:type="dxa"/>
            </w:tcMar>
          </w:tcPr>
          <w:p>
            <w:pPr>
              <w:tabs>
                <w:tab w:val="left" w:pos="180"/>
              </w:tabs>
              <w:suppressAutoHyphens/>
              <w:jc w:val="center"/>
              <w:rPr>
                <w:rFonts w:eastAsia="SimSun"/>
                <w:noProof/>
                <w:sz w:val="20"/>
                <w:lang w:val="it-IT" w:eastAsia="zh-CN"/>
                <w:rPrChange w:id="1629" w:author="Author">
                  <w:rPr>
                    <w:rFonts w:eastAsia="SimSun"/>
                    <w:sz w:val="16"/>
                    <w:lang w:val="it-IT" w:eastAsia="zh-CN"/>
                  </w:rPr>
                </w:rPrChange>
              </w:rPr>
              <w:pPrChange w:id="1630" w:author="Author">
                <w:pPr>
                  <w:keepNext/>
                  <w:keepLines/>
                  <w:tabs>
                    <w:tab w:val="left" w:pos="180"/>
                  </w:tabs>
                  <w:spacing w:before="50" w:after="50" w:line="240" w:lineRule="exact"/>
                  <w:jc w:val="center"/>
                </w:pPr>
              </w:pPrChange>
            </w:pPr>
            <w:r>
              <w:rPr>
                <w:rFonts w:eastAsia="SimSun"/>
                <w:noProof/>
                <w:sz w:val="20"/>
                <w:lang w:val="it-IT" w:eastAsia="zh-CN"/>
                <w:rPrChange w:id="1631" w:author="Author">
                  <w:rPr>
                    <w:rFonts w:eastAsia="SimSun"/>
                    <w:sz w:val="16"/>
                    <w:lang w:val="it-IT" w:eastAsia="zh-CN"/>
                  </w:rPr>
                </w:rPrChange>
              </w:rPr>
              <w:t>84 (51,5)</w:t>
            </w:r>
          </w:p>
        </w:tc>
        <w:tc>
          <w:tcPr>
            <w:tcW w:w="1275" w:type="dxa"/>
            <w:tcBorders>
              <w:top w:val="nil"/>
              <w:left w:val="nil"/>
              <w:bottom w:val="nil"/>
              <w:right w:val="single" w:sz="8" w:space="0" w:color="auto"/>
            </w:tcBorders>
            <w:tcMar>
              <w:top w:w="0" w:type="dxa"/>
              <w:left w:w="57" w:type="dxa"/>
              <w:bottom w:w="0" w:type="dxa"/>
              <w:right w:w="57" w:type="dxa"/>
            </w:tcMar>
          </w:tcPr>
          <w:p>
            <w:pPr>
              <w:tabs>
                <w:tab w:val="left" w:pos="180"/>
              </w:tabs>
              <w:suppressAutoHyphens/>
              <w:jc w:val="center"/>
              <w:rPr>
                <w:rFonts w:eastAsia="SimSun"/>
                <w:noProof/>
                <w:sz w:val="20"/>
                <w:lang w:val="it-IT" w:eastAsia="zh-CN"/>
                <w:rPrChange w:id="1632" w:author="Author">
                  <w:rPr>
                    <w:rFonts w:eastAsia="SimSun"/>
                    <w:sz w:val="16"/>
                    <w:lang w:val="it-IT" w:eastAsia="zh-CN"/>
                  </w:rPr>
                </w:rPrChange>
              </w:rPr>
              <w:pPrChange w:id="1633" w:author="Author">
                <w:pPr>
                  <w:keepNext/>
                  <w:keepLines/>
                  <w:tabs>
                    <w:tab w:val="left" w:pos="180"/>
                  </w:tabs>
                  <w:spacing w:before="50" w:after="50" w:line="240" w:lineRule="exact"/>
                  <w:jc w:val="center"/>
                </w:pPr>
              </w:pPrChange>
            </w:pPr>
            <w:r>
              <w:rPr>
                <w:rFonts w:eastAsia="SimSun"/>
                <w:noProof/>
                <w:sz w:val="20"/>
                <w:lang w:val="it-IT" w:eastAsia="zh-CN"/>
                <w:rPrChange w:id="1634" w:author="Author">
                  <w:rPr>
                    <w:rFonts w:eastAsia="SimSun"/>
                    <w:sz w:val="16"/>
                    <w:lang w:val="it-IT" w:eastAsia="zh-CN"/>
                  </w:rPr>
                </w:rPrChange>
              </w:rPr>
              <w:t>&lt;</w:t>
            </w:r>
            <w:ins w:id="1635" w:author="Author">
              <w:r>
                <w:rPr>
                  <w:rFonts w:eastAsia="SimSun"/>
                  <w:noProof/>
                  <w:sz w:val="20"/>
                  <w:lang w:val="it-IT" w:eastAsia="zh-CN"/>
                </w:rPr>
                <w:t xml:space="preserve"> </w:t>
              </w:r>
            </w:ins>
            <w:r>
              <w:rPr>
                <w:rFonts w:eastAsia="SimSun"/>
                <w:noProof/>
                <w:sz w:val="20"/>
                <w:lang w:val="it-IT" w:eastAsia="zh-CN"/>
                <w:rPrChange w:id="1636" w:author="Author">
                  <w:rPr>
                    <w:rFonts w:eastAsia="SimSun"/>
                    <w:sz w:val="16"/>
                    <w:lang w:val="it-IT" w:eastAsia="zh-CN"/>
                  </w:rPr>
                </w:rPrChange>
              </w:rPr>
              <w:t>0,0001</w:t>
            </w:r>
          </w:p>
        </w:tc>
      </w:tr>
      <w:tr>
        <w:trPr>
          <w:cantSplit/>
        </w:trPr>
        <w:tc>
          <w:tcPr>
            <w:tcW w:w="3964" w:type="dxa"/>
            <w:tcBorders>
              <w:top w:val="nil"/>
              <w:left w:val="single" w:sz="4" w:space="0" w:color="auto"/>
              <w:bottom w:val="nil"/>
              <w:right w:val="nil"/>
            </w:tcBorders>
            <w:tcMar>
              <w:top w:w="0" w:type="dxa"/>
              <w:left w:w="57" w:type="dxa"/>
              <w:bottom w:w="0" w:type="dxa"/>
              <w:right w:w="57" w:type="dxa"/>
            </w:tcMar>
          </w:tcPr>
          <w:p>
            <w:pPr>
              <w:tabs>
                <w:tab w:val="left" w:pos="180"/>
              </w:tabs>
              <w:suppressAutoHyphens/>
              <w:jc w:val="right"/>
              <w:rPr>
                <w:rFonts w:eastAsia="SimSun"/>
                <w:noProof/>
                <w:sz w:val="20"/>
                <w:lang w:val="it-IT" w:eastAsia="zh-CN"/>
                <w:rPrChange w:id="1637" w:author="Author">
                  <w:rPr>
                    <w:rFonts w:eastAsia="SimSun"/>
                    <w:sz w:val="16"/>
                    <w:lang w:val="it-IT" w:eastAsia="zh-CN"/>
                  </w:rPr>
                </w:rPrChange>
              </w:rPr>
              <w:pPrChange w:id="1638" w:author="Author">
                <w:pPr>
                  <w:keepNext/>
                  <w:keepLines/>
                  <w:tabs>
                    <w:tab w:val="left" w:pos="180"/>
                  </w:tabs>
                  <w:spacing w:before="50" w:after="50" w:line="240" w:lineRule="exact"/>
                  <w:jc w:val="right"/>
                </w:pPr>
              </w:pPrChange>
            </w:pPr>
            <w:r>
              <w:rPr>
                <w:rFonts w:eastAsia="SimSun"/>
                <w:noProof/>
                <w:sz w:val="20"/>
                <w:lang w:val="it-IT" w:eastAsia="zh-CN"/>
                <w:rPrChange w:id="1639" w:author="Author">
                  <w:rPr>
                    <w:rFonts w:eastAsia="SimSun"/>
                    <w:sz w:val="16"/>
                    <w:lang w:val="it-IT" w:eastAsia="zh-CN"/>
                  </w:rPr>
                </w:rPrChange>
              </w:rPr>
              <w:t>Risposta ACR20, n (%)</w:t>
            </w:r>
          </w:p>
        </w:tc>
        <w:tc>
          <w:tcPr>
            <w:tcW w:w="1843" w:type="dxa"/>
            <w:tcMar>
              <w:top w:w="0" w:type="dxa"/>
              <w:left w:w="57" w:type="dxa"/>
              <w:bottom w:w="0" w:type="dxa"/>
              <w:right w:w="57" w:type="dxa"/>
            </w:tcMar>
          </w:tcPr>
          <w:p>
            <w:pPr>
              <w:tabs>
                <w:tab w:val="left" w:pos="180"/>
              </w:tabs>
              <w:suppressAutoHyphens/>
              <w:jc w:val="center"/>
              <w:rPr>
                <w:rFonts w:eastAsia="SimSun"/>
                <w:noProof/>
                <w:sz w:val="20"/>
                <w:lang w:val="it-IT" w:eastAsia="zh-CN"/>
                <w:rPrChange w:id="1640" w:author="Author">
                  <w:rPr>
                    <w:rFonts w:eastAsia="SimSun"/>
                    <w:sz w:val="16"/>
                    <w:lang w:val="it-IT" w:eastAsia="zh-CN"/>
                  </w:rPr>
                </w:rPrChange>
              </w:rPr>
              <w:pPrChange w:id="1641" w:author="Author">
                <w:pPr>
                  <w:keepNext/>
                  <w:keepLines/>
                  <w:tabs>
                    <w:tab w:val="left" w:pos="180"/>
                  </w:tabs>
                  <w:spacing w:before="50" w:after="50" w:line="240" w:lineRule="exact"/>
                  <w:jc w:val="center"/>
                </w:pPr>
              </w:pPrChange>
            </w:pPr>
            <w:r>
              <w:rPr>
                <w:rFonts w:eastAsia="SimSun"/>
                <w:noProof/>
                <w:sz w:val="20"/>
                <w:lang w:val="it-IT" w:eastAsia="zh-CN"/>
                <w:rPrChange w:id="1642" w:author="Author">
                  <w:rPr>
                    <w:rFonts w:eastAsia="SimSun"/>
                    <w:sz w:val="16"/>
                    <w:lang w:val="it-IT" w:eastAsia="zh-CN"/>
                  </w:rPr>
                </w:rPrChange>
              </w:rPr>
              <w:t>80 (49,4)</w:t>
            </w:r>
          </w:p>
        </w:tc>
        <w:tc>
          <w:tcPr>
            <w:tcW w:w="1985" w:type="dxa"/>
            <w:tcMar>
              <w:top w:w="0" w:type="dxa"/>
              <w:left w:w="57" w:type="dxa"/>
              <w:bottom w:w="0" w:type="dxa"/>
              <w:right w:w="57" w:type="dxa"/>
            </w:tcMar>
          </w:tcPr>
          <w:p>
            <w:pPr>
              <w:tabs>
                <w:tab w:val="left" w:pos="180"/>
              </w:tabs>
              <w:suppressAutoHyphens/>
              <w:jc w:val="center"/>
              <w:rPr>
                <w:rFonts w:eastAsia="SimSun"/>
                <w:noProof/>
                <w:sz w:val="20"/>
                <w:lang w:val="it-IT" w:eastAsia="zh-CN"/>
                <w:rPrChange w:id="1643" w:author="Author">
                  <w:rPr>
                    <w:rFonts w:eastAsia="SimSun"/>
                    <w:sz w:val="16"/>
                    <w:lang w:val="it-IT" w:eastAsia="zh-CN"/>
                  </w:rPr>
                </w:rPrChange>
              </w:rPr>
              <w:pPrChange w:id="1644" w:author="Author">
                <w:pPr>
                  <w:keepNext/>
                  <w:keepLines/>
                  <w:tabs>
                    <w:tab w:val="left" w:pos="180"/>
                  </w:tabs>
                  <w:spacing w:before="50" w:after="50" w:line="240" w:lineRule="exact"/>
                  <w:jc w:val="center"/>
                </w:pPr>
              </w:pPrChange>
            </w:pPr>
            <w:r>
              <w:rPr>
                <w:rFonts w:eastAsia="SimSun"/>
                <w:noProof/>
                <w:sz w:val="20"/>
                <w:lang w:val="it-IT" w:eastAsia="zh-CN"/>
                <w:rPrChange w:id="1645" w:author="Author">
                  <w:rPr>
                    <w:rFonts w:eastAsia="SimSun"/>
                    <w:sz w:val="16"/>
                    <w:lang w:val="it-IT" w:eastAsia="zh-CN"/>
                  </w:rPr>
                </w:rPrChange>
              </w:rPr>
              <w:t>106 (65,0)</w:t>
            </w:r>
          </w:p>
        </w:tc>
        <w:tc>
          <w:tcPr>
            <w:tcW w:w="1275" w:type="dxa"/>
            <w:tcBorders>
              <w:top w:val="nil"/>
              <w:left w:val="nil"/>
              <w:bottom w:val="nil"/>
              <w:right w:val="single" w:sz="8" w:space="0" w:color="auto"/>
            </w:tcBorders>
            <w:tcMar>
              <w:top w:w="0" w:type="dxa"/>
              <w:left w:w="57" w:type="dxa"/>
              <w:bottom w:w="0" w:type="dxa"/>
              <w:right w:w="57" w:type="dxa"/>
            </w:tcMar>
          </w:tcPr>
          <w:p>
            <w:pPr>
              <w:tabs>
                <w:tab w:val="left" w:pos="180"/>
              </w:tabs>
              <w:suppressAutoHyphens/>
              <w:jc w:val="center"/>
              <w:rPr>
                <w:rFonts w:eastAsia="SimSun"/>
                <w:noProof/>
                <w:sz w:val="20"/>
                <w:lang w:val="it-IT" w:eastAsia="zh-CN"/>
                <w:rPrChange w:id="1646" w:author="Author">
                  <w:rPr>
                    <w:rFonts w:eastAsia="SimSun"/>
                    <w:sz w:val="16"/>
                    <w:lang w:val="it-IT" w:eastAsia="zh-CN"/>
                  </w:rPr>
                </w:rPrChange>
              </w:rPr>
              <w:pPrChange w:id="1647" w:author="Author">
                <w:pPr>
                  <w:keepNext/>
                  <w:keepLines/>
                  <w:tabs>
                    <w:tab w:val="left" w:pos="180"/>
                  </w:tabs>
                  <w:spacing w:before="50" w:after="50" w:line="240" w:lineRule="exact"/>
                  <w:jc w:val="center"/>
                </w:pPr>
              </w:pPrChange>
            </w:pPr>
            <w:r>
              <w:rPr>
                <w:rFonts w:eastAsia="SimSun"/>
                <w:noProof/>
                <w:sz w:val="20"/>
                <w:lang w:val="it-IT" w:eastAsia="zh-CN"/>
                <w:rPrChange w:id="1648" w:author="Author">
                  <w:rPr>
                    <w:rFonts w:eastAsia="SimSun"/>
                    <w:sz w:val="16"/>
                    <w:lang w:val="it-IT" w:eastAsia="zh-CN"/>
                  </w:rPr>
                </w:rPrChange>
              </w:rPr>
              <w:t>0,0038</w:t>
            </w:r>
          </w:p>
        </w:tc>
      </w:tr>
      <w:tr>
        <w:trPr>
          <w:cantSplit/>
        </w:trPr>
        <w:tc>
          <w:tcPr>
            <w:tcW w:w="3964" w:type="dxa"/>
            <w:tcBorders>
              <w:top w:val="nil"/>
              <w:left w:val="single" w:sz="4" w:space="0" w:color="auto"/>
              <w:bottom w:val="nil"/>
              <w:right w:val="nil"/>
            </w:tcBorders>
            <w:tcMar>
              <w:top w:w="0" w:type="dxa"/>
              <w:left w:w="57" w:type="dxa"/>
              <w:bottom w:w="0" w:type="dxa"/>
              <w:right w:w="57" w:type="dxa"/>
            </w:tcMar>
          </w:tcPr>
          <w:p>
            <w:pPr>
              <w:tabs>
                <w:tab w:val="left" w:pos="180"/>
              </w:tabs>
              <w:suppressAutoHyphens/>
              <w:jc w:val="right"/>
              <w:rPr>
                <w:rFonts w:eastAsia="SimSun"/>
                <w:noProof/>
                <w:sz w:val="20"/>
                <w:lang w:val="it-IT" w:eastAsia="zh-CN"/>
                <w:rPrChange w:id="1649" w:author="Author">
                  <w:rPr>
                    <w:rFonts w:eastAsia="SimSun"/>
                    <w:sz w:val="16"/>
                    <w:lang w:val="it-IT" w:eastAsia="zh-CN"/>
                  </w:rPr>
                </w:rPrChange>
              </w:rPr>
              <w:pPrChange w:id="1650" w:author="Author">
                <w:pPr>
                  <w:keepNext/>
                  <w:keepLines/>
                  <w:tabs>
                    <w:tab w:val="left" w:pos="180"/>
                  </w:tabs>
                  <w:spacing w:before="50" w:after="50" w:line="240" w:lineRule="exact"/>
                  <w:jc w:val="right"/>
                </w:pPr>
              </w:pPrChange>
            </w:pPr>
            <w:r>
              <w:rPr>
                <w:rFonts w:eastAsia="SimSun"/>
                <w:noProof/>
                <w:sz w:val="20"/>
                <w:lang w:val="it-IT" w:eastAsia="zh-CN"/>
                <w:rPrChange w:id="1651" w:author="Author">
                  <w:rPr>
                    <w:rFonts w:eastAsia="SimSun"/>
                    <w:sz w:val="16"/>
                    <w:lang w:val="it-IT" w:eastAsia="zh-CN"/>
                  </w:rPr>
                </w:rPrChange>
              </w:rPr>
              <w:t>Risposta ACR50, n (%)</w:t>
            </w:r>
          </w:p>
        </w:tc>
        <w:tc>
          <w:tcPr>
            <w:tcW w:w="1843" w:type="dxa"/>
            <w:tcMar>
              <w:top w:w="0" w:type="dxa"/>
              <w:left w:w="57" w:type="dxa"/>
              <w:bottom w:w="0" w:type="dxa"/>
              <w:right w:w="57" w:type="dxa"/>
            </w:tcMar>
          </w:tcPr>
          <w:p>
            <w:pPr>
              <w:tabs>
                <w:tab w:val="left" w:pos="180"/>
              </w:tabs>
              <w:suppressAutoHyphens/>
              <w:jc w:val="center"/>
              <w:rPr>
                <w:rFonts w:eastAsia="SimSun"/>
                <w:noProof/>
                <w:sz w:val="20"/>
                <w:lang w:val="it-IT" w:eastAsia="zh-CN"/>
                <w:rPrChange w:id="1652" w:author="Author">
                  <w:rPr>
                    <w:rFonts w:eastAsia="SimSun"/>
                    <w:sz w:val="16"/>
                    <w:lang w:val="it-IT" w:eastAsia="zh-CN"/>
                  </w:rPr>
                </w:rPrChange>
              </w:rPr>
              <w:pPrChange w:id="1653" w:author="Author">
                <w:pPr>
                  <w:keepNext/>
                  <w:keepLines/>
                  <w:tabs>
                    <w:tab w:val="left" w:pos="180"/>
                  </w:tabs>
                  <w:spacing w:before="50" w:after="50" w:line="240" w:lineRule="exact"/>
                  <w:jc w:val="center"/>
                </w:pPr>
              </w:pPrChange>
            </w:pPr>
            <w:r>
              <w:rPr>
                <w:rFonts w:eastAsia="SimSun"/>
                <w:noProof/>
                <w:sz w:val="20"/>
                <w:lang w:val="it-IT" w:eastAsia="zh-CN"/>
                <w:rPrChange w:id="1654" w:author="Author">
                  <w:rPr>
                    <w:rFonts w:eastAsia="SimSun"/>
                    <w:sz w:val="16"/>
                    <w:lang w:val="it-IT" w:eastAsia="zh-CN"/>
                  </w:rPr>
                </w:rPrChange>
              </w:rPr>
              <w:t>45 (27,8)</w:t>
            </w:r>
          </w:p>
        </w:tc>
        <w:tc>
          <w:tcPr>
            <w:tcW w:w="1985" w:type="dxa"/>
            <w:tcMar>
              <w:top w:w="0" w:type="dxa"/>
              <w:left w:w="57" w:type="dxa"/>
              <w:bottom w:w="0" w:type="dxa"/>
              <w:right w:w="57" w:type="dxa"/>
            </w:tcMar>
          </w:tcPr>
          <w:p>
            <w:pPr>
              <w:tabs>
                <w:tab w:val="left" w:pos="180"/>
              </w:tabs>
              <w:suppressAutoHyphens/>
              <w:jc w:val="center"/>
              <w:rPr>
                <w:rFonts w:eastAsia="SimSun"/>
                <w:noProof/>
                <w:sz w:val="20"/>
                <w:lang w:val="it-IT" w:eastAsia="zh-CN"/>
                <w:rPrChange w:id="1655" w:author="Author">
                  <w:rPr>
                    <w:rFonts w:eastAsia="SimSun"/>
                    <w:sz w:val="16"/>
                    <w:lang w:val="it-IT" w:eastAsia="zh-CN"/>
                  </w:rPr>
                </w:rPrChange>
              </w:rPr>
              <w:pPrChange w:id="1656" w:author="Author">
                <w:pPr>
                  <w:keepNext/>
                  <w:keepLines/>
                  <w:tabs>
                    <w:tab w:val="left" w:pos="180"/>
                  </w:tabs>
                  <w:spacing w:before="50" w:after="50" w:line="240" w:lineRule="exact"/>
                  <w:jc w:val="center"/>
                </w:pPr>
              </w:pPrChange>
            </w:pPr>
            <w:r>
              <w:rPr>
                <w:rFonts w:eastAsia="SimSun"/>
                <w:noProof/>
                <w:sz w:val="20"/>
                <w:lang w:val="it-IT" w:eastAsia="zh-CN"/>
                <w:rPrChange w:id="1657" w:author="Author">
                  <w:rPr>
                    <w:rFonts w:eastAsia="SimSun"/>
                    <w:sz w:val="16"/>
                    <w:lang w:val="it-IT" w:eastAsia="zh-CN"/>
                  </w:rPr>
                </w:rPrChange>
              </w:rPr>
              <w:t>77 (47,2)</w:t>
            </w:r>
          </w:p>
        </w:tc>
        <w:tc>
          <w:tcPr>
            <w:tcW w:w="1275" w:type="dxa"/>
            <w:tcBorders>
              <w:top w:val="nil"/>
              <w:left w:val="nil"/>
              <w:bottom w:val="nil"/>
              <w:right w:val="single" w:sz="8" w:space="0" w:color="auto"/>
            </w:tcBorders>
            <w:tcMar>
              <w:top w:w="0" w:type="dxa"/>
              <w:left w:w="57" w:type="dxa"/>
              <w:bottom w:w="0" w:type="dxa"/>
              <w:right w:w="57" w:type="dxa"/>
            </w:tcMar>
          </w:tcPr>
          <w:p>
            <w:pPr>
              <w:tabs>
                <w:tab w:val="left" w:pos="180"/>
              </w:tabs>
              <w:suppressAutoHyphens/>
              <w:jc w:val="center"/>
              <w:rPr>
                <w:rFonts w:eastAsia="SimSun"/>
                <w:noProof/>
                <w:sz w:val="20"/>
                <w:lang w:val="it-IT" w:eastAsia="zh-CN"/>
                <w:rPrChange w:id="1658" w:author="Author">
                  <w:rPr>
                    <w:rFonts w:eastAsia="SimSun"/>
                    <w:sz w:val="16"/>
                    <w:lang w:val="it-IT" w:eastAsia="zh-CN"/>
                  </w:rPr>
                </w:rPrChange>
              </w:rPr>
              <w:pPrChange w:id="1659" w:author="Author">
                <w:pPr>
                  <w:keepNext/>
                  <w:keepLines/>
                  <w:tabs>
                    <w:tab w:val="left" w:pos="180"/>
                  </w:tabs>
                  <w:spacing w:before="50" w:after="50" w:line="240" w:lineRule="exact"/>
                  <w:jc w:val="center"/>
                </w:pPr>
              </w:pPrChange>
            </w:pPr>
            <w:r>
              <w:rPr>
                <w:rFonts w:eastAsia="SimSun"/>
                <w:noProof/>
                <w:sz w:val="20"/>
                <w:lang w:val="it-IT" w:eastAsia="zh-CN"/>
                <w:rPrChange w:id="1660" w:author="Author">
                  <w:rPr>
                    <w:rFonts w:eastAsia="SimSun"/>
                    <w:sz w:val="16"/>
                    <w:lang w:val="it-IT" w:eastAsia="zh-CN"/>
                  </w:rPr>
                </w:rPrChange>
              </w:rPr>
              <w:t>0,0002</w:t>
            </w:r>
          </w:p>
        </w:tc>
      </w:tr>
      <w:tr>
        <w:trPr>
          <w:cantSplit/>
        </w:trPr>
        <w:tc>
          <w:tcPr>
            <w:tcW w:w="3964" w:type="dxa"/>
            <w:tcBorders>
              <w:top w:val="nil"/>
              <w:left w:val="single" w:sz="4" w:space="0" w:color="auto"/>
              <w:bottom w:val="single" w:sz="4" w:space="0" w:color="auto"/>
              <w:right w:val="nil"/>
            </w:tcBorders>
            <w:tcMar>
              <w:top w:w="0" w:type="dxa"/>
              <w:left w:w="57" w:type="dxa"/>
              <w:bottom w:w="0" w:type="dxa"/>
              <w:right w:w="57" w:type="dxa"/>
            </w:tcMar>
          </w:tcPr>
          <w:p>
            <w:pPr>
              <w:tabs>
                <w:tab w:val="left" w:pos="180"/>
              </w:tabs>
              <w:suppressAutoHyphens/>
              <w:jc w:val="right"/>
              <w:rPr>
                <w:rFonts w:eastAsia="SimSun"/>
                <w:noProof/>
                <w:sz w:val="20"/>
                <w:lang w:val="it-IT" w:eastAsia="zh-CN"/>
                <w:rPrChange w:id="1661" w:author="Author">
                  <w:rPr>
                    <w:rFonts w:eastAsia="SimSun"/>
                    <w:sz w:val="16"/>
                    <w:lang w:val="it-IT" w:eastAsia="zh-CN"/>
                  </w:rPr>
                </w:rPrChange>
              </w:rPr>
              <w:pPrChange w:id="1662" w:author="Author">
                <w:pPr>
                  <w:keepNext/>
                  <w:keepLines/>
                  <w:tabs>
                    <w:tab w:val="left" w:pos="180"/>
                  </w:tabs>
                  <w:spacing w:before="50" w:after="50" w:line="240" w:lineRule="exact"/>
                  <w:jc w:val="right"/>
                </w:pPr>
              </w:pPrChange>
            </w:pPr>
            <w:r>
              <w:rPr>
                <w:rFonts w:eastAsia="SimSun"/>
                <w:noProof/>
                <w:sz w:val="20"/>
                <w:lang w:val="it-IT" w:eastAsia="zh-CN"/>
                <w:rPrChange w:id="1663" w:author="Author">
                  <w:rPr>
                    <w:rFonts w:eastAsia="SimSun"/>
                    <w:sz w:val="16"/>
                    <w:lang w:val="it-IT" w:eastAsia="zh-CN"/>
                  </w:rPr>
                </w:rPrChange>
              </w:rPr>
              <w:t>Risposta ACR70, n (%)</w:t>
            </w:r>
          </w:p>
        </w:tc>
        <w:tc>
          <w:tcPr>
            <w:tcW w:w="1843" w:type="dxa"/>
            <w:tcBorders>
              <w:top w:val="nil"/>
              <w:left w:val="nil"/>
              <w:bottom w:val="single" w:sz="4" w:space="0" w:color="auto"/>
              <w:right w:val="nil"/>
            </w:tcBorders>
            <w:tcMar>
              <w:top w:w="0" w:type="dxa"/>
              <w:left w:w="57" w:type="dxa"/>
              <w:bottom w:w="0" w:type="dxa"/>
              <w:right w:w="57" w:type="dxa"/>
            </w:tcMar>
          </w:tcPr>
          <w:p>
            <w:pPr>
              <w:tabs>
                <w:tab w:val="left" w:pos="180"/>
              </w:tabs>
              <w:suppressAutoHyphens/>
              <w:jc w:val="center"/>
              <w:rPr>
                <w:rFonts w:eastAsia="SimSun"/>
                <w:noProof/>
                <w:sz w:val="20"/>
                <w:lang w:val="it-IT" w:eastAsia="zh-CN"/>
                <w:rPrChange w:id="1664" w:author="Author">
                  <w:rPr>
                    <w:rFonts w:eastAsia="SimSun"/>
                    <w:sz w:val="16"/>
                    <w:lang w:val="it-IT" w:eastAsia="zh-CN"/>
                  </w:rPr>
                </w:rPrChange>
              </w:rPr>
              <w:pPrChange w:id="1665" w:author="Author">
                <w:pPr>
                  <w:keepNext/>
                  <w:keepLines/>
                  <w:tabs>
                    <w:tab w:val="left" w:pos="180"/>
                  </w:tabs>
                  <w:spacing w:before="50" w:after="50" w:line="240" w:lineRule="exact"/>
                  <w:jc w:val="center"/>
                </w:pPr>
              </w:pPrChange>
            </w:pPr>
            <w:r>
              <w:rPr>
                <w:rFonts w:eastAsia="SimSun"/>
                <w:noProof/>
                <w:sz w:val="20"/>
                <w:lang w:val="it-IT" w:eastAsia="zh-CN"/>
                <w:rPrChange w:id="1666" w:author="Author">
                  <w:rPr>
                    <w:rFonts w:eastAsia="SimSun"/>
                    <w:sz w:val="16"/>
                    <w:lang w:val="it-IT" w:eastAsia="zh-CN"/>
                  </w:rPr>
                </w:rPrChange>
              </w:rPr>
              <w:t>29 (17,9)</w:t>
            </w:r>
          </w:p>
        </w:tc>
        <w:tc>
          <w:tcPr>
            <w:tcW w:w="1985" w:type="dxa"/>
            <w:tcBorders>
              <w:top w:val="nil"/>
              <w:left w:val="nil"/>
              <w:bottom w:val="single" w:sz="4" w:space="0" w:color="auto"/>
              <w:right w:val="nil"/>
            </w:tcBorders>
            <w:tcMar>
              <w:top w:w="0" w:type="dxa"/>
              <w:left w:w="57" w:type="dxa"/>
              <w:bottom w:w="0" w:type="dxa"/>
              <w:right w:w="57" w:type="dxa"/>
            </w:tcMar>
          </w:tcPr>
          <w:p>
            <w:pPr>
              <w:tabs>
                <w:tab w:val="left" w:pos="180"/>
              </w:tabs>
              <w:suppressAutoHyphens/>
              <w:jc w:val="center"/>
              <w:rPr>
                <w:rFonts w:eastAsia="SimSun"/>
                <w:noProof/>
                <w:sz w:val="20"/>
                <w:lang w:val="it-IT" w:eastAsia="zh-CN"/>
                <w:rPrChange w:id="1667" w:author="Author">
                  <w:rPr>
                    <w:rFonts w:eastAsia="SimSun"/>
                    <w:sz w:val="16"/>
                    <w:lang w:val="it-IT" w:eastAsia="zh-CN"/>
                  </w:rPr>
                </w:rPrChange>
              </w:rPr>
              <w:pPrChange w:id="1668" w:author="Author">
                <w:pPr>
                  <w:keepNext/>
                  <w:keepLines/>
                  <w:tabs>
                    <w:tab w:val="left" w:pos="180"/>
                  </w:tabs>
                  <w:spacing w:before="50" w:after="50" w:line="240" w:lineRule="exact"/>
                  <w:jc w:val="center"/>
                </w:pPr>
              </w:pPrChange>
            </w:pPr>
            <w:r>
              <w:rPr>
                <w:rFonts w:eastAsia="SimSun"/>
                <w:noProof/>
                <w:sz w:val="20"/>
                <w:lang w:val="it-IT" w:eastAsia="zh-CN"/>
                <w:rPrChange w:id="1669" w:author="Author">
                  <w:rPr>
                    <w:rFonts w:eastAsia="SimSun"/>
                    <w:sz w:val="16"/>
                    <w:lang w:val="it-IT" w:eastAsia="zh-CN"/>
                  </w:rPr>
                </w:rPrChange>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pPr>
              <w:tabs>
                <w:tab w:val="left" w:pos="180"/>
              </w:tabs>
              <w:suppressAutoHyphens/>
              <w:jc w:val="center"/>
              <w:rPr>
                <w:rFonts w:eastAsia="SimSun"/>
                <w:noProof/>
                <w:sz w:val="20"/>
                <w:lang w:val="it-IT" w:eastAsia="zh-CN"/>
                <w:rPrChange w:id="1670" w:author="Author">
                  <w:rPr>
                    <w:rFonts w:eastAsia="SimSun"/>
                    <w:sz w:val="16"/>
                    <w:lang w:val="it-IT" w:eastAsia="zh-CN"/>
                  </w:rPr>
                </w:rPrChange>
              </w:rPr>
              <w:pPrChange w:id="1671" w:author="Author">
                <w:pPr>
                  <w:keepNext/>
                  <w:keepLines/>
                  <w:tabs>
                    <w:tab w:val="left" w:pos="180"/>
                  </w:tabs>
                  <w:spacing w:before="50" w:after="50" w:line="240" w:lineRule="exact"/>
                  <w:jc w:val="center"/>
                </w:pPr>
              </w:pPrChange>
            </w:pPr>
            <w:r>
              <w:rPr>
                <w:rFonts w:eastAsia="SimSun"/>
                <w:noProof/>
                <w:sz w:val="20"/>
                <w:lang w:val="it-IT" w:eastAsia="zh-CN"/>
                <w:rPrChange w:id="1672" w:author="Author">
                  <w:rPr>
                    <w:rFonts w:eastAsia="SimSun"/>
                    <w:sz w:val="16"/>
                    <w:lang w:val="it-IT" w:eastAsia="zh-CN"/>
                  </w:rPr>
                </w:rPrChange>
              </w:rPr>
              <w:t>0,0023</w:t>
            </w:r>
          </w:p>
        </w:tc>
      </w:tr>
    </w:tbl>
    <w:p>
      <w:pPr>
        <w:tabs>
          <w:tab w:val="left" w:pos="180"/>
        </w:tabs>
        <w:rPr>
          <w:rFonts w:eastAsia="SimSun"/>
          <w:bCs/>
          <w:i/>
          <w:noProof/>
          <w:sz w:val="18"/>
          <w:szCs w:val="18"/>
          <w:lang w:val="it-IT" w:eastAsia="zh-CN"/>
          <w:rPrChange w:id="1673" w:author="Author">
            <w:rPr>
              <w:rFonts w:eastAsia="SimSun"/>
              <w:bCs/>
              <w:i/>
              <w:sz w:val="16"/>
              <w:szCs w:val="16"/>
              <w:lang w:val="it-IT" w:eastAsia="zh-CN"/>
            </w:rPr>
          </w:rPrChange>
        </w:rPr>
      </w:pPr>
      <w:r>
        <w:rPr>
          <w:rFonts w:eastAsia="SimSun"/>
          <w:bCs/>
          <w:i/>
          <w:noProof/>
          <w:sz w:val="18"/>
          <w:szCs w:val="18"/>
          <w:vertAlign w:val="superscript"/>
          <w:lang w:val="it-IT" w:eastAsia="zh-CN"/>
          <w:rPrChange w:id="1674" w:author="Author">
            <w:rPr>
              <w:rFonts w:eastAsia="SimSun"/>
              <w:bCs/>
              <w:i/>
              <w:sz w:val="16"/>
              <w:szCs w:val="16"/>
              <w:vertAlign w:val="superscript"/>
              <w:lang w:val="it-IT" w:eastAsia="zh-CN"/>
            </w:rPr>
          </w:rPrChange>
        </w:rPr>
        <w:t xml:space="preserve">a </w:t>
      </w:r>
      <w:r>
        <w:rPr>
          <w:rFonts w:eastAsia="SimSun"/>
          <w:bCs/>
          <w:i/>
          <w:noProof/>
          <w:sz w:val="18"/>
          <w:szCs w:val="18"/>
          <w:lang w:val="it-IT" w:eastAsia="zh-CN"/>
          <w:rPrChange w:id="1675" w:author="Author">
            <w:rPr>
              <w:rFonts w:eastAsia="SimSun"/>
              <w:bCs/>
              <w:i/>
              <w:sz w:val="16"/>
              <w:szCs w:val="16"/>
              <w:lang w:val="it-IT" w:eastAsia="zh-CN"/>
            </w:rPr>
          </w:rPrChange>
        </w:rPr>
        <w:t>il valore (p) di significatività è aggiustato per regione e durata dell’AR per tutti gli endpoint e inoltre per il valore basale per tutti gli obiettivi continui.</w:t>
      </w:r>
      <w:r>
        <w:rPr>
          <w:rFonts w:eastAsia="SimSun"/>
          <w:bCs/>
          <w:i/>
          <w:noProof/>
          <w:sz w:val="18"/>
          <w:szCs w:val="18"/>
          <w:lang w:val="it-IT" w:eastAsia="zh-CN"/>
          <w:rPrChange w:id="1676" w:author="Author">
            <w:rPr>
              <w:rFonts w:eastAsia="SimSun"/>
              <w:bCs/>
              <w:i/>
              <w:sz w:val="16"/>
              <w:szCs w:val="16"/>
              <w:lang w:val="it-IT" w:eastAsia="zh-CN"/>
            </w:rPr>
          </w:rPrChange>
        </w:rPr>
        <w:br/>
      </w:r>
      <w:r>
        <w:rPr>
          <w:rFonts w:eastAsia="SimSun"/>
          <w:bCs/>
          <w:i/>
          <w:noProof/>
          <w:sz w:val="18"/>
          <w:szCs w:val="18"/>
          <w:vertAlign w:val="superscript"/>
          <w:lang w:val="it-IT" w:eastAsia="zh-CN"/>
          <w:rPrChange w:id="1677" w:author="Author">
            <w:rPr>
              <w:rFonts w:eastAsia="SimSun"/>
              <w:bCs/>
              <w:i/>
              <w:sz w:val="16"/>
              <w:szCs w:val="16"/>
              <w:vertAlign w:val="superscript"/>
              <w:lang w:val="it-IT" w:eastAsia="zh-CN"/>
            </w:rPr>
          </w:rPrChange>
        </w:rPr>
        <w:t>b</w:t>
      </w:r>
      <w:r>
        <w:rPr>
          <w:rFonts w:eastAsia="SimSun"/>
          <w:bCs/>
          <w:i/>
          <w:noProof/>
          <w:sz w:val="18"/>
          <w:szCs w:val="18"/>
          <w:lang w:val="it-IT" w:eastAsia="zh-CN"/>
          <w:rPrChange w:id="1678" w:author="Author">
            <w:rPr>
              <w:rFonts w:eastAsia="SimSun"/>
              <w:bCs/>
              <w:i/>
              <w:sz w:val="16"/>
              <w:szCs w:val="16"/>
              <w:lang w:val="it-IT" w:eastAsia="zh-CN"/>
            </w:rPr>
          </w:rPrChange>
        </w:rPr>
        <w:t xml:space="preserve"> per i dati mancanti è </w:t>
      </w:r>
      <w:del w:id="1679" w:author="Author">
        <w:r>
          <w:rPr>
            <w:rFonts w:eastAsia="SimSun"/>
            <w:bCs/>
            <w:i/>
            <w:noProof/>
            <w:sz w:val="18"/>
            <w:szCs w:val="18"/>
            <w:lang w:val="it-IT" w:eastAsia="zh-CN"/>
            <w:rPrChange w:id="1680" w:author="Author">
              <w:rPr>
                <w:rFonts w:eastAsia="SimSun"/>
                <w:bCs/>
                <w:i/>
                <w:sz w:val="16"/>
                <w:szCs w:val="16"/>
                <w:lang w:val="it-IT" w:eastAsia="zh-CN"/>
              </w:rPr>
            </w:rPrChange>
          </w:rPr>
          <w:delText xml:space="preserve">stato </w:delText>
        </w:r>
      </w:del>
      <w:ins w:id="1681" w:author="Author">
        <w:r>
          <w:rPr>
            <w:rFonts w:eastAsia="SimSun"/>
            <w:bCs/>
            <w:i/>
            <w:noProof/>
            <w:sz w:val="18"/>
            <w:szCs w:val="18"/>
            <w:lang w:val="it-IT" w:eastAsia="zh-CN"/>
            <w:rPrChange w:id="1682" w:author="Author">
              <w:rPr>
                <w:rFonts w:eastAsia="SimSun"/>
                <w:bCs/>
                <w:i/>
                <w:sz w:val="16"/>
                <w:szCs w:val="16"/>
                <w:lang w:val="it-IT" w:eastAsia="zh-CN"/>
              </w:rPr>
            </w:rPrChange>
          </w:rPr>
          <w:t>stat</w:t>
        </w:r>
        <w:r>
          <w:rPr>
            <w:rFonts w:eastAsia="SimSun"/>
            <w:bCs/>
            <w:i/>
            <w:noProof/>
            <w:sz w:val="18"/>
            <w:szCs w:val="18"/>
            <w:lang w:val="it-IT" w:eastAsia="zh-CN"/>
          </w:rPr>
          <w:t>a</w:t>
        </w:r>
        <w:r>
          <w:rPr>
            <w:rFonts w:eastAsia="SimSun"/>
            <w:bCs/>
            <w:i/>
            <w:noProof/>
            <w:sz w:val="18"/>
            <w:szCs w:val="18"/>
            <w:lang w:val="it-IT" w:eastAsia="zh-CN"/>
            <w:rPrChange w:id="1683" w:author="Author">
              <w:rPr>
                <w:rFonts w:eastAsia="SimSun"/>
                <w:bCs/>
                <w:i/>
                <w:sz w:val="16"/>
                <w:szCs w:val="16"/>
                <w:lang w:val="it-IT" w:eastAsia="zh-CN"/>
              </w:rPr>
            </w:rPrChange>
          </w:rPr>
          <w:t xml:space="preserve"> </w:t>
        </w:r>
      </w:ins>
      <w:r>
        <w:rPr>
          <w:rFonts w:eastAsia="SimSun"/>
          <w:bCs/>
          <w:i/>
          <w:noProof/>
          <w:sz w:val="18"/>
          <w:szCs w:val="18"/>
          <w:lang w:val="it-IT" w:eastAsia="zh-CN"/>
          <w:rPrChange w:id="1684" w:author="Author">
            <w:rPr>
              <w:rFonts w:eastAsia="SimSun"/>
              <w:bCs/>
              <w:i/>
              <w:sz w:val="16"/>
              <w:szCs w:val="16"/>
              <w:lang w:val="it-IT" w:eastAsia="zh-CN"/>
            </w:rPr>
          </w:rPrChange>
        </w:rPr>
        <w:t xml:space="preserve">imputata la mancata risposta. La molteplicità è stata controllata utilizzando la procedura Bonferroni-Holm </w:t>
      </w:r>
    </w:p>
    <w:p>
      <w:pPr>
        <w:numPr>
          <w:ilvl w:val="12"/>
          <w:numId w:val="0"/>
        </w:numPr>
        <w:tabs>
          <w:tab w:val="left" w:pos="180"/>
        </w:tabs>
        <w:rPr>
          <w:noProof/>
          <w:sz w:val="18"/>
          <w:szCs w:val="18"/>
          <w:lang w:val="it-IT"/>
        </w:rPr>
      </w:pPr>
      <w:r>
        <w:rPr>
          <w:noProof/>
          <w:sz w:val="18"/>
          <w:szCs w:val="18"/>
          <w:lang w:val="it-IT"/>
        </w:rPr>
        <w:t>IV</w:t>
      </w:r>
      <w:del w:id="1685" w:author="Author">
        <w:r>
          <w:rPr>
            <w:noProof/>
            <w:sz w:val="18"/>
            <w:szCs w:val="18"/>
            <w:lang w:val="it-IT"/>
          </w:rPr>
          <w:delText xml:space="preserve"> </w:delText>
        </w:r>
      </w:del>
      <w:ins w:id="1686" w:author="Author">
        <w:r>
          <w:rPr>
            <w:noProof/>
            <w:sz w:val="18"/>
            <w:szCs w:val="18"/>
            <w:lang w:val="it-IT"/>
          </w:rPr>
          <w:t> </w:t>
        </w:r>
      </w:ins>
      <w:r>
        <w:rPr>
          <w:noProof/>
          <w:sz w:val="18"/>
          <w:szCs w:val="18"/>
          <w:lang w:val="it-IT"/>
        </w:rPr>
        <w:t>=</w:t>
      </w:r>
      <w:ins w:id="1687" w:author="Author">
        <w:r>
          <w:rPr>
            <w:noProof/>
            <w:sz w:val="18"/>
            <w:szCs w:val="18"/>
            <w:lang w:val="it-IT"/>
          </w:rPr>
          <w:t> </w:t>
        </w:r>
      </w:ins>
      <w:del w:id="1688" w:author="Author">
        <w:r>
          <w:rPr>
            <w:noProof/>
            <w:sz w:val="18"/>
            <w:szCs w:val="18"/>
            <w:lang w:val="it-IT"/>
          </w:rPr>
          <w:delText xml:space="preserve"> </w:delText>
        </w:r>
      </w:del>
      <w:r>
        <w:rPr>
          <w:noProof/>
          <w:sz w:val="18"/>
          <w:szCs w:val="18"/>
          <w:lang w:val="it-IT"/>
        </w:rPr>
        <w:t>endovenosa</w:t>
      </w:r>
    </w:p>
    <w:p>
      <w:pPr>
        <w:numPr>
          <w:ilvl w:val="12"/>
          <w:numId w:val="0"/>
        </w:numPr>
        <w:tabs>
          <w:tab w:val="left" w:pos="180"/>
        </w:tabs>
        <w:rPr>
          <w:noProof/>
          <w:sz w:val="18"/>
          <w:szCs w:val="18"/>
          <w:lang w:val="it-IT"/>
        </w:rPr>
      </w:pPr>
      <w:r>
        <w:rPr>
          <w:noProof/>
          <w:sz w:val="18"/>
          <w:szCs w:val="18"/>
          <w:lang w:val="it-IT"/>
        </w:rPr>
        <w:t>SC</w:t>
      </w:r>
      <w:del w:id="1689" w:author="Author">
        <w:r>
          <w:rPr>
            <w:noProof/>
            <w:sz w:val="18"/>
            <w:szCs w:val="18"/>
            <w:lang w:val="it-IT"/>
          </w:rPr>
          <w:delText xml:space="preserve"> </w:delText>
        </w:r>
      </w:del>
      <w:ins w:id="1690" w:author="Author">
        <w:r>
          <w:rPr>
            <w:noProof/>
            <w:sz w:val="18"/>
            <w:szCs w:val="18"/>
            <w:lang w:val="it-IT"/>
          </w:rPr>
          <w:t> </w:t>
        </w:r>
      </w:ins>
      <w:r>
        <w:rPr>
          <w:noProof/>
          <w:sz w:val="18"/>
          <w:szCs w:val="18"/>
          <w:lang w:val="it-IT"/>
        </w:rPr>
        <w:t>=</w:t>
      </w:r>
      <w:ins w:id="1691" w:author="Author">
        <w:r>
          <w:rPr>
            <w:noProof/>
            <w:sz w:val="18"/>
            <w:szCs w:val="18"/>
            <w:lang w:val="it-IT"/>
          </w:rPr>
          <w:t> </w:t>
        </w:r>
      </w:ins>
      <w:del w:id="1692" w:author="Author">
        <w:r>
          <w:rPr>
            <w:noProof/>
            <w:sz w:val="18"/>
            <w:szCs w:val="18"/>
            <w:lang w:val="it-IT"/>
          </w:rPr>
          <w:delText xml:space="preserve"> sottocute</w:delText>
        </w:r>
      </w:del>
      <w:ins w:id="1693" w:author="Author">
        <w:r>
          <w:rPr>
            <w:noProof/>
            <w:sz w:val="18"/>
            <w:szCs w:val="18"/>
            <w:lang w:val="it-IT"/>
          </w:rPr>
          <w:t>sottocutanea</w:t>
        </w:r>
      </w:ins>
    </w:p>
    <w:p>
      <w:pPr>
        <w:numPr>
          <w:ilvl w:val="12"/>
          <w:numId w:val="0"/>
        </w:numPr>
        <w:tabs>
          <w:tab w:val="left" w:pos="180"/>
        </w:tabs>
        <w:rPr>
          <w:noProof/>
          <w:sz w:val="18"/>
          <w:szCs w:val="18"/>
          <w:lang w:val="it-IT"/>
        </w:rPr>
      </w:pPr>
      <w:r>
        <w:rPr>
          <w:noProof/>
          <w:sz w:val="18"/>
          <w:szCs w:val="18"/>
          <w:lang w:val="it-IT"/>
        </w:rPr>
        <w:t>TCZ</w:t>
      </w:r>
      <w:del w:id="1694" w:author="Author">
        <w:r>
          <w:rPr>
            <w:noProof/>
            <w:sz w:val="18"/>
            <w:szCs w:val="18"/>
            <w:lang w:val="it-IT"/>
          </w:rPr>
          <w:delText xml:space="preserve"> </w:delText>
        </w:r>
      </w:del>
      <w:ins w:id="1695" w:author="Author">
        <w:r>
          <w:rPr>
            <w:noProof/>
            <w:sz w:val="18"/>
            <w:szCs w:val="18"/>
            <w:lang w:val="it-IT"/>
          </w:rPr>
          <w:t> </w:t>
        </w:r>
      </w:ins>
      <w:r>
        <w:rPr>
          <w:noProof/>
          <w:sz w:val="18"/>
          <w:szCs w:val="18"/>
          <w:lang w:val="it-IT"/>
        </w:rPr>
        <w:t>=</w:t>
      </w:r>
      <w:ins w:id="1696" w:author="Author">
        <w:r>
          <w:rPr>
            <w:noProof/>
            <w:sz w:val="18"/>
            <w:szCs w:val="18"/>
            <w:lang w:val="it-IT"/>
          </w:rPr>
          <w:t> </w:t>
        </w:r>
      </w:ins>
      <w:del w:id="1697" w:author="Author">
        <w:r>
          <w:rPr>
            <w:noProof/>
            <w:sz w:val="18"/>
            <w:szCs w:val="18"/>
            <w:lang w:val="it-IT"/>
          </w:rPr>
          <w:delText xml:space="preserve"> </w:delText>
        </w:r>
      </w:del>
      <w:r>
        <w:rPr>
          <w:noProof/>
          <w:sz w:val="18"/>
          <w:szCs w:val="18"/>
          <w:lang w:val="it-IT"/>
        </w:rPr>
        <w:t>tocilizumab</w:t>
      </w:r>
    </w:p>
    <w:p>
      <w:pPr>
        <w:numPr>
          <w:ilvl w:val="12"/>
          <w:numId w:val="0"/>
        </w:numPr>
        <w:tabs>
          <w:tab w:val="left" w:pos="180"/>
        </w:tabs>
        <w:rPr>
          <w:noProof/>
          <w:sz w:val="18"/>
          <w:szCs w:val="18"/>
          <w:lang w:val="it-IT"/>
        </w:rPr>
      </w:pPr>
      <w:r>
        <w:rPr>
          <w:noProof/>
          <w:sz w:val="18"/>
          <w:szCs w:val="18"/>
          <w:lang w:val="it-IT"/>
        </w:rPr>
        <w:t>ADA</w:t>
      </w:r>
      <w:del w:id="1698" w:author="Author">
        <w:r>
          <w:rPr>
            <w:noProof/>
            <w:sz w:val="18"/>
            <w:szCs w:val="18"/>
            <w:lang w:val="it-IT"/>
          </w:rPr>
          <w:delText xml:space="preserve"> </w:delText>
        </w:r>
      </w:del>
      <w:ins w:id="1699" w:author="Author">
        <w:r>
          <w:rPr>
            <w:noProof/>
            <w:sz w:val="18"/>
            <w:szCs w:val="18"/>
            <w:lang w:val="it-IT"/>
          </w:rPr>
          <w:t> </w:t>
        </w:r>
      </w:ins>
      <w:r>
        <w:rPr>
          <w:noProof/>
          <w:sz w:val="18"/>
          <w:szCs w:val="18"/>
          <w:lang w:val="it-IT"/>
        </w:rPr>
        <w:t>=</w:t>
      </w:r>
      <w:ins w:id="1700" w:author="Author">
        <w:r>
          <w:rPr>
            <w:noProof/>
            <w:sz w:val="18"/>
            <w:szCs w:val="18"/>
            <w:lang w:val="it-IT"/>
          </w:rPr>
          <w:t> </w:t>
        </w:r>
      </w:ins>
      <w:del w:id="1701" w:author="Author">
        <w:r>
          <w:rPr>
            <w:noProof/>
            <w:sz w:val="18"/>
            <w:szCs w:val="18"/>
            <w:lang w:val="it-IT"/>
          </w:rPr>
          <w:delText xml:space="preserve"> </w:delText>
        </w:r>
      </w:del>
      <w:r>
        <w:rPr>
          <w:noProof/>
          <w:sz w:val="18"/>
          <w:szCs w:val="18"/>
          <w:lang w:val="it-IT"/>
        </w:rPr>
        <w:t>adalimumab</w:t>
      </w:r>
    </w:p>
    <w:p>
      <w:pPr>
        <w:numPr>
          <w:ilvl w:val="12"/>
          <w:numId w:val="0"/>
        </w:numPr>
        <w:tabs>
          <w:tab w:val="left" w:pos="180"/>
        </w:tabs>
        <w:rPr>
          <w:noProof/>
          <w:szCs w:val="22"/>
          <w:lang w:val="it-IT"/>
          <w:rPrChange w:id="1702" w:author="Author">
            <w:rPr>
              <w:sz w:val="18"/>
              <w:szCs w:val="18"/>
              <w:lang w:val="it-IT"/>
            </w:rPr>
          </w:rPrChange>
        </w:rPr>
      </w:pPr>
    </w:p>
    <w:p>
      <w:pPr>
        <w:numPr>
          <w:ilvl w:val="12"/>
          <w:numId w:val="0"/>
        </w:numPr>
        <w:tabs>
          <w:tab w:val="left" w:pos="180"/>
        </w:tabs>
        <w:rPr>
          <w:del w:id="1703" w:author="Author"/>
          <w:noProof/>
          <w:lang w:val="it-IT"/>
        </w:rPr>
      </w:pPr>
      <w:r>
        <w:rPr>
          <w:noProof/>
          <w:lang w:val="it-IT"/>
        </w:rPr>
        <w:t xml:space="preserve">Il profilo clinico complessivo degli eventi avversi è risultato simile fra tocilizumab ed adalimumab. La proporzione di pazienti con eventi avversi </w:t>
      </w:r>
      <w:del w:id="1704" w:author="Author">
        <w:r>
          <w:rPr>
            <w:noProof/>
            <w:lang w:val="it-IT"/>
          </w:rPr>
          <w:delText xml:space="preserve">seri </w:delText>
        </w:r>
      </w:del>
      <w:ins w:id="1705" w:author="Author">
        <w:r>
          <w:rPr>
            <w:noProof/>
            <w:lang w:val="it-IT"/>
          </w:rPr>
          <w:t xml:space="preserve">gravi </w:t>
        </w:r>
      </w:ins>
      <w:r>
        <w:rPr>
          <w:noProof/>
          <w:lang w:val="it-IT"/>
        </w:rPr>
        <w:t>era bilanciata fra i gruppi di trattamento (tocilizumab 11,7% vs. adalimumab 9,9%). I tipi di reazioni avverse nel braccio di tocilizumab sono stati coerenti con il profilo di sicurezza noto delle reazioni tocilizumab e le reazioni avverse sono state riportate con una frequenza simile rispetto alla tabella 1. Una più alta incidenza di infezioni e infestazioni è stata riportata nel braccio di tocilizumab (48% vs 42%), senza differenze nell'incidenza di infezioni gravi (3,1%).</w:t>
      </w:r>
      <w:ins w:id="1706" w:author="Author">
        <w:r>
          <w:rPr>
            <w:noProof/>
            <w:lang w:val="it-IT"/>
          </w:rPr>
          <w:t xml:space="preserve"> </w:t>
        </w:r>
      </w:ins>
    </w:p>
    <w:p>
      <w:pPr>
        <w:numPr>
          <w:ilvl w:val="12"/>
          <w:numId w:val="0"/>
        </w:numPr>
        <w:tabs>
          <w:tab w:val="left" w:pos="180"/>
        </w:tabs>
        <w:rPr>
          <w:noProof/>
          <w:lang w:val="it-IT"/>
        </w:rPr>
      </w:pPr>
      <w:r>
        <w:rPr>
          <w:noProof/>
          <w:lang w:val="it-IT"/>
        </w:rPr>
        <w:t xml:space="preserve">Entrambi i trattamenti in studio hanno indotto il medesimo schema di variazione nei parametri di sicurezza di laboratorio (riduzioni della conta dei neutrofili e delle piastrine, aumenti per ALT, AST e lipidi), tuttavia l’ampiezza della variazione e la frequenza di anomalie marcate era più alta con tocilizumab </w:t>
      </w:r>
      <w:del w:id="1707" w:author="Author">
        <w:r>
          <w:rPr>
            <w:noProof/>
            <w:lang w:val="it-IT"/>
          </w:rPr>
          <w:delText>in confronto</w:delText>
        </w:r>
      </w:del>
      <w:ins w:id="1708" w:author="Author">
        <w:r>
          <w:rPr>
            <w:noProof/>
            <w:lang w:val="it-IT"/>
          </w:rPr>
          <w:t>rispetto</w:t>
        </w:r>
      </w:ins>
      <w:r>
        <w:rPr>
          <w:noProof/>
          <w:lang w:val="it-IT"/>
        </w:rPr>
        <w:t xml:space="preserve"> ad adalimumab. Quattro pazienti (2,5%) nel gruppo tocilizumab e due pazienti (1,2%) nel gruppo adalimumab hanno manifestato riduzioni della conta dei neutrofili di grado 3 o 4 CTC. Undici pazienti (6,8%) nel gruppo tocilizumab e cinque pazienti (3,1%) nel gruppo adalimumab hanno manifestato aumenti dell’ALT di grado 2 CTC o superiore. L’incremento medio di LDL dal basale era 0,64 mmol/L (25 mg/dL) per i pazienti del braccio tocilizumab e 0,19 mmol/L (7</w:t>
      </w:r>
      <w:ins w:id="1709" w:author="Author">
        <w:r>
          <w:rPr>
            <w:noProof/>
            <w:lang w:val="it-IT"/>
          </w:rPr>
          <w:t> </w:t>
        </w:r>
      </w:ins>
      <w:del w:id="1710" w:author="Author">
        <w:r>
          <w:rPr>
            <w:noProof/>
            <w:lang w:val="it-IT"/>
          </w:rPr>
          <w:delText xml:space="preserve"> </w:delText>
        </w:r>
      </w:del>
      <w:r>
        <w:rPr>
          <w:noProof/>
          <w:lang w:val="it-IT"/>
        </w:rPr>
        <w:t>mg/dL) per i pazienti del gruppo adalimumab. La sicurezza osservata nel braccio tocilizumab era in linea con il profilo già noto di sicurezza di tocilizumab e non sono state osservate nuove o inattese reazioni avverse (vedere Tabella1).</w:t>
      </w:r>
    </w:p>
    <w:p>
      <w:pPr>
        <w:numPr>
          <w:ilvl w:val="12"/>
          <w:numId w:val="0"/>
        </w:numPr>
        <w:tabs>
          <w:tab w:val="left" w:pos="180"/>
        </w:tabs>
        <w:ind w:right="-2"/>
        <w:rPr>
          <w:i/>
          <w:noProof/>
          <w:lang w:val="it-IT"/>
        </w:rPr>
      </w:pPr>
    </w:p>
    <w:p>
      <w:pPr>
        <w:keepNext/>
        <w:numPr>
          <w:ilvl w:val="12"/>
          <w:numId w:val="0"/>
        </w:numPr>
        <w:ind w:right="-2"/>
        <w:rPr>
          <w:ins w:id="1711" w:author="Author"/>
          <w:bCs/>
          <w:i/>
          <w:iCs/>
          <w:noProof/>
          <w:lang w:val="it-IT"/>
          <w:rPrChange w:id="1712" w:author="Author">
            <w:rPr>
              <w:ins w:id="1713" w:author="Author"/>
              <w:bCs/>
              <w:lang w:val="it-IT"/>
            </w:rPr>
          </w:rPrChange>
        </w:rPr>
        <w:pPrChange w:id="1714" w:author="Author">
          <w:pPr>
            <w:numPr>
              <w:ilvl w:val="12"/>
            </w:numPr>
            <w:ind w:right="-2"/>
          </w:pPr>
        </w:pPrChange>
      </w:pPr>
      <w:r>
        <w:rPr>
          <w:bCs/>
          <w:i/>
          <w:iCs/>
          <w:noProof/>
          <w:lang w:val="it-IT"/>
          <w:rPrChange w:id="1715" w:author="Author">
            <w:rPr>
              <w:bCs/>
              <w:lang w:val="it-IT"/>
            </w:rPr>
          </w:rPrChange>
        </w:rPr>
        <w:t>AR precoce, MTX naïve</w:t>
      </w:r>
    </w:p>
    <w:p>
      <w:pPr>
        <w:numPr>
          <w:ilvl w:val="12"/>
          <w:numId w:val="0"/>
        </w:numPr>
        <w:ind w:right="-2"/>
        <w:rPr>
          <w:noProof/>
          <w:lang w:val="it-IT"/>
        </w:rPr>
      </w:pPr>
      <w:del w:id="1716" w:author="Author">
        <w:r>
          <w:rPr>
            <w:b/>
            <w:noProof/>
            <w:u w:val="single"/>
            <w:lang w:val="it-IT"/>
          </w:rPr>
          <w:br/>
        </w:r>
      </w:del>
      <w:r>
        <w:rPr>
          <w:noProof/>
          <w:lang w:val="it-IT"/>
        </w:rPr>
        <w:t xml:space="preserve">Lo </w:t>
      </w:r>
      <w:del w:id="1717" w:author="Author">
        <w:r>
          <w:rPr>
            <w:noProof/>
            <w:lang w:val="it-IT"/>
          </w:rPr>
          <w:delText xml:space="preserve">studio </w:delText>
        </w:r>
      </w:del>
      <w:ins w:id="1718" w:author="Author">
        <w:r>
          <w:rPr>
            <w:noProof/>
            <w:lang w:val="it-IT"/>
          </w:rPr>
          <w:t xml:space="preserve">Studio </w:t>
        </w:r>
      </w:ins>
      <w:r>
        <w:rPr>
          <w:noProof/>
          <w:lang w:val="it-IT"/>
        </w:rPr>
        <w:t xml:space="preserve">VII (WA19926), uno studio </w:t>
      </w:r>
      <w:ins w:id="1719" w:author="Author">
        <w:r>
          <w:rPr>
            <w:noProof/>
            <w:lang w:val="it-IT"/>
          </w:rPr>
          <w:t xml:space="preserve">clinico </w:t>
        </w:r>
      </w:ins>
      <w:r>
        <w:rPr>
          <w:noProof/>
          <w:lang w:val="it-IT"/>
        </w:rPr>
        <w:t>di due anni, con l'analisi primaria prevista alla settimana 52, ha valutato 1</w:t>
      </w:r>
      <w:del w:id="1720" w:author="Author">
        <w:r>
          <w:rPr>
            <w:noProof/>
            <w:lang w:val="it-IT"/>
          </w:rPr>
          <w:delText>.</w:delText>
        </w:r>
      </w:del>
      <w:ins w:id="1721" w:author="Author">
        <w:r>
          <w:rPr>
            <w:noProof/>
            <w:lang w:val="it-IT"/>
          </w:rPr>
          <w:t> </w:t>
        </w:r>
      </w:ins>
      <w:r>
        <w:rPr>
          <w:noProof/>
          <w:lang w:val="it-IT"/>
        </w:rPr>
        <w:t>162</w:t>
      </w:r>
      <w:ins w:id="1722" w:author="Author">
        <w:r>
          <w:rPr>
            <w:noProof/>
            <w:lang w:val="it-IT"/>
          </w:rPr>
          <w:t> </w:t>
        </w:r>
      </w:ins>
      <w:del w:id="1723" w:author="Author">
        <w:r>
          <w:rPr>
            <w:noProof/>
            <w:lang w:val="it-IT"/>
          </w:rPr>
          <w:delText xml:space="preserve"> </w:delText>
        </w:r>
      </w:del>
      <w:r>
        <w:rPr>
          <w:noProof/>
          <w:lang w:val="it-IT"/>
        </w:rPr>
        <w:t xml:space="preserve">pazienti adulti mai trattati in precedenza con MTX (MTX naïve), affetti da AR precoce attiva, da moderata a severa, (durata media della malattia ≤ 6 mesi). Circa il 20 % dei pazienti aveva ricevuto un precedente trattamento con DMARD diversi da MTX. Questo studio ha valutato l'efficacia di tocilizumab endovena, 4 o 8 mg/kg ogni 4 settimane in terapia di </w:t>
      </w:r>
      <w:del w:id="1724" w:author="Author">
        <w:r>
          <w:rPr>
            <w:noProof/>
            <w:lang w:val="it-IT"/>
          </w:rPr>
          <w:delText xml:space="preserve">combinazione </w:delText>
        </w:r>
      </w:del>
      <w:ins w:id="1725" w:author="Author">
        <w:r>
          <w:rPr>
            <w:noProof/>
            <w:lang w:val="it-IT"/>
          </w:rPr>
          <w:t xml:space="preserve">associazione </w:t>
        </w:r>
      </w:ins>
      <w:r>
        <w:rPr>
          <w:noProof/>
          <w:lang w:val="it-IT"/>
        </w:rPr>
        <w:t>con MTX, tocilizumab endovena 8 mg / kg in monoterapia e MTX in monoterapia nella riduzione dei segni e dei sintomi e il tasso di progressione del danno articolare per 104 settimane. L'endpoint primario era la percentuale di pazienti che avevano raggiunto remissione DAS28 (DAS28 &lt; 2,6) alla settimana 24. Una percentuale significativamente maggiore di pazienti nei gruppi con tocilizumab 8 mg/kg + MTX e tocilizumab in monoterapia ha raggiunto l'endpoint primario rispetto al solo MTX. Il gruppo tocilizumab 8 mg/kg + MTX ha anche mostrato risultati statisticamente significativi per tutti i principali endpoint secondari. Sono state osservate risposte numericamente più elevate nel gruppo tocilizumab 8mg/kg in monoterapia rispetto al solo MTX in tutti gli endpoint secondari, inclusi endpoint radiografici. In questo studio</w:t>
      </w:r>
      <w:ins w:id="1726" w:author="Author">
        <w:r>
          <w:rPr>
            <w:noProof/>
            <w:lang w:val="it-IT"/>
          </w:rPr>
          <w:t xml:space="preserve"> clinico</w:t>
        </w:r>
      </w:ins>
      <w:r>
        <w:rPr>
          <w:noProof/>
          <w:lang w:val="it-IT"/>
        </w:rPr>
        <w:t>, è stata anche analizzata la remissione ACR/EULAR (Boolean e Index) come endpoint esplorativo pre-</w:t>
      </w:r>
      <w:del w:id="1727" w:author="Author">
        <w:r>
          <w:rPr>
            <w:noProof/>
            <w:lang w:val="it-IT"/>
          </w:rPr>
          <w:delText xml:space="preserve"> </w:delText>
        </w:r>
      </w:del>
      <w:r>
        <w:rPr>
          <w:noProof/>
          <w:lang w:val="it-IT"/>
        </w:rPr>
        <w:t xml:space="preserve">specificato, con le risposte più elevate osservate nei gruppi tocilizumab. I risultati dello </w:t>
      </w:r>
      <w:del w:id="1728" w:author="Author">
        <w:r>
          <w:rPr>
            <w:noProof/>
            <w:lang w:val="it-IT"/>
          </w:rPr>
          <w:delText xml:space="preserve">studio </w:delText>
        </w:r>
      </w:del>
      <w:ins w:id="1729" w:author="Author">
        <w:r>
          <w:rPr>
            <w:noProof/>
            <w:lang w:val="it-IT"/>
          </w:rPr>
          <w:t xml:space="preserve">Studio </w:t>
        </w:r>
      </w:ins>
      <w:r>
        <w:rPr>
          <w:noProof/>
          <w:lang w:val="it-IT"/>
        </w:rPr>
        <w:t>VII sono riportati nella Tabella 7.</w:t>
      </w:r>
    </w:p>
    <w:p>
      <w:pPr>
        <w:numPr>
          <w:ilvl w:val="12"/>
          <w:numId w:val="0"/>
        </w:numPr>
        <w:ind w:right="-2"/>
        <w:rPr>
          <w:noProof/>
          <w:lang w:val="it-IT"/>
        </w:rPr>
      </w:pPr>
    </w:p>
    <w:p>
      <w:pPr>
        <w:keepNext/>
        <w:keepLines/>
        <w:numPr>
          <w:ilvl w:val="12"/>
          <w:numId w:val="0"/>
        </w:numPr>
        <w:ind w:right="-2"/>
        <w:rPr>
          <w:i/>
          <w:noProof/>
          <w:lang w:val="it-IT"/>
        </w:rPr>
      </w:pPr>
      <w:r>
        <w:rPr>
          <w:i/>
          <w:noProof/>
          <w:lang w:val="it-IT"/>
        </w:rPr>
        <w:lastRenderedPageBreak/>
        <w:t xml:space="preserve">Tabella 7: Risultati di efficacia per lo </w:t>
      </w:r>
      <w:del w:id="1730" w:author="Author">
        <w:r>
          <w:rPr>
            <w:i/>
            <w:noProof/>
            <w:lang w:val="it-IT"/>
          </w:rPr>
          <w:delText xml:space="preserve">studio </w:delText>
        </w:r>
      </w:del>
      <w:ins w:id="1731" w:author="Author">
        <w:r>
          <w:rPr>
            <w:i/>
            <w:noProof/>
            <w:lang w:val="it-IT"/>
          </w:rPr>
          <w:t xml:space="preserve">Studio </w:t>
        </w:r>
      </w:ins>
      <w:r>
        <w:rPr>
          <w:i/>
          <w:noProof/>
          <w:lang w:val="it-IT"/>
        </w:rPr>
        <w:t>VII (WA19926) su pazienti con AR precoce mai trattati in precedenza con MTX</w:t>
      </w:r>
    </w:p>
    <w:p>
      <w:pPr>
        <w:keepNext/>
        <w:keepLines/>
        <w:numPr>
          <w:ilvl w:val="12"/>
          <w:numId w:val="0"/>
        </w:numPr>
        <w:ind w:right="-2"/>
        <w:rPr>
          <w:b/>
          <w:noProof/>
          <w:u w:val="single"/>
          <w:lang w:val="it-IT"/>
        </w:rPr>
      </w:pP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1732" w:author="Author">
          <w:tblPr>
            <w:tblW w:w="9213"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PrChange>
      </w:tblPr>
      <w:tblGrid>
        <w:gridCol w:w="3685"/>
        <w:gridCol w:w="1563"/>
        <w:gridCol w:w="1417"/>
        <w:gridCol w:w="1557"/>
        <w:gridCol w:w="991"/>
        <w:tblGridChange w:id="1733">
          <w:tblGrid>
            <w:gridCol w:w="3686"/>
            <w:gridCol w:w="646"/>
            <w:gridCol w:w="913"/>
            <w:gridCol w:w="1418"/>
            <w:gridCol w:w="1558"/>
            <w:gridCol w:w="992"/>
          </w:tblGrid>
        </w:tblGridChange>
      </w:tblGrid>
      <w:tr>
        <w:trPr>
          <w:cantSplit/>
          <w:tblHeader/>
          <w:trPrChange w:id="1734" w:author="Author">
            <w:trPr>
              <w:cantSplit/>
            </w:trPr>
          </w:trPrChange>
        </w:trPr>
        <w:tc>
          <w:tcPr>
            <w:tcW w:w="3686" w:type="dxa"/>
            <w:tcMar>
              <w:top w:w="0" w:type="dxa"/>
              <w:left w:w="57" w:type="dxa"/>
              <w:bottom w:w="0" w:type="dxa"/>
              <w:right w:w="57" w:type="dxa"/>
            </w:tcMar>
            <w:vAlign w:val="bottom"/>
            <w:tcPrChange w:id="1735" w:author="Author">
              <w:tcPr>
                <w:tcW w:w="3686" w:type="dxa"/>
                <w:tcMar>
                  <w:top w:w="0" w:type="dxa"/>
                  <w:left w:w="57" w:type="dxa"/>
                  <w:bottom w:w="0" w:type="dxa"/>
                  <w:right w:w="57" w:type="dxa"/>
                </w:tcMar>
                <w:vAlign w:val="bottom"/>
              </w:tcPr>
            </w:tcPrChange>
          </w:tcPr>
          <w:p>
            <w:pPr>
              <w:keepNext/>
              <w:suppressAutoHyphens/>
              <w:rPr>
                <w:rFonts w:eastAsia="MS Mincho"/>
                <w:noProof/>
                <w:sz w:val="18"/>
                <w:szCs w:val="18"/>
                <w:lang w:val="it-IT" w:eastAsia="zh-TW"/>
                <w:rPrChange w:id="1736" w:author="Author">
                  <w:rPr>
                    <w:rFonts w:eastAsia="MS Mincho"/>
                    <w:sz w:val="20"/>
                    <w:lang w:val="it-IT" w:eastAsia="zh-TW"/>
                  </w:rPr>
                </w:rPrChange>
              </w:rPr>
              <w:pPrChange w:id="1737" w:author="Author">
                <w:pPr>
                  <w:keepNext/>
                  <w:keepLines/>
                </w:pPr>
              </w:pPrChange>
            </w:pPr>
          </w:p>
        </w:tc>
        <w:tc>
          <w:tcPr>
            <w:tcW w:w="1559" w:type="dxa"/>
            <w:tcMar>
              <w:top w:w="0" w:type="dxa"/>
              <w:left w:w="57" w:type="dxa"/>
              <w:bottom w:w="0" w:type="dxa"/>
              <w:right w:w="57" w:type="dxa"/>
            </w:tcMar>
            <w:vAlign w:val="bottom"/>
            <w:tcPrChange w:id="1738" w:author="Author">
              <w:tcPr>
                <w:tcW w:w="1559" w:type="dxa"/>
                <w:gridSpan w:val="2"/>
                <w:tcMar>
                  <w:top w:w="0" w:type="dxa"/>
                  <w:left w:w="57" w:type="dxa"/>
                  <w:bottom w:w="0" w:type="dxa"/>
                  <w:right w:w="57" w:type="dxa"/>
                </w:tcMar>
                <w:vAlign w:val="bottom"/>
              </w:tcPr>
            </w:tcPrChange>
          </w:tcPr>
          <w:p>
            <w:pPr>
              <w:keepNext/>
              <w:suppressAutoHyphens/>
              <w:jc w:val="center"/>
              <w:rPr>
                <w:rFonts w:eastAsia="SimSun"/>
                <w:b/>
                <w:noProof/>
                <w:sz w:val="18"/>
                <w:szCs w:val="18"/>
                <w:lang w:val="pt-BR" w:eastAsia="zh-CN"/>
                <w:rPrChange w:id="1739" w:author="Author">
                  <w:rPr>
                    <w:rFonts w:eastAsia="SimSun"/>
                    <w:b/>
                    <w:sz w:val="18"/>
                    <w:szCs w:val="18"/>
                    <w:lang w:val="it-IT" w:eastAsia="zh-CN"/>
                  </w:rPr>
                </w:rPrChange>
              </w:rPr>
              <w:pPrChange w:id="1740" w:author="Author">
                <w:pPr>
                  <w:keepNext/>
                  <w:keepLines/>
                  <w:spacing w:before="50" w:after="50" w:line="240" w:lineRule="exact"/>
                  <w:jc w:val="center"/>
                </w:pPr>
              </w:pPrChange>
            </w:pPr>
            <w:r>
              <w:rPr>
                <w:rFonts w:eastAsia="SimSun"/>
                <w:b/>
                <w:noProof/>
                <w:sz w:val="18"/>
                <w:szCs w:val="18"/>
                <w:lang w:val="pt-BR" w:eastAsia="zh-CN"/>
                <w:rPrChange w:id="1741" w:author="Author">
                  <w:rPr>
                    <w:rFonts w:eastAsia="SimSun"/>
                    <w:b/>
                    <w:sz w:val="18"/>
                    <w:szCs w:val="18"/>
                    <w:lang w:val="it-IT" w:eastAsia="zh-CN"/>
                  </w:rPr>
                </w:rPrChange>
              </w:rPr>
              <w:t>TCZ 8 mg/kg + MTX</w:t>
            </w:r>
          </w:p>
          <w:p>
            <w:pPr>
              <w:keepNext/>
              <w:suppressAutoHyphens/>
              <w:jc w:val="center"/>
              <w:rPr>
                <w:rFonts w:eastAsia="SimSun"/>
                <w:b/>
                <w:noProof/>
                <w:sz w:val="18"/>
                <w:szCs w:val="18"/>
                <w:lang w:val="pt-BR" w:eastAsia="zh-CN"/>
                <w:rPrChange w:id="1742" w:author="Author">
                  <w:rPr>
                    <w:rFonts w:eastAsia="SimSun"/>
                    <w:b/>
                    <w:sz w:val="18"/>
                    <w:szCs w:val="18"/>
                    <w:lang w:val="it-IT" w:eastAsia="zh-CN"/>
                  </w:rPr>
                </w:rPrChange>
              </w:rPr>
              <w:pPrChange w:id="1743" w:author="Author">
                <w:pPr>
                  <w:keepNext/>
                  <w:keepLines/>
                  <w:spacing w:before="50" w:after="50" w:line="240" w:lineRule="exact"/>
                  <w:jc w:val="center"/>
                </w:pPr>
              </w:pPrChange>
            </w:pPr>
            <w:del w:id="1744" w:author="Author">
              <w:r>
                <w:rPr>
                  <w:rFonts w:eastAsia="SimSun"/>
                  <w:b/>
                  <w:noProof/>
                  <w:sz w:val="18"/>
                  <w:szCs w:val="18"/>
                  <w:lang w:val="pt-BR" w:eastAsia="zh-CN"/>
                  <w:rPrChange w:id="1745" w:author="Author">
                    <w:rPr>
                      <w:rFonts w:eastAsia="SimSun"/>
                      <w:b/>
                      <w:sz w:val="18"/>
                      <w:szCs w:val="18"/>
                      <w:lang w:val="it-IT" w:eastAsia="zh-CN"/>
                    </w:rPr>
                  </w:rPrChange>
                </w:rPr>
                <w:delText>N</w:delText>
              </w:r>
            </w:del>
            <w:ins w:id="1746" w:author="Author">
              <w:r>
                <w:rPr>
                  <w:rFonts w:eastAsia="SimSun"/>
                  <w:b/>
                  <w:noProof/>
                  <w:sz w:val="18"/>
                  <w:szCs w:val="18"/>
                  <w:lang w:val="pt-BR" w:eastAsia="zh-CN"/>
                  <w:rPrChange w:id="1747" w:author="Author">
                    <w:rPr>
                      <w:rFonts w:eastAsia="SimSun"/>
                      <w:b/>
                      <w:sz w:val="18"/>
                      <w:szCs w:val="18"/>
                      <w:lang w:val="it-IT" w:eastAsia="zh-CN"/>
                    </w:rPr>
                  </w:rPrChange>
                </w:rPr>
                <w:t>n </w:t>
              </w:r>
            </w:ins>
            <w:r>
              <w:rPr>
                <w:rFonts w:eastAsia="SimSun"/>
                <w:b/>
                <w:noProof/>
                <w:sz w:val="18"/>
                <w:szCs w:val="18"/>
                <w:lang w:val="pt-BR" w:eastAsia="zh-CN"/>
                <w:rPrChange w:id="1748" w:author="Author">
                  <w:rPr>
                    <w:rFonts w:eastAsia="SimSun"/>
                    <w:b/>
                    <w:sz w:val="18"/>
                    <w:szCs w:val="18"/>
                    <w:lang w:val="it-IT" w:eastAsia="zh-CN"/>
                  </w:rPr>
                </w:rPrChange>
              </w:rPr>
              <w:t>=</w:t>
            </w:r>
            <w:ins w:id="1749" w:author="Author">
              <w:r>
                <w:rPr>
                  <w:rFonts w:eastAsia="SimSun"/>
                  <w:b/>
                  <w:noProof/>
                  <w:sz w:val="18"/>
                  <w:szCs w:val="18"/>
                  <w:lang w:val="pt-BR" w:eastAsia="zh-CN"/>
                  <w:rPrChange w:id="1750" w:author="Author">
                    <w:rPr>
                      <w:rFonts w:eastAsia="SimSun"/>
                      <w:b/>
                      <w:sz w:val="18"/>
                      <w:szCs w:val="18"/>
                      <w:lang w:val="it-IT" w:eastAsia="zh-CN"/>
                    </w:rPr>
                  </w:rPrChange>
                </w:rPr>
                <w:t> </w:t>
              </w:r>
            </w:ins>
            <w:r>
              <w:rPr>
                <w:rFonts w:eastAsia="SimSun"/>
                <w:b/>
                <w:noProof/>
                <w:sz w:val="18"/>
                <w:szCs w:val="18"/>
                <w:lang w:val="pt-BR" w:eastAsia="zh-CN"/>
                <w:rPrChange w:id="1751" w:author="Author">
                  <w:rPr>
                    <w:rFonts w:eastAsia="SimSun"/>
                    <w:b/>
                    <w:sz w:val="18"/>
                    <w:szCs w:val="18"/>
                    <w:lang w:val="it-IT" w:eastAsia="zh-CN"/>
                  </w:rPr>
                </w:rPrChange>
              </w:rPr>
              <w:t>290</w:t>
            </w:r>
          </w:p>
        </w:tc>
        <w:tc>
          <w:tcPr>
            <w:tcW w:w="1418" w:type="dxa"/>
            <w:tcMar>
              <w:top w:w="0" w:type="dxa"/>
              <w:left w:w="57" w:type="dxa"/>
              <w:bottom w:w="0" w:type="dxa"/>
              <w:right w:w="57" w:type="dxa"/>
            </w:tcMar>
            <w:vAlign w:val="bottom"/>
            <w:tcPrChange w:id="1752" w:author="Author">
              <w:tcPr>
                <w:tcW w:w="1418" w:type="dxa"/>
                <w:tcMar>
                  <w:top w:w="0" w:type="dxa"/>
                  <w:left w:w="57" w:type="dxa"/>
                  <w:bottom w:w="0" w:type="dxa"/>
                  <w:right w:w="57" w:type="dxa"/>
                </w:tcMar>
                <w:vAlign w:val="bottom"/>
              </w:tcPr>
            </w:tcPrChange>
          </w:tcPr>
          <w:p>
            <w:pPr>
              <w:keepNext/>
              <w:suppressAutoHyphens/>
              <w:jc w:val="center"/>
              <w:rPr>
                <w:rFonts w:eastAsia="SimSun"/>
                <w:b/>
                <w:noProof/>
                <w:sz w:val="18"/>
                <w:szCs w:val="18"/>
                <w:lang w:val="pt-BR" w:eastAsia="zh-CN"/>
                <w:rPrChange w:id="1753" w:author="Author">
                  <w:rPr>
                    <w:rFonts w:eastAsia="SimSun"/>
                    <w:b/>
                    <w:sz w:val="18"/>
                    <w:szCs w:val="18"/>
                    <w:lang w:val="en-GB" w:eastAsia="zh-CN"/>
                  </w:rPr>
                </w:rPrChange>
              </w:rPr>
              <w:pPrChange w:id="1754" w:author="Author">
                <w:pPr>
                  <w:keepNext/>
                  <w:keepLines/>
                  <w:spacing w:before="50" w:after="50" w:line="240" w:lineRule="exact"/>
                  <w:jc w:val="center"/>
                </w:pPr>
              </w:pPrChange>
            </w:pPr>
            <w:r>
              <w:rPr>
                <w:rFonts w:eastAsia="SimSun"/>
                <w:b/>
                <w:noProof/>
                <w:sz w:val="18"/>
                <w:szCs w:val="18"/>
                <w:lang w:val="pt-BR" w:eastAsia="zh-CN"/>
                <w:rPrChange w:id="1755" w:author="Author">
                  <w:rPr>
                    <w:rFonts w:eastAsia="SimSun"/>
                    <w:b/>
                    <w:sz w:val="18"/>
                    <w:szCs w:val="18"/>
                    <w:lang w:val="en-GB" w:eastAsia="zh-CN"/>
                  </w:rPr>
                </w:rPrChange>
              </w:rPr>
              <w:t>TCZ 8 mg/kg + placebo</w:t>
            </w:r>
          </w:p>
          <w:p>
            <w:pPr>
              <w:keepNext/>
              <w:suppressAutoHyphens/>
              <w:jc w:val="center"/>
              <w:rPr>
                <w:rFonts w:eastAsia="SimSun"/>
                <w:b/>
                <w:noProof/>
                <w:sz w:val="18"/>
                <w:szCs w:val="18"/>
                <w:lang w:val="pt-BR" w:eastAsia="zh-CN"/>
                <w:rPrChange w:id="1756" w:author="Author">
                  <w:rPr>
                    <w:rFonts w:eastAsia="SimSun"/>
                    <w:b/>
                    <w:sz w:val="18"/>
                    <w:szCs w:val="18"/>
                    <w:lang w:val="en-GB" w:eastAsia="zh-CN"/>
                  </w:rPr>
                </w:rPrChange>
              </w:rPr>
              <w:pPrChange w:id="1757" w:author="Author">
                <w:pPr>
                  <w:keepNext/>
                  <w:keepLines/>
                  <w:spacing w:before="50" w:after="50" w:line="240" w:lineRule="exact"/>
                  <w:jc w:val="center"/>
                </w:pPr>
              </w:pPrChange>
            </w:pPr>
            <w:del w:id="1758" w:author="Author">
              <w:r>
                <w:rPr>
                  <w:rFonts w:eastAsia="SimSun"/>
                  <w:b/>
                  <w:noProof/>
                  <w:sz w:val="18"/>
                  <w:szCs w:val="18"/>
                  <w:lang w:val="pt-BR" w:eastAsia="zh-CN"/>
                  <w:rPrChange w:id="1759" w:author="Author">
                    <w:rPr>
                      <w:rFonts w:eastAsia="SimSun"/>
                      <w:b/>
                      <w:sz w:val="18"/>
                      <w:szCs w:val="18"/>
                      <w:lang w:val="en-GB" w:eastAsia="zh-CN"/>
                    </w:rPr>
                  </w:rPrChange>
                </w:rPr>
                <w:delText>N</w:delText>
              </w:r>
            </w:del>
            <w:ins w:id="1760" w:author="Author">
              <w:r>
                <w:rPr>
                  <w:rFonts w:eastAsia="SimSun"/>
                  <w:b/>
                  <w:noProof/>
                  <w:sz w:val="18"/>
                  <w:szCs w:val="18"/>
                  <w:lang w:val="pt-BR" w:eastAsia="zh-CN"/>
                  <w:rPrChange w:id="1761" w:author="Author">
                    <w:rPr>
                      <w:rFonts w:eastAsia="SimSun"/>
                      <w:b/>
                      <w:sz w:val="18"/>
                      <w:szCs w:val="18"/>
                      <w:lang w:val="en-GB" w:eastAsia="zh-CN"/>
                    </w:rPr>
                  </w:rPrChange>
                </w:rPr>
                <w:t>n </w:t>
              </w:r>
            </w:ins>
            <w:r>
              <w:rPr>
                <w:rFonts w:eastAsia="SimSun"/>
                <w:b/>
                <w:noProof/>
                <w:sz w:val="18"/>
                <w:szCs w:val="18"/>
                <w:lang w:val="pt-BR" w:eastAsia="zh-CN"/>
                <w:rPrChange w:id="1762" w:author="Author">
                  <w:rPr>
                    <w:rFonts w:eastAsia="SimSun"/>
                    <w:b/>
                    <w:sz w:val="18"/>
                    <w:szCs w:val="18"/>
                    <w:lang w:val="en-GB" w:eastAsia="zh-CN"/>
                  </w:rPr>
                </w:rPrChange>
              </w:rPr>
              <w:t>=</w:t>
            </w:r>
            <w:ins w:id="1763" w:author="Author">
              <w:r>
                <w:rPr>
                  <w:rFonts w:eastAsia="SimSun"/>
                  <w:b/>
                  <w:noProof/>
                  <w:sz w:val="18"/>
                  <w:szCs w:val="18"/>
                  <w:lang w:val="pt-BR" w:eastAsia="zh-CN"/>
                  <w:rPrChange w:id="1764" w:author="Author">
                    <w:rPr>
                      <w:rFonts w:eastAsia="SimSun"/>
                      <w:b/>
                      <w:sz w:val="18"/>
                      <w:szCs w:val="18"/>
                      <w:lang w:val="en-GB" w:eastAsia="zh-CN"/>
                    </w:rPr>
                  </w:rPrChange>
                </w:rPr>
                <w:t> </w:t>
              </w:r>
            </w:ins>
            <w:r>
              <w:rPr>
                <w:rFonts w:eastAsia="SimSun"/>
                <w:b/>
                <w:noProof/>
                <w:sz w:val="18"/>
                <w:szCs w:val="18"/>
                <w:lang w:val="pt-BR" w:eastAsia="zh-CN"/>
                <w:rPrChange w:id="1765" w:author="Author">
                  <w:rPr>
                    <w:rFonts w:eastAsia="SimSun"/>
                    <w:b/>
                    <w:sz w:val="18"/>
                    <w:szCs w:val="18"/>
                    <w:lang w:val="en-GB" w:eastAsia="zh-CN"/>
                  </w:rPr>
                </w:rPrChange>
              </w:rPr>
              <w:t>292</w:t>
            </w:r>
          </w:p>
        </w:tc>
        <w:tc>
          <w:tcPr>
            <w:tcW w:w="1558" w:type="dxa"/>
            <w:tcPrChange w:id="1766" w:author="Author">
              <w:tcPr>
                <w:tcW w:w="1558" w:type="dxa"/>
              </w:tcPr>
            </w:tcPrChange>
          </w:tcPr>
          <w:p>
            <w:pPr>
              <w:keepNext/>
              <w:suppressAutoHyphens/>
              <w:jc w:val="center"/>
              <w:rPr>
                <w:rFonts w:eastAsia="SimSun"/>
                <w:b/>
                <w:noProof/>
                <w:sz w:val="18"/>
                <w:szCs w:val="18"/>
                <w:lang w:val="pt-BR" w:eastAsia="zh-CN"/>
                <w:rPrChange w:id="1767" w:author="Author">
                  <w:rPr>
                    <w:rFonts w:eastAsia="SimSun"/>
                    <w:b/>
                    <w:sz w:val="18"/>
                    <w:szCs w:val="18"/>
                    <w:lang w:val="en-GB" w:eastAsia="zh-CN"/>
                  </w:rPr>
                </w:rPrChange>
              </w:rPr>
              <w:pPrChange w:id="1768" w:author="Author">
                <w:pPr>
                  <w:keepNext/>
                  <w:keepLines/>
                  <w:spacing w:before="50" w:after="50" w:line="240" w:lineRule="exact"/>
                  <w:jc w:val="center"/>
                </w:pPr>
              </w:pPrChange>
            </w:pPr>
            <w:r>
              <w:rPr>
                <w:rFonts w:eastAsia="SimSun"/>
                <w:b/>
                <w:noProof/>
                <w:sz w:val="18"/>
                <w:szCs w:val="18"/>
                <w:lang w:val="pt-BR" w:eastAsia="zh-CN"/>
                <w:rPrChange w:id="1769" w:author="Author">
                  <w:rPr>
                    <w:rFonts w:eastAsia="SimSun"/>
                    <w:b/>
                    <w:sz w:val="18"/>
                    <w:szCs w:val="18"/>
                    <w:lang w:val="en-GB" w:eastAsia="zh-CN"/>
                  </w:rPr>
                </w:rPrChange>
              </w:rPr>
              <w:t>TCZ 4 mg/kg +</w:t>
            </w:r>
            <w:r>
              <w:rPr>
                <w:rFonts w:eastAsia="SimSun"/>
                <w:b/>
                <w:noProof/>
                <w:sz w:val="18"/>
                <w:szCs w:val="18"/>
                <w:lang w:val="pt-BR" w:eastAsia="zh-CN"/>
                <w:rPrChange w:id="1770" w:author="Author">
                  <w:rPr>
                    <w:rFonts w:eastAsia="SimSun"/>
                    <w:b/>
                    <w:sz w:val="18"/>
                    <w:szCs w:val="18"/>
                    <w:lang w:val="en-GB" w:eastAsia="zh-CN"/>
                  </w:rPr>
                </w:rPrChange>
              </w:rPr>
              <w:br/>
              <w:t>MTX</w:t>
            </w:r>
          </w:p>
          <w:p>
            <w:pPr>
              <w:keepNext/>
              <w:suppressAutoHyphens/>
              <w:jc w:val="center"/>
              <w:rPr>
                <w:rFonts w:eastAsia="SimSun"/>
                <w:b/>
                <w:noProof/>
                <w:sz w:val="18"/>
                <w:szCs w:val="18"/>
                <w:lang w:val="pt-BR" w:eastAsia="zh-CN"/>
                <w:rPrChange w:id="1771" w:author="Author">
                  <w:rPr>
                    <w:rFonts w:eastAsia="SimSun"/>
                    <w:b/>
                    <w:sz w:val="18"/>
                    <w:szCs w:val="18"/>
                    <w:lang w:val="en-GB" w:eastAsia="zh-CN"/>
                  </w:rPr>
                </w:rPrChange>
              </w:rPr>
              <w:pPrChange w:id="1772" w:author="Author">
                <w:pPr>
                  <w:keepNext/>
                  <w:keepLines/>
                  <w:spacing w:before="50" w:after="50" w:line="240" w:lineRule="exact"/>
                  <w:jc w:val="center"/>
                </w:pPr>
              </w:pPrChange>
            </w:pPr>
            <w:del w:id="1773" w:author="Author">
              <w:r>
                <w:rPr>
                  <w:rFonts w:eastAsia="SimSun"/>
                  <w:b/>
                  <w:noProof/>
                  <w:sz w:val="18"/>
                  <w:szCs w:val="18"/>
                  <w:lang w:val="pt-BR" w:eastAsia="zh-CN"/>
                  <w:rPrChange w:id="1774" w:author="Author">
                    <w:rPr>
                      <w:rFonts w:eastAsia="SimSun"/>
                      <w:b/>
                      <w:sz w:val="18"/>
                      <w:szCs w:val="18"/>
                      <w:lang w:val="en-GB" w:eastAsia="zh-CN"/>
                    </w:rPr>
                  </w:rPrChange>
                </w:rPr>
                <w:delText>N</w:delText>
              </w:r>
            </w:del>
            <w:ins w:id="1775" w:author="Author">
              <w:r>
                <w:rPr>
                  <w:rFonts w:eastAsia="SimSun"/>
                  <w:b/>
                  <w:noProof/>
                  <w:sz w:val="18"/>
                  <w:szCs w:val="18"/>
                  <w:lang w:val="pt-BR" w:eastAsia="zh-CN"/>
                  <w:rPrChange w:id="1776" w:author="Author">
                    <w:rPr>
                      <w:rFonts w:eastAsia="SimSun"/>
                      <w:b/>
                      <w:sz w:val="18"/>
                      <w:szCs w:val="18"/>
                      <w:lang w:val="en-GB" w:eastAsia="zh-CN"/>
                    </w:rPr>
                  </w:rPrChange>
                </w:rPr>
                <w:t>n </w:t>
              </w:r>
            </w:ins>
            <w:r>
              <w:rPr>
                <w:rFonts w:eastAsia="SimSun"/>
                <w:b/>
                <w:noProof/>
                <w:sz w:val="18"/>
                <w:szCs w:val="18"/>
                <w:lang w:val="pt-BR" w:eastAsia="zh-CN"/>
                <w:rPrChange w:id="1777" w:author="Author">
                  <w:rPr>
                    <w:rFonts w:eastAsia="SimSun"/>
                    <w:b/>
                    <w:sz w:val="18"/>
                    <w:szCs w:val="18"/>
                    <w:lang w:val="en-GB" w:eastAsia="zh-CN"/>
                  </w:rPr>
                </w:rPrChange>
              </w:rPr>
              <w:t>=</w:t>
            </w:r>
            <w:ins w:id="1778" w:author="Author">
              <w:r>
                <w:rPr>
                  <w:rFonts w:eastAsia="SimSun"/>
                  <w:b/>
                  <w:noProof/>
                  <w:sz w:val="18"/>
                  <w:szCs w:val="18"/>
                  <w:lang w:val="pt-BR" w:eastAsia="zh-CN"/>
                  <w:rPrChange w:id="1779" w:author="Author">
                    <w:rPr>
                      <w:rFonts w:eastAsia="SimSun"/>
                      <w:b/>
                      <w:sz w:val="18"/>
                      <w:szCs w:val="18"/>
                      <w:lang w:val="en-GB" w:eastAsia="zh-CN"/>
                    </w:rPr>
                  </w:rPrChange>
                </w:rPr>
                <w:t> </w:t>
              </w:r>
            </w:ins>
            <w:r>
              <w:rPr>
                <w:rFonts w:eastAsia="SimSun"/>
                <w:b/>
                <w:noProof/>
                <w:sz w:val="18"/>
                <w:szCs w:val="18"/>
                <w:lang w:val="pt-BR" w:eastAsia="zh-CN"/>
                <w:rPrChange w:id="1780" w:author="Author">
                  <w:rPr>
                    <w:rFonts w:eastAsia="SimSun"/>
                    <w:b/>
                    <w:sz w:val="18"/>
                    <w:szCs w:val="18"/>
                    <w:lang w:val="en-GB" w:eastAsia="zh-CN"/>
                  </w:rPr>
                </w:rPrChange>
              </w:rPr>
              <w:t>288</w:t>
            </w:r>
          </w:p>
        </w:tc>
        <w:tc>
          <w:tcPr>
            <w:tcW w:w="992" w:type="dxa"/>
            <w:tcMar>
              <w:top w:w="0" w:type="dxa"/>
              <w:left w:w="57" w:type="dxa"/>
              <w:bottom w:w="0" w:type="dxa"/>
              <w:right w:w="57" w:type="dxa"/>
            </w:tcMar>
            <w:vAlign w:val="bottom"/>
            <w:tcPrChange w:id="1781" w:author="Author">
              <w:tcPr>
                <w:tcW w:w="992" w:type="dxa"/>
                <w:tcMar>
                  <w:top w:w="0" w:type="dxa"/>
                  <w:left w:w="57" w:type="dxa"/>
                  <w:bottom w:w="0" w:type="dxa"/>
                  <w:right w:w="57" w:type="dxa"/>
                </w:tcMar>
                <w:vAlign w:val="bottom"/>
              </w:tcPr>
            </w:tcPrChange>
          </w:tcPr>
          <w:p>
            <w:pPr>
              <w:keepNext/>
              <w:suppressAutoHyphens/>
              <w:jc w:val="center"/>
              <w:rPr>
                <w:rFonts w:eastAsia="SimSun"/>
                <w:b/>
                <w:noProof/>
                <w:sz w:val="18"/>
                <w:szCs w:val="18"/>
                <w:lang w:val="it-IT" w:eastAsia="zh-CN"/>
              </w:rPr>
              <w:pPrChange w:id="1782" w:author="Author">
                <w:pPr>
                  <w:keepNext/>
                  <w:keepLines/>
                  <w:spacing w:before="50" w:after="50" w:line="240" w:lineRule="exact"/>
                  <w:jc w:val="center"/>
                </w:pPr>
              </w:pPrChange>
            </w:pPr>
            <w:r>
              <w:rPr>
                <w:rFonts w:eastAsia="SimSun"/>
                <w:b/>
                <w:noProof/>
                <w:sz w:val="18"/>
                <w:szCs w:val="18"/>
                <w:lang w:val="it-IT" w:eastAsia="zh-CN"/>
              </w:rPr>
              <w:t>Placebo + MTX</w:t>
            </w:r>
          </w:p>
          <w:p>
            <w:pPr>
              <w:keepNext/>
              <w:suppressAutoHyphens/>
              <w:jc w:val="center"/>
              <w:rPr>
                <w:rFonts w:eastAsia="SimSun"/>
                <w:noProof/>
                <w:sz w:val="18"/>
                <w:szCs w:val="18"/>
                <w:lang w:val="it-IT" w:eastAsia="zh-CN"/>
              </w:rPr>
              <w:pPrChange w:id="1783" w:author="Author">
                <w:pPr>
                  <w:keepNext/>
                  <w:keepLines/>
                  <w:spacing w:before="50" w:after="50" w:line="240" w:lineRule="exact"/>
                  <w:jc w:val="center"/>
                </w:pPr>
              </w:pPrChange>
            </w:pPr>
            <w:del w:id="1784" w:author="Author">
              <w:r>
                <w:rPr>
                  <w:rFonts w:eastAsia="SimSun"/>
                  <w:b/>
                  <w:noProof/>
                  <w:sz w:val="18"/>
                  <w:szCs w:val="18"/>
                  <w:lang w:val="it-IT" w:eastAsia="zh-CN"/>
                </w:rPr>
                <w:delText>N</w:delText>
              </w:r>
            </w:del>
            <w:ins w:id="1785" w:author="Author">
              <w:r>
                <w:rPr>
                  <w:rFonts w:eastAsia="SimSun"/>
                  <w:b/>
                  <w:noProof/>
                  <w:sz w:val="18"/>
                  <w:szCs w:val="18"/>
                  <w:lang w:val="it-IT" w:eastAsia="zh-CN"/>
                </w:rPr>
                <w:t>n </w:t>
              </w:r>
            </w:ins>
            <w:r>
              <w:rPr>
                <w:rFonts w:eastAsia="SimSun"/>
                <w:b/>
                <w:noProof/>
                <w:sz w:val="18"/>
                <w:szCs w:val="18"/>
                <w:lang w:val="it-IT" w:eastAsia="zh-CN"/>
              </w:rPr>
              <w:t>=</w:t>
            </w:r>
            <w:ins w:id="1786" w:author="Author">
              <w:r>
                <w:rPr>
                  <w:rFonts w:eastAsia="SimSun"/>
                  <w:b/>
                  <w:noProof/>
                  <w:sz w:val="18"/>
                  <w:szCs w:val="18"/>
                  <w:lang w:val="it-IT" w:eastAsia="zh-CN"/>
                </w:rPr>
                <w:t> </w:t>
              </w:r>
            </w:ins>
            <w:r>
              <w:rPr>
                <w:rFonts w:eastAsia="SimSun"/>
                <w:b/>
                <w:noProof/>
                <w:sz w:val="18"/>
                <w:szCs w:val="18"/>
                <w:lang w:val="it-IT" w:eastAsia="zh-CN"/>
              </w:rPr>
              <w:t>287</w:t>
            </w:r>
          </w:p>
        </w:tc>
      </w:tr>
      <w:tr>
        <w:trPr>
          <w:cantSplit/>
          <w:trPrChange w:id="1787" w:author="Author">
            <w:trPr>
              <w:cantSplit/>
            </w:trPr>
          </w:trPrChange>
        </w:trPr>
        <w:tc>
          <w:tcPr>
            <w:tcW w:w="9213" w:type="dxa"/>
            <w:gridSpan w:val="5"/>
            <w:tcPrChange w:id="1788" w:author="Author">
              <w:tcPr>
                <w:tcW w:w="9213" w:type="dxa"/>
                <w:gridSpan w:val="6"/>
              </w:tcPr>
            </w:tcPrChange>
          </w:tcPr>
          <w:p>
            <w:pPr>
              <w:keepNext/>
              <w:suppressAutoHyphens/>
              <w:rPr>
                <w:rFonts w:eastAsia="SimSun"/>
                <w:b/>
                <w:noProof/>
                <w:sz w:val="18"/>
                <w:szCs w:val="18"/>
                <w:lang w:val="it-IT" w:eastAsia="zh-CN"/>
              </w:rPr>
              <w:pPrChange w:id="1789" w:author="Author">
                <w:pPr>
                  <w:keepNext/>
                  <w:keepLines/>
                  <w:spacing w:before="50" w:after="50" w:line="240" w:lineRule="exact"/>
                </w:pPr>
              </w:pPrChange>
            </w:pPr>
            <w:r>
              <w:rPr>
                <w:rFonts w:eastAsia="SimSun"/>
                <w:b/>
                <w:noProof/>
                <w:sz w:val="18"/>
                <w:szCs w:val="18"/>
                <w:lang w:val="it-IT" w:eastAsia="zh-CN"/>
              </w:rPr>
              <w:t xml:space="preserve">Endpoint primario </w:t>
            </w:r>
          </w:p>
        </w:tc>
      </w:tr>
      <w:tr>
        <w:trPr>
          <w:cantSplit/>
          <w:trPrChange w:id="1790" w:author="Author">
            <w:trPr>
              <w:cantSplit/>
            </w:trPr>
          </w:trPrChange>
        </w:trPr>
        <w:tc>
          <w:tcPr>
            <w:tcW w:w="3686" w:type="dxa"/>
            <w:tcMar>
              <w:top w:w="0" w:type="dxa"/>
              <w:left w:w="57" w:type="dxa"/>
              <w:bottom w:w="0" w:type="dxa"/>
              <w:right w:w="57" w:type="dxa"/>
            </w:tcMar>
            <w:tcPrChange w:id="1791" w:author="Author">
              <w:tcPr>
                <w:tcW w:w="3686" w:type="dxa"/>
                <w:tcMar>
                  <w:top w:w="0" w:type="dxa"/>
                  <w:left w:w="57" w:type="dxa"/>
                  <w:bottom w:w="0" w:type="dxa"/>
                  <w:right w:w="57" w:type="dxa"/>
                </w:tcMar>
              </w:tcPr>
            </w:tcPrChange>
          </w:tcPr>
          <w:p>
            <w:pPr>
              <w:keepNext/>
              <w:suppressAutoHyphens/>
              <w:rPr>
                <w:rFonts w:eastAsia="SimSun"/>
                <w:noProof/>
                <w:sz w:val="18"/>
                <w:szCs w:val="18"/>
                <w:lang w:val="it-IT" w:eastAsia="zh-CN"/>
              </w:rPr>
              <w:pPrChange w:id="1792" w:author="Author">
                <w:pPr>
                  <w:keepNext/>
                  <w:keepLines/>
                  <w:spacing w:before="50" w:after="50" w:line="240" w:lineRule="exact"/>
                </w:pPr>
              </w:pPrChange>
            </w:pPr>
            <w:r>
              <w:rPr>
                <w:rFonts w:eastAsia="SimSun"/>
                <w:noProof/>
                <w:sz w:val="18"/>
                <w:szCs w:val="18"/>
                <w:lang w:val="it-IT" w:eastAsia="zh-CN"/>
              </w:rPr>
              <w:t xml:space="preserve">Remissione DAS28                        </w:t>
            </w:r>
          </w:p>
        </w:tc>
        <w:tc>
          <w:tcPr>
            <w:tcW w:w="1559" w:type="dxa"/>
            <w:tcMar>
              <w:top w:w="0" w:type="dxa"/>
              <w:left w:w="57" w:type="dxa"/>
              <w:bottom w:w="0" w:type="dxa"/>
              <w:right w:w="57" w:type="dxa"/>
            </w:tcMar>
            <w:tcPrChange w:id="1793" w:author="Author">
              <w:tcPr>
                <w:tcW w:w="1559" w:type="dxa"/>
                <w:gridSpan w:val="2"/>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794" w:author="Author">
                <w:pPr>
                  <w:keepNext/>
                  <w:keepLines/>
                  <w:spacing w:before="50" w:after="50" w:line="240" w:lineRule="exact"/>
                  <w:jc w:val="center"/>
                </w:pPr>
              </w:pPrChange>
            </w:pPr>
          </w:p>
        </w:tc>
        <w:tc>
          <w:tcPr>
            <w:tcW w:w="1418" w:type="dxa"/>
            <w:tcMar>
              <w:top w:w="0" w:type="dxa"/>
              <w:left w:w="57" w:type="dxa"/>
              <w:bottom w:w="0" w:type="dxa"/>
              <w:right w:w="57" w:type="dxa"/>
            </w:tcMar>
            <w:tcPrChange w:id="1795" w:author="Author">
              <w:tcPr>
                <w:tcW w:w="1418"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796" w:author="Author">
                <w:pPr>
                  <w:keepNext/>
                  <w:keepLines/>
                  <w:spacing w:before="50" w:after="50" w:line="240" w:lineRule="exact"/>
                  <w:jc w:val="center"/>
                </w:pPr>
              </w:pPrChange>
            </w:pPr>
          </w:p>
        </w:tc>
        <w:tc>
          <w:tcPr>
            <w:tcW w:w="1558" w:type="dxa"/>
            <w:tcPrChange w:id="1797" w:author="Author">
              <w:tcPr>
                <w:tcW w:w="1558" w:type="dxa"/>
              </w:tcPr>
            </w:tcPrChange>
          </w:tcPr>
          <w:p>
            <w:pPr>
              <w:keepNext/>
              <w:suppressAutoHyphens/>
              <w:jc w:val="center"/>
              <w:rPr>
                <w:rFonts w:eastAsia="SimSun"/>
                <w:noProof/>
                <w:sz w:val="18"/>
                <w:szCs w:val="18"/>
                <w:lang w:val="it-IT" w:eastAsia="zh-CN"/>
              </w:rPr>
              <w:pPrChange w:id="1798" w:author="Author">
                <w:pPr>
                  <w:keepNext/>
                  <w:keepLines/>
                  <w:spacing w:before="50" w:after="50" w:line="240" w:lineRule="exact"/>
                  <w:jc w:val="center"/>
                </w:pPr>
              </w:pPrChange>
            </w:pPr>
          </w:p>
        </w:tc>
        <w:tc>
          <w:tcPr>
            <w:tcW w:w="992" w:type="dxa"/>
            <w:tcMar>
              <w:top w:w="0" w:type="dxa"/>
              <w:left w:w="57" w:type="dxa"/>
              <w:bottom w:w="0" w:type="dxa"/>
              <w:right w:w="57" w:type="dxa"/>
            </w:tcMar>
            <w:tcPrChange w:id="1799" w:author="Author">
              <w:tcPr>
                <w:tcW w:w="992"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00" w:author="Author">
                <w:pPr>
                  <w:keepNext/>
                  <w:keepLines/>
                  <w:spacing w:before="50" w:after="50" w:line="240" w:lineRule="exact"/>
                  <w:jc w:val="center"/>
                </w:pPr>
              </w:pPrChange>
            </w:pPr>
          </w:p>
        </w:tc>
      </w:tr>
      <w:tr>
        <w:trPr>
          <w:cantSplit/>
          <w:trPrChange w:id="1801" w:author="Author">
            <w:trPr>
              <w:cantSplit/>
            </w:trPr>
          </w:trPrChange>
        </w:trPr>
        <w:tc>
          <w:tcPr>
            <w:tcW w:w="3686" w:type="dxa"/>
            <w:tcMar>
              <w:top w:w="0" w:type="dxa"/>
              <w:left w:w="57" w:type="dxa"/>
              <w:bottom w:w="0" w:type="dxa"/>
              <w:right w:w="57" w:type="dxa"/>
            </w:tcMar>
            <w:tcPrChange w:id="1802" w:author="Author">
              <w:tcPr>
                <w:tcW w:w="3686" w:type="dxa"/>
                <w:tcMar>
                  <w:top w:w="0" w:type="dxa"/>
                  <w:left w:w="57" w:type="dxa"/>
                  <w:bottom w:w="0" w:type="dxa"/>
                  <w:right w:w="57" w:type="dxa"/>
                </w:tcMar>
              </w:tcPr>
            </w:tcPrChange>
          </w:tcPr>
          <w:p>
            <w:pPr>
              <w:suppressAutoHyphens/>
              <w:ind w:left="720"/>
              <w:rPr>
                <w:rFonts w:eastAsia="SimSun"/>
                <w:noProof/>
                <w:sz w:val="18"/>
                <w:szCs w:val="18"/>
                <w:lang w:val="it-IT" w:eastAsia="zh-CN"/>
              </w:rPr>
              <w:pPrChange w:id="1803" w:author="Author">
                <w:pPr>
                  <w:keepNext/>
                  <w:keepLines/>
                  <w:spacing w:before="50" w:after="50" w:line="240" w:lineRule="exact"/>
                  <w:ind w:left="1440"/>
                </w:pPr>
              </w:pPrChange>
            </w:pPr>
            <w:r>
              <w:rPr>
                <w:rFonts w:eastAsia="SimSun"/>
                <w:noProof/>
                <w:sz w:val="18"/>
                <w:szCs w:val="18"/>
                <w:lang w:val="it-IT" w:eastAsia="zh-CN"/>
              </w:rPr>
              <w:t xml:space="preserve">settimana 24        </w:t>
            </w:r>
            <w:del w:id="1804" w:author="Author">
              <w:r>
                <w:rPr>
                  <w:rFonts w:eastAsia="SimSun"/>
                  <w:noProof/>
                  <w:sz w:val="18"/>
                  <w:szCs w:val="18"/>
                  <w:lang w:val="it-IT" w:eastAsia="zh-CN"/>
                </w:rPr>
                <w:delText xml:space="preserve"> </w:delText>
              </w:r>
            </w:del>
            <w:r>
              <w:rPr>
                <w:rFonts w:eastAsia="SimSun"/>
                <w:noProof/>
                <w:sz w:val="18"/>
                <w:szCs w:val="18"/>
                <w:lang w:val="it-IT" w:eastAsia="zh-CN"/>
              </w:rPr>
              <w:t xml:space="preserve">        n (%)</w:t>
            </w:r>
          </w:p>
        </w:tc>
        <w:tc>
          <w:tcPr>
            <w:tcW w:w="1559" w:type="dxa"/>
            <w:tcMar>
              <w:top w:w="0" w:type="dxa"/>
              <w:left w:w="57" w:type="dxa"/>
              <w:bottom w:w="0" w:type="dxa"/>
              <w:right w:w="57" w:type="dxa"/>
            </w:tcMar>
            <w:tcPrChange w:id="1805" w:author="Author">
              <w:tcPr>
                <w:tcW w:w="1559" w:type="dxa"/>
                <w:gridSpan w:val="2"/>
                <w:tcMar>
                  <w:top w:w="0" w:type="dxa"/>
                  <w:left w:w="57" w:type="dxa"/>
                  <w:bottom w:w="0" w:type="dxa"/>
                  <w:right w:w="57" w:type="dxa"/>
                </w:tcMar>
              </w:tcPr>
            </w:tcPrChange>
          </w:tcPr>
          <w:p>
            <w:pPr>
              <w:suppressAutoHyphens/>
              <w:jc w:val="center"/>
              <w:rPr>
                <w:rFonts w:eastAsia="SimSun"/>
                <w:noProof/>
                <w:sz w:val="18"/>
                <w:szCs w:val="18"/>
                <w:lang w:val="it-IT" w:eastAsia="zh-CN"/>
              </w:rPr>
              <w:pPrChange w:id="1806" w:author="Author">
                <w:pPr>
                  <w:keepNext/>
                  <w:keepLines/>
                  <w:spacing w:before="50" w:after="50" w:line="240" w:lineRule="exact"/>
                  <w:jc w:val="center"/>
                </w:pPr>
              </w:pPrChange>
            </w:pPr>
            <w:r>
              <w:rPr>
                <w:rFonts w:eastAsia="SimSun"/>
                <w:noProof/>
                <w:sz w:val="18"/>
                <w:szCs w:val="18"/>
                <w:lang w:val="it-IT" w:eastAsia="zh-CN"/>
              </w:rPr>
              <w:t>130 (44,8)***</w:t>
            </w:r>
          </w:p>
        </w:tc>
        <w:tc>
          <w:tcPr>
            <w:tcW w:w="1418" w:type="dxa"/>
            <w:tcMar>
              <w:top w:w="0" w:type="dxa"/>
              <w:left w:w="57" w:type="dxa"/>
              <w:bottom w:w="0" w:type="dxa"/>
              <w:right w:w="57" w:type="dxa"/>
            </w:tcMar>
            <w:tcPrChange w:id="1807" w:author="Author">
              <w:tcPr>
                <w:tcW w:w="1418" w:type="dxa"/>
                <w:tcMar>
                  <w:top w:w="0" w:type="dxa"/>
                  <w:left w:w="57" w:type="dxa"/>
                  <w:bottom w:w="0" w:type="dxa"/>
                  <w:right w:w="57" w:type="dxa"/>
                </w:tcMar>
              </w:tcPr>
            </w:tcPrChange>
          </w:tcPr>
          <w:p>
            <w:pPr>
              <w:suppressAutoHyphens/>
              <w:jc w:val="center"/>
              <w:rPr>
                <w:rFonts w:eastAsia="SimSun"/>
                <w:noProof/>
                <w:sz w:val="18"/>
                <w:szCs w:val="18"/>
                <w:lang w:val="it-IT" w:eastAsia="zh-CN"/>
              </w:rPr>
              <w:pPrChange w:id="1808" w:author="Author">
                <w:pPr>
                  <w:keepNext/>
                  <w:keepLines/>
                  <w:spacing w:before="50" w:after="50" w:line="240" w:lineRule="exact"/>
                  <w:jc w:val="center"/>
                </w:pPr>
              </w:pPrChange>
            </w:pPr>
            <w:r>
              <w:rPr>
                <w:rFonts w:eastAsia="SimSun"/>
                <w:noProof/>
                <w:sz w:val="18"/>
                <w:szCs w:val="18"/>
                <w:lang w:val="it-IT" w:eastAsia="zh-CN"/>
              </w:rPr>
              <w:t>113 (38,7)***</w:t>
            </w:r>
          </w:p>
        </w:tc>
        <w:tc>
          <w:tcPr>
            <w:tcW w:w="1558" w:type="dxa"/>
            <w:tcPrChange w:id="1809" w:author="Author">
              <w:tcPr>
                <w:tcW w:w="1558" w:type="dxa"/>
              </w:tcPr>
            </w:tcPrChange>
          </w:tcPr>
          <w:p>
            <w:pPr>
              <w:suppressAutoHyphens/>
              <w:jc w:val="center"/>
              <w:rPr>
                <w:rFonts w:eastAsia="SimSun"/>
                <w:noProof/>
                <w:sz w:val="18"/>
                <w:szCs w:val="18"/>
                <w:lang w:val="it-IT" w:eastAsia="zh-CN"/>
              </w:rPr>
              <w:pPrChange w:id="1810" w:author="Author">
                <w:pPr>
                  <w:keepNext/>
                  <w:keepLines/>
                  <w:spacing w:before="50" w:after="50" w:line="240" w:lineRule="exact"/>
                  <w:jc w:val="center"/>
                </w:pPr>
              </w:pPrChange>
            </w:pPr>
            <w:r>
              <w:rPr>
                <w:rFonts w:eastAsia="SimSun"/>
                <w:noProof/>
                <w:sz w:val="18"/>
                <w:szCs w:val="18"/>
                <w:lang w:val="it-IT" w:eastAsia="zh-CN"/>
              </w:rPr>
              <w:t>92 (31,9)</w:t>
            </w:r>
          </w:p>
        </w:tc>
        <w:tc>
          <w:tcPr>
            <w:tcW w:w="992" w:type="dxa"/>
            <w:tcMar>
              <w:top w:w="0" w:type="dxa"/>
              <w:left w:w="57" w:type="dxa"/>
              <w:bottom w:w="0" w:type="dxa"/>
              <w:right w:w="57" w:type="dxa"/>
            </w:tcMar>
            <w:tcPrChange w:id="1811" w:author="Author">
              <w:tcPr>
                <w:tcW w:w="992" w:type="dxa"/>
                <w:tcMar>
                  <w:top w:w="0" w:type="dxa"/>
                  <w:left w:w="57" w:type="dxa"/>
                  <w:bottom w:w="0" w:type="dxa"/>
                  <w:right w:w="57" w:type="dxa"/>
                </w:tcMar>
              </w:tcPr>
            </w:tcPrChange>
          </w:tcPr>
          <w:p>
            <w:pPr>
              <w:suppressAutoHyphens/>
              <w:jc w:val="center"/>
              <w:rPr>
                <w:rFonts w:eastAsia="SimSun"/>
                <w:noProof/>
                <w:sz w:val="18"/>
                <w:szCs w:val="18"/>
                <w:lang w:val="it-IT" w:eastAsia="zh-CN"/>
              </w:rPr>
              <w:pPrChange w:id="1812" w:author="Author">
                <w:pPr>
                  <w:keepNext/>
                  <w:keepLines/>
                  <w:spacing w:before="50" w:after="50" w:line="240" w:lineRule="exact"/>
                  <w:jc w:val="center"/>
                </w:pPr>
              </w:pPrChange>
            </w:pPr>
            <w:r>
              <w:rPr>
                <w:rFonts w:eastAsia="SimSun"/>
                <w:noProof/>
                <w:sz w:val="18"/>
                <w:szCs w:val="18"/>
                <w:lang w:val="it-IT" w:eastAsia="zh-CN"/>
              </w:rPr>
              <w:t>43 (15,0)</w:t>
            </w:r>
          </w:p>
        </w:tc>
      </w:tr>
      <w:tr>
        <w:trPr>
          <w:cantSplit/>
          <w:trPrChange w:id="1813" w:author="Author">
            <w:trPr>
              <w:cantSplit/>
            </w:trPr>
          </w:trPrChange>
        </w:trPr>
        <w:tc>
          <w:tcPr>
            <w:tcW w:w="9213" w:type="dxa"/>
            <w:gridSpan w:val="5"/>
            <w:tcPrChange w:id="1814" w:author="Author">
              <w:tcPr>
                <w:tcW w:w="9213" w:type="dxa"/>
                <w:gridSpan w:val="6"/>
              </w:tcPr>
            </w:tcPrChange>
          </w:tcPr>
          <w:p>
            <w:pPr>
              <w:keepNext/>
              <w:suppressAutoHyphens/>
              <w:rPr>
                <w:rFonts w:eastAsia="SimSun"/>
                <w:b/>
                <w:noProof/>
                <w:sz w:val="18"/>
                <w:szCs w:val="18"/>
                <w:lang w:val="it-IT" w:eastAsia="zh-CN"/>
              </w:rPr>
              <w:pPrChange w:id="1815" w:author="Author">
                <w:pPr>
                  <w:keepNext/>
                  <w:keepLines/>
                  <w:spacing w:before="50" w:after="50" w:line="240" w:lineRule="exact"/>
                </w:pPr>
              </w:pPrChange>
            </w:pPr>
            <w:r>
              <w:rPr>
                <w:rFonts w:eastAsia="SimSun"/>
                <w:b/>
                <w:noProof/>
                <w:sz w:val="18"/>
                <w:szCs w:val="18"/>
                <w:lang w:val="it-IT" w:eastAsia="zh-CN"/>
              </w:rPr>
              <w:t xml:space="preserve">Principali Endpoint secondari </w:t>
            </w:r>
          </w:p>
        </w:tc>
      </w:tr>
      <w:tr>
        <w:trPr>
          <w:cantSplit/>
          <w:trPrChange w:id="1816" w:author="Author">
            <w:trPr>
              <w:cantSplit/>
            </w:trPr>
          </w:trPrChange>
        </w:trPr>
        <w:tc>
          <w:tcPr>
            <w:tcW w:w="3681" w:type="dxa"/>
            <w:tcMar>
              <w:top w:w="0" w:type="dxa"/>
              <w:left w:w="57" w:type="dxa"/>
              <w:bottom w:w="0" w:type="dxa"/>
              <w:right w:w="57" w:type="dxa"/>
            </w:tcMar>
            <w:tcPrChange w:id="1817" w:author="Author">
              <w:tcPr>
                <w:tcW w:w="4332" w:type="dxa"/>
                <w:gridSpan w:val="2"/>
                <w:tcMar>
                  <w:top w:w="0" w:type="dxa"/>
                  <w:left w:w="57" w:type="dxa"/>
                  <w:bottom w:w="0" w:type="dxa"/>
                  <w:right w:w="57" w:type="dxa"/>
                </w:tcMar>
              </w:tcPr>
            </w:tcPrChange>
          </w:tcPr>
          <w:p>
            <w:pPr>
              <w:keepNext/>
              <w:suppressAutoHyphens/>
              <w:rPr>
                <w:rFonts w:eastAsia="SimSun"/>
                <w:noProof/>
                <w:sz w:val="18"/>
                <w:szCs w:val="18"/>
                <w:lang w:val="it-IT" w:eastAsia="zh-CN"/>
              </w:rPr>
              <w:pPrChange w:id="1818" w:author="Author">
                <w:pPr>
                  <w:keepNext/>
                  <w:keepLines/>
                  <w:spacing w:before="50" w:after="50" w:line="240" w:lineRule="exact"/>
                </w:pPr>
              </w:pPrChange>
            </w:pPr>
            <w:r>
              <w:rPr>
                <w:rFonts w:eastAsia="SimSun"/>
                <w:noProof/>
                <w:sz w:val="18"/>
                <w:szCs w:val="18"/>
                <w:lang w:val="it-IT" w:eastAsia="zh-CN"/>
              </w:rPr>
              <w:t xml:space="preserve">Remissione DAS28                        </w:t>
            </w:r>
          </w:p>
        </w:tc>
        <w:tc>
          <w:tcPr>
            <w:tcW w:w="1564" w:type="dxa"/>
            <w:tcMar>
              <w:top w:w="0" w:type="dxa"/>
              <w:left w:w="57" w:type="dxa"/>
              <w:bottom w:w="0" w:type="dxa"/>
              <w:right w:w="57" w:type="dxa"/>
            </w:tcMar>
            <w:tcPrChange w:id="1819" w:author="Author">
              <w:tcPr>
                <w:tcW w:w="913"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20" w:author="Author">
                <w:pPr>
                  <w:keepNext/>
                  <w:keepLines/>
                  <w:spacing w:before="50" w:after="50" w:line="240" w:lineRule="exact"/>
                  <w:jc w:val="center"/>
                </w:pPr>
              </w:pPrChange>
            </w:pPr>
          </w:p>
        </w:tc>
        <w:tc>
          <w:tcPr>
            <w:tcW w:w="1418" w:type="dxa"/>
            <w:tcMar>
              <w:top w:w="0" w:type="dxa"/>
              <w:left w:w="57" w:type="dxa"/>
              <w:bottom w:w="0" w:type="dxa"/>
              <w:right w:w="57" w:type="dxa"/>
            </w:tcMar>
            <w:tcPrChange w:id="1821" w:author="Author">
              <w:tcPr>
                <w:tcW w:w="1418"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22" w:author="Author">
                <w:pPr>
                  <w:keepNext/>
                  <w:keepLines/>
                  <w:spacing w:before="50" w:after="50" w:line="240" w:lineRule="exact"/>
                  <w:jc w:val="center"/>
                </w:pPr>
              </w:pPrChange>
            </w:pPr>
          </w:p>
        </w:tc>
        <w:tc>
          <w:tcPr>
            <w:tcW w:w="1558" w:type="dxa"/>
            <w:tcPrChange w:id="1823" w:author="Author">
              <w:tcPr>
                <w:tcW w:w="1558" w:type="dxa"/>
              </w:tcPr>
            </w:tcPrChange>
          </w:tcPr>
          <w:p>
            <w:pPr>
              <w:keepNext/>
              <w:suppressAutoHyphens/>
              <w:jc w:val="center"/>
              <w:rPr>
                <w:rFonts w:eastAsia="SimSun"/>
                <w:noProof/>
                <w:sz w:val="18"/>
                <w:szCs w:val="18"/>
                <w:lang w:val="it-IT" w:eastAsia="zh-CN"/>
              </w:rPr>
              <w:pPrChange w:id="1824" w:author="Author">
                <w:pPr>
                  <w:keepNext/>
                  <w:keepLines/>
                  <w:spacing w:before="50" w:after="50" w:line="240" w:lineRule="exact"/>
                  <w:jc w:val="center"/>
                </w:pPr>
              </w:pPrChange>
            </w:pPr>
          </w:p>
        </w:tc>
        <w:tc>
          <w:tcPr>
            <w:tcW w:w="992" w:type="dxa"/>
            <w:tcMar>
              <w:top w:w="0" w:type="dxa"/>
              <w:left w:w="57" w:type="dxa"/>
              <w:bottom w:w="0" w:type="dxa"/>
              <w:right w:w="57" w:type="dxa"/>
            </w:tcMar>
            <w:tcPrChange w:id="1825" w:author="Author">
              <w:tcPr>
                <w:tcW w:w="992"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26" w:author="Author">
                <w:pPr>
                  <w:keepNext/>
                  <w:keepLines/>
                  <w:spacing w:before="50" w:after="50" w:line="240" w:lineRule="exact"/>
                  <w:jc w:val="center"/>
                </w:pPr>
              </w:pPrChange>
            </w:pPr>
          </w:p>
        </w:tc>
      </w:tr>
      <w:tr>
        <w:trPr>
          <w:cantSplit/>
          <w:trPrChange w:id="1827" w:author="Author">
            <w:trPr>
              <w:cantSplit/>
            </w:trPr>
          </w:trPrChange>
        </w:trPr>
        <w:tc>
          <w:tcPr>
            <w:tcW w:w="3681" w:type="dxa"/>
            <w:tcMar>
              <w:top w:w="0" w:type="dxa"/>
              <w:left w:w="57" w:type="dxa"/>
              <w:bottom w:w="0" w:type="dxa"/>
              <w:right w:w="57" w:type="dxa"/>
            </w:tcMar>
            <w:tcPrChange w:id="1828" w:author="Author">
              <w:tcPr>
                <w:tcW w:w="4332" w:type="dxa"/>
                <w:gridSpan w:val="2"/>
                <w:tcMar>
                  <w:top w:w="0" w:type="dxa"/>
                  <w:left w:w="57" w:type="dxa"/>
                  <w:bottom w:w="0" w:type="dxa"/>
                  <w:right w:w="57" w:type="dxa"/>
                </w:tcMar>
              </w:tcPr>
            </w:tcPrChange>
          </w:tcPr>
          <w:p>
            <w:pPr>
              <w:keepNext/>
              <w:suppressAutoHyphens/>
              <w:ind w:left="720"/>
              <w:rPr>
                <w:rFonts w:eastAsia="SimSun"/>
                <w:noProof/>
                <w:sz w:val="18"/>
                <w:szCs w:val="18"/>
                <w:lang w:val="it-IT" w:eastAsia="zh-CN"/>
              </w:rPr>
              <w:pPrChange w:id="1829" w:author="Author">
                <w:pPr>
                  <w:keepNext/>
                  <w:keepLines/>
                  <w:spacing w:before="50" w:after="50" w:line="240" w:lineRule="exact"/>
                  <w:ind w:left="1440"/>
                </w:pPr>
              </w:pPrChange>
            </w:pPr>
            <w:r>
              <w:rPr>
                <w:rFonts w:eastAsia="SimSun"/>
                <w:noProof/>
                <w:sz w:val="18"/>
                <w:szCs w:val="18"/>
                <w:lang w:val="it-IT" w:eastAsia="zh-CN"/>
              </w:rPr>
              <w:t xml:space="preserve">settimana 52       </w:t>
            </w:r>
            <w:del w:id="1830" w:author="Author">
              <w:r>
                <w:rPr>
                  <w:rFonts w:eastAsia="SimSun"/>
                  <w:noProof/>
                  <w:sz w:val="18"/>
                  <w:szCs w:val="18"/>
                  <w:lang w:val="it-IT" w:eastAsia="zh-CN"/>
                </w:rPr>
                <w:delText xml:space="preserve">   </w:delText>
              </w:r>
            </w:del>
            <w:r>
              <w:rPr>
                <w:rFonts w:eastAsia="SimSun"/>
                <w:noProof/>
                <w:sz w:val="18"/>
                <w:szCs w:val="18"/>
                <w:lang w:val="it-IT" w:eastAsia="zh-CN"/>
              </w:rPr>
              <w:t>ACR  n (%)</w:t>
            </w:r>
          </w:p>
        </w:tc>
        <w:tc>
          <w:tcPr>
            <w:tcW w:w="1564" w:type="dxa"/>
            <w:tcMar>
              <w:top w:w="0" w:type="dxa"/>
              <w:left w:w="57" w:type="dxa"/>
              <w:bottom w:w="0" w:type="dxa"/>
              <w:right w:w="57" w:type="dxa"/>
            </w:tcMar>
            <w:tcPrChange w:id="1831" w:author="Author">
              <w:tcPr>
                <w:tcW w:w="913"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32" w:author="Author">
                <w:pPr>
                  <w:keepNext/>
                  <w:keepLines/>
                  <w:spacing w:before="50" w:after="50" w:line="240" w:lineRule="exact"/>
                  <w:jc w:val="center"/>
                </w:pPr>
              </w:pPrChange>
            </w:pPr>
            <w:r>
              <w:rPr>
                <w:rFonts w:eastAsia="SimSun"/>
                <w:noProof/>
                <w:sz w:val="18"/>
                <w:szCs w:val="18"/>
                <w:lang w:val="it-IT" w:eastAsia="zh-CN"/>
              </w:rPr>
              <w:t>142 (49,0)***</w:t>
            </w:r>
          </w:p>
        </w:tc>
        <w:tc>
          <w:tcPr>
            <w:tcW w:w="1418" w:type="dxa"/>
            <w:tcMar>
              <w:top w:w="0" w:type="dxa"/>
              <w:left w:w="57" w:type="dxa"/>
              <w:bottom w:w="0" w:type="dxa"/>
              <w:right w:w="57" w:type="dxa"/>
            </w:tcMar>
            <w:tcPrChange w:id="1833" w:author="Author">
              <w:tcPr>
                <w:tcW w:w="1418"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34" w:author="Author">
                <w:pPr>
                  <w:keepNext/>
                  <w:keepLines/>
                  <w:spacing w:before="50" w:after="50" w:line="240" w:lineRule="exact"/>
                  <w:jc w:val="center"/>
                </w:pPr>
              </w:pPrChange>
            </w:pPr>
            <w:r>
              <w:rPr>
                <w:rFonts w:eastAsia="SimSun"/>
                <w:noProof/>
                <w:sz w:val="18"/>
                <w:szCs w:val="18"/>
                <w:lang w:val="it-IT" w:eastAsia="zh-CN"/>
              </w:rPr>
              <w:t>115 (39,4)</w:t>
            </w:r>
          </w:p>
        </w:tc>
        <w:tc>
          <w:tcPr>
            <w:tcW w:w="1558" w:type="dxa"/>
            <w:tcPrChange w:id="1835" w:author="Author">
              <w:tcPr>
                <w:tcW w:w="1558" w:type="dxa"/>
              </w:tcPr>
            </w:tcPrChange>
          </w:tcPr>
          <w:p>
            <w:pPr>
              <w:keepNext/>
              <w:suppressAutoHyphens/>
              <w:jc w:val="center"/>
              <w:rPr>
                <w:rFonts w:eastAsia="SimSun"/>
                <w:noProof/>
                <w:sz w:val="18"/>
                <w:szCs w:val="18"/>
                <w:lang w:val="it-IT" w:eastAsia="zh-CN"/>
              </w:rPr>
              <w:pPrChange w:id="1836" w:author="Author">
                <w:pPr>
                  <w:keepNext/>
                  <w:keepLines/>
                  <w:spacing w:before="50" w:after="50" w:line="240" w:lineRule="exact"/>
                  <w:jc w:val="center"/>
                </w:pPr>
              </w:pPrChange>
            </w:pPr>
            <w:r>
              <w:rPr>
                <w:rFonts w:eastAsia="SimSun"/>
                <w:noProof/>
                <w:sz w:val="18"/>
                <w:szCs w:val="18"/>
                <w:lang w:val="it-IT" w:eastAsia="zh-CN"/>
              </w:rPr>
              <w:t>98 (34,0)</w:t>
            </w:r>
          </w:p>
        </w:tc>
        <w:tc>
          <w:tcPr>
            <w:tcW w:w="992" w:type="dxa"/>
            <w:tcMar>
              <w:top w:w="0" w:type="dxa"/>
              <w:left w:w="57" w:type="dxa"/>
              <w:bottom w:w="0" w:type="dxa"/>
              <w:right w:w="57" w:type="dxa"/>
            </w:tcMar>
            <w:tcPrChange w:id="1837" w:author="Author">
              <w:tcPr>
                <w:tcW w:w="992"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38" w:author="Author">
                <w:pPr>
                  <w:keepNext/>
                  <w:keepLines/>
                  <w:spacing w:before="50" w:after="50" w:line="240" w:lineRule="exact"/>
                  <w:jc w:val="center"/>
                </w:pPr>
              </w:pPrChange>
            </w:pPr>
            <w:r>
              <w:rPr>
                <w:rFonts w:eastAsia="SimSun"/>
                <w:noProof/>
                <w:sz w:val="18"/>
                <w:szCs w:val="18"/>
                <w:lang w:val="it-IT" w:eastAsia="zh-CN"/>
              </w:rPr>
              <w:t>56 (19,5)</w:t>
            </w:r>
          </w:p>
        </w:tc>
      </w:tr>
      <w:tr>
        <w:trPr>
          <w:cantSplit/>
          <w:trPrChange w:id="1839" w:author="Author">
            <w:trPr>
              <w:cantSplit/>
            </w:trPr>
          </w:trPrChange>
        </w:trPr>
        <w:tc>
          <w:tcPr>
            <w:tcW w:w="3681" w:type="dxa"/>
            <w:tcMar>
              <w:top w:w="0" w:type="dxa"/>
              <w:left w:w="57" w:type="dxa"/>
              <w:bottom w:w="0" w:type="dxa"/>
              <w:right w:w="57" w:type="dxa"/>
            </w:tcMar>
            <w:tcPrChange w:id="1840" w:author="Author">
              <w:tcPr>
                <w:tcW w:w="4332" w:type="dxa"/>
                <w:gridSpan w:val="2"/>
                <w:tcMar>
                  <w:top w:w="0" w:type="dxa"/>
                  <w:left w:w="57" w:type="dxa"/>
                  <w:bottom w:w="0" w:type="dxa"/>
                  <w:right w:w="57" w:type="dxa"/>
                </w:tcMar>
              </w:tcPr>
            </w:tcPrChange>
          </w:tcPr>
          <w:p>
            <w:pPr>
              <w:keepNext/>
              <w:suppressAutoHyphens/>
              <w:ind w:left="720"/>
              <w:rPr>
                <w:rFonts w:eastAsia="SimSun"/>
                <w:noProof/>
                <w:sz w:val="18"/>
                <w:szCs w:val="18"/>
                <w:lang w:val="it-IT" w:eastAsia="zh-CN"/>
              </w:rPr>
              <w:pPrChange w:id="1841" w:author="Author">
                <w:pPr>
                  <w:keepNext/>
                  <w:keepLines/>
                  <w:spacing w:before="50" w:after="50" w:line="240" w:lineRule="exact"/>
                </w:pPr>
              </w:pPrChange>
            </w:pPr>
            <w:r>
              <w:rPr>
                <w:rFonts w:eastAsia="SimSun"/>
                <w:noProof/>
                <w:sz w:val="18"/>
                <w:szCs w:val="18"/>
                <w:lang w:val="it-IT" w:eastAsia="zh-CN"/>
              </w:rPr>
              <w:t>ACR</w:t>
            </w:r>
          </w:p>
        </w:tc>
        <w:tc>
          <w:tcPr>
            <w:tcW w:w="1564" w:type="dxa"/>
            <w:tcMar>
              <w:top w:w="0" w:type="dxa"/>
              <w:left w:w="57" w:type="dxa"/>
              <w:bottom w:w="0" w:type="dxa"/>
              <w:right w:w="57" w:type="dxa"/>
            </w:tcMar>
            <w:tcPrChange w:id="1842" w:author="Author">
              <w:tcPr>
                <w:tcW w:w="913"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43" w:author="Author">
                <w:pPr>
                  <w:keepNext/>
                  <w:keepLines/>
                  <w:spacing w:before="50" w:after="50" w:line="240" w:lineRule="exact"/>
                  <w:jc w:val="center"/>
                </w:pPr>
              </w:pPrChange>
            </w:pPr>
          </w:p>
        </w:tc>
        <w:tc>
          <w:tcPr>
            <w:tcW w:w="1418" w:type="dxa"/>
            <w:tcMar>
              <w:top w:w="0" w:type="dxa"/>
              <w:left w:w="57" w:type="dxa"/>
              <w:bottom w:w="0" w:type="dxa"/>
              <w:right w:w="57" w:type="dxa"/>
            </w:tcMar>
            <w:tcPrChange w:id="1844" w:author="Author">
              <w:tcPr>
                <w:tcW w:w="1418"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45" w:author="Author">
                <w:pPr>
                  <w:keepNext/>
                  <w:keepLines/>
                  <w:spacing w:before="50" w:after="50" w:line="240" w:lineRule="exact"/>
                  <w:jc w:val="center"/>
                </w:pPr>
              </w:pPrChange>
            </w:pPr>
          </w:p>
        </w:tc>
        <w:tc>
          <w:tcPr>
            <w:tcW w:w="1558" w:type="dxa"/>
            <w:tcPrChange w:id="1846" w:author="Author">
              <w:tcPr>
                <w:tcW w:w="1558" w:type="dxa"/>
              </w:tcPr>
            </w:tcPrChange>
          </w:tcPr>
          <w:p>
            <w:pPr>
              <w:keepNext/>
              <w:suppressAutoHyphens/>
              <w:jc w:val="center"/>
              <w:rPr>
                <w:rFonts w:eastAsia="SimSun"/>
                <w:noProof/>
                <w:sz w:val="18"/>
                <w:szCs w:val="18"/>
                <w:lang w:val="it-IT" w:eastAsia="zh-CN"/>
              </w:rPr>
              <w:pPrChange w:id="1847" w:author="Author">
                <w:pPr>
                  <w:keepNext/>
                  <w:keepLines/>
                  <w:spacing w:before="50" w:after="50" w:line="240" w:lineRule="exact"/>
                  <w:jc w:val="center"/>
                </w:pPr>
              </w:pPrChange>
            </w:pPr>
          </w:p>
        </w:tc>
        <w:tc>
          <w:tcPr>
            <w:tcW w:w="992" w:type="dxa"/>
            <w:tcMar>
              <w:top w:w="0" w:type="dxa"/>
              <w:left w:w="57" w:type="dxa"/>
              <w:bottom w:w="0" w:type="dxa"/>
              <w:right w:w="57" w:type="dxa"/>
            </w:tcMar>
            <w:tcPrChange w:id="1848" w:author="Author">
              <w:tcPr>
                <w:tcW w:w="992"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49" w:author="Author">
                <w:pPr>
                  <w:keepNext/>
                  <w:keepLines/>
                  <w:spacing w:before="50" w:after="50" w:line="240" w:lineRule="exact"/>
                  <w:jc w:val="center"/>
                </w:pPr>
              </w:pPrChange>
            </w:pPr>
          </w:p>
        </w:tc>
      </w:tr>
      <w:tr>
        <w:trPr>
          <w:cantSplit/>
          <w:trPrChange w:id="1850" w:author="Author">
            <w:trPr>
              <w:cantSplit/>
            </w:trPr>
          </w:trPrChange>
        </w:trPr>
        <w:tc>
          <w:tcPr>
            <w:tcW w:w="3681" w:type="dxa"/>
            <w:tcMar>
              <w:top w:w="0" w:type="dxa"/>
              <w:left w:w="57" w:type="dxa"/>
              <w:bottom w:w="0" w:type="dxa"/>
              <w:right w:w="57" w:type="dxa"/>
            </w:tcMar>
            <w:tcPrChange w:id="1851" w:author="Author">
              <w:tcPr>
                <w:tcW w:w="4332" w:type="dxa"/>
                <w:gridSpan w:val="2"/>
                <w:tcMar>
                  <w:top w:w="0" w:type="dxa"/>
                  <w:left w:w="57" w:type="dxa"/>
                  <w:bottom w:w="0" w:type="dxa"/>
                  <w:right w:w="57" w:type="dxa"/>
                </w:tcMar>
              </w:tcPr>
            </w:tcPrChange>
          </w:tcPr>
          <w:p>
            <w:pPr>
              <w:keepNext/>
              <w:suppressAutoHyphens/>
              <w:ind w:left="720"/>
              <w:rPr>
                <w:rFonts w:eastAsia="SimSun"/>
                <w:noProof/>
                <w:sz w:val="18"/>
                <w:szCs w:val="18"/>
                <w:lang w:val="it-IT" w:eastAsia="zh-CN"/>
              </w:rPr>
              <w:pPrChange w:id="1852" w:author="Author">
                <w:pPr>
                  <w:keepNext/>
                  <w:keepLines/>
                  <w:spacing w:before="50" w:after="50" w:line="240" w:lineRule="exact"/>
                  <w:ind w:left="1440"/>
                </w:pPr>
              </w:pPrChange>
            </w:pPr>
            <w:r>
              <w:rPr>
                <w:rFonts w:eastAsia="SimSun"/>
                <w:noProof/>
                <w:sz w:val="18"/>
                <w:szCs w:val="18"/>
                <w:lang w:val="it-IT" w:eastAsia="zh-CN"/>
              </w:rPr>
              <w:t>settimana 24      ACR20, n (%)</w:t>
            </w:r>
          </w:p>
        </w:tc>
        <w:tc>
          <w:tcPr>
            <w:tcW w:w="1564" w:type="dxa"/>
            <w:tcMar>
              <w:top w:w="0" w:type="dxa"/>
              <w:left w:w="57" w:type="dxa"/>
              <w:bottom w:w="0" w:type="dxa"/>
              <w:right w:w="57" w:type="dxa"/>
            </w:tcMar>
            <w:tcPrChange w:id="1853" w:author="Author">
              <w:tcPr>
                <w:tcW w:w="913"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54" w:author="Author">
                <w:pPr>
                  <w:keepNext/>
                  <w:keepLines/>
                  <w:spacing w:before="50" w:after="50" w:line="240" w:lineRule="exact"/>
                  <w:jc w:val="center"/>
                </w:pPr>
              </w:pPrChange>
            </w:pPr>
            <w:r>
              <w:rPr>
                <w:rFonts w:eastAsia="SimSun"/>
                <w:noProof/>
                <w:sz w:val="18"/>
                <w:szCs w:val="18"/>
                <w:lang w:val="it-IT" w:eastAsia="zh-CN"/>
              </w:rPr>
              <w:t>216 (74,5)*</w:t>
            </w:r>
          </w:p>
        </w:tc>
        <w:tc>
          <w:tcPr>
            <w:tcW w:w="1418" w:type="dxa"/>
            <w:tcMar>
              <w:top w:w="0" w:type="dxa"/>
              <w:left w:w="57" w:type="dxa"/>
              <w:bottom w:w="0" w:type="dxa"/>
              <w:right w:w="57" w:type="dxa"/>
            </w:tcMar>
            <w:tcPrChange w:id="1855" w:author="Author">
              <w:tcPr>
                <w:tcW w:w="1418"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56" w:author="Author">
                <w:pPr>
                  <w:keepNext/>
                  <w:keepLines/>
                  <w:spacing w:before="50" w:after="50" w:line="240" w:lineRule="exact"/>
                  <w:jc w:val="center"/>
                </w:pPr>
              </w:pPrChange>
            </w:pPr>
            <w:r>
              <w:rPr>
                <w:rFonts w:eastAsia="SimSun"/>
                <w:noProof/>
                <w:sz w:val="18"/>
                <w:szCs w:val="18"/>
                <w:lang w:val="it-IT" w:eastAsia="zh-CN"/>
              </w:rPr>
              <w:t>205 (70,2)</w:t>
            </w:r>
          </w:p>
        </w:tc>
        <w:tc>
          <w:tcPr>
            <w:tcW w:w="1558" w:type="dxa"/>
            <w:tcPrChange w:id="1857" w:author="Author">
              <w:tcPr>
                <w:tcW w:w="1558" w:type="dxa"/>
              </w:tcPr>
            </w:tcPrChange>
          </w:tcPr>
          <w:p>
            <w:pPr>
              <w:keepNext/>
              <w:suppressAutoHyphens/>
              <w:jc w:val="center"/>
              <w:rPr>
                <w:rFonts w:eastAsia="SimSun"/>
                <w:noProof/>
                <w:sz w:val="18"/>
                <w:szCs w:val="18"/>
                <w:lang w:val="it-IT" w:eastAsia="zh-CN"/>
              </w:rPr>
              <w:pPrChange w:id="1858" w:author="Author">
                <w:pPr>
                  <w:keepNext/>
                  <w:keepLines/>
                  <w:spacing w:before="50" w:after="50" w:line="240" w:lineRule="exact"/>
                  <w:jc w:val="center"/>
                </w:pPr>
              </w:pPrChange>
            </w:pPr>
            <w:r>
              <w:rPr>
                <w:rFonts w:eastAsia="SimSun"/>
                <w:noProof/>
                <w:sz w:val="18"/>
                <w:szCs w:val="18"/>
                <w:lang w:val="it-IT" w:eastAsia="zh-CN"/>
              </w:rPr>
              <w:t>212 (73,6)</w:t>
            </w:r>
          </w:p>
        </w:tc>
        <w:tc>
          <w:tcPr>
            <w:tcW w:w="992" w:type="dxa"/>
            <w:tcMar>
              <w:top w:w="0" w:type="dxa"/>
              <w:left w:w="57" w:type="dxa"/>
              <w:bottom w:w="0" w:type="dxa"/>
              <w:right w:w="57" w:type="dxa"/>
            </w:tcMar>
            <w:tcPrChange w:id="1859" w:author="Author">
              <w:tcPr>
                <w:tcW w:w="992"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60" w:author="Author">
                <w:pPr>
                  <w:keepNext/>
                  <w:keepLines/>
                  <w:spacing w:before="50" w:after="50" w:line="240" w:lineRule="exact"/>
                  <w:jc w:val="center"/>
                </w:pPr>
              </w:pPrChange>
            </w:pPr>
            <w:r>
              <w:rPr>
                <w:rFonts w:eastAsia="SimSun"/>
                <w:noProof/>
                <w:sz w:val="18"/>
                <w:szCs w:val="18"/>
                <w:lang w:val="it-IT" w:eastAsia="zh-CN"/>
              </w:rPr>
              <w:t>187 (65,2)</w:t>
            </w:r>
          </w:p>
        </w:tc>
      </w:tr>
      <w:tr>
        <w:trPr>
          <w:cantSplit/>
          <w:trPrChange w:id="1861" w:author="Author">
            <w:trPr>
              <w:cantSplit/>
            </w:trPr>
          </w:trPrChange>
        </w:trPr>
        <w:tc>
          <w:tcPr>
            <w:tcW w:w="3681" w:type="dxa"/>
            <w:tcMar>
              <w:top w:w="0" w:type="dxa"/>
              <w:left w:w="57" w:type="dxa"/>
              <w:bottom w:w="0" w:type="dxa"/>
              <w:right w:w="57" w:type="dxa"/>
            </w:tcMar>
            <w:tcPrChange w:id="1862" w:author="Author">
              <w:tcPr>
                <w:tcW w:w="4332" w:type="dxa"/>
                <w:gridSpan w:val="2"/>
                <w:tcMar>
                  <w:top w:w="0" w:type="dxa"/>
                  <w:left w:w="57" w:type="dxa"/>
                  <w:bottom w:w="0" w:type="dxa"/>
                  <w:right w:w="57" w:type="dxa"/>
                </w:tcMar>
              </w:tcPr>
            </w:tcPrChange>
          </w:tcPr>
          <w:p>
            <w:pPr>
              <w:keepNext/>
              <w:tabs>
                <w:tab w:val="left" w:pos="1913"/>
              </w:tabs>
              <w:suppressAutoHyphens/>
              <w:rPr>
                <w:rFonts w:eastAsia="SimSun"/>
                <w:noProof/>
                <w:sz w:val="18"/>
                <w:szCs w:val="18"/>
                <w:lang w:val="it-IT" w:eastAsia="zh-CN"/>
              </w:rPr>
              <w:pPrChange w:id="1863" w:author="Author">
                <w:pPr>
                  <w:keepNext/>
                  <w:keepLines/>
                  <w:spacing w:before="50" w:after="50" w:line="240" w:lineRule="exact"/>
                </w:pPr>
              </w:pPrChange>
            </w:pPr>
            <w:ins w:id="1864" w:author="Author">
              <w:r>
                <w:rPr>
                  <w:rFonts w:eastAsia="SimSun"/>
                  <w:noProof/>
                  <w:sz w:val="18"/>
                  <w:szCs w:val="18"/>
                  <w:lang w:val="it-IT" w:eastAsia="zh-CN"/>
                </w:rPr>
                <w:tab/>
              </w:r>
            </w:ins>
            <w:r>
              <w:rPr>
                <w:rFonts w:eastAsia="SimSun"/>
                <w:noProof/>
                <w:sz w:val="18"/>
                <w:szCs w:val="18"/>
                <w:lang w:val="it-IT" w:eastAsia="zh-CN"/>
              </w:rPr>
              <w:t>ACR50, n (%)</w:t>
            </w:r>
          </w:p>
        </w:tc>
        <w:tc>
          <w:tcPr>
            <w:tcW w:w="1564" w:type="dxa"/>
            <w:tcMar>
              <w:top w:w="0" w:type="dxa"/>
              <w:left w:w="57" w:type="dxa"/>
              <w:bottom w:w="0" w:type="dxa"/>
              <w:right w:w="57" w:type="dxa"/>
            </w:tcMar>
            <w:tcPrChange w:id="1865" w:author="Author">
              <w:tcPr>
                <w:tcW w:w="913"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66" w:author="Author">
                <w:pPr>
                  <w:keepNext/>
                  <w:keepLines/>
                  <w:spacing w:before="50" w:after="50" w:line="240" w:lineRule="exact"/>
                  <w:jc w:val="center"/>
                </w:pPr>
              </w:pPrChange>
            </w:pPr>
            <w:r>
              <w:rPr>
                <w:rFonts w:eastAsia="SimSun"/>
                <w:noProof/>
                <w:sz w:val="18"/>
                <w:szCs w:val="18"/>
                <w:lang w:val="it-IT" w:eastAsia="zh-CN"/>
              </w:rPr>
              <w:t>165 (56,9)**</w:t>
            </w:r>
          </w:p>
        </w:tc>
        <w:tc>
          <w:tcPr>
            <w:tcW w:w="1418" w:type="dxa"/>
            <w:tcMar>
              <w:top w:w="0" w:type="dxa"/>
              <w:left w:w="57" w:type="dxa"/>
              <w:bottom w:w="0" w:type="dxa"/>
              <w:right w:w="57" w:type="dxa"/>
            </w:tcMar>
            <w:tcPrChange w:id="1867" w:author="Author">
              <w:tcPr>
                <w:tcW w:w="1418"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68" w:author="Author">
                <w:pPr>
                  <w:keepNext/>
                  <w:keepLines/>
                  <w:spacing w:before="50" w:after="50" w:line="240" w:lineRule="exact"/>
                  <w:jc w:val="center"/>
                </w:pPr>
              </w:pPrChange>
            </w:pPr>
            <w:r>
              <w:rPr>
                <w:rFonts w:eastAsia="SimSun"/>
                <w:noProof/>
                <w:sz w:val="18"/>
                <w:szCs w:val="18"/>
                <w:lang w:val="it-IT" w:eastAsia="zh-CN"/>
              </w:rPr>
              <w:t>139 (47,6)</w:t>
            </w:r>
          </w:p>
        </w:tc>
        <w:tc>
          <w:tcPr>
            <w:tcW w:w="1558" w:type="dxa"/>
            <w:tcPrChange w:id="1869" w:author="Author">
              <w:tcPr>
                <w:tcW w:w="1558" w:type="dxa"/>
              </w:tcPr>
            </w:tcPrChange>
          </w:tcPr>
          <w:p>
            <w:pPr>
              <w:keepNext/>
              <w:suppressAutoHyphens/>
              <w:jc w:val="center"/>
              <w:rPr>
                <w:rFonts w:eastAsia="SimSun"/>
                <w:noProof/>
                <w:sz w:val="18"/>
                <w:szCs w:val="18"/>
                <w:lang w:val="it-IT" w:eastAsia="zh-CN"/>
              </w:rPr>
              <w:pPrChange w:id="1870" w:author="Author">
                <w:pPr>
                  <w:keepNext/>
                  <w:keepLines/>
                  <w:spacing w:before="50" w:after="50" w:line="240" w:lineRule="exact"/>
                  <w:jc w:val="center"/>
                </w:pPr>
              </w:pPrChange>
            </w:pPr>
            <w:r>
              <w:rPr>
                <w:rFonts w:eastAsia="SimSun"/>
                <w:noProof/>
                <w:sz w:val="18"/>
                <w:szCs w:val="18"/>
                <w:lang w:val="it-IT" w:eastAsia="zh-CN"/>
              </w:rPr>
              <w:t>138 (47,9)</w:t>
            </w:r>
          </w:p>
        </w:tc>
        <w:tc>
          <w:tcPr>
            <w:tcW w:w="992" w:type="dxa"/>
            <w:tcMar>
              <w:top w:w="0" w:type="dxa"/>
              <w:left w:w="57" w:type="dxa"/>
              <w:bottom w:w="0" w:type="dxa"/>
              <w:right w:w="57" w:type="dxa"/>
            </w:tcMar>
            <w:tcPrChange w:id="1871" w:author="Author">
              <w:tcPr>
                <w:tcW w:w="992"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72" w:author="Author">
                <w:pPr>
                  <w:keepNext/>
                  <w:keepLines/>
                  <w:spacing w:before="50" w:after="50" w:line="240" w:lineRule="exact"/>
                  <w:jc w:val="center"/>
                </w:pPr>
              </w:pPrChange>
            </w:pPr>
            <w:r>
              <w:rPr>
                <w:rFonts w:eastAsia="SimSun"/>
                <w:noProof/>
                <w:sz w:val="18"/>
                <w:szCs w:val="18"/>
                <w:lang w:val="it-IT" w:eastAsia="zh-CN"/>
              </w:rPr>
              <w:t>124 (43,2)</w:t>
            </w:r>
          </w:p>
        </w:tc>
      </w:tr>
      <w:tr>
        <w:trPr>
          <w:cantSplit/>
          <w:trPrChange w:id="1873" w:author="Author">
            <w:trPr>
              <w:cantSplit/>
            </w:trPr>
          </w:trPrChange>
        </w:trPr>
        <w:tc>
          <w:tcPr>
            <w:tcW w:w="3681" w:type="dxa"/>
            <w:tcMar>
              <w:top w:w="0" w:type="dxa"/>
              <w:left w:w="57" w:type="dxa"/>
              <w:bottom w:w="0" w:type="dxa"/>
              <w:right w:w="57" w:type="dxa"/>
            </w:tcMar>
            <w:tcPrChange w:id="1874" w:author="Author">
              <w:tcPr>
                <w:tcW w:w="4332" w:type="dxa"/>
                <w:gridSpan w:val="2"/>
                <w:tcMar>
                  <w:top w:w="0" w:type="dxa"/>
                  <w:left w:w="57" w:type="dxa"/>
                  <w:bottom w:w="0" w:type="dxa"/>
                  <w:right w:w="57" w:type="dxa"/>
                </w:tcMar>
              </w:tcPr>
            </w:tcPrChange>
          </w:tcPr>
          <w:p>
            <w:pPr>
              <w:keepNext/>
              <w:tabs>
                <w:tab w:val="left" w:pos="1913"/>
              </w:tabs>
              <w:suppressAutoHyphens/>
              <w:rPr>
                <w:rFonts w:eastAsia="SimSun"/>
                <w:noProof/>
                <w:sz w:val="18"/>
                <w:szCs w:val="18"/>
                <w:lang w:val="it-IT" w:eastAsia="zh-CN"/>
              </w:rPr>
              <w:pPrChange w:id="1875" w:author="Author">
                <w:pPr>
                  <w:keepNext/>
                  <w:keepLines/>
                  <w:spacing w:before="50" w:after="50" w:line="240" w:lineRule="exact"/>
                </w:pPr>
              </w:pPrChange>
            </w:pPr>
            <w:ins w:id="1876" w:author="Author">
              <w:r>
                <w:rPr>
                  <w:rFonts w:eastAsia="SimSun"/>
                  <w:noProof/>
                  <w:sz w:val="18"/>
                  <w:szCs w:val="18"/>
                  <w:lang w:val="it-IT" w:eastAsia="zh-CN"/>
                </w:rPr>
                <w:tab/>
              </w:r>
            </w:ins>
            <w:r>
              <w:rPr>
                <w:rFonts w:eastAsia="SimSun"/>
                <w:noProof/>
                <w:sz w:val="18"/>
                <w:szCs w:val="18"/>
                <w:lang w:val="it-IT" w:eastAsia="zh-CN"/>
              </w:rPr>
              <w:t>ACR70, n (%)</w:t>
            </w:r>
          </w:p>
        </w:tc>
        <w:tc>
          <w:tcPr>
            <w:tcW w:w="1564" w:type="dxa"/>
            <w:tcMar>
              <w:top w:w="0" w:type="dxa"/>
              <w:left w:w="57" w:type="dxa"/>
              <w:bottom w:w="0" w:type="dxa"/>
              <w:right w:w="57" w:type="dxa"/>
            </w:tcMar>
            <w:tcPrChange w:id="1877" w:author="Author">
              <w:tcPr>
                <w:tcW w:w="913"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78" w:author="Author">
                <w:pPr>
                  <w:keepNext/>
                  <w:keepLines/>
                  <w:spacing w:before="50" w:after="50" w:line="240" w:lineRule="exact"/>
                  <w:jc w:val="center"/>
                </w:pPr>
              </w:pPrChange>
            </w:pPr>
            <w:r>
              <w:rPr>
                <w:rFonts w:eastAsia="SimSun"/>
                <w:noProof/>
                <w:sz w:val="18"/>
                <w:szCs w:val="18"/>
                <w:lang w:val="it-IT" w:eastAsia="zh-CN"/>
              </w:rPr>
              <w:t>112 (38,6)**</w:t>
            </w:r>
          </w:p>
        </w:tc>
        <w:tc>
          <w:tcPr>
            <w:tcW w:w="1418" w:type="dxa"/>
            <w:tcMar>
              <w:top w:w="0" w:type="dxa"/>
              <w:left w:w="57" w:type="dxa"/>
              <w:bottom w:w="0" w:type="dxa"/>
              <w:right w:w="57" w:type="dxa"/>
            </w:tcMar>
            <w:tcPrChange w:id="1879" w:author="Author">
              <w:tcPr>
                <w:tcW w:w="1418"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80" w:author="Author">
                <w:pPr>
                  <w:keepNext/>
                  <w:keepLines/>
                  <w:spacing w:before="50" w:after="50" w:line="240" w:lineRule="exact"/>
                  <w:jc w:val="center"/>
                </w:pPr>
              </w:pPrChange>
            </w:pPr>
            <w:r>
              <w:rPr>
                <w:rFonts w:eastAsia="SimSun"/>
                <w:noProof/>
                <w:sz w:val="18"/>
                <w:szCs w:val="18"/>
                <w:lang w:val="it-IT" w:eastAsia="zh-CN"/>
              </w:rPr>
              <w:t>88 (30,1)</w:t>
            </w:r>
          </w:p>
        </w:tc>
        <w:tc>
          <w:tcPr>
            <w:tcW w:w="1558" w:type="dxa"/>
            <w:tcPrChange w:id="1881" w:author="Author">
              <w:tcPr>
                <w:tcW w:w="1558" w:type="dxa"/>
              </w:tcPr>
            </w:tcPrChange>
          </w:tcPr>
          <w:p>
            <w:pPr>
              <w:keepNext/>
              <w:suppressAutoHyphens/>
              <w:jc w:val="center"/>
              <w:rPr>
                <w:rFonts w:eastAsia="SimSun"/>
                <w:noProof/>
                <w:sz w:val="18"/>
                <w:szCs w:val="18"/>
                <w:lang w:val="it-IT" w:eastAsia="zh-CN"/>
              </w:rPr>
              <w:pPrChange w:id="1882" w:author="Author">
                <w:pPr>
                  <w:keepNext/>
                  <w:keepLines/>
                  <w:spacing w:before="50" w:after="50" w:line="240" w:lineRule="exact"/>
                  <w:jc w:val="center"/>
                </w:pPr>
              </w:pPrChange>
            </w:pPr>
            <w:r>
              <w:rPr>
                <w:rFonts w:eastAsia="SimSun"/>
                <w:noProof/>
                <w:sz w:val="18"/>
                <w:szCs w:val="18"/>
                <w:lang w:val="it-IT" w:eastAsia="zh-CN"/>
              </w:rPr>
              <w:t>100 (34,7)</w:t>
            </w:r>
          </w:p>
        </w:tc>
        <w:tc>
          <w:tcPr>
            <w:tcW w:w="992" w:type="dxa"/>
            <w:tcMar>
              <w:top w:w="0" w:type="dxa"/>
              <w:left w:w="57" w:type="dxa"/>
              <w:bottom w:w="0" w:type="dxa"/>
              <w:right w:w="57" w:type="dxa"/>
            </w:tcMar>
            <w:tcPrChange w:id="1883" w:author="Author">
              <w:tcPr>
                <w:tcW w:w="992"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84" w:author="Author">
                <w:pPr>
                  <w:keepNext/>
                  <w:keepLines/>
                  <w:spacing w:before="50" w:after="50" w:line="240" w:lineRule="exact"/>
                  <w:jc w:val="center"/>
                </w:pPr>
              </w:pPrChange>
            </w:pPr>
            <w:r>
              <w:rPr>
                <w:rFonts w:eastAsia="SimSun"/>
                <w:noProof/>
                <w:sz w:val="18"/>
                <w:szCs w:val="18"/>
                <w:lang w:val="it-IT" w:eastAsia="zh-CN"/>
              </w:rPr>
              <w:t>73 (25,4)</w:t>
            </w:r>
          </w:p>
        </w:tc>
      </w:tr>
      <w:tr>
        <w:trPr>
          <w:cantSplit/>
          <w:trPrChange w:id="1885" w:author="Author">
            <w:trPr>
              <w:cantSplit/>
            </w:trPr>
          </w:trPrChange>
        </w:trPr>
        <w:tc>
          <w:tcPr>
            <w:tcW w:w="3681" w:type="dxa"/>
            <w:tcMar>
              <w:top w:w="0" w:type="dxa"/>
              <w:left w:w="57" w:type="dxa"/>
              <w:bottom w:w="0" w:type="dxa"/>
              <w:right w:w="57" w:type="dxa"/>
            </w:tcMar>
            <w:tcPrChange w:id="1886" w:author="Author">
              <w:tcPr>
                <w:tcW w:w="4332" w:type="dxa"/>
                <w:gridSpan w:val="2"/>
                <w:tcMar>
                  <w:top w:w="0" w:type="dxa"/>
                  <w:left w:w="57" w:type="dxa"/>
                  <w:bottom w:w="0" w:type="dxa"/>
                  <w:right w:w="57" w:type="dxa"/>
                </w:tcMar>
              </w:tcPr>
            </w:tcPrChange>
          </w:tcPr>
          <w:p>
            <w:pPr>
              <w:keepNext/>
              <w:suppressAutoHyphens/>
              <w:ind w:left="720"/>
              <w:rPr>
                <w:rFonts w:eastAsia="SimSun"/>
                <w:noProof/>
                <w:sz w:val="18"/>
                <w:szCs w:val="18"/>
                <w:lang w:val="it-IT" w:eastAsia="zh-CN"/>
              </w:rPr>
              <w:pPrChange w:id="1887" w:author="Author">
                <w:pPr>
                  <w:keepNext/>
                  <w:keepLines/>
                  <w:spacing w:before="50" w:after="50" w:line="240" w:lineRule="exact"/>
                  <w:ind w:left="1440"/>
                </w:pPr>
              </w:pPrChange>
            </w:pPr>
            <w:r>
              <w:rPr>
                <w:rFonts w:eastAsia="SimSun"/>
                <w:noProof/>
                <w:sz w:val="18"/>
                <w:szCs w:val="18"/>
                <w:lang w:val="it-IT" w:eastAsia="zh-CN"/>
              </w:rPr>
              <w:t>settimana 52      ACR20, n (%)</w:t>
            </w:r>
          </w:p>
        </w:tc>
        <w:tc>
          <w:tcPr>
            <w:tcW w:w="1564" w:type="dxa"/>
            <w:tcMar>
              <w:top w:w="0" w:type="dxa"/>
              <w:left w:w="57" w:type="dxa"/>
              <w:bottom w:w="0" w:type="dxa"/>
              <w:right w:w="57" w:type="dxa"/>
            </w:tcMar>
            <w:tcPrChange w:id="1888" w:author="Author">
              <w:tcPr>
                <w:tcW w:w="913"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89" w:author="Author">
                <w:pPr>
                  <w:keepNext/>
                  <w:keepLines/>
                  <w:spacing w:before="50" w:after="50" w:line="240" w:lineRule="exact"/>
                  <w:jc w:val="center"/>
                </w:pPr>
              </w:pPrChange>
            </w:pPr>
            <w:r>
              <w:rPr>
                <w:rFonts w:eastAsia="SimSun"/>
                <w:noProof/>
                <w:sz w:val="18"/>
                <w:szCs w:val="18"/>
                <w:lang w:val="it-IT" w:eastAsia="zh-CN"/>
              </w:rPr>
              <w:t>195 (67,2)*</w:t>
            </w:r>
          </w:p>
        </w:tc>
        <w:tc>
          <w:tcPr>
            <w:tcW w:w="1418" w:type="dxa"/>
            <w:tcMar>
              <w:top w:w="0" w:type="dxa"/>
              <w:left w:w="57" w:type="dxa"/>
              <w:bottom w:w="0" w:type="dxa"/>
              <w:right w:w="57" w:type="dxa"/>
            </w:tcMar>
            <w:tcPrChange w:id="1890" w:author="Author">
              <w:tcPr>
                <w:tcW w:w="1418"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91" w:author="Author">
                <w:pPr>
                  <w:keepNext/>
                  <w:keepLines/>
                  <w:spacing w:before="50" w:after="50" w:line="240" w:lineRule="exact"/>
                  <w:jc w:val="center"/>
                </w:pPr>
              </w:pPrChange>
            </w:pPr>
            <w:r>
              <w:rPr>
                <w:rFonts w:eastAsia="SimSun"/>
                <w:noProof/>
                <w:sz w:val="18"/>
                <w:szCs w:val="18"/>
                <w:lang w:val="it-IT" w:eastAsia="zh-CN"/>
              </w:rPr>
              <w:t>184 (63,0)</w:t>
            </w:r>
          </w:p>
        </w:tc>
        <w:tc>
          <w:tcPr>
            <w:tcW w:w="1558" w:type="dxa"/>
            <w:tcPrChange w:id="1892" w:author="Author">
              <w:tcPr>
                <w:tcW w:w="1558" w:type="dxa"/>
              </w:tcPr>
            </w:tcPrChange>
          </w:tcPr>
          <w:p>
            <w:pPr>
              <w:keepNext/>
              <w:suppressAutoHyphens/>
              <w:jc w:val="center"/>
              <w:rPr>
                <w:rFonts w:eastAsia="SimSun"/>
                <w:noProof/>
                <w:sz w:val="18"/>
                <w:szCs w:val="18"/>
                <w:lang w:val="it-IT" w:eastAsia="zh-CN"/>
              </w:rPr>
              <w:pPrChange w:id="1893" w:author="Author">
                <w:pPr>
                  <w:keepNext/>
                  <w:keepLines/>
                  <w:spacing w:before="50" w:after="50" w:line="240" w:lineRule="exact"/>
                  <w:jc w:val="center"/>
                </w:pPr>
              </w:pPrChange>
            </w:pPr>
            <w:r>
              <w:rPr>
                <w:rFonts w:eastAsia="SimSun"/>
                <w:noProof/>
                <w:sz w:val="18"/>
                <w:szCs w:val="18"/>
                <w:lang w:val="it-IT" w:eastAsia="zh-CN"/>
              </w:rPr>
              <w:t>181 (62,8)</w:t>
            </w:r>
          </w:p>
        </w:tc>
        <w:tc>
          <w:tcPr>
            <w:tcW w:w="992" w:type="dxa"/>
            <w:tcMar>
              <w:top w:w="0" w:type="dxa"/>
              <w:left w:w="57" w:type="dxa"/>
              <w:bottom w:w="0" w:type="dxa"/>
              <w:right w:w="57" w:type="dxa"/>
            </w:tcMar>
            <w:tcPrChange w:id="1894" w:author="Author">
              <w:tcPr>
                <w:tcW w:w="992"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895" w:author="Author">
                <w:pPr>
                  <w:keepNext/>
                  <w:keepLines/>
                  <w:spacing w:before="50" w:after="50" w:line="240" w:lineRule="exact"/>
                  <w:jc w:val="center"/>
                </w:pPr>
              </w:pPrChange>
            </w:pPr>
            <w:r>
              <w:rPr>
                <w:rFonts w:eastAsia="SimSun"/>
                <w:noProof/>
                <w:sz w:val="18"/>
                <w:szCs w:val="18"/>
                <w:lang w:val="it-IT" w:eastAsia="zh-CN"/>
              </w:rPr>
              <w:t>164 (57,1)</w:t>
            </w:r>
          </w:p>
        </w:tc>
      </w:tr>
      <w:tr>
        <w:trPr>
          <w:cantSplit/>
          <w:trPrChange w:id="1896" w:author="Author">
            <w:trPr>
              <w:cantSplit/>
            </w:trPr>
          </w:trPrChange>
        </w:trPr>
        <w:tc>
          <w:tcPr>
            <w:tcW w:w="3681" w:type="dxa"/>
            <w:tcMar>
              <w:top w:w="0" w:type="dxa"/>
              <w:left w:w="57" w:type="dxa"/>
              <w:bottom w:w="0" w:type="dxa"/>
              <w:right w:w="57" w:type="dxa"/>
            </w:tcMar>
            <w:tcPrChange w:id="1897" w:author="Author">
              <w:tcPr>
                <w:tcW w:w="4332" w:type="dxa"/>
                <w:gridSpan w:val="2"/>
                <w:tcMar>
                  <w:top w:w="0" w:type="dxa"/>
                  <w:left w:w="57" w:type="dxa"/>
                  <w:bottom w:w="0" w:type="dxa"/>
                  <w:right w:w="57" w:type="dxa"/>
                </w:tcMar>
              </w:tcPr>
            </w:tcPrChange>
          </w:tcPr>
          <w:p>
            <w:pPr>
              <w:keepNext/>
              <w:tabs>
                <w:tab w:val="left" w:pos="1913"/>
              </w:tabs>
              <w:suppressAutoHyphens/>
              <w:rPr>
                <w:rFonts w:eastAsia="SimSun"/>
                <w:noProof/>
                <w:sz w:val="18"/>
                <w:szCs w:val="18"/>
                <w:lang w:val="it-IT" w:eastAsia="zh-CN"/>
              </w:rPr>
              <w:pPrChange w:id="1898" w:author="Author">
                <w:pPr>
                  <w:keepNext/>
                  <w:keepLines/>
                  <w:spacing w:before="50" w:after="50" w:line="240" w:lineRule="exact"/>
                </w:pPr>
              </w:pPrChange>
            </w:pPr>
            <w:ins w:id="1899" w:author="Author">
              <w:r>
                <w:rPr>
                  <w:rFonts w:eastAsia="SimSun"/>
                  <w:noProof/>
                  <w:sz w:val="18"/>
                  <w:szCs w:val="18"/>
                  <w:lang w:val="it-IT" w:eastAsia="zh-CN"/>
                </w:rPr>
                <w:tab/>
              </w:r>
            </w:ins>
            <w:r>
              <w:rPr>
                <w:rFonts w:eastAsia="SimSun"/>
                <w:noProof/>
                <w:sz w:val="18"/>
                <w:szCs w:val="18"/>
                <w:lang w:val="it-IT" w:eastAsia="zh-CN"/>
              </w:rPr>
              <w:t>ACR50, n (%)</w:t>
            </w:r>
          </w:p>
        </w:tc>
        <w:tc>
          <w:tcPr>
            <w:tcW w:w="1564" w:type="dxa"/>
            <w:tcMar>
              <w:top w:w="0" w:type="dxa"/>
              <w:left w:w="57" w:type="dxa"/>
              <w:bottom w:w="0" w:type="dxa"/>
              <w:right w:w="57" w:type="dxa"/>
            </w:tcMar>
            <w:tcPrChange w:id="1900" w:author="Author">
              <w:tcPr>
                <w:tcW w:w="913"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901" w:author="Author">
                <w:pPr>
                  <w:keepNext/>
                  <w:keepLines/>
                  <w:spacing w:before="50" w:after="50" w:line="240" w:lineRule="exact"/>
                  <w:jc w:val="center"/>
                </w:pPr>
              </w:pPrChange>
            </w:pPr>
            <w:r>
              <w:rPr>
                <w:rFonts w:eastAsia="SimSun"/>
                <w:noProof/>
                <w:sz w:val="18"/>
                <w:szCs w:val="18"/>
                <w:lang w:val="it-IT" w:eastAsia="zh-CN"/>
              </w:rPr>
              <w:t>162 (55,9)**</w:t>
            </w:r>
          </w:p>
        </w:tc>
        <w:tc>
          <w:tcPr>
            <w:tcW w:w="1418" w:type="dxa"/>
            <w:tcMar>
              <w:top w:w="0" w:type="dxa"/>
              <w:left w:w="57" w:type="dxa"/>
              <w:bottom w:w="0" w:type="dxa"/>
              <w:right w:w="57" w:type="dxa"/>
            </w:tcMar>
            <w:tcPrChange w:id="1902" w:author="Author">
              <w:tcPr>
                <w:tcW w:w="1418"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903" w:author="Author">
                <w:pPr>
                  <w:keepNext/>
                  <w:keepLines/>
                  <w:spacing w:before="50" w:after="50" w:line="240" w:lineRule="exact"/>
                  <w:jc w:val="center"/>
                </w:pPr>
              </w:pPrChange>
            </w:pPr>
            <w:r>
              <w:rPr>
                <w:rFonts w:eastAsia="SimSun"/>
                <w:noProof/>
                <w:sz w:val="18"/>
                <w:szCs w:val="18"/>
                <w:lang w:val="it-IT" w:eastAsia="zh-CN"/>
              </w:rPr>
              <w:t>144 (49,3)</w:t>
            </w:r>
          </w:p>
        </w:tc>
        <w:tc>
          <w:tcPr>
            <w:tcW w:w="1558" w:type="dxa"/>
            <w:tcPrChange w:id="1904" w:author="Author">
              <w:tcPr>
                <w:tcW w:w="1558" w:type="dxa"/>
              </w:tcPr>
            </w:tcPrChange>
          </w:tcPr>
          <w:p>
            <w:pPr>
              <w:keepNext/>
              <w:suppressAutoHyphens/>
              <w:jc w:val="center"/>
              <w:rPr>
                <w:rFonts w:eastAsia="SimSun"/>
                <w:noProof/>
                <w:sz w:val="18"/>
                <w:szCs w:val="18"/>
                <w:lang w:val="it-IT" w:eastAsia="zh-CN"/>
              </w:rPr>
              <w:pPrChange w:id="1905" w:author="Author">
                <w:pPr>
                  <w:keepNext/>
                  <w:keepLines/>
                  <w:spacing w:before="50" w:after="50" w:line="240" w:lineRule="exact"/>
                  <w:jc w:val="center"/>
                </w:pPr>
              </w:pPrChange>
            </w:pPr>
            <w:r>
              <w:rPr>
                <w:rFonts w:eastAsia="SimSun"/>
                <w:noProof/>
                <w:sz w:val="18"/>
                <w:szCs w:val="18"/>
                <w:lang w:val="it-IT" w:eastAsia="zh-CN"/>
              </w:rPr>
              <w:t>151 (52,4)</w:t>
            </w:r>
          </w:p>
        </w:tc>
        <w:tc>
          <w:tcPr>
            <w:tcW w:w="992" w:type="dxa"/>
            <w:tcMar>
              <w:top w:w="0" w:type="dxa"/>
              <w:left w:w="57" w:type="dxa"/>
              <w:bottom w:w="0" w:type="dxa"/>
              <w:right w:w="57" w:type="dxa"/>
            </w:tcMar>
            <w:tcPrChange w:id="1906" w:author="Author">
              <w:tcPr>
                <w:tcW w:w="992"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907" w:author="Author">
                <w:pPr>
                  <w:keepNext/>
                  <w:keepLines/>
                  <w:spacing w:before="50" w:after="50" w:line="240" w:lineRule="exact"/>
                  <w:jc w:val="center"/>
                </w:pPr>
              </w:pPrChange>
            </w:pPr>
            <w:r>
              <w:rPr>
                <w:rFonts w:eastAsia="SimSun"/>
                <w:noProof/>
                <w:sz w:val="18"/>
                <w:szCs w:val="18"/>
                <w:lang w:val="it-IT" w:eastAsia="zh-CN"/>
              </w:rPr>
              <w:t>117 (40,8)</w:t>
            </w:r>
          </w:p>
        </w:tc>
      </w:tr>
      <w:tr>
        <w:trPr>
          <w:cantSplit/>
          <w:trPrChange w:id="1908" w:author="Author">
            <w:trPr>
              <w:cantSplit/>
            </w:trPr>
          </w:trPrChange>
        </w:trPr>
        <w:tc>
          <w:tcPr>
            <w:tcW w:w="3681" w:type="dxa"/>
            <w:tcMar>
              <w:top w:w="0" w:type="dxa"/>
              <w:left w:w="57" w:type="dxa"/>
              <w:bottom w:w="0" w:type="dxa"/>
              <w:right w:w="57" w:type="dxa"/>
            </w:tcMar>
            <w:tcPrChange w:id="1909" w:author="Author">
              <w:tcPr>
                <w:tcW w:w="4332" w:type="dxa"/>
                <w:gridSpan w:val="2"/>
                <w:tcMar>
                  <w:top w:w="0" w:type="dxa"/>
                  <w:left w:w="57" w:type="dxa"/>
                  <w:bottom w:w="0" w:type="dxa"/>
                  <w:right w:w="57" w:type="dxa"/>
                </w:tcMar>
              </w:tcPr>
            </w:tcPrChange>
          </w:tcPr>
          <w:p>
            <w:pPr>
              <w:keepNext/>
              <w:tabs>
                <w:tab w:val="left" w:pos="1913"/>
              </w:tabs>
              <w:suppressAutoHyphens/>
              <w:rPr>
                <w:rFonts w:eastAsia="SimSun"/>
                <w:noProof/>
                <w:sz w:val="18"/>
                <w:szCs w:val="18"/>
                <w:lang w:val="it-IT" w:eastAsia="zh-CN"/>
              </w:rPr>
              <w:pPrChange w:id="1910" w:author="Author">
                <w:pPr>
                  <w:keepNext/>
                  <w:keepLines/>
                  <w:spacing w:before="50" w:after="50" w:line="240" w:lineRule="exact"/>
                </w:pPr>
              </w:pPrChange>
            </w:pPr>
            <w:ins w:id="1911" w:author="Author">
              <w:r>
                <w:rPr>
                  <w:rFonts w:eastAsia="SimSun"/>
                  <w:noProof/>
                  <w:sz w:val="18"/>
                  <w:szCs w:val="18"/>
                  <w:lang w:val="it-IT" w:eastAsia="zh-CN"/>
                </w:rPr>
                <w:tab/>
              </w:r>
            </w:ins>
            <w:r>
              <w:rPr>
                <w:rFonts w:eastAsia="SimSun"/>
                <w:noProof/>
                <w:sz w:val="18"/>
                <w:szCs w:val="18"/>
                <w:lang w:val="it-IT" w:eastAsia="zh-CN"/>
              </w:rPr>
              <w:t>ACR70, n (%)</w:t>
            </w:r>
          </w:p>
        </w:tc>
        <w:tc>
          <w:tcPr>
            <w:tcW w:w="1564" w:type="dxa"/>
            <w:tcMar>
              <w:top w:w="0" w:type="dxa"/>
              <w:left w:w="57" w:type="dxa"/>
              <w:bottom w:w="0" w:type="dxa"/>
              <w:right w:w="57" w:type="dxa"/>
            </w:tcMar>
            <w:tcPrChange w:id="1912" w:author="Author">
              <w:tcPr>
                <w:tcW w:w="913"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913" w:author="Author">
                <w:pPr>
                  <w:keepNext/>
                  <w:keepLines/>
                  <w:spacing w:before="50" w:after="50" w:line="240" w:lineRule="exact"/>
                  <w:jc w:val="center"/>
                </w:pPr>
              </w:pPrChange>
            </w:pPr>
            <w:r>
              <w:rPr>
                <w:rFonts w:eastAsia="SimSun"/>
                <w:noProof/>
                <w:sz w:val="18"/>
                <w:szCs w:val="18"/>
                <w:lang w:val="it-IT" w:eastAsia="zh-CN"/>
              </w:rPr>
              <w:t>125 (43,1)**</w:t>
            </w:r>
          </w:p>
        </w:tc>
        <w:tc>
          <w:tcPr>
            <w:tcW w:w="1418" w:type="dxa"/>
            <w:tcMar>
              <w:top w:w="0" w:type="dxa"/>
              <w:left w:w="57" w:type="dxa"/>
              <w:bottom w:w="0" w:type="dxa"/>
              <w:right w:w="57" w:type="dxa"/>
            </w:tcMar>
            <w:tcPrChange w:id="1914" w:author="Author">
              <w:tcPr>
                <w:tcW w:w="1418"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915" w:author="Author">
                <w:pPr>
                  <w:keepNext/>
                  <w:keepLines/>
                  <w:spacing w:before="50" w:after="50" w:line="240" w:lineRule="exact"/>
                  <w:jc w:val="center"/>
                </w:pPr>
              </w:pPrChange>
            </w:pPr>
            <w:r>
              <w:rPr>
                <w:rFonts w:eastAsia="SimSun"/>
                <w:noProof/>
                <w:sz w:val="18"/>
                <w:szCs w:val="18"/>
                <w:lang w:val="it-IT" w:eastAsia="zh-CN"/>
              </w:rPr>
              <w:t>105 (36,0)</w:t>
            </w:r>
          </w:p>
        </w:tc>
        <w:tc>
          <w:tcPr>
            <w:tcW w:w="1558" w:type="dxa"/>
            <w:tcPrChange w:id="1916" w:author="Author">
              <w:tcPr>
                <w:tcW w:w="1558" w:type="dxa"/>
              </w:tcPr>
            </w:tcPrChange>
          </w:tcPr>
          <w:p>
            <w:pPr>
              <w:keepNext/>
              <w:suppressAutoHyphens/>
              <w:jc w:val="center"/>
              <w:rPr>
                <w:rFonts w:eastAsia="SimSun"/>
                <w:noProof/>
                <w:sz w:val="18"/>
                <w:szCs w:val="18"/>
                <w:lang w:val="it-IT" w:eastAsia="zh-CN"/>
              </w:rPr>
              <w:pPrChange w:id="1917" w:author="Author">
                <w:pPr>
                  <w:keepNext/>
                  <w:keepLines/>
                  <w:spacing w:before="50" w:after="50" w:line="240" w:lineRule="exact"/>
                  <w:jc w:val="center"/>
                </w:pPr>
              </w:pPrChange>
            </w:pPr>
            <w:r>
              <w:rPr>
                <w:rFonts w:eastAsia="SimSun"/>
                <w:noProof/>
                <w:sz w:val="18"/>
                <w:szCs w:val="18"/>
                <w:lang w:val="it-IT" w:eastAsia="zh-CN"/>
              </w:rPr>
              <w:t>107 (37,2)</w:t>
            </w:r>
          </w:p>
        </w:tc>
        <w:tc>
          <w:tcPr>
            <w:tcW w:w="992" w:type="dxa"/>
            <w:tcMar>
              <w:top w:w="0" w:type="dxa"/>
              <w:left w:w="57" w:type="dxa"/>
              <w:bottom w:w="0" w:type="dxa"/>
              <w:right w:w="57" w:type="dxa"/>
            </w:tcMar>
            <w:tcPrChange w:id="1918" w:author="Author">
              <w:tcPr>
                <w:tcW w:w="992"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919" w:author="Author">
                <w:pPr>
                  <w:keepNext/>
                  <w:keepLines/>
                  <w:spacing w:before="50" w:after="50" w:line="240" w:lineRule="exact"/>
                  <w:jc w:val="center"/>
                </w:pPr>
              </w:pPrChange>
            </w:pPr>
            <w:r>
              <w:rPr>
                <w:rFonts w:eastAsia="SimSun"/>
                <w:noProof/>
                <w:sz w:val="18"/>
                <w:szCs w:val="18"/>
                <w:lang w:val="it-IT" w:eastAsia="zh-CN"/>
              </w:rPr>
              <w:t>83 (28,9)</w:t>
            </w:r>
          </w:p>
        </w:tc>
      </w:tr>
      <w:tr>
        <w:trPr>
          <w:cantSplit/>
          <w:trPrChange w:id="1920" w:author="Author">
            <w:trPr>
              <w:cantSplit/>
            </w:trPr>
          </w:trPrChange>
        </w:trPr>
        <w:tc>
          <w:tcPr>
            <w:tcW w:w="3681" w:type="dxa"/>
            <w:tcMar>
              <w:top w:w="0" w:type="dxa"/>
              <w:left w:w="57" w:type="dxa"/>
              <w:bottom w:w="0" w:type="dxa"/>
              <w:right w:w="57" w:type="dxa"/>
            </w:tcMar>
            <w:tcPrChange w:id="1921" w:author="Author">
              <w:tcPr>
                <w:tcW w:w="4332" w:type="dxa"/>
                <w:gridSpan w:val="2"/>
                <w:tcMar>
                  <w:top w:w="0" w:type="dxa"/>
                  <w:left w:w="57" w:type="dxa"/>
                  <w:bottom w:w="0" w:type="dxa"/>
                  <w:right w:w="57" w:type="dxa"/>
                </w:tcMar>
              </w:tcPr>
            </w:tcPrChange>
          </w:tcPr>
          <w:p>
            <w:pPr>
              <w:keepNext/>
              <w:suppressAutoHyphens/>
              <w:ind w:left="720"/>
              <w:rPr>
                <w:rFonts w:eastAsia="SimSun"/>
                <w:noProof/>
                <w:sz w:val="18"/>
                <w:szCs w:val="18"/>
                <w:lang w:val="it-IT" w:eastAsia="zh-CN"/>
              </w:rPr>
              <w:pPrChange w:id="1922" w:author="Author">
                <w:pPr>
                  <w:keepNext/>
                  <w:keepLines/>
                  <w:spacing w:before="50" w:after="50" w:line="240" w:lineRule="exact"/>
                </w:pPr>
              </w:pPrChange>
            </w:pPr>
            <w:r>
              <w:rPr>
                <w:rFonts w:eastAsia="SimSun"/>
                <w:noProof/>
                <w:sz w:val="18"/>
                <w:szCs w:val="18"/>
                <w:lang w:val="it-IT" w:eastAsia="zh-CN"/>
              </w:rPr>
              <w:t xml:space="preserve">HAQ-DI (variazione media </w:t>
            </w:r>
            <w:ins w:id="1923" w:author="Author">
              <w:r>
                <w:rPr>
                  <w:rFonts w:eastAsia="SimSun"/>
                  <w:noProof/>
                  <w:sz w:val="18"/>
                  <w:szCs w:val="18"/>
                  <w:lang w:val="it-IT" w:eastAsia="zh-CN"/>
                </w:rPr>
                <w:t xml:space="preserve">aggiustata </w:t>
              </w:r>
            </w:ins>
            <w:r>
              <w:rPr>
                <w:rFonts w:eastAsia="SimSun"/>
                <w:noProof/>
                <w:sz w:val="18"/>
                <w:szCs w:val="18"/>
                <w:lang w:val="it-IT" w:eastAsia="zh-CN"/>
              </w:rPr>
              <w:t>rispetto al basale</w:t>
            </w:r>
            <w:del w:id="1924" w:author="Author">
              <w:r>
                <w:rPr>
                  <w:rFonts w:eastAsia="SimSun"/>
                  <w:noProof/>
                  <w:sz w:val="18"/>
                  <w:szCs w:val="18"/>
                  <w:lang w:val="it-IT" w:eastAsia="zh-CN"/>
                </w:rPr>
                <w:delText xml:space="preserve"> aggiustata</w:delText>
              </w:r>
            </w:del>
            <w:r>
              <w:rPr>
                <w:rFonts w:eastAsia="SimSun"/>
                <w:noProof/>
                <w:sz w:val="18"/>
                <w:szCs w:val="18"/>
                <w:lang w:val="it-IT" w:eastAsia="zh-CN"/>
              </w:rPr>
              <w:t>)</w:t>
            </w:r>
          </w:p>
        </w:tc>
        <w:tc>
          <w:tcPr>
            <w:tcW w:w="1564" w:type="dxa"/>
            <w:tcMar>
              <w:top w:w="0" w:type="dxa"/>
              <w:left w:w="57" w:type="dxa"/>
              <w:bottom w:w="0" w:type="dxa"/>
              <w:right w:w="57" w:type="dxa"/>
            </w:tcMar>
            <w:tcPrChange w:id="1925" w:author="Author">
              <w:tcPr>
                <w:tcW w:w="913" w:type="dxa"/>
                <w:tcMar>
                  <w:top w:w="0" w:type="dxa"/>
                  <w:left w:w="57" w:type="dxa"/>
                  <w:bottom w:w="0" w:type="dxa"/>
                  <w:right w:w="57" w:type="dxa"/>
                </w:tcMar>
              </w:tcPr>
            </w:tcPrChange>
          </w:tcPr>
          <w:p>
            <w:pPr>
              <w:keepNext/>
              <w:suppressAutoHyphens/>
              <w:rPr>
                <w:rFonts w:eastAsia="SimSun"/>
                <w:noProof/>
                <w:sz w:val="18"/>
                <w:szCs w:val="18"/>
                <w:lang w:val="it-IT" w:eastAsia="zh-CN"/>
              </w:rPr>
              <w:pPrChange w:id="1926" w:author="Author">
                <w:pPr>
                  <w:keepNext/>
                  <w:keepLines/>
                  <w:spacing w:before="50" w:after="50" w:line="240" w:lineRule="exact"/>
                </w:pPr>
              </w:pPrChange>
            </w:pPr>
          </w:p>
        </w:tc>
        <w:tc>
          <w:tcPr>
            <w:tcW w:w="1418" w:type="dxa"/>
            <w:tcMar>
              <w:top w:w="0" w:type="dxa"/>
              <w:left w:w="57" w:type="dxa"/>
              <w:bottom w:w="0" w:type="dxa"/>
              <w:right w:w="57" w:type="dxa"/>
            </w:tcMar>
            <w:tcPrChange w:id="1927" w:author="Author">
              <w:tcPr>
                <w:tcW w:w="1418" w:type="dxa"/>
                <w:tcMar>
                  <w:top w:w="0" w:type="dxa"/>
                  <w:left w:w="57" w:type="dxa"/>
                  <w:bottom w:w="0" w:type="dxa"/>
                  <w:right w:w="57" w:type="dxa"/>
                </w:tcMar>
              </w:tcPr>
            </w:tcPrChange>
          </w:tcPr>
          <w:p>
            <w:pPr>
              <w:keepNext/>
              <w:suppressAutoHyphens/>
              <w:rPr>
                <w:rFonts w:eastAsia="SimSun"/>
                <w:noProof/>
                <w:sz w:val="18"/>
                <w:szCs w:val="18"/>
                <w:lang w:val="it-IT" w:eastAsia="zh-CN"/>
              </w:rPr>
              <w:pPrChange w:id="1928" w:author="Author">
                <w:pPr>
                  <w:keepNext/>
                  <w:keepLines/>
                  <w:spacing w:before="50" w:after="50" w:line="240" w:lineRule="exact"/>
                </w:pPr>
              </w:pPrChange>
            </w:pPr>
          </w:p>
        </w:tc>
        <w:tc>
          <w:tcPr>
            <w:tcW w:w="1558" w:type="dxa"/>
            <w:tcPrChange w:id="1929" w:author="Author">
              <w:tcPr>
                <w:tcW w:w="1558" w:type="dxa"/>
              </w:tcPr>
            </w:tcPrChange>
          </w:tcPr>
          <w:p>
            <w:pPr>
              <w:keepNext/>
              <w:suppressAutoHyphens/>
              <w:rPr>
                <w:rFonts w:eastAsia="SimSun"/>
                <w:noProof/>
                <w:sz w:val="18"/>
                <w:szCs w:val="18"/>
                <w:lang w:val="it-IT" w:eastAsia="zh-CN"/>
              </w:rPr>
              <w:pPrChange w:id="1930" w:author="Author">
                <w:pPr>
                  <w:keepNext/>
                  <w:keepLines/>
                  <w:spacing w:before="50" w:after="50" w:line="240" w:lineRule="exact"/>
                </w:pPr>
              </w:pPrChange>
            </w:pPr>
          </w:p>
        </w:tc>
        <w:tc>
          <w:tcPr>
            <w:tcW w:w="992" w:type="dxa"/>
            <w:tcMar>
              <w:top w:w="0" w:type="dxa"/>
              <w:left w:w="57" w:type="dxa"/>
              <w:bottom w:w="0" w:type="dxa"/>
              <w:right w:w="57" w:type="dxa"/>
            </w:tcMar>
            <w:tcPrChange w:id="1931" w:author="Author">
              <w:tcPr>
                <w:tcW w:w="992" w:type="dxa"/>
                <w:tcMar>
                  <w:top w:w="0" w:type="dxa"/>
                  <w:left w:w="57" w:type="dxa"/>
                  <w:bottom w:w="0" w:type="dxa"/>
                  <w:right w:w="57" w:type="dxa"/>
                </w:tcMar>
              </w:tcPr>
            </w:tcPrChange>
          </w:tcPr>
          <w:p>
            <w:pPr>
              <w:keepNext/>
              <w:suppressAutoHyphens/>
              <w:rPr>
                <w:rFonts w:eastAsia="SimSun"/>
                <w:noProof/>
                <w:sz w:val="18"/>
                <w:szCs w:val="18"/>
                <w:lang w:val="it-IT" w:eastAsia="zh-CN"/>
              </w:rPr>
              <w:pPrChange w:id="1932" w:author="Author">
                <w:pPr>
                  <w:keepNext/>
                  <w:keepLines/>
                  <w:spacing w:before="50" w:after="50" w:line="240" w:lineRule="exact"/>
                </w:pPr>
              </w:pPrChange>
            </w:pPr>
          </w:p>
        </w:tc>
      </w:tr>
      <w:tr>
        <w:trPr>
          <w:cantSplit/>
          <w:trPrChange w:id="1933" w:author="Author">
            <w:trPr>
              <w:cantSplit/>
            </w:trPr>
          </w:trPrChange>
        </w:trPr>
        <w:tc>
          <w:tcPr>
            <w:tcW w:w="3681" w:type="dxa"/>
            <w:tcMar>
              <w:top w:w="0" w:type="dxa"/>
              <w:left w:w="57" w:type="dxa"/>
              <w:bottom w:w="0" w:type="dxa"/>
              <w:right w:w="57" w:type="dxa"/>
            </w:tcMar>
            <w:tcPrChange w:id="1934" w:author="Author">
              <w:tcPr>
                <w:tcW w:w="4332" w:type="dxa"/>
                <w:gridSpan w:val="2"/>
                <w:tcMar>
                  <w:top w:w="0" w:type="dxa"/>
                  <w:left w:w="57" w:type="dxa"/>
                  <w:bottom w:w="0" w:type="dxa"/>
                  <w:right w:w="57" w:type="dxa"/>
                </w:tcMar>
              </w:tcPr>
            </w:tcPrChange>
          </w:tcPr>
          <w:p>
            <w:pPr>
              <w:suppressAutoHyphens/>
              <w:ind w:left="720"/>
              <w:rPr>
                <w:rFonts w:eastAsia="SimSun"/>
                <w:noProof/>
                <w:sz w:val="18"/>
                <w:szCs w:val="18"/>
                <w:lang w:val="it-IT" w:eastAsia="zh-CN"/>
              </w:rPr>
              <w:pPrChange w:id="1935" w:author="Author">
                <w:pPr>
                  <w:keepNext/>
                  <w:keepLines/>
                  <w:spacing w:before="50" w:after="50" w:line="240" w:lineRule="exact"/>
                  <w:ind w:left="1440"/>
                </w:pPr>
              </w:pPrChange>
            </w:pPr>
            <w:r>
              <w:rPr>
                <w:rFonts w:eastAsia="SimSun"/>
                <w:noProof/>
                <w:sz w:val="18"/>
                <w:szCs w:val="18"/>
                <w:lang w:val="it-IT" w:eastAsia="zh-CN"/>
              </w:rPr>
              <w:t>settimana 52</w:t>
            </w:r>
          </w:p>
        </w:tc>
        <w:tc>
          <w:tcPr>
            <w:tcW w:w="1564" w:type="dxa"/>
            <w:tcMar>
              <w:top w:w="0" w:type="dxa"/>
              <w:left w:w="57" w:type="dxa"/>
              <w:bottom w:w="0" w:type="dxa"/>
              <w:right w:w="57" w:type="dxa"/>
            </w:tcMar>
            <w:tcPrChange w:id="1936" w:author="Author">
              <w:tcPr>
                <w:tcW w:w="913" w:type="dxa"/>
                <w:tcMar>
                  <w:top w:w="0" w:type="dxa"/>
                  <w:left w:w="57" w:type="dxa"/>
                  <w:bottom w:w="0" w:type="dxa"/>
                  <w:right w:w="57" w:type="dxa"/>
                </w:tcMar>
              </w:tcPr>
            </w:tcPrChange>
          </w:tcPr>
          <w:p>
            <w:pPr>
              <w:suppressAutoHyphens/>
              <w:jc w:val="center"/>
              <w:rPr>
                <w:rFonts w:eastAsia="SimSun"/>
                <w:noProof/>
                <w:sz w:val="18"/>
                <w:szCs w:val="18"/>
                <w:lang w:val="it-IT" w:eastAsia="zh-CN"/>
              </w:rPr>
              <w:pPrChange w:id="1937" w:author="Author">
                <w:pPr>
                  <w:keepNext/>
                  <w:keepLines/>
                  <w:spacing w:before="50" w:after="50" w:line="240" w:lineRule="exact"/>
                  <w:jc w:val="center"/>
                </w:pPr>
              </w:pPrChange>
            </w:pPr>
            <w:r>
              <w:rPr>
                <w:rFonts w:eastAsia="SimSun"/>
                <w:noProof/>
                <w:sz w:val="18"/>
                <w:szCs w:val="18"/>
                <w:lang w:val="it-IT" w:eastAsia="zh-CN"/>
              </w:rPr>
              <w:t>-0,81*</w:t>
            </w:r>
          </w:p>
        </w:tc>
        <w:tc>
          <w:tcPr>
            <w:tcW w:w="1418" w:type="dxa"/>
            <w:tcMar>
              <w:top w:w="0" w:type="dxa"/>
              <w:left w:w="57" w:type="dxa"/>
              <w:bottom w:w="0" w:type="dxa"/>
              <w:right w:w="57" w:type="dxa"/>
            </w:tcMar>
            <w:tcPrChange w:id="1938" w:author="Author">
              <w:tcPr>
                <w:tcW w:w="1418" w:type="dxa"/>
                <w:tcMar>
                  <w:top w:w="0" w:type="dxa"/>
                  <w:left w:w="57" w:type="dxa"/>
                  <w:bottom w:w="0" w:type="dxa"/>
                  <w:right w:w="57" w:type="dxa"/>
                </w:tcMar>
              </w:tcPr>
            </w:tcPrChange>
          </w:tcPr>
          <w:p>
            <w:pPr>
              <w:suppressAutoHyphens/>
              <w:jc w:val="center"/>
              <w:rPr>
                <w:rFonts w:eastAsia="SimSun"/>
                <w:noProof/>
                <w:sz w:val="18"/>
                <w:szCs w:val="18"/>
                <w:lang w:val="it-IT" w:eastAsia="zh-CN"/>
              </w:rPr>
              <w:pPrChange w:id="1939" w:author="Author">
                <w:pPr>
                  <w:keepNext/>
                  <w:keepLines/>
                  <w:spacing w:before="50" w:after="50" w:line="240" w:lineRule="exact"/>
                  <w:jc w:val="center"/>
                </w:pPr>
              </w:pPrChange>
            </w:pPr>
            <w:r>
              <w:rPr>
                <w:rFonts w:eastAsia="SimSun"/>
                <w:noProof/>
                <w:sz w:val="18"/>
                <w:szCs w:val="18"/>
                <w:lang w:val="it-IT" w:eastAsia="zh-CN"/>
              </w:rPr>
              <w:t>-0,67</w:t>
            </w:r>
          </w:p>
        </w:tc>
        <w:tc>
          <w:tcPr>
            <w:tcW w:w="1558" w:type="dxa"/>
            <w:tcPrChange w:id="1940" w:author="Author">
              <w:tcPr>
                <w:tcW w:w="1558" w:type="dxa"/>
              </w:tcPr>
            </w:tcPrChange>
          </w:tcPr>
          <w:p>
            <w:pPr>
              <w:suppressAutoHyphens/>
              <w:jc w:val="center"/>
              <w:rPr>
                <w:rFonts w:eastAsia="SimSun"/>
                <w:noProof/>
                <w:sz w:val="18"/>
                <w:szCs w:val="18"/>
                <w:lang w:val="it-IT" w:eastAsia="zh-CN"/>
              </w:rPr>
              <w:pPrChange w:id="1941" w:author="Author">
                <w:pPr>
                  <w:keepNext/>
                  <w:keepLines/>
                  <w:spacing w:before="50" w:after="50" w:line="240" w:lineRule="exact"/>
                  <w:jc w:val="center"/>
                </w:pPr>
              </w:pPrChange>
            </w:pPr>
            <w:r>
              <w:rPr>
                <w:rFonts w:eastAsia="SimSun"/>
                <w:noProof/>
                <w:sz w:val="18"/>
                <w:szCs w:val="18"/>
                <w:lang w:val="it-IT" w:eastAsia="zh-CN"/>
              </w:rPr>
              <w:t>-0,75</w:t>
            </w:r>
          </w:p>
        </w:tc>
        <w:tc>
          <w:tcPr>
            <w:tcW w:w="992" w:type="dxa"/>
            <w:tcMar>
              <w:top w:w="0" w:type="dxa"/>
              <w:left w:w="57" w:type="dxa"/>
              <w:bottom w:w="0" w:type="dxa"/>
              <w:right w:w="57" w:type="dxa"/>
            </w:tcMar>
            <w:tcPrChange w:id="1942" w:author="Author">
              <w:tcPr>
                <w:tcW w:w="992" w:type="dxa"/>
                <w:tcMar>
                  <w:top w:w="0" w:type="dxa"/>
                  <w:left w:w="57" w:type="dxa"/>
                  <w:bottom w:w="0" w:type="dxa"/>
                  <w:right w:w="57" w:type="dxa"/>
                </w:tcMar>
              </w:tcPr>
            </w:tcPrChange>
          </w:tcPr>
          <w:p>
            <w:pPr>
              <w:suppressAutoHyphens/>
              <w:jc w:val="center"/>
              <w:rPr>
                <w:rFonts w:eastAsia="SimSun"/>
                <w:noProof/>
                <w:sz w:val="18"/>
                <w:szCs w:val="18"/>
                <w:lang w:val="it-IT" w:eastAsia="zh-CN"/>
              </w:rPr>
              <w:pPrChange w:id="1943" w:author="Author">
                <w:pPr>
                  <w:keepNext/>
                  <w:keepLines/>
                  <w:spacing w:before="50" w:after="50" w:line="240" w:lineRule="exact"/>
                  <w:jc w:val="center"/>
                </w:pPr>
              </w:pPrChange>
            </w:pPr>
            <w:r>
              <w:rPr>
                <w:rFonts w:eastAsia="SimSun"/>
                <w:noProof/>
                <w:sz w:val="18"/>
                <w:szCs w:val="18"/>
                <w:lang w:val="it-IT" w:eastAsia="zh-CN"/>
              </w:rPr>
              <w:t>-0,64</w:t>
            </w:r>
          </w:p>
        </w:tc>
      </w:tr>
      <w:tr>
        <w:trPr>
          <w:cantSplit/>
          <w:trPrChange w:id="1944" w:author="Author">
            <w:trPr>
              <w:cantSplit/>
            </w:trPr>
          </w:trPrChange>
        </w:trPr>
        <w:tc>
          <w:tcPr>
            <w:tcW w:w="9213" w:type="dxa"/>
            <w:gridSpan w:val="5"/>
            <w:tcPrChange w:id="1945" w:author="Author">
              <w:tcPr>
                <w:tcW w:w="9213" w:type="dxa"/>
                <w:gridSpan w:val="6"/>
              </w:tcPr>
            </w:tcPrChange>
          </w:tcPr>
          <w:p>
            <w:pPr>
              <w:keepNext/>
              <w:suppressAutoHyphens/>
              <w:rPr>
                <w:rFonts w:eastAsia="SimSun"/>
                <w:b/>
                <w:noProof/>
                <w:sz w:val="18"/>
                <w:szCs w:val="18"/>
                <w:lang w:val="it-IT" w:eastAsia="zh-CN"/>
              </w:rPr>
              <w:pPrChange w:id="1946" w:author="Author">
                <w:pPr>
                  <w:keepNext/>
                  <w:keepLines/>
                  <w:spacing w:before="50" w:after="50" w:line="240" w:lineRule="exact"/>
                </w:pPr>
              </w:pPrChange>
            </w:pPr>
            <w:r>
              <w:rPr>
                <w:rFonts w:eastAsia="SimSun"/>
                <w:b/>
                <w:noProof/>
                <w:sz w:val="18"/>
                <w:szCs w:val="18"/>
                <w:lang w:val="it-IT" w:eastAsia="zh-CN"/>
              </w:rPr>
              <w:t>Endpoint Radiografici (variazione media rispetto al basale)</w:t>
            </w:r>
          </w:p>
        </w:tc>
      </w:tr>
      <w:tr>
        <w:trPr>
          <w:cantSplit/>
          <w:trPrChange w:id="1947" w:author="Author">
            <w:trPr>
              <w:cantSplit/>
            </w:trPr>
          </w:trPrChange>
        </w:trPr>
        <w:tc>
          <w:tcPr>
            <w:tcW w:w="3681" w:type="dxa"/>
            <w:tcMar>
              <w:top w:w="0" w:type="dxa"/>
              <w:left w:w="57" w:type="dxa"/>
              <w:bottom w:w="0" w:type="dxa"/>
              <w:right w:w="57" w:type="dxa"/>
            </w:tcMar>
            <w:tcPrChange w:id="1948" w:author="Author">
              <w:tcPr>
                <w:tcW w:w="4332" w:type="dxa"/>
                <w:gridSpan w:val="2"/>
                <w:tcMar>
                  <w:top w:w="0" w:type="dxa"/>
                  <w:left w:w="57" w:type="dxa"/>
                  <w:bottom w:w="0" w:type="dxa"/>
                  <w:right w:w="57" w:type="dxa"/>
                </w:tcMar>
              </w:tcPr>
            </w:tcPrChange>
          </w:tcPr>
          <w:p>
            <w:pPr>
              <w:keepNext/>
              <w:suppressAutoHyphens/>
              <w:ind w:left="1007" w:hanging="287"/>
              <w:rPr>
                <w:rFonts w:eastAsia="SimSun"/>
                <w:noProof/>
                <w:sz w:val="18"/>
                <w:szCs w:val="18"/>
                <w:lang w:val="it-IT" w:eastAsia="zh-CN"/>
              </w:rPr>
              <w:pPrChange w:id="1949" w:author="Author">
                <w:pPr>
                  <w:keepNext/>
                  <w:keepLines/>
                  <w:spacing w:before="50" w:after="50" w:line="240" w:lineRule="exact"/>
                  <w:ind w:left="1160" w:hanging="287"/>
                </w:pPr>
              </w:pPrChange>
            </w:pPr>
            <w:r>
              <w:rPr>
                <w:rFonts w:eastAsia="SimSun"/>
                <w:noProof/>
                <w:sz w:val="18"/>
                <w:szCs w:val="18"/>
                <w:lang w:val="it-IT" w:eastAsia="zh-CN"/>
              </w:rPr>
              <w:t>settimana 52                   mTSS</w:t>
            </w:r>
          </w:p>
        </w:tc>
        <w:tc>
          <w:tcPr>
            <w:tcW w:w="1564" w:type="dxa"/>
            <w:tcMar>
              <w:top w:w="0" w:type="dxa"/>
              <w:left w:w="57" w:type="dxa"/>
              <w:bottom w:w="0" w:type="dxa"/>
              <w:right w:w="57" w:type="dxa"/>
            </w:tcMar>
            <w:tcPrChange w:id="1950" w:author="Author">
              <w:tcPr>
                <w:tcW w:w="913"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951" w:author="Author">
                <w:pPr>
                  <w:keepNext/>
                  <w:keepLines/>
                  <w:spacing w:before="50" w:after="50" w:line="240" w:lineRule="exact"/>
                  <w:jc w:val="center"/>
                </w:pPr>
              </w:pPrChange>
            </w:pPr>
            <w:r>
              <w:rPr>
                <w:rFonts w:eastAsia="SimSun"/>
                <w:noProof/>
                <w:sz w:val="18"/>
                <w:szCs w:val="18"/>
                <w:lang w:val="it-IT" w:eastAsia="zh-CN"/>
              </w:rPr>
              <w:t>0,08***</w:t>
            </w:r>
          </w:p>
        </w:tc>
        <w:tc>
          <w:tcPr>
            <w:tcW w:w="1418" w:type="dxa"/>
            <w:tcMar>
              <w:top w:w="0" w:type="dxa"/>
              <w:left w:w="57" w:type="dxa"/>
              <w:bottom w:w="0" w:type="dxa"/>
              <w:right w:w="57" w:type="dxa"/>
            </w:tcMar>
            <w:tcPrChange w:id="1952" w:author="Author">
              <w:tcPr>
                <w:tcW w:w="1418"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953" w:author="Author">
                <w:pPr>
                  <w:keepNext/>
                  <w:keepLines/>
                  <w:spacing w:before="50" w:after="50" w:line="240" w:lineRule="exact"/>
                  <w:jc w:val="center"/>
                </w:pPr>
              </w:pPrChange>
            </w:pPr>
            <w:r>
              <w:rPr>
                <w:rFonts w:eastAsia="SimSun"/>
                <w:noProof/>
                <w:sz w:val="18"/>
                <w:szCs w:val="18"/>
                <w:lang w:val="it-IT" w:eastAsia="zh-CN"/>
              </w:rPr>
              <w:t>0,26</w:t>
            </w:r>
          </w:p>
        </w:tc>
        <w:tc>
          <w:tcPr>
            <w:tcW w:w="1558" w:type="dxa"/>
            <w:tcPrChange w:id="1954" w:author="Author">
              <w:tcPr>
                <w:tcW w:w="1558" w:type="dxa"/>
              </w:tcPr>
            </w:tcPrChange>
          </w:tcPr>
          <w:p>
            <w:pPr>
              <w:keepNext/>
              <w:suppressAutoHyphens/>
              <w:jc w:val="center"/>
              <w:rPr>
                <w:rFonts w:eastAsia="SimSun"/>
                <w:noProof/>
                <w:sz w:val="18"/>
                <w:szCs w:val="18"/>
                <w:lang w:val="it-IT" w:eastAsia="zh-CN"/>
              </w:rPr>
              <w:pPrChange w:id="1955" w:author="Author">
                <w:pPr>
                  <w:keepNext/>
                  <w:keepLines/>
                  <w:spacing w:before="50" w:after="50" w:line="240" w:lineRule="exact"/>
                  <w:jc w:val="center"/>
                </w:pPr>
              </w:pPrChange>
            </w:pPr>
            <w:r>
              <w:rPr>
                <w:rFonts w:eastAsia="SimSun"/>
                <w:noProof/>
                <w:sz w:val="18"/>
                <w:szCs w:val="18"/>
                <w:lang w:val="it-IT" w:eastAsia="zh-CN"/>
              </w:rPr>
              <w:t>0,42</w:t>
            </w:r>
          </w:p>
        </w:tc>
        <w:tc>
          <w:tcPr>
            <w:tcW w:w="992" w:type="dxa"/>
            <w:tcMar>
              <w:top w:w="0" w:type="dxa"/>
              <w:left w:w="57" w:type="dxa"/>
              <w:bottom w:w="0" w:type="dxa"/>
              <w:right w:w="57" w:type="dxa"/>
            </w:tcMar>
            <w:tcPrChange w:id="1956" w:author="Author">
              <w:tcPr>
                <w:tcW w:w="992"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957" w:author="Author">
                <w:pPr>
                  <w:keepNext/>
                  <w:keepLines/>
                  <w:spacing w:before="50" w:after="50" w:line="240" w:lineRule="exact"/>
                  <w:jc w:val="center"/>
                </w:pPr>
              </w:pPrChange>
            </w:pPr>
            <w:r>
              <w:rPr>
                <w:rFonts w:eastAsia="SimSun"/>
                <w:noProof/>
                <w:sz w:val="18"/>
                <w:szCs w:val="18"/>
                <w:lang w:val="it-IT" w:eastAsia="zh-CN"/>
              </w:rPr>
              <w:t>1,14</w:t>
            </w:r>
          </w:p>
        </w:tc>
      </w:tr>
      <w:tr>
        <w:trPr>
          <w:cantSplit/>
          <w:trPrChange w:id="1958" w:author="Author">
            <w:trPr>
              <w:cantSplit/>
            </w:trPr>
          </w:trPrChange>
        </w:trPr>
        <w:tc>
          <w:tcPr>
            <w:tcW w:w="3681" w:type="dxa"/>
            <w:tcMar>
              <w:top w:w="0" w:type="dxa"/>
              <w:left w:w="57" w:type="dxa"/>
              <w:bottom w:w="0" w:type="dxa"/>
              <w:right w:w="57" w:type="dxa"/>
            </w:tcMar>
            <w:tcPrChange w:id="1959" w:author="Author">
              <w:tcPr>
                <w:tcW w:w="4332" w:type="dxa"/>
                <w:gridSpan w:val="2"/>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960" w:author="Author">
                <w:pPr>
                  <w:keepNext/>
                  <w:keepLines/>
                  <w:spacing w:before="50" w:after="50" w:line="240" w:lineRule="exact"/>
                  <w:jc w:val="center"/>
                </w:pPr>
              </w:pPrChange>
            </w:pPr>
            <w:r>
              <w:rPr>
                <w:rFonts w:eastAsia="SimSun"/>
                <w:noProof/>
                <w:sz w:val="18"/>
                <w:szCs w:val="18"/>
                <w:lang w:val="it-IT" w:eastAsia="zh-CN"/>
              </w:rPr>
              <w:t>Indice di erosione</w:t>
            </w:r>
          </w:p>
        </w:tc>
        <w:tc>
          <w:tcPr>
            <w:tcW w:w="1564" w:type="dxa"/>
            <w:tcMar>
              <w:top w:w="0" w:type="dxa"/>
              <w:left w:w="57" w:type="dxa"/>
              <w:bottom w:w="0" w:type="dxa"/>
              <w:right w:w="57" w:type="dxa"/>
            </w:tcMar>
            <w:tcPrChange w:id="1961" w:author="Author">
              <w:tcPr>
                <w:tcW w:w="913"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962" w:author="Author">
                <w:pPr>
                  <w:keepNext/>
                  <w:keepLines/>
                  <w:spacing w:before="50" w:after="50" w:line="240" w:lineRule="exact"/>
                  <w:jc w:val="center"/>
                </w:pPr>
              </w:pPrChange>
            </w:pPr>
            <w:r>
              <w:rPr>
                <w:rFonts w:eastAsia="SimSun"/>
                <w:noProof/>
                <w:sz w:val="18"/>
                <w:szCs w:val="18"/>
                <w:lang w:val="it-IT" w:eastAsia="zh-CN"/>
              </w:rPr>
              <w:t>0,05**</w:t>
            </w:r>
          </w:p>
        </w:tc>
        <w:tc>
          <w:tcPr>
            <w:tcW w:w="1418" w:type="dxa"/>
            <w:tcMar>
              <w:top w:w="0" w:type="dxa"/>
              <w:left w:w="57" w:type="dxa"/>
              <w:bottom w:w="0" w:type="dxa"/>
              <w:right w:w="57" w:type="dxa"/>
            </w:tcMar>
            <w:tcPrChange w:id="1963" w:author="Author">
              <w:tcPr>
                <w:tcW w:w="1418"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964" w:author="Author">
                <w:pPr>
                  <w:keepNext/>
                  <w:keepLines/>
                  <w:spacing w:before="50" w:after="50" w:line="240" w:lineRule="exact"/>
                  <w:jc w:val="center"/>
                </w:pPr>
              </w:pPrChange>
            </w:pPr>
            <w:r>
              <w:rPr>
                <w:rFonts w:eastAsia="SimSun"/>
                <w:noProof/>
                <w:sz w:val="18"/>
                <w:szCs w:val="18"/>
                <w:lang w:val="it-IT" w:eastAsia="zh-CN"/>
              </w:rPr>
              <w:t>0,15</w:t>
            </w:r>
          </w:p>
        </w:tc>
        <w:tc>
          <w:tcPr>
            <w:tcW w:w="1558" w:type="dxa"/>
            <w:tcPrChange w:id="1965" w:author="Author">
              <w:tcPr>
                <w:tcW w:w="1558" w:type="dxa"/>
              </w:tcPr>
            </w:tcPrChange>
          </w:tcPr>
          <w:p>
            <w:pPr>
              <w:keepNext/>
              <w:suppressAutoHyphens/>
              <w:jc w:val="center"/>
              <w:rPr>
                <w:rFonts w:eastAsia="SimSun"/>
                <w:noProof/>
                <w:sz w:val="18"/>
                <w:szCs w:val="18"/>
                <w:lang w:val="it-IT" w:eastAsia="zh-CN"/>
              </w:rPr>
              <w:pPrChange w:id="1966" w:author="Author">
                <w:pPr>
                  <w:keepNext/>
                  <w:keepLines/>
                  <w:spacing w:before="50" w:after="50" w:line="240" w:lineRule="exact"/>
                  <w:jc w:val="center"/>
                </w:pPr>
              </w:pPrChange>
            </w:pPr>
            <w:r>
              <w:rPr>
                <w:rFonts w:eastAsia="SimSun"/>
                <w:noProof/>
                <w:sz w:val="18"/>
                <w:szCs w:val="18"/>
                <w:lang w:val="it-IT" w:eastAsia="zh-CN"/>
              </w:rPr>
              <w:t>0,25</w:t>
            </w:r>
          </w:p>
        </w:tc>
        <w:tc>
          <w:tcPr>
            <w:tcW w:w="992" w:type="dxa"/>
            <w:tcMar>
              <w:top w:w="0" w:type="dxa"/>
              <w:left w:w="57" w:type="dxa"/>
              <w:bottom w:w="0" w:type="dxa"/>
              <w:right w:w="57" w:type="dxa"/>
            </w:tcMar>
            <w:tcPrChange w:id="1967" w:author="Author">
              <w:tcPr>
                <w:tcW w:w="992"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968" w:author="Author">
                <w:pPr>
                  <w:keepNext/>
                  <w:keepLines/>
                  <w:spacing w:before="50" w:after="50" w:line="240" w:lineRule="exact"/>
                  <w:jc w:val="center"/>
                </w:pPr>
              </w:pPrChange>
            </w:pPr>
            <w:r>
              <w:rPr>
                <w:rFonts w:eastAsia="SimSun"/>
                <w:noProof/>
                <w:sz w:val="18"/>
                <w:szCs w:val="18"/>
                <w:lang w:val="it-IT" w:eastAsia="zh-CN"/>
              </w:rPr>
              <w:t>0,63</w:t>
            </w:r>
          </w:p>
        </w:tc>
      </w:tr>
      <w:tr>
        <w:trPr>
          <w:cantSplit/>
          <w:trPrChange w:id="1969" w:author="Author">
            <w:trPr>
              <w:cantSplit/>
            </w:trPr>
          </w:trPrChange>
        </w:trPr>
        <w:tc>
          <w:tcPr>
            <w:tcW w:w="3681" w:type="dxa"/>
            <w:tcMar>
              <w:top w:w="0" w:type="dxa"/>
              <w:left w:w="57" w:type="dxa"/>
              <w:bottom w:w="0" w:type="dxa"/>
              <w:right w:w="57" w:type="dxa"/>
            </w:tcMar>
            <w:tcPrChange w:id="1970" w:author="Author">
              <w:tcPr>
                <w:tcW w:w="4332" w:type="dxa"/>
                <w:gridSpan w:val="2"/>
                <w:tcMar>
                  <w:top w:w="0" w:type="dxa"/>
                  <w:left w:w="57" w:type="dxa"/>
                  <w:bottom w:w="0" w:type="dxa"/>
                  <w:right w:w="57" w:type="dxa"/>
                </w:tcMar>
              </w:tcPr>
            </w:tcPrChange>
          </w:tcPr>
          <w:p>
            <w:pPr>
              <w:keepNext/>
              <w:suppressAutoHyphens/>
              <w:jc w:val="center"/>
              <w:rPr>
                <w:rFonts w:eastAsia="SimSun"/>
                <w:noProof/>
                <w:sz w:val="18"/>
                <w:szCs w:val="18"/>
                <w:lang w:eastAsia="zh-CN"/>
                <w:rPrChange w:id="1971" w:author="Author">
                  <w:rPr>
                    <w:rFonts w:eastAsia="SimSun"/>
                    <w:sz w:val="18"/>
                    <w:szCs w:val="18"/>
                    <w:lang w:val="en-GB" w:eastAsia="zh-CN"/>
                  </w:rPr>
                </w:rPrChange>
              </w:rPr>
              <w:pPrChange w:id="1972" w:author="Author">
                <w:pPr>
                  <w:keepNext/>
                  <w:keepLines/>
                  <w:spacing w:before="50" w:after="50" w:line="240" w:lineRule="exact"/>
                  <w:jc w:val="center"/>
                </w:pPr>
              </w:pPrChange>
            </w:pPr>
            <w:r>
              <w:rPr>
                <w:rFonts w:eastAsia="SimSun"/>
                <w:noProof/>
                <w:sz w:val="18"/>
                <w:szCs w:val="18"/>
                <w:lang w:eastAsia="zh-CN"/>
                <w:rPrChange w:id="1973" w:author="Author">
                  <w:rPr>
                    <w:rFonts w:eastAsia="SimSun"/>
                    <w:sz w:val="18"/>
                    <w:szCs w:val="18"/>
                    <w:lang w:val="en-GB" w:eastAsia="zh-CN"/>
                  </w:rPr>
                </w:rPrChange>
              </w:rPr>
              <w:t>Indice JSN (Joint Space Narrowing)</w:t>
            </w:r>
          </w:p>
        </w:tc>
        <w:tc>
          <w:tcPr>
            <w:tcW w:w="1564" w:type="dxa"/>
            <w:tcMar>
              <w:top w:w="0" w:type="dxa"/>
              <w:left w:w="57" w:type="dxa"/>
              <w:bottom w:w="0" w:type="dxa"/>
              <w:right w:w="57" w:type="dxa"/>
            </w:tcMar>
            <w:tcPrChange w:id="1974" w:author="Author">
              <w:tcPr>
                <w:tcW w:w="913"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975" w:author="Author">
                <w:pPr>
                  <w:keepNext/>
                  <w:keepLines/>
                  <w:spacing w:before="50" w:after="50" w:line="240" w:lineRule="exact"/>
                  <w:jc w:val="center"/>
                </w:pPr>
              </w:pPrChange>
            </w:pPr>
            <w:r>
              <w:rPr>
                <w:rFonts w:eastAsia="SimSun"/>
                <w:noProof/>
                <w:sz w:val="18"/>
                <w:szCs w:val="18"/>
                <w:lang w:val="it-IT" w:eastAsia="zh-CN"/>
              </w:rPr>
              <w:t>0,03</w:t>
            </w:r>
          </w:p>
        </w:tc>
        <w:tc>
          <w:tcPr>
            <w:tcW w:w="1418" w:type="dxa"/>
            <w:tcMar>
              <w:top w:w="0" w:type="dxa"/>
              <w:left w:w="57" w:type="dxa"/>
              <w:bottom w:w="0" w:type="dxa"/>
              <w:right w:w="57" w:type="dxa"/>
            </w:tcMar>
            <w:tcPrChange w:id="1976" w:author="Author">
              <w:tcPr>
                <w:tcW w:w="1418"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977" w:author="Author">
                <w:pPr>
                  <w:keepNext/>
                  <w:keepLines/>
                  <w:spacing w:before="50" w:after="50" w:line="240" w:lineRule="exact"/>
                  <w:jc w:val="center"/>
                </w:pPr>
              </w:pPrChange>
            </w:pPr>
            <w:r>
              <w:rPr>
                <w:rFonts w:eastAsia="SimSun"/>
                <w:noProof/>
                <w:sz w:val="18"/>
                <w:szCs w:val="18"/>
                <w:lang w:val="it-IT" w:eastAsia="zh-CN"/>
              </w:rPr>
              <w:t>0,11</w:t>
            </w:r>
          </w:p>
        </w:tc>
        <w:tc>
          <w:tcPr>
            <w:tcW w:w="1558" w:type="dxa"/>
            <w:tcPrChange w:id="1978" w:author="Author">
              <w:tcPr>
                <w:tcW w:w="1558" w:type="dxa"/>
              </w:tcPr>
            </w:tcPrChange>
          </w:tcPr>
          <w:p>
            <w:pPr>
              <w:keepNext/>
              <w:suppressAutoHyphens/>
              <w:jc w:val="center"/>
              <w:rPr>
                <w:rFonts w:eastAsia="SimSun"/>
                <w:noProof/>
                <w:sz w:val="18"/>
                <w:szCs w:val="18"/>
                <w:lang w:val="it-IT" w:eastAsia="zh-CN"/>
              </w:rPr>
              <w:pPrChange w:id="1979" w:author="Author">
                <w:pPr>
                  <w:keepNext/>
                  <w:keepLines/>
                  <w:spacing w:before="50" w:after="50" w:line="240" w:lineRule="exact"/>
                  <w:jc w:val="center"/>
                </w:pPr>
              </w:pPrChange>
            </w:pPr>
            <w:r>
              <w:rPr>
                <w:rFonts w:eastAsia="SimSun"/>
                <w:noProof/>
                <w:sz w:val="18"/>
                <w:szCs w:val="18"/>
                <w:lang w:val="it-IT" w:eastAsia="zh-CN"/>
              </w:rPr>
              <w:t>0,17</w:t>
            </w:r>
          </w:p>
        </w:tc>
        <w:tc>
          <w:tcPr>
            <w:tcW w:w="992" w:type="dxa"/>
            <w:tcMar>
              <w:top w:w="0" w:type="dxa"/>
              <w:left w:w="57" w:type="dxa"/>
              <w:bottom w:w="0" w:type="dxa"/>
              <w:right w:w="57" w:type="dxa"/>
            </w:tcMar>
            <w:tcPrChange w:id="1980" w:author="Author">
              <w:tcPr>
                <w:tcW w:w="992" w:type="dxa"/>
                <w:tcMar>
                  <w:top w:w="0" w:type="dxa"/>
                  <w:left w:w="57" w:type="dxa"/>
                  <w:bottom w:w="0" w:type="dxa"/>
                  <w:right w:w="57" w:type="dxa"/>
                </w:tcMar>
              </w:tcPr>
            </w:tcPrChange>
          </w:tcPr>
          <w:p>
            <w:pPr>
              <w:keepNext/>
              <w:suppressAutoHyphens/>
              <w:jc w:val="center"/>
              <w:rPr>
                <w:rFonts w:eastAsia="SimSun"/>
                <w:noProof/>
                <w:sz w:val="18"/>
                <w:szCs w:val="18"/>
                <w:lang w:val="it-IT" w:eastAsia="zh-CN"/>
              </w:rPr>
              <w:pPrChange w:id="1981" w:author="Author">
                <w:pPr>
                  <w:keepNext/>
                  <w:keepLines/>
                  <w:spacing w:before="50" w:after="50" w:line="240" w:lineRule="exact"/>
                  <w:jc w:val="center"/>
                </w:pPr>
              </w:pPrChange>
            </w:pPr>
            <w:r>
              <w:rPr>
                <w:rFonts w:eastAsia="SimSun"/>
                <w:noProof/>
                <w:sz w:val="18"/>
                <w:szCs w:val="18"/>
                <w:lang w:val="it-IT" w:eastAsia="zh-CN"/>
              </w:rPr>
              <w:t>0,51</w:t>
            </w:r>
          </w:p>
        </w:tc>
      </w:tr>
      <w:tr>
        <w:trPr>
          <w:cantSplit/>
          <w:trPrChange w:id="1982" w:author="Author">
            <w:trPr>
              <w:cantSplit/>
            </w:trPr>
          </w:trPrChange>
        </w:trPr>
        <w:tc>
          <w:tcPr>
            <w:tcW w:w="3681" w:type="dxa"/>
            <w:tcMar>
              <w:top w:w="0" w:type="dxa"/>
              <w:left w:w="57" w:type="dxa"/>
              <w:bottom w:w="0" w:type="dxa"/>
              <w:right w:w="57" w:type="dxa"/>
            </w:tcMar>
            <w:tcPrChange w:id="1983" w:author="Author">
              <w:tcPr>
                <w:tcW w:w="4332" w:type="dxa"/>
                <w:gridSpan w:val="2"/>
                <w:tcMar>
                  <w:top w:w="0" w:type="dxa"/>
                  <w:left w:w="57" w:type="dxa"/>
                  <w:bottom w:w="0" w:type="dxa"/>
                  <w:right w:w="57" w:type="dxa"/>
                </w:tcMar>
              </w:tcPr>
            </w:tcPrChange>
          </w:tcPr>
          <w:p>
            <w:pPr>
              <w:suppressAutoHyphens/>
              <w:jc w:val="right"/>
              <w:rPr>
                <w:rFonts w:eastAsia="SimSun"/>
                <w:noProof/>
                <w:sz w:val="18"/>
                <w:szCs w:val="18"/>
                <w:lang w:val="it-IT" w:eastAsia="zh-CN"/>
              </w:rPr>
              <w:pPrChange w:id="1984" w:author="Author">
                <w:pPr>
                  <w:keepNext/>
                  <w:keepLines/>
                  <w:spacing w:before="50" w:after="50" w:line="240" w:lineRule="exact"/>
                  <w:jc w:val="right"/>
                </w:pPr>
              </w:pPrChange>
            </w:pPr>
            <w:r>
              <w:rPr>
                <w:rFonts w:eastAsia="SimSun"/>
                <w:noProof/>
                <w:sz w:val="18"/>
                <w:szCs w:val="18"/>
                <w:lang w:val="it-IT" w:eastAsia="zh-CN"/>
              </w:rPr>
              <w:t xml:space="preserve">Non progressione radiografica n (%) (variazione rispetto al basale di mTSS ≤0) </w:t>
            </w:r>
          </w:p>
        </w:tc>
        <w:tc>
          <w:tcPr>
            <w:tcW w:w="1564" w:type="dxa"/>
            <w:tcMar>
              <w:top w:w="0" w:type="dxa"/>
              <w:left w:w="57" w:type="dxa"/>
              <w:bottom w:w="0" w:type="dxa"/>
              <w:right w:w="57" w:type="dxa"/>
            </w:tcMar>
            <w:tcPrChange w:id="1985" w:author="Author">
              <w:tcPr>
                <w:tcW w:w="913" w:type="dxa"/>
                <w:tcMar>
                  <w:top w:w="0" w:type="dxa"/>
                  <w:left w:w="57" w:type="dxa"/>
                  <w:bottom w:w="0" w:type="dxa"/>
                  <w:right w:w="57" w:type="dxa"/>
                </w:tcMar>
              </w:tcPr>
            </w:tcPrChange>
          </w:tcPr>
          <w:p>
            <w:pPr>
              <w:suppressAutoHyphens/>
              <w:jc w:val="center"/>
              <w:rPr>
                <w:rFonts w:eastAsia="SimSun"/>
                <w:noProof/>
                <w:sz w:val="18"/>
                <w:szCs w:val="18"/>
                <w:lang w:val="it-IT" w:eastAsia="zh-CN"/>
              </w:rPr>
              <w:pPrChange w:id="1986" w:author="Author">
                <w:pPr>
                  <w:keepNext/>
                  <w:keepLines/>
                  <w:spacing w:before="50" w:after="50" w:line="240" w:lineRule="exact"/>
                  <w:jc w:val="center"/>
                </w:pPr>
              </w:pPrChange>
            </w:pPr>
            <w:r>
              <w:rPr>
                <w:rFonts w:eastAsia="SimSun"/>
                <w:noProof/>
                <w:sz w:val="18"/>
                <w:szCs w:val="18"/>
                <w:lang w:val="it-IT" w:eastAsia="zh-CN"/>
              </w:rPr>
              <w:t>226 (83)</w:t>
            </w:r>
            <w:r>
              <w:rPr>
                <w:b/>
                <w:noProof/>
                <w:sz w:val="18"/>
                <w:szCs w:val="18"/>
                <w:vertAlign w:val="superscript"/>
                <w:lang w:val="it-IT" w:eastAsia="en-US"/>
                <w:rPrChange w:id="1987" w:author="Author">
                  <w:rPr>
                    <w:rFonts w:cs="Arial"/>
                    <w:b/>
                    <w:sz w:val="20"/>
                    <w:vertAlign w:val="superscript"/>
                    <w:lang w:val="it-IT" w:eastAsia="en-US"/>
                  </w:rPr>
                </w:rPrChange>
              </w:rPr>
              <w:t>‡</w:t>
            </w:r>
          </w:p>
        </w:tc>
        <w:tc>
          <w:tcPr>
            <w:tcW w:w="1418" w:type="dxa"/>
            <w:tcMar>
              <w:top w:w="0" w:type="dxa"/>
              <w:left w:w="57" w:type="dxa"/>
              <w:bottom w:w="0" w:type="dxa"/>
              <w:right w:w="57" w:type="dxa"/>
            </w:tcMar>
            <w:tcPrChange w:id="1988" w:author="Author">
              <w:tcPr>
                <w:tcW w:w="1418" w:type="dxa"/>
                <w:tcMar>
                  <w:top w:w="0" w:type="dxa"/>
                  <w:left w:w="57" w:type="dxa"/>
                  <w:bottom w:w="0" w:type="dxa"/>
                  <w:right w:w="57" w:type="dxa"/>
                </w:tcMar>
              </w:tcPr>
            </w:tcPrChange>
          </w:tcPr>
          <w:p>
            <w:pPr>
              <w:suppressAutoHyphens/>
              <w:jc w:val="center"/>
              <w:rPr>
                <w:rFonts w:eastAsia="SimSun"/>
                <w:noProof/>
                <w:sz w:val="18"/>
                <w:szCs w:val="18"/>
                <w:lang w:val="it-IT" w:eastAsia="zh-CN"/>
              </w:rPr>
              <w:pPrChange w:id="1989" w:author="Author">
                <w:pPr>
                  <w:keepNext/>
                  <w:keepLines/>
                  <w:spacing w:before="50" w:after="50" w:line="240" w:lineRule="exact"/>
                  <w:jc w:val="center"/>
                </w:pPr>
              </w:pPrChange>
            </w:pPr>
            <w:r>
              <w:rPr>
                <w:rFonts w:eastAsia="SimSun"/>
                <w:noProof/>
                <w:sz w:val="18"/>
                <w:szCs w:val="18"/>
                <w:lang w:val="it-IT" w:eastAsia="zh-CN"/>
              </w:rPr>
              <w:t>226 (82)</w:t>
            </w:r>
            <w:r>
              <w:rPr>
                <w:b/>
                <w:noProof/>
                <w:sz w:val="18"/>
                <w:szCs w:val="18"/>
                <w:vertAlign w:val="superscript"/>
                <w:lang w:val="it-IT" w:eastAsia="en-US"/>
                <w:rPrChange w:id="1990" w:author="Author">
                  <w:rPr>
                    <w:rFonts w:cs="Arial"/>
                    <w:b/>
                    <w:sz w:val="20"/>
                    <w:vertAlign w:val="superscript"/>
                    <w:lang w:val="it-IT" w:eastAsia="en-US"/>
                  </w:rPr>
                </w:rPrChange>
              </w:rPr>
              <w:t>‡</w:t>
            </w:r>
          </w:p>
        </w:tc>
        <w:tc>
          <w:tcPr>
            <w:tcW w:w="1558" w:type="dxa"/>
            <w:tcPrChange w:id="1991" w:author="Author">
              <w:tcPr>
                <w:tcW w:w="1558" w:type="dxa"/>
              </w:tcPr>
            </w:tcPrChange>
          </w:tcPr>
          <w:p>
            <w:pPr>
              <w:suppressAutoHyphens/>
              <w:jc w:val="center"/>
              <w:rPr>
                <w:rFonts w:eastAsia="SimSun"/>
                <w:noProof/>
                <w:sz w:val="18"/>
                <w:szCs w:val="18"/>
                <w:lang w:val="it-IT" w:eastAsia="zh-CN"/>
              </w:rPr>
              <w:pPrChange w:id="1992" w:author="Author">
                <w:pPr>
                  <w:keepNext/>
                  <w:keepLines/>
                  <w:spacing w:before="50" w:after="50" w:line="240" w:lineRule="exact"/>
                  <w:jc w:val="center"/>
                </w:pPr>
              </w:pPrChange>
            </w:pPr>
            <w:r>
              <w:rPr>
                <w:rFonts w:eastAsia="SimSun"/>
                <w:noProof/>
                <w:sz w:val="18"/>
                <w:szCs w:val="18"/>
                <w:lang w:val="it-IT" w:eastAsia="zh-CN"/>
              </w:rPr>
              <w:t>211 (79)</w:t>
            </w:r>
          </w:p>
        </w:tc>
        <w:tc>
          <w:tcPr>
            <w:tcW w:w="992" w:type="dxa"/>
            <w:tcMar>
              <w:top w:w="0" w:type="dxa"/>
              <w:left w:w="57" w:type="dxa"/>
              <w:bottom w:w="0" w:type="dxa"/>
              <w:right w:w="57" w:type="dxa"/>
            </w:tcMar>
            <w:tcPrChange w:id="1993" w:author="Author">
              <w:tcPr>
                <w:tcW w:w="992" w:type="dxa"/>
                <w:tcMar>
                  <w:top w:w="0" w:type="dxa"/>
                  <w:left w:w="57" w:type="dxa"/>
                  <w:bottom w:w="0" w:type="dxa"/>
                  <w:right w:w="57" w:type="dxa"/>
                </w:tcMar>
              </w:tcPr>
            </w:tcPrChange>
          </w:tcPr>
          <w:p>
            <w:pPr>
              <w:suppressAutoHyphens/>
              <w:jc w:val="center"/>
              <w:rPr>
                <w:rFonts w:eastAsia="SimSun"/>
                <w:noProof/>
                <w:sz w:val="18"/>
                <w:szCs w:val="18"/>
                <w:lang w:val="it-IT" w:eastAsia="zh-CN"/>
              </w:rPr>
              <w:pPrChange w:id="1994" w:author="Author">
                <w:pPr>
                  <w:keepNext/>
                  <w:keepLines/>
                  <w:spacing w:before="50" w:after="50" w:line="240" w:lineRule="exact"/>
                  <w:jc w:val="center"/>
                </w:pPr>
              </w:pPrChange>
            </w:pPr>
            <w:r>
              <w:rPr>
                <w:rFonts w:eastAsia="SimSun"/>
                <w:noProof/>
                <w:sz w:val="18"/>
                <w:szCs w:val="18"/>
                <w:lang w:val="it-IT" w:eastAsia="zh-CN"/>
              </w:rPr>
              <w:t>194 (73)</w:t>
            </w:r>
          </w:p>
        </w:tc>
      </w:tr>
      <w:tr>
        <w:trPr>
          <w:cantSplit/>
          <w:trPrChange w:id="1995" w:author="Author">
            <w:trPr>
              <w:cantSplit/>
            </w:trPr>
          </w:trPrChange>
        </w:trPr>
        <w:tc>
          <w:tcPr>
            <w:tcW w:w="9213" w:type="dxa"/>
            <w:gridSpan w:val="5"/>
            <w:tcPrChange w:id="1996" w:author="Author">
              <w:tcPr>
                <w:tcW w:w="9213" w:type="dxa"/>
                <w:gridSpan w:val="6"/>
              </w:tcPr>
            </w:tcPrChange>
          </w:tcPr>
          <w:p>
            <w:pPr>
              <w:keepNext/>
              <w:suppressAutoHyphens/>
              <w:rPr>
                <w:rFonts w:eastAsia="SimSun"/>
                <w:b/>
                <w:noProof/>
                <w:sz w:val="18"/>
                <w:szCs w:val="18"/>
                <w:lang w:val="it-IT" w:eastAsia="zh-CN"/>
              </w:rPr>
              <w:pPrChange w:id="1997" w:author="Author">
                <w:pPr>
                  <w:keepNext/>
                  <w:keepLines/>
                  <w:spacing w:before="50" w:after="50" w:line="240" w:lineRule="exact"/>
                </w:pPr>
              </w:pPrChange>
            </w:pPr>
            <w:r>
              <w:rPr>
                <w:rFonts w:eastAsia="SimSun"/>
                <w:b/>
                <w:noProof/>
                <w:sz w:val="18"/>
                <w:szCs w:val="18"/>
                <w:lang w:val="it-IT" w:eastAsia="zh-CN"/>
              </w:rPr>
              <w:t xml:space="preserve"> Endpoint esplorativi</w:t>
            </w:r>
          </w:p>
        </w:tc>
      </w:tr>
      <w:tr>
        <w:trPr>
          <w:cantSplit/>
          <w:trPrChange w:id="1998" w:author="Author">
            <w:trPr>
              <w:cantSplit/>
            </w:trPr>
          </w:trPrChange>
        </w:trPr>
        <w:tc>
          <w:tcPr>
            <w:tcW w:w="3681" w:type="dxa"/>
            <w:tcMar>
              <w:top w:w="0" w:type="dxa"/>
              <w:left w:w="57" w:type="dxa"/>
              <w:bottom w:w="0" w:type="dxa"/>
              <w:right w:w="57" w:type="dxa"/>
            </w:tcMar>
            <w:tcPrChange w:id="1999" w:author="Author">
              <w:tcPr>
                <w:tcW w:w="4332" w:type="dxa"/>
                <w:gridSpan w:val="2"/>
                <w:tcMar>
                  <w:top w:w="0" w:type="dxa"/>
                  <w:left w:w="57" w:type="dxa"/>
                  <w:bottom w:w="0" w:type="dxa"/>
                  <w:right w:w="57" w:type="dxa"/>
                </w:tcMar>
              </w:tcPr>
            </w:tcPrChange>
          </w:tcPr>
          <w:p>
            <w:pPr>
              <w:keepNext/>
              <w:suppressAutoHyphens/>
              <w:jc w:val="right"/>
              <w:rPr>
                <w:rFonts w:eastAsia="SimSun"/>
                <w:noProof/>
                <w:sz w:val="18"/>
                <w:szCs w:val="18"/>
                <w:lang w:val="it-IT" w:eastAsia="zh-CN"/>
                <w:rPrChange w:id="2000" w:author="Author">
                  <w:rPr>
                    <w:rFonts w:eastAsia="SimSun"/>
                    <w:sz w:val="18"/>
                    <w:szCs w:val="18"/>
                    <w:lang w:eastAsia="zh-CN"/>
                  </w:rPr>
                </w:rPrChange>
              </w:rPr>
              <w:pPrChange w:id="2001" w:author="Author">
                <w:pPr>
                  <w:keepNext/>
                  <w:keepLines/>
                  <w:spacing w:before="50" w:after="50" w:line="240" w:lineRule="exact"/>
                  <w:jc w:val="right"/>
                </w:pPr>
              </w:pPrChange>
            </w:pPr>
            <w:r>
              <w:rPr>
                <w:rFonts w:eastAsia="SimSun"/>
                <w:noProof/>
                <w:sz w:val="18"/>
                <w:szCs w:val="18"/>
                <w:lang w:val="it-IT" w:eastAsia="zh-CN"/>
                <w:rPrChange w:id="2002" w:author="Author">
                  <w:rPr>
                    <w:rFonts w:eastAsia="SimSun"/>
                    <w:sz w:val="18"/>
                    <w:szCs w:val="18"/>
                    <w:lang w:eastAsia="zh-CN"/>
                  </w:rPr>
                </w:rPrChange>
              </w:rPr>
              <w:t>settimana 24: Remissione ACR/EULAR Boolean, n (%)</w:t>
            </w:r>
          </w:p>
        </w:tc>
        <w:tc>
          <w:tcPr>
            <w:tcW w:w="1564" w:type="dxa"/>
            <w:tcMar>
              <w:top w:w="0" w:type="dxa"/>
              <w:left w:w="57" w:type="dxa"/>
              <w:bottom w:w="0" w:type="dxa"/>
              <w:right w:w="57" w:type="dxa"/>
            </w:tcMar>
            <w:vAlign w:val="center"/>
            <w:tcPrChange w:id="2003" w:author="Author">
              <w:tcPr>
                <w:tcW w:w="913" w:type="dxa"/>
                <w:tcMar>
                  <w:top w:w="0" w:type="dxa"/>
                  <w:left w:w="57" w:type="dxa"/>
                  <w:bottom w:w="0" w:type="dxa"/>
                  <w:right w:w="57" w:type="dxa"/>
                </w:tcMar>
                <w:vAlign w:val="center"/>
              </w:tcPr>
            </w:tcPrChange>
          </w:tcPr>
          <w:p>
            <w:pPr>
              <w:keepNext/>
              <w:suppressAutoHyphens/>
              <w:jc w:val="center"/>
              <w:rPr>
                <w:rFonts w:eastAsia="SimSun"/>
                <w:noProof/>
                <w:sz w:val="18"/>
                <w:szCs w:val="18"/>
                <w:lang w:val="it-IT" w:eastAsia="zh-CN"/>
              </w:rPr>
              <w:pPrChange w:id="2004" w:author="Author">
                <w:pPr>
                  <w:keepNext/>
                  <w:keepLines/>
                  <w:spacing w:before="50" w:after="50" w:line="240" w:lineRule="exact"/>
                  <w:jc w:val="center"/>
                </w:pPr>
              </w:pPrChange>
            </w:pPr>
            <w:r>
              <w:rPr>
                <w:rFonts w:eastAsia="SimSun"/>
                <w:noProof/>
                <w:sz w:val="18"/>
                <w:szCs w:val="18"/>
                <w:lang w:val="it-IT" w:eastAsia="zh-CN"/>
              </w:rPr>
              <w:t>47 (18,4)</w:t>
            </w:r>
            <w:r>
              <w:rPr>
                <w:b/>
                <w:noProof/>
                <w:sz w:val="18"/>
                <w:szCs w:val="18"/>
                <w:vertAlign w:val="superscript"/>
                <w:lang w:val="it-IT" w:eastAsia="en-US"/>
                <w:rPrChange w:id="2005" w:author="Author">
                  <w:rPr>
                    <w:rFonts w:cs="Arial"/>
                    <w:b/>
                    <w:sz w:val="20"/>
                    <w:vertAlign w:val="superscript"/>
                    <w:lang w:val="it-IT" w:eastAsia="en-US"/>
                  </w:rPr>
                </w:rPrChange>
              </w:rPr>
              <w:t xml:space="preserve"> ‡</w:t>
            </w:r>
          </w:p>
        </w:tc>
        <w:tc>
          <w:tcPr>
            <w:tcW w:w="1418" w:type="dxa"/>
            <w:tcMar>
              <w:top w:w="0" w:type="dxa"/>
              <w:left w:w="57" w:type="dxa"/>
              <w:bottom w:w="0" w:type="dxa"/>
              <w:right w:w="57" w:type="dxa"/>
            </w:tcMar>
            <w:vAlign w:val="center"/>
            <w:tcPrChange w:id="2006" w:author="Author">
              <w:tcPr>
                <w:tcW w:w="1418" w:type="dxa"/>
                <w:tcMar>
                  <w:top w:w="0" w:type="dxa"/>
                  <w:left w:w="57" w:type="dxa"/>
                  <w:bottom w:w="0" w:type="dxa"/>
                  <w:right w:w="57" w:type="dxa"/>
                </w:tcMar>
                <w:vAlign w:val="center"/>
              </w:tcPr>
            </w:tcPrChange>
          </w:tcPr>
          <w:p>
            <w:pPr>
              <w:keepNext/>
              <w:suppressAutoHyphens/>
              <w:jc w:val="center"/>
              <w:rPr>
                <w:rFonts w:eastAsia="SimSun"/>
                <w:noProof/>
                <w:sz w:val="18"/>
                <w:szCs w:val="18"/>
                <w:lang w:val="it-IT" w:eastAsia="zh-CN"/>
              </w:rPr>
              <w:pPrChange w:id="2007" w:author="Author">
                <w:pPr>
                  <w:keepNext/>
                  <w:keepLines/>
                  <w:spacing w:before="50" w:after="50" w:line="240" w:lineRule="exact"/>
                  <w:jc w:val="center"/>
                </w:pPr>
              </w:pPrChange>
            </w:pPr>
            <w:r>
              <w:rPr>
                <w:rFonts w:eastAsia="SimSun"/>
                <w:noProof/>
                <w:sz w:val="18"/>
                <w:szCs w:val="18"/>
                <w:lang w:val="it-IT" w:eastAsia="zh-CN"/>
              </w:rPr>
              <w:t>38 (14,2)</w:t>
            </w:r>
          </w:p>
        </w:tc>
        <w:tc>
          <w:tcPr>
            <w:tcW w:w="1558" w:type="dxa"/>
            <w:tcPrChange w:id="2008" w:author="Author">
              <w:tcPr>
                <w:tcW w:w="1558" w:type="dxa"/>
              </w:tcPr>
            </w:tcPrChange>
          </w:tcPr>
          <w:p>
            <w:pPr>
              <w:keepNext/>
              <w:suppressAutoHyphens/>
              <w:jc w:val="center"/>
              <w:rPr>
                <w:rFonts w:eastAsia="SimSun"/>
                <w:noProof/>
                <w:sz w:val="18"/>
                <w:szCs w:val="18"/>
                <w:lang w:val="it-IT" w:eastAsia="zh-CN"/>
              </w:rPr>
              <w:pPrChange w:id="2009" w:author="Author">
                <w:pPr>
                  <w:keepNext/>
                  <w:keepLines/>
                  <w:spacing w:before="50" w:after="50" w:line="240" w:lineRule="exact"/>
                  <w:jc w:val="center"/>
                </w:pPr>
              </w:pPrChange>
            </w:pPr>
            <w:r>
              <w:rPr>
                <w:rFonts w:eastAsia="SimSun"/>
                <w:noProof/>
                <w:sz w:val="18"/>
                <w:szCs w:val="18"/>
                <w:lang w:val="it-IT" w:eastAsia="zh-CN"/>
              </w:rPr>
              <w:t>43 (16,</w:t>
            </w:r>
            <w:del w:id="2010" w:author="Author">
              <w:r>
                <w:rPr>
                  <w:rFonts w:eastAsia="SimSun"/>
                  <w:noProof/>
                  <w:sz w:val="18"/>
                  <w:szCs w:val="18"/>
                  <w:lang w:val="it-IT" w:eastAsia="zh-CN"/>
                </w:rPr>
                <w:delText>.</w:delText>
              </w:r>
            </w:del>
            <w:r>
              <w:rPr>
                <w:rFonts w:eastAsia="SimSun"/>
                <w:noProof/>
                <w:sz w:val="18"/>
                <w:szCs w:val="18"/>
                <w:lang w:val="it-IT" w:eastAsia="zh-CN"/>
              </w:rPr>
              <w:t>7)</w:t>
            </w:r>
            <w:r>
              <w:rPr>
                <w:b/>
                <w:noProof/>
                <w:sz w:val="18"/>
                <w:szCs w:val="18"/>
                <w:vertAlign w:val="superscript"/>
                <w:lang w:val="it-IT" w:eastAsia="en-US"/>
                <w:rPrChange w:id="2011" w:author="Author">
                  <w:rPr>
                    <w:rFonts w:cs="Arial"/>
                    <w:b/>
                    <w:sz w:val="20"/>
                    <w:vertAlign w:val="superscript"/>
                    <w:lang w:val="it-IT" w:eastAsia="en-US"/>
                  </w:rPr>
                </w:rPrChange>
              </w:rPr>
              <w:t xml:space="preserve"> ‡</w:t>
            </w:r>
          </w:p>
        </w:tc>
        <w:tc>
          <w:tcPr>
            <w:tcW w:w="992" w:type="dxa"/>
            <w:tcMar>
              <w:top w:w="0" w:type="dxa"/>
              <w:left w:w="57" w:type="dxa"/>
              <w:bottom w:w="0" w:type="dxa"/>
              <w:right w:w="57" w:type="dxa"/>
            </w:tcMar>
            <w:vAlign w:val="center"/>
            <w:tcPrChange w:id="2012" w:author="Author">
              <w:tcPr>
                <w:tcW w:w="992" w:type="dxa"/>
                <w:tcMar>
                  <w:top w:w="0" w:type="dxa"/>
                  <w:left w:w="57" w:type="dxa"/>
                  <w:bottom w:w="0" w:type="dxa"/>
                  <w:right w:w="57" w:type="dxa"/>
                </w:tcMar>
                <w:vAlign w:val="center"/>
              </w:tcPr>
            </w:tcPrChange>
          </w:tcPr>
          <w:p>
            <w:pPr>
              <w:keepNext/>
              <w:suppressAutoHyphens/>
              <w:jc w:val="center"/>
              <w:rPr>
                <w:rFonts w:eastAsia="SimSun"/>
                <w:noProof/>
                <w:sz w:val="18"/>
                <w:szCs w:val="18"/>
                <w:lang w:val="it-IT" w:eastAsia="zh-CN"/>
              </w:rPr>
              <w:pPrChange w:id="2013" w:author="Author">
                <w:pPr>
                  <w:keepNext/>
                  <w:keepLines/>
                  <w:spacing w:before="50" w:after="50" w:line="240" w:lineRule="exact"/>
                  <w:jc w:val="center"/>
                </w:pPr>
              </w:pPrChange>
            </w:pPr>
            <w:r>
              <w:rPr>
                <w:rFonts w:eastAsia="SimSun"/>
                <w:noProof/>
                <w:sz w:val="18"/>
                <w:szCs w:val="18"/>
                <w:lang w:val="it-IT" w:eastAsia="zh-CN"/>
              </w:rPr>
              <w:t>25 (10,0)</w:t>
            </w:r>
          </w:p>
        </w:tc>
      </w:tr>
      <w:tr>
        <w:trPr>
          <w:cantSplit/>
          <w:trPrChange w:id="2014" w:author="Author">
            <w:trPr>
              <w:cantSplit/>
            </w:trPr>
          </w:trPrChange>
        </w:trPr>
        <w:tc>
          <w:tcPr>
            <w:tcW w:w="3681" w:type="dxa"/>
            <w:tcMar>
              <w:top w:w="0" w:type="dxa"/>
              <w:left w:w="57" w:type="dxa"/>
              <w:bottom w:w="0" w:type="dxa"/>
              <w:right w:w="57" w:type="dxa"/>
            </w:tcMar>
            <w:vAlign w:val="center"/>
            <w:tcPrChange w:id="2015" w:author="Author">
              <w:tcPr>
                <w:tcW w:w="4332" w:type="dxa"/>
                <w:gridSpan w:val="2"/>
                <w:tcMar>
                  <w:top w:w="0" w:type="dxa"/>
                  <w:left w:w="57" w:type="dxa"/>
                  <w:bottom w:w="0" w:type="dxa"/>
                  <w:right w:w="57" w:type="dxa"/>
                </w:tcMar>
                <w:vAlign w:val="center"/>
              </w:tcPr>
            </w:tcPrChange>
          </w:tcPr>
          <w:p>
            <w:pPr>
              <w:keepNext/>
              <w:suppressAutoHyphens/>
              <w:jc w:val="right"/>
              <w:rPr>
                <w:rFonts w:eastAsia="SimSun"/>
                <w:noProof/>
                <w:sz w:val="18"/>
                <w:szCs w:val="18"/>
                <w:lang w:val="pt-BR" w:eastAsia="zh-CN"/>
                <w:rPrChange w:id="2016" w:author="Author">
                  <w:rPr>
                    <w:rFonts w:eastAsia="SimSun"/>
                    <w:sz w:val="18"/>
                    <w:szCs w:val="18"/>
                    <w:lang w:val="en-GB" w:eastAsia="zh-CN"/>
                  </w:rPr>
                </w:rPrChange>
              </w:rPr>
              <w:pPrChange w:id="2017" w:author="Author">
                <w:pPr>
                  <w:keepNext/>
                  <w:keepLines/>
                  <w:spacing w:before="50" w:after="50" w:line="240" w:lineRule="exact"/>
                  <w:jc w:val="right"/>
                </w:pPr>
              </w:pPrChange>
            </w:pPr>
            <w:del w:id="2018" w:author="Author">
              <w:r>
                <w:rPr>
                  <w:rFonts w:eastAsia="SimSun"/>
                  <w:noProof/>
                  <w:sz w:val="18"/>
                  <w:szCs w:val="18"/>
                  <w:lang w:val="pt-BR" w:eastAsia="zh-CN"/>
                  <w:rPrChange w:id="2019" w:author="Author">
                    <w:rPr>
                      <w:rFonts w:eastAsia="SimSun"/>
                      <w:sz w:val="18"/>
                      <w:szCs w:val="18"/>
                      <w:lang w:val="en-GB" w:eastAsia="zh-CN"/>
                    </w:rPr>
                  </w:rPrChange>
                </w:rPr>
                <w:delText xml:space="preserve">      </w:delText>
              </w:r>
            </w:del>
            <w:r>
              <w:rPr>
                <w:rFonts w:eastAsia="SimSun"/>
                <w:noProof/>
                <w:sz w:val="18"/>
                <w:szCs w:val="18"/>
                <w:lang w:val="pt-BR" w:eastAsia="zh-CN"/>
                <w:rPrChange w:id="2020" w:author="Author">
                  <w:rPr>
                    <w:rFonts w:eastAsia="SimSun"/>
                    <w:sz w:val="18"/>
                    <w:szCs w:val="18"/>
                    <w:lang w:val="en-GB" w:eastAsia="zh-CN"/>
                  </w:rPr>
                </w:rPrChange>
              </w:rPr>
              <w:t>Remissione ACR/EULAR Index, n (%)</w:t>
            </w:r>
          </w:p>
        </w:tc>
        <w:tc>
          <w:tcPr>
            <w:tcW w:w="1564" w:type="dxa"/>
            <w:tcMar>
              <w:top w:w="0" w:type="dxa"/>
              <w:left w:w="57" w:type="dxa"/>
              <w:bottom w:w="0" w:type="dxa"/>
              <w:right w:w="57" w:type="dxa"/>
            </w:tcMar>
            <w:vAlign w:val="center"/>
            <w:tcPrChange w:id="2021" w:author="Author">
              <w:tcPr>
                <w:tcW w:w="913" w:type="dxa"/>
                <w:tcMar>
                  <w:top w:w="0" w:type="dxa"/>
                  <w:left w:w="57" w:type="dxa"/>
                  <w:bottom w:w="0" w:type="dxa"/>
                  <w:right w:w="57" w:type="dxa"/>
                </w:tcMar>
                <w:vAlign w:val="center"/>
              </w:tcPr>
            </w:tcPrChange>
          </w:tcPr>
          <w:p>
            <w:pPr>
              <w:keepNext/>
              <w:suppressAutoHyphens/>
              <w:jc w:val="center"/>
              <w:rPr>
                <w:rFonts w:eastAsia="SimSun"/>
                <w:noProof/>
                <w:sz w:val="18"/>
                <w:szCs w:val="18"/>
                <w:lang w:val="it-IT" w:eastAsia="zh-CN"/>
              </w:rPr>
              <w:pPrChange w:id="2022" w:author="Author">
                <w:pPr>
                  <w:keepNext/>
                  <w:keepLines/>
                  <w:spacing w:before="50" w:after="50" w:line="240" w:lineRule="exact"/>
                  <w:jc w:val="center"/>
                </w:pPr>
              </w:pPrChange>
            </w:pPr>
            <w:r>
              <w:rPr>
                <w:rFonts w:eastAsia="SimSun"/>
                <w:noProof/>
                <w:sz w:val="18"/>
                <w:szCs w:val="18"/>
                <w:lang w:val="it-IT" w:eastAsia="zh-CN"/>
              </w:rPr>
              <w:t>73 (28,5)</w:t>
            </w:r>
            <w:r>
              <w:rPr>
                <w:b/>
                <w:noProof/>
                <w:sz w:val="18"/>
                <w:szCs w:val="18"/>
                <w:vertAlign w:val="superscript"/>
                <w:lang w:val="it-IT" w:eastAsia="en-US"/>
                <w:rPrChange w:id="2023" w:author="Author">
                  <w:rPr>
                    <w:rFonts w:cs="Arial"/>
                    <w:b/>
                    <w:sz w:val="20"/>
                    <w:vertAlign w:val="superscript"/>
                    <w:lang w:val="it-IT" w:eastAsia="en-US"/>
                  </w:rPr>
                </w:rPrChange>
              </w:rPr>
              <w:t xml:space="preserve"> ‡</w:t>
            </w:r>
          </w:p>
        </w:tc>
        <w:tc>
          <w:tcPr>
            <w:tcW w:w="1418" w:type="dxa"/>
            <w:tcMar>
              <w:top w:w="0" w:type="dxa"/>
              <w:left w:w="57" w:type="dxa"/>
              <w:bottom w:w="0" w:type="dxa"/>
              <w:right w:w="57" w:type="dxa"/>
            </w:tcMar>
            <w:vAlign w:val="center"/>
            <w:tcPrChange w:id="2024" w:author="Author">
              <w:tcPr>
                <w:tcW w:w="1418" w:type="dxa"/>
                <w:tcMar>
                  <w:top w:w="0" w:type="dxa"/>
                  <w:left w:w="57" w:type="dxa"/>
                  <w:bottom w:w="0" w:type="dxa"/>
                  <w:right w:w="57" w:type="dxa"/>
                </w:tcMar>
                <w:vAlign w:val="center"/>
              </w:tcPr>
            </w:tcPrChange>
          </w:tcPr>
          <w:p>
            <w:pPr>
              <w:keepNext/>
              <w:suppressAutoHyphens/>
              <w:jc w:val="center"/>
              <w:rPr>
                <w:rFonts w:eastAsia="SimSun"/>
                <w:noProof/>
                <w:sz w:val="18"/>
                <w:szCs w:val="18"/>
                <w:lang w:val="it-IT" w:eastAsia="zh-CN"/>
              </w:rPr>
              <w:pPrChange w:id="2025" w:author="Author">
                <w:pPr>
                  <w:keepNext/>
                  <w:keepLines/>
                  <w:spacing w:before="50" w:after="50" w:line="240" w:lineRule="exact"/>
                  <w:jc w:val="center"/>
                </w:pPr>
              </w:pPrChange>
            </w:pPr>
            <w:r>
              <w:rPr>
                <w:rFonts w:eastAsia="SimSun"/>
                <w:noProof/>
                <w:sz w:val="18"/>
                <w:szCs w:val="18"/>
                <w:lang w:val="it-IT" w:eastAsia="zh-CN"/>
              </w:rPr>
              <w:t>60 (22,6)</w:t>
            </w:r>
          </w:p>
        </w:tc>
        <w:tc>
          <w:tcPr>
            <w:tcW w:w="1558" w:type="dxa"/>
            <w:tcPrChange w:id="2026" w:author="Author">
              <w:tcPr>
                <w:tcW w:w="1558" w:type="dxa"/>
              </w:tcPr>
            </w:tcPrChange>
          </w:tcPr>
          <w:p>
            <w:pPr>
              <w:keepNext/>
              <w:suppressAutoHyphens/>
              <w:jc w:val="center"/>
              <w:rPr>
                <w:rFonts w:eastAsia="SimSun"/>
                <w:noProof/>
                <w:sz w:val="18"/>
                <w:szCs w:val="18"/>
                <w:lang w:val="it-IT" w:eastAsia="zh-CN"/>
              </w:rPr>
              <w:pPrChange w:id="2027" w:author="Author">
                <w:pPr>
                  <w:keepNext/>
                  <w:keepLines/>
                  <w:spacing w:before="50" w:after="50" w:line="240" w:lineRule="exact"/>
                  <w:jc w:val="center"/>
                </w:pPr>
              </w:pPrChange>
            </w:pPr>
            <w:r>
              <w:rPr>
                <w:rFonts w:eastAsia="SimSun"/>
                <w:noProof/>
                <w:sz w:val="18"/>
                <w:szCs w:val="18"/>
                <w:lang w:val="it-IT" w:eastAsia="zh-CN"/>
              </w:rPr>
              <w:t>58 (22,6)</w:t>
            </w:r>
          </w:p>
        </w:tc>
        <w:tc>
          <w:tcPr>
            <w:tcW w:w="992" w:type="dxa"/>
            <w:tcMar>
              <w:top w:w="0" w:type="dxa"/>
              <w:left w:w="57" w:type="dxa"/>
              <w:bottom w:w="0" w:type="dxa"/>
              <w:right w:w="57" w:type="dxa"/>
            </w:tcMar>
            <w:vAlign w:val="center"/>
            <w:tcPrChange w:id="2028" w:author="Author">
              <w:tcPr>
                <w:tcW w:w="992" w:type="dxa"/>
                <w:tcMar>
                  <w:top w:w="0" w:type="dxa"/>
                  <w:left w:w="57" w:type="dxa"/>
                  <w:bottom w:w="0" w:type="dxa"/>
                  <w:right w:w="57" w:type="dxa"/>
                </w:tcMar>
                <w:vAlign w:val="center"/>
              </w:tcPr>
            </w:tcPrChange>
          </w:tcPr>
          <w:p>
            <w:pPr>
              <w:keepNext/>
              <w:suppressAutoHyphens/>
              <w:jc w:val="center"/>
              <w:rPr>
                <w:rFonts w:eastAsia="SimSun"/>
                <w:noProof/>
                <w:sz w:val="18"/>
                <w:szCs w:val="18"/>
                <w:lang w:val="it-IT" w:eastAsia="zh-CN"/>
              </w:rPr>
              <w:pPrChange w:id="2029" w:author="Author">
                <w:pPr>
                  <w:keepNext/>
                  <w:keepLines/>
                  <w:spacing w:before="50" w:after="50" w:line="240" w:lineRule="exact"/>
                  <w:jc w:val="center"/>
                </w:pPr>
              </w:pPrChange>
            </w:pPr>
            <w:r>
              <w:rPr>
                <w:rFonts w:eastAsia="SimSun"/>
                <w:noProof/>
                <w:sz w:val="18"/>
                <w:szCs w:val="18"/>
                <w:lang w:val="it-IT" w:eastAsia="zh-CN"/>
              </w:rPr>
              <w:t>41 (16,4)</w:t>
            </w:r>
          </w:p>
        </w:tc>
      </w:tr>
      <w:tr>
        <w:trPr>
          <w:cantSplit/>
          <w:trPrChange w:id="2030" w:author="Author">
            <w:trPr>
              <w:cantSplit/>
            </w:trPr>
          </w:trPrChange>
        </w:trPr>
        <w:tc>
          <w:tcPr>
            <w:tcW w:w="3681" w:type="dxa"/>
            <w:tcMar>
              <w:top w:w="0" w:type="dxa"/>
              <w:left w:w="57" w:type="dxa"/>
              <w:bottom w:w="0" w:type="dxa"/>
              <w:right w:w="57" w:type="dxa"/>
            </w:tcMar>
            <w:vAlign w:val="center"/>
            <w:tcPrChange w:id="2031" w:author="Author">
              <w:tcPr>
                <w:tcW w:w="4332" w:type="dxa"/>
                <w:gridSpan w:val="2"/>
                <w:tcMar>
                  <w:top w:w="0" w:type="dxa"/>
                  <w:left w:w="57" w:type="dxa"/>
                  <w:bottom w:w="0" w:type="dxa"/>
                  <w:right w:w="57" w:type="dxa"/>
                </w:tcMar>
                <w:vAlign w:val="center"/>
              </w:tcPr>
            </w:tcPrChange>
          </w:tcPr>
          <w:p>
            <w:pPr>
              <w:keepNext/>
              <w:suppressAutoHyphens/>
              <w:jc w:val="right"/>
              <w:rPr>
                <w:rFonts w:eastAsia="SimSun"/>
                <w:noProof/>
                <w:sz w:val="18"/>
                <w:szCs w:val="18"/>
                <w:lang w:val="it-IT" w:eastAsia="zh-CN"/>
                <w:rPrChange w:id="2032" w:author="Author">
                  <w:rPr>
                    <w:rFonts w:eastAsia="SimSun"/>
                    <w:sz w:val="18"/>
                    <w:szCs w:val="18"/>
                    <w:lang w:eastAsia="zh-CN"/>
                  </w:rPr>
                </w:rPrChange>
              </w:rPr>
              <w:pPrChange w:id="2033" w:author="Author">
                <w:pPr>
                  <w:keepNext/>
                  <w:keepLines/>
                  <w:spacing w:before="50" w:after="50" w:line="240" w:lineRule="exact"/>
                  <w:jc w:val="right"/>
                </w:pPr>
              </w:pPrChange>
            </w:pPr>
            <w:r>
              <w:rPr>
                <w:rFonts w:eastAsia="SimSun"/>
                <w:noProof/>
                <w:sz w:val="18"/>
                <w:szCs w:val="18"/>
                <w:lang w:val="it-IT" w:eastAsia="zh-CN"/>
                <w:rPrChange w:id="2034" w:author="Author">
                  <w:rPr>
                    <w:rFonts w:eastAsia="SimSun"/>
                    <w:sz w:val="18"/>
                    <w:szCs w:val="18"/>
                    <w:lang w:eastAsia="zh-CN"/>
                  </w:rPr>
                </w:rPrChange>
              </w:rPr>
              <w:t>settimana 52: Remissione ACR/EULAR Boolean, n (%)</w:t>
            </w:r>
          </w:p>
        </w:tc>
        <w:tc>
          <w:tcPr>
            <w:tcW w:w="1564" w:type="dxa"/>
            <w:tcMar>
              <w:top w:w="0" w:type="dxa"/>
              <w:left w:w="57" w:type="dxa"/>
              <w:bottom w:w="0" w:type="dxa"/>
              <w:right w:w="57" w:type="dxa"/>
            </w:tcMar>
            <w:vAlign w:val="center"/>
            <w:tcPrChange w:id="2035" w:author="Author">
              <w:tcPr>
                <w:tcW w:w="913" w:type="dxa"/>
                <w:tcMar>
                  <w:top w:w="0" w:type="dxa"/>
                  <w:left w:w="57" w:type="dxa"/>
                  <w:bottom w:w="0" w:type="dxa"/>
                  <w:right w:w="57" w:type="dxa"/>
                </w:tcMar>
                <w:vAlign w:val="center"/>
              </w:tcPr>
            </w:tcPrChange>
          </w:tcPr>
          <w:p>
            <w:pPr>
              <w:keepNext/>
              <w:suppressAutoHyphens/>
              <w:jc w:val="center"/>
              <w:rPr>
                <w:rFonts w:eastAsia="SimSun"/>
                <w:noProof/>
                <w:sz w:val="18"/>
                <w:szCs w:val="18"/>
                <w:lang w:val="it-IT" w:eastAsia="zh-CN"/>
              </w:rPr>
              <w:pPrChange w:id="2036" w:author="Author">
                <w:pPr>
                  <w:keepNext/>
                  <w:keepLines/>
                  <w:spacing w:before="50" w:after="50" w:line="240" w:lineRule="exact"/>
                  <w:jc w:val="center"/>
                </w:pPr>
              </w:pPrChange>
            </w:pPr>
            <w:r>
              <w:rPr>
                <w:rFonts w:eastAsia="SimSun"/>
                <w:noProof/>
                <w:sz w:val="18"/>
                <w:szCs w:val="18"/>
                <w:lang w:val="it-IT" w:eastAsia="zh-CN"/>
              </w:rPr>
              <w:t>59 (25,7)</w:t>
            </w:r>
            <w:r>
              <w:rPr>
                <w:b/>
                <w:noProof/>
                <w:sz w:val="18"/>
                <w:szCs w:val="18"/>
                <w:vertAlign w:val="superscript"/>
                <w:lang w:val="it-IT" w:eastAsia="en-US"/>
                <w:rPrChange w:id="2037" w:author="Author">
                  <w:rPr>
                    <w:rFonts w:cs="Arial"/>
                    <w:b/>
                    <w:sz w:val="20"/>
                    <w:vertAlign w:val="superscript"/>
                    <w:lang w:val="it-IT" w:eastAsia="en-US"/>
                  </w:rPr>
                </w:rPrChange>
              </w:rPr>
              <w:t xml:space="preserve"> ‡</w:t>
            </w:r>
          </w:p>
        </w:tc>
        <w:tc>
          <w:tcPr>
            <w:tcW w:w="1418" w:type="dxa"/>
            <w:tcMar>
              <w:top w:w="0" w:type="dxa"/>
              <w:left w:w="57" w:type="dxa"/>
              <w:bottom w:w="0" w:type="dxa"/>
              <w:right w:w="57" w:type="dxa"/>
            </w:tcMar>
            <w:vAlign w:val="center"/>
            <w:tcPrChange w:id="2038" w:author="Author">
              <w:tcPr>
                <w:tcW w:w="1418" w:type="dxa"/>
                <w:tcMar>
                  <w:top w:w="0" w:type="dxa"/>
                  <w:left w:w="57" w:type="dxa"/>
                  <w:bottom w:w="0" w:type="dxa"/>
                  <w:right w:w="57" w:type="dxa"/>
                </w:tcMar>
                <w:vAlign w:val="center"/>
              </w:tcPr>
            </w:tcPrChange>
          </w:tcPr>
          <w:p>
            <w:pPr>
              <w:keepNext/>
              <w:suppressAutoHyphens/>
              <w:jc w:val="center"/>
              <w:rPr>
                <w:rFonts w:eastAsia="SimSun"/>
                <w:noProof/>
                <w:sz w:val="18"/>
                <w:szCs w:val="18"/>
                <w:lang w:val="it-IT" w:eastAsia="zh-CN"/>
              </w:rPr>
              <w:pPrChange w:id="2039" w:author="Author">
                <w:pPr>
                  <w:keepNext/>
                  <w:keepLines/>
                  <w:spacing w:before="50" w:after="50" w:line="240" w:lineRule="exact"/>
                  <w:jc w:val="center"/>
                </w:pPr>
              </w:pPrChange>
            </w:pPr>
            <w:r>
              <w:rPr>
                <w:rFonts w:eastAsia="SimSun"/>
                <w:noProof/>
                <w:sz w:val="18"/>
                <w:szCs w:val="18"/>
                <w:lang w:val="it-IT" w:eastAsia="zh-CN"/>
              </w:rPr>
              <w:t>43 (18,7)</w:t>
            </w:r>
          </w:p>
        </w:tc>
        <w:tc>
          <w:tcPr>
            <w:tcW w:w="1558" w:type="dxa"/>
            <w:tcPrChange w:id="2040" w:author="Author">
              <w:tcPr>
                <w:tcW w:w="1558" w:type="dxa"/>
              </w:tcPr>
            </w:tcPrChange>
          </w:tcPr>
          <w:p>
            <w:pPr>
              <w:keepNext/>
              <w:suppressAutoHyphens/>
              <w:jc w:val="center"/>
              <w:rPr>
                <w:rFonts w:eastAsia="SimSun"/>
                <w:noProof/>
                <w:sz w:val="18"/>
                <w:szCs w:val="18"/>
                <w:lang w:val="it-IT" w:eastAsia="zh-CN"/>
              </w:rPr>
              <w:pPrChange w:id="2041" w:author="Author">
                <w:pPr>
                  <w:keepNext/>
                  <w:keepLines/>
                  <w:spacing w:before="50" w:after="50" w:line="240" w:lineRule="exact"/>
                  <w:jc w:val="center"/>
                </w:pPr>
              </w:pPrChange>
            </w:pPr>
            <w:r>
              <w:rPr>
                <w:rFonts w:eastAsia="SimSun"/>
                <w:noProof/>
                <w:sz w:val="18"/>
                <w:szCs w:val="18"/>
                <w:lang w:val="it-IT" w:eastAsia="zh-CN"/>
              </w:rPr>
              <w:t>48 (21,1)</w:t>
            </w:r>
          </w:p>
        </w:tc>
        <w:tc>
          <w:tcPr>
            <w:tcW w:w="992" w:type="dxa"/>
            <w:tcMar>
              <w:top w:w="0" w:type="dxa"/>
              <w:left w:w="57" w:type="dxa"/>
              <w:bottom w:w="0" w:type="dxa"/>
              <w:right w:w="57" w:type="dxa"/>
            </w:tcMar>
            <w:vAlign w:val="center"/>
            <w:tcPrChange w:id="2042" w:author="Author">
              <w:tcPr>
                <w:tcW w:w="992" w:type="dxa"/>
                <w:tcMar>
                  <w:top w:w="0" w:type="dxa"/>
                  <w:left w:w="57" w:type="dxa"/>
                  <w:bottom w:w="0" w:type="dxa"/>
                  <w:right w:w="57" w:type="dxa"/>
                </w:tcMar>
                <w:vAlign w:val="center"/>
              </w:tcPr>
            </w:tcPrChange>
          </w:tcPr>
          <w:p>
            <w:pPr>
              <w:keepNext/>
              <w:suppressAutoHyphens/>
              <w:jc w:val="center"/>
              <w:rPr>
                <w:rFonts w:eastAsia="SimSun"/>
                <w:noProof/>
                <w:sz w:val="18"/>
                <w:szCs w:val="18"/>
                <w:lang w:val="it-IT" w:eastAsia="zh-CN"/>
              </w:rPr>
              <w:pPrChange w:id="2043" w:author="Author">
                <w:pPr>
                  <w:keepNext/>
                  <w:keepLines/>
                  <w:spacing w:before="50" w:after="50" w:line="240" w:lineRule="exact"/>
                  <w:jc w:val="center"/>
                </w:pPr>
              </w:pPrChange>
            </w:pPr>
            <w:r>
              <w:rPr>
                <w:rFonts w:eastAsia="SimSun"/>
                <w:noProof/>
                <w:sz w:val="18"/>
                <w:szCs w:val="18"/>
                <w:lang w:val="it-IT" w:eastAsia="zh-CN"/>
              </w:rPr>
              <w:t>34 (15,5)</w:t>
            </w:r>
          </w:p>
        </w:tc>
      </w:tr>
      <w:tr>
        <w:trPr>
          <w:cantSplit/>
          <w:trPrChange w:id="2044" w:author="Author">
            <w:trPr>
              <w:cantSplit/>
            </w:trPr>
          </w:trPrChange>
        </w:trPr>
        <w:tc>
          <w:tcPr>
            <w:tcW w:w="3681" w:type="dxa"/>
            <w:tcMar>
              <w:top w:w="0" w:type="dxa"/>
              <w:left w:w="57" w:type="dxa"/>
              <w:bottom w:w="0" w:type="dxa"/>
              <w:right w:w="57" w:type="dxa"/>
            </w:tcMar>
            <w:vAlign w:val="center"/>
            <w:tcPrChange w:id="2045" w:author="Author">
              <w:tcPr>
                <w:tcW w:w="4332" w:type="dxa"/>
                <w:gridSpan w:val="2"/>
                <w:tcMar>
                  <w:top w:w="0" w:type="dxa"/>
                  <w:left w:w="57" w:type="dxa"/>
                  <w:bottom w:w="0" w:type="dxa"/>
                  <w:right w:w="57" w:type="dxa"/>
                </w:tcMar>
                <w:vAlign w:val="center"/>
              </w:tcPr>
            </w:tcPrChange>
          </w:tcPr>
          <w:p>
            <w:pPr>
              <w:keepNext/>
              <w:suppressAutoHyphens/>
              <w:jc w:val="right"/>
              <w:rPr>
                <w:rFonts w:eastAsia="SimSun"/>
                <w:noProof/>
                <w:sz w:val="18"/>
                <w:szCs w:val="18"/>
                <w:lang w:val="pt-BR" w:eastAsia="zh-CN"/>
                <w:rPrChange w:id="2046" w:author="Author">
                  <w:rPr>
                    <w:rFonts w:eastAsia="SimSun"/>
                    <w:sz w:val="18"/>
                    <w:szCs w:val="18"/>
                    <w:lang w:val="en-GB" w:eastAsia="zh-CN"/>
                  </w:rPr>
                </w:rPrChange>
              </w:rPr>
              <w:pPrChange w:id="2047" w:author="Author">
                <w:pPr>
                  <w:keepNext/>
                  <w:keepLines/>
                  <w:spacing w:before="50" w:after="50" w:line="240" w:lineRule="exact"/>
                  <w:jc w:val="right"/>
                </w:pPr>
              </w:pPrChange>
            </w:pPr>
            <w:del w:id="2048" w:author="Author">
              <w:r>
                <w:rPr>
                  <w:rFonts w:eastAsia="SimSun"/>
                  <w:noProof/>
                  <w:sz w:val="18"/>
                  <w:szCs w:val="18"/>
                  <w:lang w:val="pt-BR" w:eastAsia="zh-CN"/>
                  <w:rPrChange w:id="2049" w:author="Author">
                    <w:rPr>
                      <w:rFonts w:eastAsia="SimSun"/>
                      <w:sz w:val="18"/>
                      <w:szCs w:val="18"/>
                      <w:lang w:val="en-GB" w:eastAsia="zh-CN"/>
                    </w:rPr>
                  </w:rPrChange>
                </w:rPr>
                <w:delText xml:space="preserve">                    </w:delText>
              </w:r>
            </w:del>
            <w:r>
              <w:rPr>
                <w:rFonts w:eastAsia="SimSun"/>
                <w:noProof/>
                <w:sz w:val="18"/>
                <w:szCs w:val="18"/>
                <w:lang w:val="pt-BR" w:eastAsia="zh-CN"/>
                <w:rPrChange w:id="2050" w:author="Author">
                  <w:rPr>
                    <w:rFonts w:eastAsia="SimSun"/>
                    <w:sz w:val="18"/>
                    <w:szCs w:val="18"/>
                    <w:lang w:val="en-GB" w:eastAsia="zh-CN"/>
                  </w:rPr>
                </w:rPrChange>
              </w:rPr>
              <w:t>Remissione ACR/EULAR Index, n (%)</w:t>
            </w:r>
          </w:p>
        </w:tc>
        <w:tc>
          <w:tcPr>
            <w:tcW w:w="1564" w:type="dxa"/>
            <w:tcMar>
              <w:top w:w="0" w:type="dxa"/>
              <w:left w:w="57" w:type="dxa"/>
              <w:bottom w:w="0" w:type="dxa"/>
              <w:right w:w="57" w:type="dxa"/>
            </w:tcMar>
            <w:vAlign w:val="center"/>
            <w:tcPrChange w:id="2051" w:author="Author">
              <w:tcPr>
                <w:tcW w:w="913" w:type="dxa"/>
                <w:tcMar>
                  <w:top w:w="0" w:type="dxa"/>
                  <w:left w:w="57" w:type="dxa"/>
                  <w:bottom w:w="0" w:type="dxa"/>
                  <w:right w:w="57" w:type="dxa"/>
                </w:tcMar>
                <w:vAlign w:val="center"/>
              </w:tcPr>
            </w:tcPrChange>
          </w:tcPr>
          <w:p>
            <w:pPr>
              <w:keepNext/>
              <w:suppressAutoHyphens/>
              <w:jc w:val="center"/>
              <w:rPr>
                <w:rFonts w:eastAsia="SimSun"/>
                <w:noProof/>
                <w:sz w:val="18"/>
                <w:szCs w:val="18"/>
                <w:lang w:val="it-IT" w:eastAsia="zh-CN"/>
              </w:rPr>
              <w:pPrChange w:id="2052" w:author="Author">
                <w:pPr>
                  <w:keepNext/>
                  <w:keepLines/>
                  <w:spacing w:before="50" w:after="50" w:line="240" w:lineRule="exact"/>
                  <w:jc w:val="center"/>
                </w:pPr>
              </w:pPrChange>
            </w:pPr>
            <w:r>
              <w:rPr>
                <w:rFonts w:eastAsia="SimSun"/>
                <w:noProof/>
                <w:sz w:val="18"/>
                <w:szCs w:val="18"/>
                <w:lang w:val="it-IT" w:eastAsia="zh-CN"/>
              </w:rPr>
              <w:t>83 (36,1)</w:t>
            </w:r>
            <w:r>
              <w:rPr>
                <w:b/>
                <w:noProof/>
                <w:sz w:val="18"/>
                <w:szCs w:val="18"/>
                <w:vertAlign w:val="superscript"/>
                <w:lang w:val="it-IT" w:eastAsia="en-US"/>
                <w:rPrChange w:id="2053" w:author="Author">
                  <w:rPr>
                    <w:rFonts w:cs="Arial"/>
                    <w:b/>
                    <w:sz w:val="20"/>
                    <w:vertAlign w:val="superscript"/>
                    <w:lang w:val="it-IT" w:eastAsia="en-US"/>
                  </w:rPr>
                </w:rPrChange>
              </w:rPr>
              <w:t xml:space="preserve"> ‡</w:t>
            </w:r>
          </w:p>
        </w:tc>
        <w:tc>
          <w:tcPr>
            <w:tcW w:w="1418" w:type="dxa"/>
            <w:tcMar>
              <w:top w:w="0" w:type="dxa"/>
              <w:left w:w="57" w:type="dxa"/>
              <w:bottom w:w="0" w:type="dxa"/>
              <w:right w:w="57" w:type="dxa"/>
            </w:tcMar>
            <w:vAlign w:val="center"/>
            <w:tcPrChange w:id="2054" w:author="Author">
              <w:tcPr>
                <w:tcW w:w="1418" w:type="dxa"/>
                <w:tcMar>
                  <w:top w:w="0" w:type="dxa"/>
                  <w:left w:w="57" w:type="dxa"/>
                  <w:bottom w:w="0" w:type="dxa"/>
                  <w:right w:w="57" w:type="dxa"/>
                </w:tcMar>
                <w:vAlign w:val="center"/>
              </w:tcPr>
            </w:tcPrChange>
          </w:tcPr>
          <w:p>
            <w:pPr>
              <w:keepNext/>
              <w:suppressAutoHyphens/>
              <w:jc w:val="center"/>
              <w:rPr>
                <w:rFonts w:eastAsia="SimSun"/>
                <w:noProof/>
                <w:sz w:val="18"/>
                <w:szCs w:val="18"/>
                <w:lang w:val="it-IT" w:eastAsia="zh-CN"/>
              </w:rPr>
              <w:pPrChange w:id="2055" w:author="Author">
                <w:pPr>
                  <w:keepNext/>
                  <w:keepLines/>
                  <w:spacing w:before="50" w:after="50" w:line="240" w:lineRule="exact"/>
                  <w:jc w:val="center"/>
                </w:pPr>
              </w:pPrChange>
            </w:pPr>
            <w:r>
              <w:rPr>
                <w:rFonts w:eastAsia="SimSun"/>
                <w:noProof/>
                <w:sz w:val="18"/>
                <w:szCs w:val="18"/>
                <w:lang w:val="it-IT" w:eastAsia="zh-CN"/>
              </w:rPr>
              <w:t>69 (30,</w:t>
            </w:r>
            <w:del w:id="2056" w:author="Author">
              <w:r>
                <w:rPr>
                  <w:rFonts w:eastAsia="SimSun"/>
                  <w:noProof/>
                  <w:sz w:val="18"/>
                  <w:szCs w:val="18"/>
                  <w:lang w:val="it-IT" w:eastAsia="zh-CN"/>
                </w:rPr>
                <w:delText>.</w:delText>
              </w:r>
            </w:del>
            <w:r>
              <w:rPr>
                <w:rFonts w:eastAsia="SimSun"/>
                <w:noProof/>
                <w:sz w:val="18"/>
                <w:szCs w:val="18"/>
                <w:lang w:val="it-IT" w:eastAsia="zh-CN"/>
              </w:rPr>
              <w:t>0)</w:t>
            </w:r>
          </w:p>
        </w:tc>
        <w:tc>
          <w:tcPr>
            <w:tcW w:w="1558" w:type="dxa"/>
            <w:tcPrChange w:id="2057" w:author="Author">
              <w:tcPr>
                <w:tcW w:w="1558" w:type="dxa"/>
              </w:tcPr>
            </w:tcPrChange>
          </w:tcPr>
          <w:p>
            <w:pPr>
              <w:keepNext/>
              <w:suppressAutoHyphens/>
              <w:jc w:val="center"/>
              <w:rPr>
                <w:rFonts w:eastAsia="SimSun"/>
                <w:noProof/>
                <w:sz w:val="18"/>
                <w:szCs w:val="18"/>
                <w:lang w:val="it-IT" w:eastAsia="zh-CN"/>
              </w:rPr>
              <w:pPrChange w:id="2058" w:author="Author">
                <w:pPr>
                  <w:keepNext/>
                  <w:keepLines/>
                  <w:spacing w:before="50" w:after="50" w:line="240" w:lineRule="exact"/>
                  <w:jc w:val="center"/>
                </w:pPr>
              </w:pPrChange>
            </w:pPr>
            <w:r>
              <w:rPr>
                <w:rFonts w:eastAsia="SimSun"/>
                <w:noProof/>
                <w:sz w:val="18"/>
                <w:szCs w:val="18"/>
                <w:lang w:val="it-IT" w:eastAsia="zh-CN"/>
              </w:rPr>
              <w:t>66 (29,3)</w:t>
            </w:r>
          </w:p>
        </w:tc>
        <w:tc>
          <w:tcPr>
            <w:tcW w:w="992" w:type="dxa"/>
            <w:tcMar>
              <w:top w:w="0" w:type="dxa"/>
              <w:left w:w="57" w:type="dxa"/>
              <w:bottom w:w="0" w:type="dxa"/>
              <w:right w:w="57" w:type="dxa"/>
            </w:tcMar>
            <w:vAlign w:val="center"/>
            <w:tcPrChange w:id="2059" w:author="Author">
              <w:tcPr>
                <w:tcW w:w="992" w:type="dxa"/>
                <w:tcMar>
                  <w:top w:w="0" w:type="dxa"/>
                  <w:left w:w="57" w:type="dxa"/>
                  <w:bottom w:w="0" w:type="dxa"/>
                  <w:right w:w="57" w:type="dxa"/>
                </w:tcMar>
                <w:vAlign w:val="center"/>
              </w:tcPr>
            </w:tcPrChange>
          </w:tcPr>
          <w:p>
            <w:pPr>
              <w:keepNext/>
              <w:suppressAutoHyphens/>
              <w:jc w:val="center"/>
              <w:rPr>
                <w:rFonts w:eastAsia="SimSun"/>
                <w:noProof/>
                <w:sz w:val="18"/>
                <w:szCs w:val="18"/>
                <w:lang w:val="it-IT" w:eastAsia="zh-CN"/>
              </w:rPr>
              <w:pPrChange w:id="2060" w:author="Author">
                <w:pPr>
                  <w:keepNext/>
                  <w:keepLines/>
                  <w:spacing w:before="50" w:after="50" w:line="240" w:lineRule="exact"/>
                  <w:jc w:val="center"/>
                </w:pPr>
              </w:pPrChange>
            </w:pPr>
            <w:r>
              <w:rPr>
                <w:rFonts w:eastAsia="SimSun"/>
                <w:noProof/>
                <w:sz w:val="18"/>
                <w:szCs w:val="18"/>
                <w:lang w:val="it-IT" w:eastAsia="zh-CN"/>
              </w:rPr>
              <w:t>49 (22,4)</w:t>
            </w:r>
          </w:p>
        </w:tc>
      </w:tr>
    </w:tbl>
    <w:p>
      <w:pPr>
        <w:keepNext/>
        <w:keepLines/>
        <w:numPr>
          <w:ilvl w:val="12"/>
          <w:numId w:val="0"/>
        </w:numPr>
        <w:ind w:right="-2"/>
        <w:rPr>
          <w:i/>
          <w:noProof/>
          <w:sz w:val="18"/>
          <w:szCs w:val="18"/>
          <w:lang w:val="it-IT"/>
        </w:rPr>
      </w:pPr>
      <w:r>
        <w:rPr>
          <w:i/>
          <w:noProof/>
          <w:sz w:val="18"/>
          <w:szCs w:val="18"/>
          <w:lang w:val="it-IT"/>
        </w:rPr>
        <w:t>mTSS</w:t>
      </w:r>
      <w:del w:id="2061" w:author="Author">
        <w:r>
          <w:rPr>
            <w:i/>
            <w:noProof/>
            <w:sz w:val="18"/>
            <w:szCs w:val="18"/>
            <w:lang w:val="it-IT"/>
          </w:rPr>
          <w:delText xml:space="preserve">  </w:delText>
        </w:r>
      </w:del>
      <w:r>
        <w:rPr>
          <w:i/>
          <w:noProof/>
          <w:sz w:val="18"/>
          <w:szCs w:val="18"/>
          <w:lang w:val="it-IT"/>
        </w:rPr>
        <w:t xml:space="preserve"> -</w:t>
      </w:r>
      <w:del w:id="2062" w:author="Author">
        <w:r>
          <w:rPr>
            <w:i/>
            <w:noProof/>
            <w:sz w:val="18"/>
            <w:szCs w:val="18"/>
            <w:lang w:val="it-IT"/>
          </w:rPr>
          <w:delText xml:space="preserve"> </w:delText>
        </w:r>
      </w:del>
      <w:r>
        <w:rPr>
          <w:i/>
          <w:noProof/>
          <w:sz w:val="18"/>
          <w:szCs w:val="18"/>
          <w:lang w:val="it-IT"/>
        </w:rPr>
        <w:t xml:space="preserve"> punteggio totale di Sharp modificato</w:t>
      </w:r>
    </w:p>
    <w:p>
      <w:pPr>
        <w:tabs>
          <w:tab w:val="left" w:pos="180"/>
        </w:tabs>
        <w:rPr>
          <w:noProof/>
          <w:sz w:val="18"/>
          <w:szCs w:val="18"/>
          <w:lang w:val="it-IT"/>
        </w:rPr>
      </w:pPr>
      <w:r>
        <w:rPr>
          <w:i/>
          <w:noProof/>
          <w:sz w:val="18"/>
          <w:szCs w:val="18"/>
          <w:lang w:val="it-IT"/>
        </w:rPr>
        <w:t>JSN</w:t>
      </w:r>
      <w:ins w:id="2063" w:author="Author">
        <w:r>
          <w:rPr>
            <w:i/>
            <w:noProof/>
            <w:sz w:val="18"/>
            <w:szCs w:val="18"/>
            <w:lang w:val="it-IT"/>
          </w:rPr>
          <w:t xml:space="preserve"> </w:t>
        </w:r>
      </w:ins>
      <w:del w:id="2064" w:author="Author">
        <w:r>
          <w:rPr>
            <w:i/>
            <w:noProof/>
            <w:sz w:val="18"/>
            <w:szCs w:val="18"/>
            <w:lang w:val="it-IT"/>
          </w:rPr>
          <w:tab/>
        </w:r>
      </w:del>
      <w:r>
        <w:rPr>
          <w:i/>
          <w:noProof/>
          <w:sz w:val="18"/>
          <w:szCs w:val="18"/>
          <w:lang w:val="it-IT"/>
        </w:rPr>
        <w:t>- Joint Space Narrowing, restringimento dello spazio articolare</w:t>
      </w:r>
    </w:p>
    <w:p>
      <w:pPr>
        <w:keepNext/>
        <w:keepLines/>
        <w:numPr>
          <w:ilvl w:val="12"/>
          <w:numId w:val="0"/>
        </w:numPr>
        <w:ind w:right="-2"/>
        <w:rPr>
          <w:noProof/>
          <w:sz w:val="18"/>
          <w:szCs w:val="18"/>
          <w:rPrChange w:id="2065" w:author="Author">
            <w:rPr>
              <w:noProof/>
              <w:sz w:val="18"/>
              <w:szCs w:val="18"/>
              <w:lang w:val="it-IT"/>
            </w:rPr>
          </w:rPrChange>
        </w:rPr>
      </w:pPr>
      <w:r>
        <w:rPr>
          <w:noProof/>
          <w:sz w:val="18"/>
          <w:szCs w:val="18"/>
          <w:rPrChange w:id="2066" w:author="Author">
            <w:rPr>
              <w:noProof/>
              <w:sz w:val="18"/>
              <w:szCs w:val="18"/>
              <w:lang w:val="it-IT"/>
            </w:rPr>
          </w:rPrChange>
        </w:rPr>
        <w:t>TCZ – tocilizumab</w:t>
      </w:r>
    </w:p>
    <w:p>
      <w:pPr>
        <w:keepNext/>
        <w:keepLines/>
        <w:numPr>
          <w:ilvl w:val="12"/>
          <w:numId w:val="0"/>
        </w:numPr>
        <w:ind w:right="-2"/>
        <w:rPr>
          <w:noProof/>
          <w:sz w:val="18"/>
          <w:szCs w:val="18"/>
          <w:rPrChange w:id="2067" w:author="Author">
            <w:rPr>
              <w:noProof/>
              <w:sz w:val="18"/>
              <w:szCs w:val="18"/>
              <w:lang w:val="it-IT"/>
            </w:rPr>
          </w:rPrChange>
        </w:rPr>
      </w:pPr>
      <w:r>
        <w:rPr>
          <w:noProof/>
          <w:sz w:val="18"/>
          <w:szCs w:val="18"/>
          <w:rPrChange w:id="2068" w:author="Author">
            <w:rPr>
              <w:noProof/>
              <w:sz w:val="18"/>
              <w:szCs w:val="18"/>
              <w:lang w:val="it-IT"/>
            </w:rPr>
          </w:rPrChange>
        </w:rPr>
        <w:t>MTX – me</w:t>
      </w:r>
      <w:del w:id="2069" w:author="Author">
        <w:r>
          <w:rPr>
            <w:noProof/>
            <w:sz w:val="18"/>
            <w:szCs w:val="18"/>
            <w:rPrChange w:id="2070" w:author="Author">
              <w:rPr>
                <w:noProof/>
                <w:sz w:val="18"/>
                <w:szCs w:val="18"/>
                <w:lang w:val="it-IT"/>
              </w:rPr>
            </w:rPrChange>
          </w:rPr>
          <w:delText>th</w:delText>
        </w:r>
      </w:del>
      <w:r>
        <w:rPr>
          <w:noProof/>
          <w:sz w:val="18"/>
          <w:szCs w:val="18"/>
          <w:rPrChange w:id="2071" w:author="Author">
            <w:rPr>
              <w:noProof/>
              <w:sz w:val="18"/>
              <w:szCs w:val="18"/>
              <w:lang w:val="it-IT"/>
            </w:rPr>
          </w:rPrChange>
        </w:rPr>
        <w:t>otrexat</w:t>
      </w:r>
      <w:ins w:id="2072" w:author="Author">
        <w:r>
          <w:rPr>
            <w:noProof/>
            <w:sz w:val="18"/>
            <w:szCs w:val="18"/>
          </w:rPr>
          <w:t>o</w:t>
        </w:r>
      </w:ins>
      <w:del w:id="2073" w:author="Author">
        <w:r>
          <w:rPr>
            <w:noProof/>
            <w:sz w:val="18"/>
            <w:szCs w:val="18"/>
            <w:rPrChange w:id="2074" w:author="Author">
              <w:rPr>
                <w:noProof/>
                <w:sz w:val="18"/>
                <w:szCs w:val="18"/>
                <w:lang w:val="it-IT"/>
              </w:rPr>
            </w:rPrChange>
          </w:rPr>
          <w:delText>e</w:delText>
        </w:r>
      </w:del>
    </w:p>
    <w:p>
      <w:pPr>
        <w:keepNext/>
        <w:keepLines/>
        <w:numPr>
          <w:ilvl w:val="12"/>
          <w:numId w:val="0"/>
        </w:numPr>
        <w:ind w:right="-2"/>
        <w:rPr>
          <w:noProof/>
          <w:sz w:val="18"/>
          <w:szCs w:val="18"/>
          <w:rPrChange w:id="2075" w:author="Author">
            <w:rPr>
              <w:noProof/>
              <w:sz w:val="18"/>
              <w:szCs w:val="18"/>
              <w:lang w:val="it-IT"/>
            </w:rPr>
          </w:rPrChange>
        </w:rPr>
      </w:pPr>
      <w:r>
        <w:rPr>
          <w:noProof/>
          <w:sz w:val="18"/>
          <w:szCs w:val="18"/>
          <w:rPrChange w:id="2076" w:author="Author">
            <w:rPr>
              <w:noProof/>
              <w:sz w:val="18"/>
              <w:szCs w:val="18"/>
              <w:lang w:val="it-IT"/>
            </w:rPr>
          </w:rPrChange>
        </w:rPr>
        <w:t>ACR - American College of Rheumatology (ACR) criteria</w:t>
      </w:r>
    </w:p>
    <w:p>
      <w:pPr>
        <w:keepNext/>
        <w:keepLines/>
        <w:numPr>
          <w:ilvl w:val="12"/>
          <w:numId w:val="0"/>
        </w:numPr>
        <w:ind w:right="-2"/>
        <w:rPr>
          <w:noProof/>
          <w:sz w:val="18"/>
          <w:szCs w:val="18"/>
          <w:lang w:val="it-IT"/>
        </w:rPr>
      </w:pPr>
      <w:r>
        <w:rPr>
          <w:noProof/>
          <w:sz w:val="18"/>
          <w:szCs w:val="18"/>
          <w:rPrChange w:id="2077" w:author="Author">
            <w:rPr>
              <w:noProof/>
              <w:sz w:val="18"/>
              <w:szCs w:val="18"/>
              <w:lang w:val="it-IT"/>
            </w:rPr>
          </w:rPrChange>
        </w:rPr>
        <w:t xml:space="preserve"> </w:t>
      </w:r>
      <w:r>
        <w:rPr>
          <w:noProof/>
          <w:sz w:val="18"/>
          <w:szCs w:val="18"/>
          <w:lang w:val="it-IT"/>
        </w:rPr>
        <w:t>Tutti i confronti di efficacia vs placebo + MTX. *** p ≤ 0,0001; ** p &lt;</w:t>
      </w:r>
      <w:ins w:id="2078" w:author="Author">
        <w:r>
          <w:rPr>
            <w:noProof/>
            <w:sz w:val="18"/>
            <w:szCs w:val="18"/>
            <w:lang w:val="it-IT"/>
          </w:rPr>
          <w:t xml:space="preserve"> </w:t>
        </w:r>
      </w:ins>
      <w:r>
        <w:rPr>
          <w:noProof/>
          <w:sz w:val="18"/>
          <w:szCs w:val="18"/>
          <w:lang w:val="it-IT"/>
        </w:rPr>
        <w:t>0,001; * p &lt;</w:t>
      </w:r>
      <w:ins w:id="2079" w:author="Author">
        <w:r>
          <w:rPr>
            <w:noProof/>
            <w:sz w:val="18"/>
            <w:szCs w:val="18"/>
            <w:lang w:val="it-IT"/>
          </w:rPr>
          <w:t xml:space="preserve">  </w:t>
        </w:r>
      </w:ins>
      <w:r>
        <w:rPr>
          <w:noProof/>
          <w:sz w:val="18"/>
          <w:szCs w:val="18"/>
          <w:lang w:val="it-IT"/>
        </w:rPr>
        <w:t xml:space="preserve">0,05; </w:t>
      </w:r>
      <w:r>
        <w:rPr>
          <w:noProof/>
          <w:sz w:val="18"/>
          <w:szCs w:val="18"/>
          <w:lang w:val="it-IT"/>
        </w:rPr>
        <w:br/>
        <w:t>‡ p-value &lt;</w:t>
      </w:r>
      <w:ins w:id="2080" w:author="Author">
        <w:r>
          <w:rPr>
            <w:noProof/>
            <w:sz w:val="18"/>
            <w:szCs w:val="18"/>
            <w:lang w:val="it-IT"/>
          </w:rPr>
          <w:t xml:space="preserve"> </w:t>
        </w:r>
      </w:ins>
      <w:r>
        <w:rPr>
          <w:noProof/>
          <w:sz w:val="18"/>
          <w:szCs w:val="18"/>
          <w:lang w:val="it-IT"/>
        </w:rPr>
        <w:t>0</w:t>
      </w:r>
      <w:ins w:id="2081" w:author="Author">
        <w:r>
          <w:rPr>
            <w:noProof/>
            <w:sz w:val="18"/>
            <w:szCs w:val="18"/>
            <w:lang w:val="it-IT"/>
          </w:rPr>
          <w:t>,</w:t>
        </w:r>
      </w:ins>
      <w:del w:id="2082" w:author="Author">
        <w:r>
          <w:rPr>
            <w:noProof/>
            <w:sz w:val="18"/>
            <w:szCs w:val="18"/>
            <w:lang w:val="it-IT"/>
          </w:rPr>
          <w:delText>.</w:delText>
        </w:r>
      </w:del>
      <w:r>
        <w:rPr>
          <w:noProof/>
          <w:sz w:val="18"/>
          <w:szCs w:val="18"/>
          <w:lang w:val="it-IT"/>
        </w:rPr>
        <w:t>05 vs placebo + MTX, ma l’endpoint era esplorativo (non incluso nella gerarchia dei test statistici e pertanto non è stato controllato per la molteplicità).</w:t>
      </w:r>
    </w:p>
    <w:p>
      <w:pPr>
        <w:numPr>
          <w:ilvl w:val="12"/>
          <w:numId w:val="0"/>
        </w:numPr>
        <w:ind w:right="-2"/>
        <w:rPr>
          <w:rFonts w:eastAsia="MS PGothic"/>
          <w:noProof/>
          <w:color w:val="000000"/>
          <w:szCs w:val="22"/>
          <w:lang w:val="it-IT"/>
        </w:rPr>
      </w:pPr>
    </w:p>
    <w:p>
      <w:pPr>
        <w:keepNext/>
        <w:keepLines/>
        <w:rPr>
          <w:iCs/>
          <w:noProof/>
          <w:color w:val="000000"/>
          <w:szCs w:val="22"/>
          <w:u w:val="single"/>
          <w:lang w:val="it-IT"/>
          <w:rPrChange w:id="2083" w:author="Author">
            <w:rPr>
              <w:i/>
              <w:color w:val="000000"/>
              <w:szCs w:val="22"/>
              <w:u w:val="single"/>
              <w:lang w:val="it-IT"/>
            </w:rPr>
          </w:rPrChange>
        </w:rPr>
      </w:pPr>
      <w:r>
        <w:rPr>
          <w:iCs/>
          <w:noProof/>
          <w:color w:val="000000"/>
          <w:szCs w:val="22"/>
          <w:u w:val="single"/>
          <w:lang w:val="it-IT"/>
          <w:rPrChange w:id="2084" w:author="Author">
            <w:rPr>
              <w:i/>
              <w:color w:val="000000"/>
              <w:szCs w:val="22"/>
              <w:u w:val="single"/>
              <w:lang w:val="it-IT"/>
            </w:rPr>
          </w:rPrChange>
        </w:rPr>
        <w:t xml:space="preserve">COVID-19 </w:t>
      </w:r>
    </w:p>
    <w:p>
      <w:pPr>
        <w:keepNext/>
        <w:keepLines/>
        <w:rPr>
          <w:del w:id="2085" w:author="Author"/>
          <w:rFonts w:eastAsia="MS PGothic"/>
          <w:i/>
          <w:iCs/>
          <w:noProof/>
          <w:color w:val="000000"/>
          <w:szCs w:val="22"/>
          <w:lang w:val="it-IT"/>
          <w:rPrChange w:id="2086" w:author="Author">
            <w:rPr>
              <w:del w:id="2087" w:author="Author"/>
              <w:rFonts w:eastAsia="MS PGothic"/>
              <w:i/>
              <w:color w:val="000000"/>
              <w:szCs w:val="22"/>
              <w:u w:val="single"/>
              <w:lang w:val="it-IT"/>
            </w:rPr>
          </w:rPrChange>
        </w:rPr>
      </w:pPr>
    </w:p>
    <w:p>
      <w:pPr>
        <w:keepNext/>
        <w:keepLines/>
        <w:rPr>
          <w:rFonts w:eastAsia="MS PGothic"/>
          <w:i/>
          <w:iCs/>
          <w:noProof/>
          <w:color w:val="000000"/>
          <w:szCs w:val="22"/>
          <w:lang w:val="it-IT"/>
          <w:rPrChange w:id="2088" w:author="Author">
            <w:rPr>
              <w:rFonts w:eastAsia="MS PGothic"/>
              <w:color w:val="000000"/>
              <w:szCs w:val="22"/>
              <w:u w:val="single"/>
              <w:lang w:val="it-IT"/>
            </w:rPr>
          </w:rPrChange>
        </w:rPr>
      </w:pPr>
      <w:r>
        <w:rPr>
          <w:i/>
          <w:iCs/>
          <w:noProof/>
          <w:color w:val="000000"/>
          <w:szCs w:val="22"/>
          <w:lang w:val="it-IT"/>
          <w:rPrChange w:id="2089" w:author="Author">
            <w:rPr>
              <w:color w:val="000000"/>
              <w:szCs w:val="22"/>
              <w:u w:val="single"/>
              <w:lang w:val="it-IT"/>
            </w:rPr>
          </w:rPrChange>
        </w:rPr>
        <w:t>Efficacia clinica</w:t>
      </w:r>
    </w:p>
    <w:p>
      <w:pPr>
        <w:keepNext/>
        <w:keepLines/>
        <w:rPr>
          <w:del w:id="2090" w:author="Author"/>
          <w:rFonts w:eastAsia="MS PGothic"/>
          <w:noProof/>
          <w:color w:val="000000"/>
          <w:szCs w:val="22"/>
          <w:lang w:val="it-IT"/>
        </w:rPr>
      </w:pPr>
    </w:p>
    <w:p>
      <w:pPr>
        <w:numPr>
          <w:ilvl w:val="12"/>
          <w:numId w:val="0"/>
        </w:numPr>
        <w:ind w:right="-2"/>
        <w:rPr>
          <w:rFonts w:eastAsia="MS PGothic"/>
          <w:bCs/>
          <w:noProof/>
          <w:color w:val="000000"/>
          <w:szCs w:val="22"/>
          <w:lang w:val="it-IT"/>
        </w:rPr>
      </w:pPr>
      <w:r>
        <w:rPr>
          <w:bCs/>
          <w:noProof/>
          <w:color w:val="000000"/>
          <w:szCs w:val="22"/>
          <w:lang w:val="it-IT"/>
        </w:rPr>
        <w:t xml:space="preserve">Studio </w:t>
      </w:r>
      <w:ins w:id="2091" w:author="Author">
        <w:r>
          <w:rPr>
            <w:bCs/>
            <w:noProof/>
            <w:color w:val="000000"/>
            <w:szCs w:val="22"/>
            <w:lang w:val="it-IT"/>
          </w:rPr>
          <w:t xml:space="preserve">del gruppo collaborativo </w:t>
        </w:r>
      </w:ins>
      <w:r>
        <w:rPr>
          <w:bCs/>
          <w:noProof/>
          <w:color w:val="000000"/>
          <w:szCs w:val="22"/>
          <w:lang w:val="it-IT"/>
        </w:rPr>
        <w:t>RECOVERY (</w:t>
      </w:r>
      <w:bookmarkStart w:id="2092" w:name="_Hlk223623491"/>
      <w:r>
        <w:rPr>
          <w:bCs/>
          <w:noProof/>
          <w:color w:val="000000"/>
          <w:szCs w:val="22"/>
          <w:lang w:val="it-IT"/>
        </w:rPr>
        <w:t>randomised evaluation of COVID-19 therapy</w:t>
      </w:r>
      <w:bookmarkEnd w:id="2092"/>
      <w:r>
        <w:rPr>
          <w:bCs/>
          <w:noProof/>
          <w:color w:val="000000"/>
          <w:szCs w:val="22"/>
          <w:lang w:val="it-IT"/>
        </w:rPr>
        <w:t xml:space="preserve">) </w:t>
      </w:r>
      <w:del w:id="2093" w:author="Author">
        <w:r>
          <w:rPr>
            <w:bCs/>
            <w:noProof/>
            <w:color w:val="000000"/>
            <w:szCs w:val="22"/>
            <w:lang w:val="it-IT"/>
          </w:rPr>
          <w:delText xml:space="preserve">del RECOVERY collaborative group </w:delText>
        </w:r>
      </w:del>
      <w:ins w:id="2094" w:author="Author">
        <w:r>
          <w:rPr>
            <w:bCs/>
            <w:noProof/>
            <w:color w:val="000000"/>
            <w:szCs w:val="22"/>
            <w:lang w:val="it-IT"/>
          </w:rPr>
          <w:t xml:space="preserve">condotto </w:t>
        </w:r>
      </w:ins>
      <w:del w:id="2095" w:author="Author">
        <w:r>
          <w:rPr>
            <w:bCs/>
            <w:noProof/>
            <w:color w:val="000000"/>
            <w:szCs w:val="22"/>
            <w:lang w:val="it-IT"/>
          </w:rPr>
          <w:delText xml:space="preserve">su </w:delText>
        </w:r>
      </w:del>
      <w:ins w:id="2096" w:author="Author">
        <w:r>
          <w:rPr>
            <w:bCs/>
            <w:noProof/>
            <w:color w:val="000000"/>
            <w:szCs w:val="22"/>
            <w:lang w:val="it-IT"/>
          </w:rPr>
          <w:t xml:space="preserve">in pazienti </w:t>
        </w:r>
      </w:ins>
      <w:r>
        <w:rPr>
          <w:bCs/>
          <w:noProof/>
          <w:color w:val="000000"/>
          <w:szCs w:val="22"/>
          <w:lang w:val="it-IT"/>
        </w:rPr>
        <w:t xml:space="preserve">adulti </w:t>
      </w:r>
      <w:del w:id="2097" w:author="Author">
        <w:r>
          <w:rPr>
            <w:bCs/>
            <w:noProof/>
            <w:color w:val="000000"/>
            <w:szCs w:val="22"/>
            <w:lang w:val="it-IT"/>
          </w:rPr>
          <w:delText>ricoverati in ospedale</w:delText>
        </w:r>
      </w:del>
      <w:ins w:id="2098" w:author="Author">
        <w:r>
          <w:rPr>
            <w:bCs/>
            <w:noProof/>
            <w:color w:val="000000"/>
            <w:szCs w:val="22"/>
            <w:lang w:val="it-IT"/>
          </w:rPr>
          <w:t>ospedalizzati</w:t>
        </w:r>
      </w:ins>
      <w:r>
        <w:rPr>
          <w:bCs/>
          <w:noProof/>
          <w:color w:val="000000"/>
          <w:szCs w:val="22"/>
          <w:lang w:val="it-IT"/>
        </w:rPr>
        <w:t xml:space="preserve"> con diagnosi di COVID-19 </w:t>
      </w:r>
    </w:p>
    <w:p>
      <w:pPr>
        <w:numPr>
          <w:ilvl w:val="12"/>
          <w:numId w:val="0"/>
        </w:numPr>
        <w:ind w:right="-2"/>
        <w:rPr>
          <w:rFonts w:eastAsia="MS PGothic"/>
          <w:b/>
          <w:noProof/>
          <w:color w:val="000000"/>
          <w:szCs w:val="22"/>
          <w:lang w:val="it-IT"/>
        </w:rPr>
      </w:pPr>
    </w:p>
    <w:p>
      <w:pPr>
        <w:numPr>
          <w:ilvl w:val="12"/>
          <w:numId w:val="0"/>
        </w:numPr>
        <w:ind w:right="-2"/>
        <w:rPr>
          <w:noProof/>
          <w:szCs w:val="22"/>
          <w:lang w:val="it-IT"/>
        </w:rPr>
      </w:pPr>
      <w:r>
        <w:rPr>
          <w:noProof/>
          <w:lang w:val="it-IT"/>
        </w:rPr>
        <w:t xml:space="preserve">Lo </w:t>
      </w:r>
      <w:del w:id="2099" w:author="Author">
        <w:r>
          <w:rPr>
            <w:noProof/>
            <w:lang w:val="it-IT"/>
          </w:rPr>
          <w:delText xml:space="preserve">studio </w:delText>
        </w:r>
      </w:del>
      <w:ins w:id="2100" w:author="Author">
        <w:r>
          <w:rPr>
            <w:noProof/>
            <w:lang w:val="it-IT"/>
          </w:rPr>
          <w:t xml:space="preserve">Studio </w:t>
        </w:r>
      </w:ins>
      <w:r>
        <w:rPr>
          <w:noProof/>
          <w:lang w:val="it-IT"/>
        </w:rPr>
        <w:t xml:space="preserve">RECOVERY è stato un ampio studio </w:t>
      </w:r>
      <w:ins w:id="2101" w:author="Author">
        <w:r>
          <w:rPr>
            <w:noProof/>
            <w:lang w:val="it-IT"/>
          </w:rPr>
          <w:t xml:space="preserve">clinico </w:t>
        </w:r>
      </w:ins>
      <w:r>
        <w:rPr>
          <w:noProof/>
          <w:lang w:val="it-IT"/>
        </w:rPr>
        <w:t xml:space="preserve">randomizzato, controllato, in aperto e multicentrico condotto nel Regno Unito per valutare l’efficacia e la sicurezza di trattamenti potenziali in pazienti adulti </w:t>
      </w:r>
      <w:del w:id="2102" w:author="Author">
        <w:r>
          <w:rPr>
            <w:noProof/>
            <w:lang w:val="it-IT"/>
          </w:rPr>
          <w:delText>ricoverati in ospedale</w:delText>
        </w:r>
      </w:del>
      <w:ins w:id="2103" w:author="Author">
        <w:r>
          <w:rPr>
            <w:noProof/>
            <w:lang w:val="it-IT"/>
          </w:rPr>
          <w:t>ospedalizzati</w:t>
        </w:r>
      </w:ins>
      <w:r>
        <w:rPr>
          <w:noProof/>
          <w:lang w:val="it-IT"/>
        </w:rPr>
        <w:t xml:space="preserve"> affetti da COVID-19 severo. Tutti i pazienti idonei hanno ricevuto la terapia standard e sono stati sottoposti a una prima randomizzazione (principale). I pazienti idonei alla sperimentazione presentavano un sospetto clinico di infezione da SARS-CoV-2 o infezione da SARS-CoV-2 confermata dagli esami di laboratorio e nessuna controindicazione medica ai trattamenti. I pazienti con evidenza clinica di progressione di COVID-19 (da intendersi come saturazione di ossigeno &lt;</w:t>
      </w:r>
      <w:ins w:id="2104" w:author="Author">
        <w:r>
          <w:rPr>
            <w:noProof/>
            <w:lang w:val="it-IT"/>
          </w:rPr>
          <w:t xml:space="preserve"> </w:t>
        </w:r>
      </w:ins>
      <w:r>
        <w:rPr>
          <w:noProof/>
          <w:lang w:val="it-IT"/>
        </w:rPr>
        <w:t xml:space="preserve">92% in aria ambiente o trattamento con ossigenoterapia e PCR ≥ 75 mg/L) sono stati </w:t>
      </w:r>
      <w:r>
        <w:rPr>
          <w:noProof/>
          <w:lang w:val="it-IT"/>
        </w:rPr>
        <w:lastRenderedPageBreak/>
        <w:t>considerati idonei a una seconda randomizzazione al trattamento con tocilizumab per via endovenosa o alla sola terapia standard.</w:t>
      </w:r>
    </w:p>
    <w:p>
      <w:pPr>
        <w:numPr>
          <w:ilvl w:val="12"/>
          <w:numId w:val="0"/>
        </w:numPr>
        <w:ind w:right="-2"/>
        <w:rPr>
          <w:noProof/>
          <w:szCs w:val="22"/>
          <w:lang w:val="it-IT"/>
        </w:rPr>
      </w:pPr>
    </w:p>
    <w:p>
      <w:pPr>
        <w:numPr>
          <w:ilvl w:val="12"/>
          <w:numId w:val="0"/>
        </w:numPr>
        <w:ind w:right="-2"/>
        <w:rPr>
          <w:noProof/>
          <w:szCs w:val="22"/>
          <w:lang w:val="it-IT"/>
        </w:rPr>
      </w:pPr>
      <w:r>
        <w:rPr>
          <w:noProof/>
          <w:lang w:val="it-IT"/>
        </w:rPr>
        <w:t>Le analisi di efficacia sono state condotte nella popolazione intent-to-treat (ITT) comprendente 4</w:t>
      </w:r>
      <w:ins w:id="2105" w:author="Author">
        <w:r>
          <w:rPr>
            <w:noProof/>
            <w:lang w:val="it-IT"/>
          </w:rPr>
          <w:t> </w:t>
        </w:r>
      </w:ins>
      <w:r>
        <w:rPr>
          <w:noProof/>
          <w:lang w:val="it-IT"/>
        </w:rPr>
        <w:t>116</w:t>
      </w:r>
      <w:ins w:id="2106" w:author="Author">
        <w:r>
          <w:rPr>
            <w:noProof/>
            <w:lang w:val="it-IT"/>
          </w:rPr>
          <w:t> </w:t>
        </w:r>
      </w:ins>
      <w:del w:id="2107" w:author="Author">
        <w:r>
          <w:rPr>
            <w:noProof/>
            <w:lang w:val="it-IT"/>
          </w:rPr>
          <w:delText xml:space="preserve"> </w:delText>
        </w:r>
      </w:del>
      <w:r>
        <w:rPr>
          <w:noProof/>
          <w:lang w:val="it-IT"/>
        </w:rPr>
        <w:t>pazienti randomizzati, con 2</w:t>
      </w:r>
      <w:ins w:id="2108" w:author="Author">
        <w:r>
          <w:rPr>
            <w:noProof/>
            <w:lang w:val="it-IT"/>
          </w:rPr>
          <w:t> </w:t>
        </w:r>
      </w:ins>
      <w:r>
        <w:rPr>
          <w:noProof/>
          <w:lang w:val="it-IT"/>
        </w:rPr>
        <w:t>022</w:t>
      </w:r>
      <w:ins w:id="2109" w:author="Author">
        <w:r>
          <w:rPr>
            <w:noProof/>
            <w:lang w:val="it-IT"/>
          </w:rPr>
          <w:t> </w:t>
        </w:r>
      </w:ins>
      <w:del w:id="2110" w:author="Author">
        <w:r>
          <w:rPr>
            <w:noProof/>
            <w:lang w:val="it-IT"/>
          </w:rPr>
          <w:delText xml:space="preserve"> </w:delText>
        </w:r>
      </w:del>
      <w:r>
        <w:rPr>
          <w:noProof/>
          <w:lang w:val="it-IT"/>
        </w:rPr>
        <w:t>pazienti nel braccio tocilizumab + terapia standard e 2</w:t>
      </w:r>
      <w:ins w:id="2111" w:author="Author">
        <w:r>
          <w:rPr>
            <w:noProof/>
            <w:lang w:val="it-IT"/>
          </w:rPr>
          <w:t> </w:t>
        </w:r>
      </w:ins>
      <w:r>
        <w:rPr>
          <w:noProof/>
          <w:lang w:val="it-IT"/>
        </w:rPr>
        <w:t>094</w:t>
      </w:r>
      <w:ins w:id="2112" w:author="Author">
        <w:r>
          <w:rPr>
            <w:noProof/>
            <w:lang w:val="it-IT"/>
          </w:rPr>
          <w:t> </w:t>
        </w:r>
      </w:ins>
      <w:del w:id="2113" w:author="Author">
        <w:r>
          <w:rPr>
            <w:noProof/>
            <w:lang w:val="it-IT"/>
          </w:rPr>
          <w:delText xml:space="preserve"> </w:delText>
        </w:r>
      </w:del>
      <w:r>
        <w:rPr>
          <w:noProof/>
          <w:lang w:val="it-IT"/>
        </w:rPr>
        <w:t>pazienti nel braccio con</w:t>
      </w:r>
      <w:del w:id="2114" w:author="Author">
        <w:r>
          <w:rPr>
            <w:noProof/>
            <w:lang w:val="it-IT"/>
          </w:rPr>
          <w:delText xml:space="preserve"> </w:delText>
        </w:r>
      </w:del>
      <w:r>
        <w:rPr>
          <w:noProof/>
          <w:lang w:val="it-IT"/>
        </w:rPr>
        <w:t xml:space="preserve"> sola terapia standard. Le caratteristiche al basale circa gli aspetti demografici e gli aspetti di malattia relative alla popolazione ITT erano ben bilanciate tra i bracci di trattamento. L’età media dei partecipanti era di 63,6 anni (deviazione standard [DS] 13,6 anni). La maggior parte dei pazienti era di sesso maschile (67%) e caucasica (76%). Il livello mediano (range) della PCR era di 143 mg/L (75-982).</w:t>
      </w:r>
    </w:p>
    <w:p>
      <w:pPr>
        <w:numPr>
          <w:ilvl w:val="12"/>
          <w:numId w:val="0"/>
        </w:numPr>
        <w:ind w:right="-2"/>
        <w:rPr>
          <w:noProof/>
          <w:szCs w:val="22"/>
          <w:lang w:val="it-IT"/>
        </w:rPr>
      </w:pPr>
    </w:p>
    <w:p>
      <w:pPr>
        <w:numPr>
          <w:ilvl w:val="12"/>
          <w:numId w:val="0"/>
        </w:numPr>
        <w:ind w:right="-2"/>
        <w:rPr>
          <w:noProof/>
          <w:szCs w:val="22"/>
          <w:lang w:val="it-IT"/>
        </w:rPr>
      </w:pPr>
      <w:r>
        <w:rPr>
          <w:noProof/>
          <w:lang w:val="it-IT"/>
        </w:rPr>
        <w:t>Al basale, lo 0,2% (n</w:t>
      </w:r>
      <w:del w:id="2115" w:author="Author">
        <w:r>
          <w:rPr>
            <w:noProof/>
            <w:lang w:val="it-IT"/>
          </w:rPr>
          <w:delText xml:space="preserve"> </w:delText>
        </w:r>
      </w:del>
      <w:ins w:id="2116" w:author="Author">
        <w:r>
          <w:rPr>
            <w:noProof/>
            <w:lang w:val="it-IT"/>
          </w:rPr>
          <w:t> </w:t>
        </w:r>
      </w:ins>
      <w:r>
        <w:rPr>
          <w:noProof/>
          <w:lang w:val="it-IT"/>
        </w:rPr>
        <w:t>=</w:t>
      </w:r>
      <w:ins w:id="2117" w:author="Author">
        <w:r>
          <w:rPr>
            <w:noProof/>
            <w:lang w:val="it-IT"/>
          </w:rPr>
          <w:t> </w:t>
        </w:r>
      </w:ins>
      <w:del w:id="2118" w:author="Author">
        <w:r>
          <w:rPr>
            <w:noProof/>
            <w:lang w:val="it-IT"/>
          </w:rPr>
          <w:delText xml:space="preserve"> </w:delText>
        </w:r>
      </w:del>
      <w:r>
        <w:rPr>
          <w:noProof/>
          <w:lang w:val="it-IT"/>
        </w:rPr>
        <w:t>9) dei pazienti non era sottoposto a ossigenoterapia supplementare, il 45% dei pazienti necessitava di ossigeno a bassi flussi, il 41% dei pazienti necessitava di ventilazione non invasiva o di ossigeno ad alti flussi e il 14% dei pazienti necessitava di ventilazione meccanica invasiva;</w:t>
      </w:r>
      <w:del w:id="2119" w:author="Author">
        <w:r>
          <w:rPr>
            <w:noProof/>
            <w:lang w:val="it-IT"/>
          </w:rPr>
          <w:delText xml:space="preserve"> </w:delText>
        </w:r>
      </w:del>
      <w:r>
        <w:rPr>
          <w:noProof/>
          <w:lang w:val="it-IT"/>
        </w:rPr>
        <w:t xml:space="preserve"> l’82% dei pazienti era in trattamento con corticosteroidi sistemici (da intendersi come pazienti che avevano iniziato il trattamento con corticosteroidi sistemici prima o al momento della randomizzazione). Le comorbilità più comuni erano diabete (28,4%), cardiopatia (22,6%) e malattia polmonare cronica (23,3%).</w:t>
      </w:r>
    </w:p>
    <w:p>
      <w:pPr>
        <w:numPr>
          <w:ilvl w:val="12"/>
          <w:numId w:val="0"/>
        </w:numPr>
        <w:ind w:right="-2"/>
        <w:rPr>
          <w:noProof/>
          <w:szCs w:val="22"/>
          <w:lang w:val="it-IT"/>
        </w:rPr>
      </w:pPr>
    </w:p>
    <w:p>
      <w:pPr>
        <w:numPr>
          <w:ilvl w:val="12"/>
          <w:numId w:val="0"/>
        </w:numPr>
        <w:ind w:right="-2"/>
        <w:rPr>
          <w:noProof/>
          <w:szCs w:val="22"/>
          <w:lang w:val="it-IT"/>
        </w:rPr>
      </w:pPr>
      <w:r>
        <w:rPr>
          <w:noProof/>
          <w:szCs w:val="22"/>
          <w:lang w:val="it-IT"/>
        </w:rPr>
        <w:t>L’outcome primario era il tempo al decesso fino al giorno 28. L’hazard ratio del confronto tra il braccio tocilizumab + terapia standard e il braccio sottoposto alla sola terapia standard era pari a 0,85 (IC al 95%: 0,76; 0,94), un risultato statisticamente significativo (p</w:t>
      </w:r>
      <w:del w:id="2120" w:author="Author">
        <w:r>
          <w:rPr>
            <w:noProof/>
            <w:szCs w:val="22"/>
            <w:lang w:val="it-IT"/>
          </w:rPr>
          <w:delText xml:space="preserve"> </w:delText>
        </w:r>
      </w:del>
      <w:ins w:id="2121" w:author="Author">
        <w:r>
          <w:rPr>
            <w:noProof/>
            <w:szCs w:val="22"/>
            <w:lang w:val="it-IT"/>
          </w:rPr>
          <w:t> </w:t>
        </w:r>
      </w:ins>
      <w:r>
        <w:rPr>
          <w:noProof/>
          <w:szCs w:val="22"/>
          <w:lang w:val="it-IT"/>
          <w:rPrChange w:id="2122" w:author="Author">
            <w:rPr>
              <w:rFonts w:ascii="Symbol" w:hAnsi="Symbol"/>
              <w:szCs w:val="22"/>
              <w:lang w:val="it-IT"/>
            </w:rPr>
          </w:rPrChange>
        </w:rPr>
        <w:sym w:font="Symbol" w:char="F03D"/>
      </w:r>
      <w:ins w:id="2123" w:author="Author">
        <w:r>
          <w:rPr>
            <w:noProof/>
            <w:szCs w:val="22"/>
            <w:lang w:val="it-IT"/>
            <w:rPrChange w:id="2124" w:author="Author">
              <w:rPr>
                <w:rFonts w:ascii="Cambria" w:hAnsi="Cambria"/>
                <w:szCs w:val="22"/>
                <w:lang w:val="it-IT"/>
              </w:rPr>
            </w:rPrChange>
          </w:rPr>
          <w:t> </w:t>
        </w:r>
      </w:ins>
      <w:del w:id="2125" w:author="Author">
        <w:r>
          <w:rPr>
            <w:noProof/>
            <w:szCs w:val="22"/>
            <w:lang w:val="it-IT"/>
          </w:rPr>
          <w:delText xml:space="preserve"> </w:delText>
        </w:r>
      </w:del>
      <w:r>
        <w:rPr>
          <w:noProof/>
          <w:szCs w:val="22"/>
          <w:lang w:val="it-IT"/>
        </w:rPr>
        <w:t>0,0028). Le probabilità stimate di decesso entro il giorno 28 erano del 30,7% e del 34,9% rispettivamente nel braccio tocilizumab</w:t>
      </w:r>
      <w:del w:id="2126" w:author="Author">
        <w:r>
          <w:rPr>
            <w:noProof/>
            <w:szCs w:val="22"/>
            <w:lang w:val="it-IT"/>
          </w:rPr>
          <w:delText xml:space="preserve"> </w:delText>
        </w:r>
      </w:del>
      <w:r>
        <w:rPr>
          <w:noProof/>
          <w:szCs w:val="22"/>
          <w:lang w:val="it-IT"/>
        </w:rPr>
        <w:t xml:space="preserve"> e nel braccio sottoposto alla terapia standard. La differenza di rischio è stata stimata al -4,1% (IC al 95%: -7,0%; -1,3%), in linea con l’analisi primaria. L’hazard ratio era pari a 0,79 (IC al 95%: 0,70; 0,89) nel sottogruppo predefinito di pazienti in trattamento con corticosteroidi sistemici al basale e a 1,16 (IC al 95%: 0,91; 1,48) nel sottogruppo predefinito di pazienti non in trattamento con corticosteroidi sistemici al basale.</w:t>
      </w:r>
    </w:p>
    <w:p>
      <w:pPr>
        <w:numPr>
          <w:ilvl w:val="12"/>
          <w:numId w:val="0"/>
        </w:numPr>
        <w:ind w:right="-2"/>
        <w:rPr>
          <w:noProof/>
          <w:szCs w:val="22"/>
          <w:lang w:val="it-IT"/>
        </w:rPr>
      </w:pPr>
    </w:p>
    <w:p>
      <w:pPr>
        <w:numPr>
          <w:ilvl w:val="12"/>
          <w:numId w:val="0"/>
        </w:numPr>
        <w:ind w:right="-2"/>
        <w:rPr>
          <w:noProof/>
          <w:szCs w:val="22"/>
          <w:lang w:val="it-IT"/>
        </w:rPr>
      </w:pPr>
      <w:r>
        <w:rPr>
          <w:noProof/>
          <w:lang w:val="it-IT"/>
        </w:rPr>
        <w:t>Il tempo mediano alle dimissioni dall’ospedale è stato di 19 giorni nel braccio tocilizumab + terapia standard e &gt; 28 giorni nel braccio sottoposto alla sola terapia standard (hazard ratio [IC al 95%]</w:t>
      </w:r>
      <w:ins w:id="2127" w:author="Author">
        <w:r>
          <w:rPr>
            <w:noProof/>
            <w:lang w:val="it-IT"/>
          </w:rPr>
          <w:t> </w:t>
        </w:r>
      </w:ins>
      <w:del w:id="2128" w:author="Author">
        <w:r>
          <w:rPr>
            <w:noProof/>
            <w:lang w:val="it-IT"/>
          </w:rPr>
          <w:delText xml:space="preserve"> </w:delText>
        </w:r>
      </w:del>
      <w:r>
        <w:rPr>
          <w:noProof/>
          <w:lang w:val="it-IT"/>
        </w:rPr>
        <w:t>=</w:t>
      </w:r>
      <w:ins w:id="2129" w:author="Author">
        <w:r>
          <w:rPr>
            <w:noProof/>
            <w:lang w:val="it-IT"/>
          </w:rPr>
          <w:t> </w:t>
        </w:r>
      </w:ins>
      <w:del w:id="2130" w:author="Author">
        <w:r>
          <w:rPr>
            <w:noProof/>
            <w:lang w:val="it-IT"/>
          </w:rPr>
          <w:delText xml:space="preserve"> </w:delText>
        </w:r>
      </w:del>
      <w:r>
        <w:rPr>
          <w:noProof/>
          <w:lang w:val="it-IT"/>
        </w:rPr>
        <w:t>1,22 [1,12; 1,33]).</w:t>
      </w:r>
    </w:p>
    <w:p>
      <w:pPr>
        <w:numPr>
          <w:ilvl w:val="12"/>
          <w:numId w:val="0"/>
        </w:numPr>
        <w:ind w:right="-2"/>
        <w:rPr>
          <w:noProof/>
          <w:szCs w:val="22"/>
          <w:lang w:val="it-IT"/>
        </w:rPr>
      </w:pPr>
    </w:p>
    <w:p>
      <w:pPr>
        <w:numPr>
          <w:ilvl w:val="12"/>
          <w:numId w:val="0"/>
        </w:numPr>
        <w:ind w:right="-2"/>
        <w:rPr>
          <w:noProof/>
          <w:szCs w:val="22"/>
          <w:lang w:val="it-IT"/>
        </w:rPr>
      </w:pPr>
      <w:r>
        <w:rPr>
          <w:noProof/>
          <w:lang w:val="it-IT"/>
        </w:rPr>
        <w:t>Tra i pazienti non sottoposti a</w:t>
      </w:r>
      <w:del w:id="2131" w:author="Author">
        <w:r>
          <w:rPr>
            <w:noProof/>
            <w:lang w:val="it-IT"/>
          </w:rPr>
          <w:delText xml:space="preserve"> </w:delText>
        </w:r>
      </w:del>
      <w:r>
        <w:rPr>
          <w:noProof/>
          <w:lang w:val="it-IT"/>
        </w:rPr>
        <w:t xml:space="preserve"> ventilazione meccanica invasiva al basale, la percentuale di pazienti per i quali si è resa necessaria la ventilazione meccanica o che sono deceduti entro il giorno 28 è stata pari al 35% (619/1754) nel braccio tocilizumab + terapia standard e al 42% (754/1800) nel braccio trattato solo con la sola terapia standard (rischio relativo [IC al 95%]</w:t>
      </w:r>
      <w:ins w:id="2132" w:author="Author">
        <w:r>
          <w:rPr>
            <w:noProof/>
            <w:lang w:val="it-IT"/>
          </w:rPr>
          <w:t> </w:t>
        </w:r>
      </w:ins>
      <w:del w:id="2133" w:author="Author">
        <w:r>
          <w:rPr>
            <w:noProof/>
            <w:lang w:val="it-IT"/>
          </w:rPr>
          <w:delText xml:space="preserve"> </w:delText>
        </w:r>
      </w:del>
      <w:r>
        <w:rPr>
          <w:noProof/>
          <w:lang w:val="it-IT"/>
        </w:rPr>
        <w:t>=</w:t>
      </w:r>
      <w:ins w:id="2134" w:author="Author">
        <w:r>
          <w:rPr>
            <w:noProof/>
            <w:lang w:val="it-IT"/>
          </w:rPr>
          <w:t> </w:t>
        </w:r>
      </w:ins>
      <w:del w:id="2135" w:author="Author">
        <w:r>
          <w:rPr>
            <w:noProof/>
            <w:lang w:val="it-IT"/>
          </w:rPr>
          <w:delText xml:space="preserve"> </w:delText>
        </w:r>
      </w:del>
      <w:r>
        <w:rPr>
          <w:noProof/>
          <w:lang w:val="it-IT"/>
        </w:rPr>
        <w:t>0,84, [0,77; 0,92] p &lt; 0,0001).</w:t>
      </w:r>
    </w:p>
    <w:p>
      <w:pPr>
        <w:pStyle w:val="Standard1"/>
        <w:rPr>
          <w:rFonts w:ascii="Times New Roman" w:hAnsi="Times New Roman"/>
          <w:noProof/>
          <w:sz w:val="22"/>
          <w:szCs w:val="22"/>
          <w:rPrChange w:id="2136" w:author="Author">
            <w:rPr/>
          </w:rPrChange>
        </w:rPr>
      </w:pPr>
    </w:p>
    <w:p>
      <w:pPr>
        <w:keepNext/>
        <w:keepLines/>
        <w:numPr>
          <w:ilvl w:val="12"/>
          <w:numId w:val="0"/>
        </w:numPr>
        <w:tabs>
          <w:tab w:val="left" w:pos="180"/>
        </w:tabs>
        <w:ind w:right="-2"/>
        <w:rPr>
          <w:noProof/>
          <w:u w:val="single"/>
          <w:lang w:val="it-IT"/>
        </w:rPr>
      </w:pPr>
      <w:r>
        <w:rPr>
          <w:noProof/>
          <w:u w:val="single"/>
          <w:lang w:val="it-IT"/>
        </w:rPr>
        <w:t>Popolazione pediatrica affetta AIGs</w:t>
      </w:r>
    </w:p>
    <w:p>
      <w:pPr>
        <w:keepNext/>
        <w:keepLines/>
        <w:numPr>
          <w:ilvl w:val="12"/>
          <w:numId w:val="0"/>
        </w:numPr>
        <w:tabs>
          <w:tab w:val="left" w:pos="180"/>
        </w:tabs>
        <w:ind w:right="-2"/>
        <w:rPr>
          <w:del w:id="2137" w:author="Author"/>
          <w:i/>
          <w:noProof/>
          <w:lang w:val="it-IT"/>
        </w:rPr>
      </w:pPr>
    </w:p>
    <w:p>
      <w:pPr>
        <w:keepNext/>
        <w:keepLines/>
        <w:numPr>
          <w:ilvl w:val="12"/>
          <w:numId w:val="0"/>
        </w:numPr>
        <w:tabs>
          <w:tab w:val="left" w:pos="180"/>
        </w:tabs>
        <w:ind w:right="-2"/>
        <w:rPr>
          <w:i/>
          <w:iCs/>
          <w:noProof/>
          <w:lang w:val="it-IT"/>
        </w:rPr>
      </w:pPr>
      <w:r>
        <w:rPr>
          <w:i/>
          <w:iCs/>
          <w:noProof/>
          <w:lang w:val="it-IT"/>
        </w:rPr>
        <w:t>Efficacia clinica</w:t>
      </w:r>
    </w:p>
    <w:p>
      <w:pPr>
        <w:keepNext/>
        <w:keepLines/>
        <w:numPr>
          <w:ilvl w:val="12"/>
          <w:numId w:val="0"/>
        </w:numPr>
        <w:tabs>
          <w:tab w:val="left" w:pos="180"/>
        </w:tabs>
        <w:ind w:right="-2"/>
        <w:rPr>
          <w:del w:id="2138" w:author="Author"/>
          <w:i/>
          <w:iCs/>
          <w:noProof/>
          <w:lang w:val="it-IT"/>
        </w:rPr>
      </w:pPr>
    </w:p>
    <w:p>
      <w:pPr>
        <w:numPr>
          <w:ilvl w:val="12"/>
          <w:numId w:val="0"/>
        </w:numPr>
        <w:tabs>
          <w:tab w:val="left" w:pos="180"/>
        </w:tabs>
        <w:rPr>
          <w:noProof/>
          <w:lang w:val="it-IT"/>
        </w:rPr>
        <w:pPrChange w:id="2139" w:author="Author">
          <w:pPr>
            <w:keepNext/>
            <w:keepLines/>
            <w:numPr>
              <w:ilvl w:val="12"/>
            </w:numPr>
            <w:tabs>
              <w:tab w:val="left" w:pos="180"/>
            </w:tabs>
            <w:ind w:right="-2"/>
          </w:pPr>
        </w:pPrChange>
      </w:pPr>
      <w:r>
        <w:rPr>
          <w:noProof/>
          <w:lang w:val="it-IT"/>
        </w:rPr>
        <w:t xml:space="preserve">L’efficacia di tocilizumab nel trattamento dell’AIGs attiva è stata valutata in uno studio </w:t>
      </w:r>
      <w:ins w:id="2140" w:author="Author">
        <w:r>
          <w:rPr>
            <w:noProof/>
            <w:lang w:val="it-IT"/>
          </w:rPr>
          <w:t xml:space="preserve">clinico </w:t>
        </w:r>
      </w:ins>
      <w:r>
        <w:rPr>
          <w:noProof/>
          <w:lang w:val="it-IT"/>
        </w:rPr>
        <w:t>randomizzato, in doppio cieco, controllato con placebo, a gruppi paralleli e a due bracci, della durata di 12 settimane. I pazienti inclusi negli studi hanno una durata complessiva di malattia di almeno 6 mesi e malattia attiva, ma non hanno avuto esperienza di una riacutizzazione acuta che abbia richiesto un dosaggio di corticosteroidi superiore al 0,5 mg/kg di prednisone equivalente. L’efficacia per il trattamento della sindrome da attivazione macrofagica (MAS) non è stata valutata.</w:t>
      </w:r>
    </w:p>
    <w:p>
      <w:pPr>
        <w:numPr>
          <w:ilvl w:val="12"/>
          <w:numId w:val="0"/>
        </w:numPr>
        <w:tabs>
          <w:tab w:val="left" w:pos="180"/>
        </w:tabs>
        <w:rPr>
          <w:noProof/>
          <w:lang w:val="it-IT"/>
        </w:rPr>
        <w:pPrChange w:id="2141" w:author="Author">
          <w:pPr>
            <w:keepNext/>
            <w:keepLines/>
            <w:numPr>
              <w:ilvl w:val="12"/>
            </w:numPr>
            <w:tabs>
              <w:tab w:val="left" w:pos="180"/>
            </w:tabs>
            <w:ind w:right="-2"/>
          </w:pPr>
        </w:pPrChange>
      </w:pPr>
    </w:p>
    <w:p>
      <w:pPr>
        <w:keepNext/>
        <w:numPr>
          <w:ilvl w:val="12"/>
          <w:numId w:val="0"/>
        </w:numPr>
        <w:tabs>
          <w:tab w:val="left" w:pos="180"/>
        </w:tabs>
        <w:ind w:right="-2"/>
        <w:rPr>
          <w:noProof/>
          <w:lang w:val="it-IT"/>
        </w:rPr>
        <w:pPrChange w:id="2142" w:author="Author">
          <w:pPr>
            <w:keepNext/>
            <w:keepLines/>
            <w:numPr>
              <w:ilvl w:val="12"/>
            </w:numPr>
            <w:tabs>
              <w:tab w:val="left" w:pos="180"/>
            </w:tabs>
            <w:ind w:right="-2"/>
          </w:pPr>
        </w:pPrChange>
      </w:pPr>
      <w:r>
        <w:rPr>
          <w:noProof/>
          <w:lang w:val="it-IT"/>
        </w:rPr>
        <w:t>I pazienti (trattati con o senza MTX) sono stati randomizzati (tocilizumab: placebo</w:t>
      </w:r>
      <w:del w:id="2143" w:author="Author">
        <w:r>
          <w:rPr>
            <w:noProof/>
            <w:lang w:val="it-IT"/>
          </w:rPr>
          <w:delText xml:space="preserve"> </w:delText>
        </w:r>
      </w:del>
      <w:ins w:id="2144" w:author="Author">
        <w:r>
          <w:rPr>
            <w:noProof/>
            <w:lang w:val="it-IT"/>
          </w:rPr>
          <w:t> </w:t>
        </w:r>
      </w:ins>
      <w:r>
        <w:rPr>
          <w:noProof/>
          <w:lang w:val="it-IT"/>
        </w:rPr>
        <w:t>=</w:t>
      </w:r>
      <w:ins w:id="2145" w:author="Author">
        <w:r>
          <w:rPr>
            <w:noProof/>
            <w:lang w:val="it-IT"/>
          </w:rPr>
          <w:t> </w:t>
        </w:r>
      </w:ins>
      <w:del w:id="2146" w:author="Author">
        <w:r>
          <w:rPr>
            <w:noProof/>
            <w:lang w:val="it-IT"/>
          </w:rPr>
          <w:delText xml:space="preserve"> </w:delText>
        </w:r>
      </w:del>
      <w:r>
        <w:rPr>
          <w:noProof/>
          <w:lang w:val="it-IT"/>
        </w:rPr>
        <w:t>2:1) a uno dei due gruppi di trattamento: 75 pazienti hanno ricevuto infusioni di tocilizumab ogni due settimane, alla dose di 8 mg/kg per i pazienti di peso ≥ 30 kg o di 12 mg/kg per i pazienti di peso &lt;</w:t>
      </w:r>
      <w:ins w:id="2147" w:author="Author">
        <w:r>
          <w:rPr>
            <w:noProof/>
            <w:lang w:val="it-IT"/>
          </w:rPr>
          <w:t xml:space="preserve"> </w:t>
        </w:r>
      </w:ins>
      <w:r>
        <w:rPr>
          <w:noProof/>
          <w:lang w:val="it-IT"/>
        </w:rPr>
        <w:t>30 kg, mentre 37 pazienti sono stati assegnati al trattamento con infusioni di placebo ogni due settimane. Per i pazienti che hanno conseguito una risposta ACR 70 per l’AIG è stata consentita la riduzione graduale dei corticosteroidi a partire dalla settimana sei. Dopo 12 settimane o al momento dell'uscita dallo studio, a causa del peggioramento della malattia, i pazienti sono stati trattati nella fase in aperto con un dosaggio appropriato al peso corporeo.</w:t>
      </w:r>
    </w:p>
    <w:p>
      <w:pPr>
        <w:numPr>
          <w:ilvl w:val="12"/>
          <w:numId w:val="0"/>
        </w:numPr>
        <w:tabs>
          <w:tab w:val="left" w:pos="180"/>
        </w:tabs>
        <w:ind w:right="-2"/>
        <w:rPr>
          <w:noProof/>
          <w:lang w:val="it-IT"/>
        </w:rPr>
        <w:pPrChange w:id="2148" w:author="Author">
          <w:pPr>
            <w:keepNext/>
            <w:keepLines/>
            <w:numPr>
              <w:ilvl w:val="12"/>
            </w:numPr>
            <w:tabs>
              <w:tab w:val="left" w:pos="180"/>
            </w:tabs>
            <w:ind w:right="-2"/>
          </w:pPr>
        </w:pPrChange>
      </w:pPr>
    </w:p>
    <w:p>
      <w:pPr>
        <w:keepNext/>
        <w:keepLines/>
        <w:numPr>
          <w:ilvl w:val="12"/>
          <w:numId w:val="0"/>
        </w:numPr>
        <w:tabs>
          <w:tab w:val="left" w:pos="180"/>
        </w:tabs>
        <w:rPr>
          <w:i/>
          <w:noProof/>
          <w:lang w:val="it-IT"/>
        </w:rPr>
      </w:pPr>
      <w:r>
        <w:rPr>
          <w:i/>
          <w:noProof/>
          <w:lang w:val="it-IT"/>
        </w:rPr>
        <w:lastRenderedPageBreak/>
        <w:t>Risposta clinica</w:t>
      </w:r>
    </w:p>
    <w:p>
      <w:pPr>
        <w:keepNext/>
        <w:keepLines/>
        <w:numPr>
          <w:ilvl w:val="12"/>
          <w:numId w:val="0"/>
        </w:numPr>
        <w:tabs>
          <w:tab w:val="left" w:pos="180"/>
        </w:tabs>
        <w:ind w:right="-2"/>
        <w:rPr>
          <w:noProof/>
          <w:lang w:val="it-IT"/>
        </w:rPr>
      </w:pPr>
      <w:r>
        <w:rPr>
          <w:noProof/>
          <w:lang w:val="it-IT"/>
        </w:rPr>
        <w:t>L’endpoint primario era la percentuale di pazienti con un miglioramento di almeno il 30% nei criteri principali ACR per l’AIG (risposta ACR 30 per l’AIG) alla settimana 12 e assenza di febbre (non è stata registrata una temperatura corporea ≥ 37,5°C nei 7 giorni precedenti). L’85% (64/75) dei pazienti trattati con tocilizumab e il 24,3% (9/37) dei pazienti trattati con placebo ha raggiunto questo endpoint. Tali percentuali sono risultate significativamente molto diverse (p</w:t>
      </w:r>
      <w:ins w:id="2149" w:author="Author">
        <w:r>
          <w:rPr>
            <w:noProof/>
            <w:lang w:val="it-IT"/>
          </w:rPr>
          <w:t xml:space="preserve"> </w:t>
        </w:r>
      </w:ins>
      <w:r>
        <w:rPr>
          <w:noProof/>
          <w:lang w:val="it-IT"/>
        </w:rPr>
        <w:t>&lt;</w:t>
      </w:r>
      <w:ins w:id="2150" w:author="Author">
        <w:r>
          <w:rPr>
            <w:noProof/>
            <w:lang w:val="it-IT"/>
          </w:rPr>
          <w:t xml:space="preserve"> </w:t>
        </w:r>
      </w:ins>
      <w:r>
        <w:rPr>
          <w:noProof/>
          <w:lang w:val="it-IT"/>
        </w:rPr>
        <w:t>0,0001).</w:t>
      </w:r>
    </w:p>
    <w:p>
      <w:pPr>
        <w:keepNext/>
        <w:keepLines/>
        <w:numPr>
          <w:ilvl w:val="12"/>
          <w:numId w:val="0"/>
        </w:numPr>
        <w:tabs>
          <w:tab w:val="left" w:pos="180"/>
        </w:tabs>
        <w:ind w:right="-2"/>
        <w:rPr>
          <w:noProof/>
          <w:lang w:val="it-IT"/>
        </w:rPr>
      </w:pPr>
    </w:p>
    <w:p>
      <w:pPr>
        <w:keepNext/>
        <w:keepLines/>
        <w:numPr>
          <w:ilvl w:val="12"/>
          <w:numId w:val="0"/>
        </w:numPr>
        <w:tabs>
          <w:tab w:val="left" w:pos="180"/>
        </w:tabs>
        <w:ind w:right="-2"/>
        <w:rPr>
          <w:noProof/>
          <w:lang w:val="it-IT"/>
        </w:rPr>
      </w:pPr>
      <w:r>
        <w:rPr>
          <w:noProof/>
          <w:lang w:val="it-IT"/>
        </w:rPr>
        <w:t>Le percentuali di pazienti che hanno conseguito risposte ACR 30, 50, 70 e 90 per l’AIG sono riassunte nella Tabella 8.</w:t>
      </w:r>
    </w:p>
    <w:p>
      <w:pPr>
        <w:keepNext/>
        <w:keepLines/>
        <w:numPr>
          <w:ilvl w:val="12"/>
          <w:numId w:val="0"/>
        </w:numPr>
        <w:tabs>
          <w:tab w:val="left" w:pos="180"/>
        </w:tabs>
        <w:ind w:right="-2"/>
        <w:rPr>
          <w:noProof/>
          <w:lang w:val="it-IT"/>
        </w:rPr>
      </w:pPr>
    </w:p>
    <w:p>
      <w:pPr>
        <w:keepNext/>
        <w:keepLines/>
        <w:numPr>
          <w:ilvl w:val="12"/>
          <w:numId w:val="0"/>
        </w:numPr>
        <w:tabs>
          <w:tab w:val="left" w:pos="180"/>
        </w:tabs>
        <w:ind w:right="-2"/>
        <w:rPr>
          <w:ins w:id="2151" w:author="Author"/>
          <w:i/>
          <w:noProof/>
          <w:szCs w:val="22"/>
          <w:lang w:val="it-IT"/>
        </w:rPr>
      </w:pPr>
      <w:r>
        <w:rPr>
          <w:i/>
          <w:noProof/>
          <w:szCs w:val="22"/>
          <w:lang w:val="it-IT"/>
        </w:rPr>
        <w:t>Tabella 8. Tassi di risposta ACR dell’AIG alla settimana 12 (% di pazienti)</w:t>
      </w:r>
    </w:p>
    <w:p>
      <w:pPr>
        <w:keepNext/>
        <w:keepLines/>
        <w:numPr>
          <w:ilvl w:val="12"/>
          <w:numId w:val="0"/>
        </w:numPr>
        <w:tabs>
          <w:tab w:val="left" w:pos="180"/>
        </w:tabs>
        <w:ind w:right="-2"/>
        <w:rPr>
          <w:i/>
          <w:noProof/>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2152"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235"/>
        <w:gridCol w:w="2409"/>
        <w:gridCol w:w="3261"/>
        <w:tblGridChange w:id="2153">
          <w:tblGrid>
            <w:gridCol w:w="2235"/>
            <w:gridCol w:w="2409"/>
            <w:gridCol w:w="3261"/>
          </w:tblGrid>
        </w:tblGridChange>
      </w:tblGrid>
      <w:tr>
        <w:trPr>
          <w:cantSplit/>
          <w:tblHeader/>
        </w:trPr>
        <w:tc>
          <w:tcPr>
            <w:tcW w:w="2235" w:type="dxa"/>
            <w:tcPrChange w:id="2154" w:author="Author">
              <w:tcPr>
                <w:tcW w:w="2235" w:type="dxa"/>
              </w:tcPr>
            </w:tcPrChange>
          </w:tcPr>
          <w:p>
            <w:pPr>
              <w:pStyle w:val="TextTi12"/>
              <w:keepNext/>
              <w:tabs>
                <w:tab w:val="left" w:pos="180"/>
              </w:tabs>
              <w:suppressAutoHyphens/>
              <w:spacing w:after="0" w:line="240" w:lineRule="auto"/>
              <w:jc w:val="left"/>
              <w:rPr>
                <w:rFonts w:eastAsia="MS Mincho"/>
                <w:noProof/>
                <w:sz w:val="20"/>
                <w:szCs w:val="20"/>
                <w:lang w:val="it-IT"/>
                <w:rPrChange w:id="2155" w:author="Author">
                  <w:rPr>
                    <w:rFonts w:eastAsia="MS Mincho"/>
                    <w:sz w:val="22"/>
                    <w:szCs w:val="22"/>
                    <w:lang w:val="it-IT"/>
                  </w:rPr>
                </w:rPrChange>
              </w:rPr>
              <w:pPrChange w:id="2156" w:author="Author">
                <w:pPr>
                  <w:pStyle w:val="TextTi12"/>
                  <w:keepNext/>
                  <w:keepLines/>
                  <w:tabs>
                    <w:tab w:val="left" w:pos="180"/>
                  </w:tabs>
                  <w:spacing w:after="0" w:line="240" w:lineRule="auto"/>
                </w:pPr>
              </w:pPrChange>
            </w:pPr>
            <w:r>
              <w:rPr>
                <w:rFonts w:eastAsia="MS Mincho"/>
                <w:b/>
                <w:bCs/>
                <w:noProof/>
                <w:sz w:val="20"/>
                <w:szCs w:val="20"/>
                <w:lang w:val="it-IT"/>
                <w:rPrChange w:id="2157" w:author="Author">
                  <w:rPr>
                    <w:rFonts w:eastAsia="MS Mincho"/>
                    <w:b/>
                    <w:bCs/>
                    <w:sz w:val="22"/>
                    <w:szCs w:val="22"/>
                    <w:lang w:val="it-IT"/>
                  </w:rPr>
                </w:rPrChange>
              </w:rPr>
              <w:t>Tasso di risposta</w:t>
            </w:r>
          </w:p>
        </w:tc>
        <w:tc>
          <w:tcPr>
            <w:tcW w:w="2409" w:type="dxa"/>
            <w:tcPrChange w:id="2158" w:author="Author">
              <w:tcPr>
                <w:tcW w:w="2409" w:type="dxa"/>
              </w:tcPr>
            </w:tcPrChange>
          </w:tcPr>
          <w:p>
            <w:pPr>
              <w:pStyle w:val="TextTi12"/>
              <w:keepNext/>
              <w:tabs>
                <w:tab w:val="left" w:pos="180"/>
              </w:tabs>
              <w:suppressAutoHyphens/>
              <w:spacing w:after="0" w:line="240" w:lineRule="auto"/>
              <w:jc w:val="center"/>
              <w:rPr>
                <w:rFonts w:eastAsia="MS Mincho"/>
                <w:b/>
                <w:noProof/>
                <w:sz w:val="20"/>
                <w:szCs w:val="20"/>
                <w:lang w:val="it-IT"/>
                <w:rPrChange w:id="2159" w:author="Author">
                  <w:rPr>
                    <w:rFonts w:eastAsia="MS Mincho"/>
                    <w:b/>
                    <w:sz w:val="22"/>
                    <w:szCs w:val="22"/>
                    <w:lang w:val="it-IT"/>
                  </w:rPr>
                </w:rPrChange>
              </w:rPr>
              <w:pPrChange w:id="2160" w:author="Author">
                <w:pPr>
                  <w:pStyle w:val="TextTi12"/>
                  <w:keepNext/>
                  <w:keepLines/>
                  <w:tabs>
                    <w:tab w:val="left" w:pos="180"/>
                  </w:tabs>
                  <w:spacing w:after="0" w:line="240" w:lineRule="auto"/>
                  <w:jc w:val="center"/>
                </w:pPr>
              </w:pPrChange>
            </w:pPr>
            <w:r>
              <w:rPr>
                <w:rFonts w:eastAsia="MS Mincho"/>
                <w:b/>
                <w:noProof/>
                <w:sz w:val="20"/>
                <w:szCs w:val="20"/>
                <w:lang w:val="it-IT"/>
                <w:rPrChange w:id="2161" w:author="Author">
                  <w:rPr>
                    <w:rFonts w:eastAsia="MS Mincho"/>
                    <w:b/>
                    <w:sz w:val="22"/>
                    <w:szCs w:val="22"/>
                    <w:lang w:val="it-IT"/>
                  </w:rPr>
                </w:rPrChange>
              </w:rPr>
              <w:t>Tocilizumab</w:t>
            </w:r>
          </w:p>
          <w:p>
            <w:pPr>
              <w:pStyle w:val="TextTi12"/>
              <w:keepNext/>
              <w:tabs>
                <w:tab w:val="left" w:pos="180"/>
              </w:tabs>
              <w:suppressAutoHyphens/>
              <w:spacing w:after="0" w:line="240" w:lineRule="auto"/>
              <w:jc w:val="center"/>
              <w:rPr>
                <w:rFonts w:eastAsia="MS Mincho"/>
                <w:b/>
                <w:noProof/>
                <w:sz w:val="20"/>
                <w:szCs w:val="20"/>
                <w:lang w:val="it-IT"/>
                <w:rPrChange w:id="2162" w:author="Author">
                  <w:rPr>
                    <w:rFonts w:eastAsia="MS Mincho"/>
                    <w:b/>
                    <w:sz w:val="22"/>
                    <w:szCs w:val="22"/>
                    <w:lang w:val="it-IT"/>
                  </w:rPr>
                </w:rPrChange>
              </w:rPr>
              <w:pPrChange w:id="2163" w:author="Author">
                <w:pPr>
                  <w:pStyle w:val="TextTi12"/>
                  <w:keepNext/>
                  <w:keepLines/>
                  <w:tabs>
                    <w:tab w:val="left" w:pos="180"/>
                  </w:tabs>
                  <w:spacing w:after="0" w:line="240" w:lineRule="auto"/>
                  <w:jc w:val="center"/>
                </w:pPr>
              </w:pPrChange>
            </w:pPr>
            <w:del w:id="2164" w:author="Author">
              <w:r>
                <w:rPr>
                  <w:rFonts w:eastAsia="MS Mincho"/>
                  <w:b/>
                  <w:noProof/>
                  <w:sz w:val="20"/>
                  <w:szCs w:val="20"/>
                  <w:lang w:val="it-IT"/>
                  <w:rPrChange w:id="2165" w:author="Author">
                    <w:rPr>
                      <w:rFonts w:eastAsia="MS Mincho"/>
                      <w:b/>
                      <w:sz w:val="22"/>
                      <w:szCs w:val="22"/>
                      <w:lang w:val="it-IT"/>
                    </w:rPr>
                  </w:rPrChange>
                </w:rPr>
                <w:delText xml:space="preserve">N </w:delText>
              </w:r>
            </w:del>
            <w:ins w:id="2166" w:author="Author">
              <w:r>
                <w:rPr>
                  <w:rFonts w:eastAsia="MS Mincho"/>
                  <w:b/>
                  <w:noProof/>
                  <w:sz w:val="20"/>
                  <w:szCs w:val="20"/>
                  <w:lang w:val="it-IT"/>
                  <w:rPrChange w:id="2167" w:author="Author">
                    <w:rPr>
                      <w:rFonts w:eastAsia="MS Mincho"/>
                      <w:b/>
                      <w:sz w:val="22"/>
                      <w:szCs w:val="22"/>
                      <w:lang w:val="it-IT"/>
                    </w:rPr>
                  </w:rPrChange>
                </w:rPr>
                <w:t>n </w:t>
              </w:r>
            </w:ins>
            <w:r>
              <w:rPr>
                <w:rFonts w:eastAsia="MS Mincho"/>
                <w:b/>
                <w:noProof/>
                <w:sz w:val="20"/>
                <w:szCs w:val="20"/>
                <w:lang w:val="it-IT"/>
                <w:rPrChange w:id="2168" w:author="Author">
                  <w:rPr>
                    <w:rFonts w:eastAsia="MS Mincho"/>
                    <w:b/>
                    <w:sz w:val="22"/>
                    <w:szCs w:val="22"/>
                    <w:lang w:val="it-IT"/>
                  </w:rPr>
                </w:rPrChange>
              </w:rPr>
              <w:t>=</w:t>
            </w:r>
            <w:ins w:id="2169" w:author="Author">
              <w:r>
                <w:rPr>
                  <w:rFonts w:eastAsia="MS Mincho"/>
                  <w:b/>
                  <w:noProof/>
                  <w:sz w:val="20"/>
                  <w:szCs w:val="20"/>
                  <w:lang w:val="it-IT"/>
                  <w:rPrChange w:id="2170" w:author="Author">
                    <w:rPr>
                      <w:rFonts w:eastAsia="MS Mincho"/>
                      <w:b/>
                      <w:sz w:val="22"/>
                      <w:szCs w:val="22"/>
                      <w:lang w:val="it-IT"/>
                    </w:rPr>
                  </w:rPrChange>
                </w:rPr>
                <w:t> </w:t>
              </w:r>
            </w:ins>
            <w:del w:id="2171" w:author="Author">
              <w:r>
                <w:rPr>
                  <w:rFonts w:eastAsia="MS Mincho"/>
                  <w:b/>
                  <w:noProof/>
                  <w:sz w:val="20"/>
                  <w:szCs w:val="20"/>
                  <w:lang w:val="it-IT"/>
                  <w:rPrChange w:id="2172" w:author="Author">
                    <w:rPr>
                      <w:rFonts w:eastAsia="MS Mincho"/>
                      <w:b/>
                      <w:sz w:val="22"/>
                      <w:szCs w:val="22"/>
                      <w:lang w:val="it-IT"/>
                    </w:rPr>
                  </w:rPrChange>
                </w:rPr>
                <w:delText xml:space="preserve"> </w:delText>
              </w:r>
            </w:del>
            <w:r>
              <w:rPr>
                <w:rFonts w:eastAsia="MS Mincho"/>
                <w:b/>
                <w:noProof/>
                <w:sz w:val="20"/>
                <w:szCs w:val="20"/>
                <w:lang w:val="it-IT"/>
                <w:rPrChange w:id="2173" w:author="Author">
                  <w:rPr>
                    <w:rFonts w:eastAsia="MS Mincho"/>
                    <w:b/>
                    <w:sz w:val="22"/>
                    <w:szCs w:val="22"/>
                    <w:lang w:val="it-IT"/>
                  </w:rPr>
                </w:rPrChange>
              </w:rPr>
              <w:t>75</w:t>
            </w:r>
          </w:p>
        </w:tc>
        <w:tc>
          <w:tcPr>
            <w:tcW w:w="3261" w:type="dxa"/>
            <w:tcPrChange w:id="2174" w:author="Author">
              <w:tcPr>
                <w:tcW w:w="3261" w:type="dxa"/>
              </w:tcPr>
            </w:tcPrChange>
          </w:tcPr>
          <w:p>
            <w:pPr>
              <w:pStyle w:val="TextTi12"/>
              <w:keepNext/>
              <w:tabs>
                <w:tab w:val="left" w:pos="180"/>
              </w:tabs>
              <w:suppressAutoHyphens/>
              <w:spacing w:after="0" w:line="240" w:lineRule="auto"/>
              <w:jc w:val="center"/>
              <w:rPr>
                <w:rFonts w:eastAsia="MS Mincho"/>
                <w:b/>
                <w:noProof/>
                <w:sz w:val="20"/>
                <w:szCs w:val="20"/>
                <w:lang w:val="it-IT"/>
                <w:rPrChange w:id="2175" w:author="Author">
                  <w:rPr>
                    <w:rFonts w:eastAsia="MS Mincho"/>
                    <w:b/>
                    <w:sz w:val="22"/>
                    <w:szCs w:val="22"/>
                    <w:lang w:val="it-IT"/>
                  </w:rPr>
                </w:rPrChange>
              </w:rPr>
              <w:pPrChange w:id="2176" w:author="Author">
                <w:pPr>
                  <w:pStyle w:val="TextTi12"/>
                  <w:keepNext/>
                  <w:keepLines/>
                  <w:tabs>
                    <w:tab w:val="left" w:pos="180"/>
                  </w:tabs>
                  <w:spacing w:after="0" w:line="240" w:lineRule="auto"/>
                  <w:jc w:val="center"/>
                </w:pPr>
              </w:pPrChange>
            </w:pPr>
            <w:r>
              <w:rPr>
                <w:rFonts w:eastAsia="MS Mincho"/>
                <w:b/>
                <w:noProof/>
                <w:sz w:val="20"/>
                <w:szCs w:val="20"/>
                <w:lang w:val="it-IT"/>
                <w:rPrChange w:id="2177" w:author="Author">
                  <w:rPr>
                    <w:rFonts w:eastAsia="MS Mincho"/>
                    <w:b/>
                    <w:sz w:val="22"/>
                    <w:szCs w:val="22"/>
                    <w:lang w:val="it-IT"/>
                  </w:rPr>
                </w:rPrChange>
              </w:rPr>
              <w:t>Placebo</w:t>
            </w:r>
          </w:p>
          <w:p>
            <w:pPr>
              <w:pStyle w:val="TextTi12"/>
              <w:keepNext/>
              <w:tabs>
                <w:tab w:val="left" w:pos="180"/>
              </w:tabs>
              <w:suppressAutoHyphens/>
              <w:spacing w:after="0" w:line="240" w:lineRule="auto"/>
              <w:jc w:val="center"/>
              <w:rPr>
                <w:rFonts w:eastAsia="MS Mincho"/>
                <w:b/>
                <w:noProof/>
                <w:sz w:val="20"/>
                <w:szCs w:val="20"/>
                <w:lang w:val="it-IT"/>
                <w:rPrChange w:id="2178" w:author="Author">
                  <w:rPr>
                    <w:rFonts w:eastAsia="MS Mincho"/>
                    <w:b/>
                    <w:sz w:val="22"/>
                    <w:szCs w:val="22"/>
                    <w:lang w:val="it-IT"/>
                  </w:rPr>
                </w:rPrChange>
              </w:rPr>
              <w:pPrChange w:id="2179" w:author="Author">
                <w:pPr>
                  <w:pStyle w:val="TextTi12"/>
                  <w:keepNext/>
                  <w:keepLines/>
                  <w:tabs>
                    <w:tab w:val="left" w:pos="180"/>
                  </w:tabs>
                  <w:spacing w:after="0" w:line="240" w:lineRule="auto"/>
                  <w:jc w:val="center"/>
                </w:pPr>
              </w:pPrChange>
            </w:pPr>
            <w:del w:id="2180" w:author="Author">
              <w:r>
                <w:rPr>
                  <w:rFonts w:eastAsia="MS Mincho"/>
                  <w:b/>
                  <w:noProof/>
                  <w:sz w:val="20"/>
                  <w:szCs w:val="20"/>
                  <w:lang w:val="it-IT"/>
                  <w:rPrChange w:id="2181" w:author="Author">
                    <w:rPr>
                      <w:rFonts w:eastAsia="MS Mincho"/>
                      <w:b/>
                      <w:sz w:val="22"/>
                      <w:szCs w:val="22"/>
                      <w:lang w:val="it-IT"/>
                    </w:rPr>
                  </w:rPrChange>
                </w:rPr>
                <w:delText xml:space="preserve">N </w:delText>
              </w:r>
            </w:del>
            <w:ins w:id="2182" w:author="Author">
              <w:r>
                <w:rPr>
                  <w:rFonts w:eastAsia="MS Mincho"/>
                  <w:b/>
                  <w:noProof/>
                  <w:sz w:val="20"/>
                  <w:szCs w:val="20"/>
                  <w:lang w:val="it-IT"/>
                  <w:rPrChange w:id="2183" w:author="Author">
                    <w:rPr>
                      <w:rFonts w:eastAsia="MS Mincho"/>
                      <w:b/>
                      <w:sz w:val="22"/>
                      <w:szCs w:val="22"/>
                      <w:lang w:val="it-IT"/>
                    </w:rPr>
                  </w:rPrChange>
                </w:rPr>
                <w:t>n </w:t>
              </w:r>
            </w:ins>
            <w:r>
              <w:rPr>
                <w:rFonts w:eastAsia="MS Mincho"/>
                <w:b/>
                <w:noProof/>
                <w:sz w:val="20"/>
                <w:szCs w:val="20"/>
                <w:lang w:val="it-IT"/>
                <w:rPrChange w:id="2184" w:author="Author">
                  <w:rPr>
                    <w:rFonts w:eastAsia="MS Mincho"/>
                    <w:b/>
                    <w:sz w:val="22"/>
                    <w:szCs w:val="22"/>
                    <w:lang w:val="it-IT"/>
                  </w:rPr>
                </w:rPrChange>
              </w:rPr>
              <w:t>=</w:t>
            </w:r>
            <w:ins w:id="2185" w:author="Author">
              <w:r>
                <w:rPr>
                  <w:rFonts w:eastAsia="MS Mincho"/>
                  <w:b/>
                  <w:noProof/>
                  <w:sz w:val="20"/>
                  <w:szCs w:val="20"/>
                  <w:lang w:val="it-IT"/>
                  <w:rPrChange w:id="2186" w:author="Author">
                    <w:rPr>
                      <w:rFonts w:eastAsia="MS Mincho"/>
                      <w:b/>
                      <w:sz w:val="22"/>
                      <w:szCs w:val="22"/>
                      <w:lang w:val="it-IT"/>
                    </w:rPr>
                  </w:rPrChange>
                </w:rPr>
                <w:t> </w:t>
              </w:r>
            </w:ins>
            <w:del w:id="2187" w:author="Author">
              <w:r>
                <w:rPr>
                  <w:rFonts w:eastAsia="MS Mincho"/>
                  <w:b/>
                  <w:noProof/>
                  <w:sz w:val="20"/>
                  <w:szCs w:val="20"/>
                  <w:lang w:val="it-IT"/>
                  <w:rPrChange w:id="2188" w:author="Author">
                    <w:rPr>
                      <w:rFonts w:eastAsia="MS Mincho"/>
                      <w:b/>
                      <w:sz w:val="22"/>
                      <w:szCs w:val="22"/>
                      <w:lang w:val="it-IT"/>
                    </w:rPr>
                  </w:rPrChange>
                </w:rPr>
                <w:delText xml:space="preserve"> </w:delText>
              </w:r>
            </w:del>
            <w:r>
              <w:rPr>
                <w:rFonts w:eastAsia="MS Mincho"/>
                <w:b/>
                <w:noProof/>
                <w:sz w:val="20"/>
                <w:szCs w:val="20"/>
                <w:lang w:val="it-IT"/>
                <w:rPrChange w:id="2189" w:author="Author">
                  <w:rPr>
                    <w:rFonts w:eastAsia="MS Mincho"/>
                    <w:b/>
                    <w:sz w:val="22"/>
                    <w:szCs w:val="22"/>
                    <w:lang w:val="it-IT"/>
                  </w:rPr>
                </w:rPrChange>
              </w:rPr>
              <w:t>37</w:t>
            </w:r>
          </w:p>
        </w:tc>
      </w:tr>
      <w:tr>
        <w:trPr>
          <w:cantSplit/>
        </w:trPr>
        <w:tc>
          <w:tcPr>
            <w:tcW w:w="2235" w:type="dxa"/>
            <w:tcPrChange w:id="2190" w:author="Author">
              <w:tcPr>
                <w:tcW w:w="2235" w:type="dxa"/>
              </w:tcPr>
            </w:tcPrChange>
          </w:tcPr>
          <w:p>
            <w:pPr>
              <w:pStyle w:val="TextTi12"/>
              <w:tabs>
                <w:tab w:val="left" w:pos="180"/>
              </w:tabs>
              <w:suppressAutoHyphens/>
              <w:spacing w:after="0" w:line="240" w:lineRule="auto"/>
              <w:jc w:val="left"/>
              <w:rPr>
                <w:rFonts w:eastAsia="MS Mincho"/>
                <w:noProof/>
                <w:sz w:val="20"/>
                <w:szCs w:val="20"/>
                <w:lang w:val="it-IT"/>
                <w:rPrChange w:id="2191" w:author="Author">
                  <w:rPr>
                    <w:rFonts w:eastAsia="MS Mincho"/>
                    <w:sz w:val="22"/>
                    <w:szCs w:val="22"/>
                    <w:lang w:val="it-IT"/>
                  </w:rPr>
                </w:rPrChange>
              </w:rPr>
              <w:pPrChange w:id="2192" w:author="Author">
                <w:pPr>
                  <w:pStyle w:val="TextTi12"/>
                  <w:keepNext/>
                  <w:keepLines/>
                  <w:tabs>
                    <w:tab w:val="left" w:pos="180"/>
                  </w:tabs>
                  <w:spacing w:after="0" w:line="240" w:lineRule="auto"/>
                </w:pPr>
              </w:pPrChange>
            </w:pPr>
            <w:r>
              <w:rPr>
                <w:rFonts w:eastAsia="MS Mincho"/>
                <w:noProof/>
                <w:sz w:val="20"/>
                <w:szCs w:val="20"/>
                <w:lang w:val="it-IT"/>
                <w:rPrChange w:id="2193" w:author="Author">
                  <w:rPr>
                    <w:rFonts w:eastAsia="MS Mincho"/>
                    <w:sz w:val="22"/>
                    <w:szCs w:val="22"/>
                    <w:lang w:val="it-IT"/>
                  </w:rPr>
                </w:rPrChange>
              </w:rPr>
              <w:t>ACR 30 per l’AIG</w:t>
            </w:r>
          </w:p>
        </w:tc>
        <w:tc>
          <w:tcPr>
            <w:tcW w:w="2409" w:type="dxa"/>
            <w:tcPrChange w:id="2194" w:author="Author">
              <w:tcPr>
                <w:tcW w:w="2409" w:type="dxa"/>
              </w:tcPr>
            </w:tcPrChange>
          </w:tcPr>
          <w:p>
            <w:pPr>
              <w:pStyle w:val="TextTi12"/>
              <w:tabs>
                <w:tab w:val="left" w:pos="180"/>
              </w:tabs>
              <w:suppressAutoHyphens/>
              <w:spacing w:after="0" w:line="240" w:lineRule="auto"/>
              <w:jc w:val="center"/>
              <w:rPr>
                <w:rFonts w:eastAsia="MS Mincho"/>
                <w:noProof/>
                <w:sz w:val="20"/>
                <w:szCs w:val="20"/>
                <w:lang w:val="it-IT"/>
                <w:rPrChange w:id="2195" w:author="Author">
                  <w:rPr>
                    <w:rFonts w:eastAsia="MS Mincho"/>
                    <w:sz w:val="22"/>
                    <w:szCs w:val="22"/>
                    <w:lang w:val="it-IT"/>
                  </w:rPr>
                </w:rPrChange>
              </w:rPr>
              <w:pPrChange w:id="2196" w:author="Author">
                <w:pPr>
                  <w:pStyle w:val="TextTi12"/>
                  <w:keepNext/>
                  <w:keepLines/>
                  <w:tabs>
                    <w:tab w:val="left" w:pos="180"/>
                  </w:tabs>
                  <w:spacing w:after="0" w:line="240" w:lineRule="auto"/>
                  <w:jc w:val="center"/>
                </w:pPr>
              </w:pPrChange>
            </w:pPr>
            <w:r>
              <w:rPr>
                <w:rFonts w:eastAsia="MS Mincho"/>
                <w:noProof/>
                <w:sz w:val="20"/>
                <w:szCs w:val="20"/>
                <w:lang w:val="it-IT"/>
                <w:rPrChange w:id="2197" w:author="Author">
                  <w:rPr>
                    <w:rFonts w:eastAsia="MS Mincho"/>
                    <w:sz w:val="22"/>
                    <w:szCs w:val="22"/>
                    <w:lang w:val="it-IT"/>
                  </w:rPr>
                </w:rPrChange>
              </w:rPr>
              <w:t>90,7%</w:t>
            </w:r>
            <w:r>
              <w:rPr>
                <w:rFonts w:eastAsia="MS Mincho"/>
                <w:noProof/>
                <w:sz w:val="20"/>
                <w:szCs w:val="20"/>
                <w:vertAlign w:val="superscript"/>
                <w:lang w:val="it-IT"/>
                <w:rPrChange w:id="2198" w:author="Author">
                  <w:rPr>
                    <w:rFonts w:eastAsia="MS Mincho"/>
                    <w:sz w:val="22"/>
                    <w:szCs w:val="22"/>
                    <w:vertAlign w:val="superscript"/>
                    <w:lang w:val="it-IT"/>
                  </w:rPr>
                </w:rPrChange>
              </w:rPr>
              <w:t>1</w:t>
            </w:r>
          </w:p>
        </w:tc>
        <w:tc>
          <w:tcPr>
            <w:tcW w:w="3261" w:type="dxa"/>
            <w:tcPrChange w:id="2199" w:author="Author">
              <w:tcPr>
                <w:tcW w:w="3261" w:type="dxa"/>
              </w:tcPr>
            </w:tcPrChange>
          </w:tcPr>
          <w:p>
            <w:pPr>
              <w:pStyle w:val="TextTi12"/>
              <w:tabs>
                <w:tab w:val="left" w:pos="180"/>
              </w:tabs>
              <w:suppressAutoHyphens/>
              <w:spacing w:after="0" w:line="240" w:lineRule="auto"/>
              <w:jc w:val="center"/>
              <w:rPr>
                <w:rFonts w:eastAsia="MS Mincho"/>
                <w:noProof/>
                <w:sz w:val="20"/>
                <w:szCs w:val="20"/>
                <w:lang w:val="it-IT"/>
                <w:rPrChange w:id="2200" w:author="Author">
                  <w:rPr>
                    <w:rFonts w:eastAsia="MS Mincho"/>
                    <w:sz w:val="22"/>
                    <w:szCs w:val="22"/>
                    <w:lang w:val="it-IT"/>
                  </w:rPr>
                </w:rPrChange>
              </w:rPr>
              <w:pPrChange w:id="2201" w:author="Author">
                <w:pPr>
                  <w:pStyle w:val="TextTi12"/>
                  <w:keepNext/>
                  <w:keepLines/>
                  <w:tabs>
                    <w:tab w:val="left" w:pos="180"/>
                  </w:tabs>
                  <w:spacing w:after="0" w:line="240" w:lineRule="auto"/>
                  <w:jc w:val="center"/>
                </w:pPr>
              </w:pPrChange>
            </w:pPr>
            <w:r>
              <w:rPr>
                <w:rFonts w:eastAsia="MS Mincho"/>
                <w:noProof/>
                <w:sz w:val="20"/>
                <w:szCs w:val="20"/>
                <w:lang w:val="it-IT"/>
                <w:rPrChange w:id="2202" w:author="Author">
                  <w:rPr>
                    <w:rFonts w:eastAsia="MS Mincho"/>
                    <w:sz w:val="22"/>
                    <w:szCs w:val="22"/>
                    <w:lang w:val="it-IT"/>
                  </w:rPr>
                </w:rPrChange>
              </w:rPr>
              <w:t>24,3%</w:t>
            </w:r>
          </w:p>
        </w:tc>
      </w:tr>
      <w:tr>
        <w:trPr>
          <w:cantSplit/>
        </w:trPr>
        <w:tc>
          <w:tcPr>
            <w:tcW w:w="2235" w:type="dxa"/>
            <w:tcPrChange w:id="2203" w:author="Author">
              <w:tcPr>
                <w:tcW w:w="2235" w:type="dxa"/>
              </w:tcPr>
            </w:tcPrChange>
          </w:tcPr>
          <w:p>
            <w:pPr>
              <w:pStyle w:val="TextTi12"/>
              <w:tabs>
                <w:tab w:val="left" w:pos="180"/>
              </w:tabs>
              <w:suppressAutoHyphens/>
              <w:spacing w:after="0" w:line="240" w:lineRule="auto"/>
              <w:jc w:val="left"/>
              <w:rPr>
                <w:rFonts w:eastAsia="MS Mincho"/>
                <w:noProof/>
                <w:sz w:val="20"/>
                <w:szCs w:val="20"/>
                <w:lang w:val="it-IT"/>
                <w:rPrChange w:id="2204" w:author="Author">
                  <w:rPr>
                    <w:rFonts w:eastAsia="MS Mincho"/>
                    <w:sz w:val="22"/>
                    <w:szCs w:val="22"/>
                    <w:lang w:val="it-IT"/>
                  </w:rPr>
                </w:rPrChange>
              </w:rPr>
              <w:pPrChange w:id="2205" w:author="Author">
                <w:pPr>
                  <w:pStyle w:val="TextTi12"/>
                  <w:keepNext/>
                  <w:keepLines/>
                  <w:tabs>
                    <w:tab w:val="left" w:pos="180"/>
                  </w:tabs>
                  <w:spacing w:after="0" w:line="240" w:lineRule="auto"/>
                </w:pPr>
              </w:pPrChange>
            </w:pPr>
            <w:r>
              <w:rPr>
                <w:rFonts w:eastAsia="MS Mincho"/>
                <w:noProof/>
                <w:sz w:val="20"/>
                <w:szCs w:val="20"/>
                <w:lang w:val="it-IT"/>
                <w:rPrChange w:id="2206" w:author="Author">
                  <w:rPr>
                    <w:rFonts w:eastAsia="MS Mincho"/>
                    <w:sz w:val="22"/>
                    <w:szCs w:val="22"/>
                    <w:lang w:val="it-IT"/>
                  </w:rPr>
                </w:rPrChange>
              </w:rPr>
              <w:t>ACR 50 per l’AIG</w:t>
            </w:r>
          </w:p>
        </w:tc>
        <w:tc>
          <w:tcPr>
            <w:tcW w:w="2409" w:type="dxa"/>
            <w:tcPrChange w:id="2207" w:author="Author">
              <w:tcPr>
                <w:tcW w:w="2409" w:type="dxa"/>
              </w:tcPr>
            </w:tcPrChange>
          </w:tcPr>
          <w:p>
            <w:pPr>
              <w:pStyle w:val="TextTi12"/>
              <w:tabs>
                <w:tab w:val="left" w:pos="180"/>
              </w:tabs>
              <w:suppressAutoHyphens/>
              <w:spacing w:after="0" w:line="240" w:lineRule="auto"/>
              <w:jc w:val="center"/>
              <w:rPr>
                <w:rFonts w:eastAsia="MS Mincho"/>
                <w:noProof/>
                <w:sz w:val="20"/>
                <w:szCs w:val="20"/>
                <w:lang w:val="it-IT"/>
                <w:rPrChange w:id="2208" w:author="Author">
                  <w:rPr>
                    <w:rFonts w:eastAsia="MS Mincho"/>
                    <w:sz w:val="22"/>
                    <w:szCs w:val="22"/>
                    <w:lang w:val="it-IT"/>
                  </w:rPr>
                </w:rPrChange>
              </w:rPr>
              <w:pPrChange w:id="2209" w:author="Author">
                <w:pPr>
                  <w:pStyle w:val="TextTi12"/>
                  <w:keepNext/>
                  <w:keepLines/>
                  <w:tabs>
                    <w:tab w:val="left" w:pos="180"/>
                  </w:tabs>
                  <w:spacing w:after="0" w:line="240" w:lineRule="auto"/>
                  <w:jc w:val="center"/>
                </w:pPr>
              </w:pPrChange>
            </w:pPr>
            <w:r>
              <w:rPr>
                <w:rFonts w:eastAsia="MS Mincho"/>
                <w:noProof/>
                <w:sz w:val="20"/>
                <w:szCs w:val="20"/>
                <w:lang w:val="it-IT"/>
                <w:rPrChange w:id="2210" w:author="Author">
                  <w:rPr>
                    <w:rFonts w:eastAsia="MS Mincho"/>
                    <w:sz w:val="22"/>
                    <w:szCs w:val="22"/>
                    <w:lang w:val="it-IT"/>
                  </w:rPr>
                </w:rPrChange>
              </w:rPr>
              <w:t>85,3%</w:t>
            </w:r>
            <w:r>
              <w:rPr>
                <w:rFonts w:eastAsia="MS Mincho"/>
                <w:noProof/>
                <w:sz w:val="20"/>
                <w:szCs w:val="20"/>
                <w:vertAlign w:val="superscript"/>
                <w:lang w:val="it-IT"/>
                <w:rPrChange w:id="2211" w:author="Author">
                  <w:rPr>
                    <w:rFonts w:eastAsia="MS Mincho"/>
                    <w:sz w:val="22"/>
                    <w:szCs w:val="22"/>
                    <w:vertAlign w:val="superscript"/>
                    <w:lang w:val="it-IT"/>
                  </w:rPr>
                </w:rPrChange>
              </w:rPr>
              <w:t>1</w:t>
            </w:r>
          </w:p>
        </w:tc>
        <w:tc>
          <w:tcPr>
            <w:tcW w:w="3261" w:type="dxa"/>
            <w:tcPrChange w:id="2212" w:author="Author">
              <w:tcPr>
                <w:tcW w:w="3261" w:type="dxa"/>
              </w:tcPr>
            </w:tcPrChange>
          </w:tcPr>
          <w:p>
            <w:pPr>
              <w:pStyle w:val="TextTi12"/>
              <w:tabs>
                <w:tab w:val="left" w:pos="180"/>
              </w:tabs>
              <w:suppressAutoHyphens/>
              <w:spacing w:after="0" w:line="240" w:lineRule="auto"/>
              <w:jc w:val="center"/>
              <w:rPr>
                <w:rFonts w:eastAsia="MS Mincho"/>
                <w:noProof/>
                <w:sz w:val="20"/>
                <w:szCs w:val="20"/>
                <w:lang w:val="it-IT"/>
                <w:rPrChange w:id="2213" w:author="Author">
                  <w:rPr>
                    <w:rFonts w:eastAsia="MS Mincho"/>
                    <w:sz w:val="22"/>
                    <w:szCs w:val="22"/>
                    <w:lang w:val="it-IT"/>
                  </w:rPr>
                </w:rPrChange>
              </w:rPr>
              <w:pPrChange w:id="2214" w:author="Author">
                <w:pPr>
                  <w:pStyle w:val="TextTi12"/>
                  <w:keepNext/>
                  <w:keepLines/>
                  <w:tabs>
                    <w:tab w:val="left" w:pos="180"/>
                  </w:tabs>
                  <w:spacing w:after="0" w:line="240" w:lineRule="auto"/>
                  <w:jc w:val="center"/>
                </w:pPr>
              </w:pPrChange>
            </w:pPr>
            <w:r>
              <w:rPr>
                <w:rFonts w:eastAsia="MS Mincho"/>
                <w:noProof/>
                <w:sz w:val="20"/>
                <w:szCs w:val="20"/>
                <w:lang w:val="it-IT"/>
                <w:rPrChange w:id="2215" w:author="Author">
                  <w:rPr>
                    <w:rFonts w:eastAsia="MS Mincho"/>
                    <w:sz w:val="22"/>
                    <w:szCs w:val="22"/>
                    <w:lang w:val="it-IT"/>
                  </w:rPr>
                </w:rPrChange>
              </w:rPr>
              <w:t>10,8%</w:t>
            </w:r>
          </w:p>
        </w:tc>
      </w:tr>
      <w:tr>
        <w:trPr>
          <w:cantSplit/>
        </w:trPr>
        <w:tc>
          <w:tcPr>
            <w:tcW w:w="2235" w:type="dxa"/>
            <w:tcPrChange w:id="2216" w:author="Author">
              <w:tcPr>
                <w:tcW w:w="2235" w:type="dxa"/>
              </w:tcPr>
            </w:tcPrChange>
          </w:tcPr>
          <w:p>
            <w:pPr>
              <w:pStyle w:val="TextTi12"/>
              <w:tabs>
                <w:tab w:val="left" w:pos="180"/>
              </w:tabs>
              <w:suppressAutoHyphens/>
              <w:spacing w:after="0" w:line="240" w:lineRule="auto"/>
              <w:jc w:val="left"/>
              <w:rPr>
                <w:rFonts w:eastAsia="MS Mincho"/>
                <w:noProof/>
                <w:sz w:val="20"/>
                <w:szCs w:val="20"/>
                <w:lang w:val="it-IT"/>
                <w:rPrChange w:id="2217" w:author="Author">
                  <w:rPr>
                    <w:rFonts w:eastAsia="MS Mincho"/>
                    <w:sz w:val="22"/>
                    <w:szCs w:val="22"/>
                    <w:lang w:val="it-IT"/>
                  </w:rPr>
                </w:rPrChange>
              </w:rPr>
              <w:pPrChange w:id="2218" w:author="Author">
                <w:pPr>
                  <w:pStyle w:val="TextTi12"/>
                  <w:keepNext/>
                  <w:keepLines/>
                  <w:tabs>
                    <w:tab w:val="left" w:pos="180"/>
                  </w:tabs>
                  <w:spacing w:after="0" w:line="240" w:lineRule="auto"/>
                </w:pPr>
              </w:pPrChange>
            </w:pPr>
            <w:r>
              <w:rPr>
                <w:rFonts w:eastAsia="MS Mincho"/>
                <w:noProof/>
                <w:sz w:val="20"/>
                <w:szCs w:val="20"/>
                <w:lang w:val="it-IT"/>
                <w:rPrChange w:id="2219" w:author="Author">
                  <w:rPr>
                    <w:rFonts w:eastAsia="MS Mincho"/>
                    <w:sz w:val="22"/>
                    <w:szCs w:val="22"/>
                    <w:lang w:val="it-IT"/>
                  </w:rPr>
                </w:rPrChange>
              </w:rPr>
              <w:t>ACR 70 per l’AIG</w:t>
            </w:r>
          </w:p>
        </w:tc>
        <w:tc>
          <w:tcPr>
            <w:tcW w:w="2409" w:type="dxa"/>
            <w:tcPrChange w:id="2220" w:author="Author">
              <w:tcPr>
                <w:tcW w:w="2409" w:type="dxa"/>
              </w:tcPr>
            </w:tcPrChange>
          </w:tcPr>
          <w:p>
            <w:pPr>
              <w:pStyle w:val="TextTi12"/>
              <w:tabs>
                <w:tab w:val="left" w:pos="180"/>
              </w:tabs>
              <w:suppressAutoHyphens/>
              <w:spacing w:after="0" w:line="240" w:lineRule="auto"/>
              <w:jc w:val="center"/>
              <w:rPr>
                <w:rFonts w:eastAsia="MS Mincho"/>
                <w:noProof/>
                <w:sz w:val="20"/>
                <w:szCs w:val="20"/>
                <w:lang w:val="it-IT"/>
                <w:rPrChange w:id="2221" w:author="Author">
                  <w:rPr>
                    <w:rFonts w:eastAsia="MS Mincho"/>
                    <w:sz w:val="22"/>
                    <w:szCs w:val="22"/>
                    <w:lang w:val="it-IT"/>
                  </w:rPr>
                </w:rPrChange>
              </w:rPr>
              <w:pPrChange w:id="2222" w:author="Author">
                <w:pPr>
                  <w:pStyle w:val="TextTi12"/>
                  <w:keepNext/>
                  <w:keepLines/>
                  <w:tabs>
                    <w:tab w:val="left" w:pos="180"/>
                  </w:tabs>
                  <w:spacing w:after="0" w:line="240" w:lineRule="auto"/>
                  <w:jc w:val="center"/>
                </w:pPr>
              </w:pPrChange>
            </w:pPr>
            <w:r>
              <w:rPr>
                <w:rFonts w:eastAsia="MS Mincho"/>
                <w:noProof/>
                <w:sz w:val="20"/>
                <w:szCs w:val="20"/>
                <w:lang w:val="it-IT"/>
                <w:rPrChange w:id="2223" w:author="Author">
                  <w:rPr>
                    <w:rFonts w:eastAsia="MS Mincho"/>
                    <w:sz w:val="22"/>
                    <w:szCs w:val="22"/>
                    <w:lang w:val="it-IT"/>
                  </w:rPr>
                </w:rPrChange>
              </w:rPr>
              <w:t>70,7%</w:t>
            </w:r>
            <w:r>
              <w:rPr>
                <w:rFonts w:eastAsia="MS Mincho"/>
                <w:noProof/>
                <w:sz w:val="20"/>
                <w:szCs w:val="20"/>
                <w:vertAlign w:val="superscript"/>
                <w:lang w:val="it-IT"/>
                <w:rPrChange w:id="2224" w:author="Author">
                  <w:rPr>
                    <w:rFonts w:eastAsia="MS Mincho"/>
                    <w:sz w:val="22"/>
                    <w:szCs w:val="22"/>
                    <w:vertAlign w:val="superscript"/>
                    <w:lang w:val="it-IT"/>
                  </w:rPr>
                </w:rPrChange>
              </w:rPr>
              <w:t>1</w:t>
            </w:r>
          </w:p>
        </w:tc>
        <w:tc>
          <w:tcPr>
            <w:tcW w:w="3261" w:type="dxa"/>
            <w:tcPrChange w:id="2225" w:author="Author">
              <w:tcPr>
                <w:tcW w:w="3261" w:type="dxa"/>
              </w:tcPr>
            </w:tcPrChange>
          </w:tcPr>
          <w:p>
            <w:pPr>
              <w:pStyle w:val="TextTi12"/>
              <w:tabs>
                <w:tab w:val="left" w:pos="180"/>
              </w:tabs>
              <w:suppressAutoHyphens/>
              <w:spacing w:after="0" w:line="240" w:lineRule="auto"/>
              <w:jc w:val="center"/>
              <w:rPr>
                <w:rFonts w:eastAsia="MS Mincho"/>
                <w:noProof/>
                <w:sz w:val="20"/>
                <w:szCs w:val="20"/>
                <w:lang w:val="it-IT"/>
                <w:rPrChange w:id="2226" w:author="Author">
                  <w:rPr>
                    <w:rFonts w:eastAsia="MS Mincho"/>
                    <w:sz w:val="22"/>
                    <w:szCs w:val="22"/>
                    <w:lang w:val="it-IT"/>
                  </w:rPr>
                </w:rPrChange>
              </w:rPr>
              <w:pPrChange w:id="2227" w:author="Author">
                <w:pPr>
                  <w:pStyle w:val="TextTi12"/>
                  <w:keepNext/>
                  <w:keepLines/>
                  <w:tabs>
                    <w:tab w:val="left" w:pos="180"/>
                  </w:tabs>
                  <w:spacing w:after="0" w:line="240" w:lineRule="auto"/>
                  <w:jc w:val="center"/>
                </w:pPr>
              </w:pPrChange>
            </w:pPr>
            <w:r>
              <w:rPr>
                <w:rFonts w:eastAsia="MS Mincho"/>
                <w:noProof/>
                <w:sz w:val="20"/>
                <w:szCs w:val="20"/>
                <w:lang w:val="it-IT"/>
                <w:rPrChange w:id="2228" w:author="Author">
                  <w:rPr>
                    <w:rFonts w:eastAsia="MS Mincho"/>
                    <w:sz w:val="22"/>
                    <w:szCs w:val="22"/>
                    <w:lang w:val="it-IT"/>
                  </w:rPr>
                </w:rPrChange>
              </w:rPr>
              <w:t>8,1%</w:t>
            </w:r>
          </w:p>
        </w:tc>
      </w:tr>
      <w:tr>
        <w:trPr>
          <w:cantSplit/>
        </w:trPr>
        <w:tc>
          <w:tcPr>
            <w:tcW w:w="2235" w:type="dxa"/>
            <w:tcPrChange w:id="2229" w:author="Author">
              <w:tcPr>
                <w:tcW w:w="2235" w:type="dxa"/>
              </w:tcPr>
            </w:tcPrChange>
          </w:tcPr>
          <w:p>
            <w:pPr>
              <w:pStyle w:val="TextTi12"/>
              <w:keepNext/>
              <w:tabs>
                <w:tab w:val="left" w:pos="180"/>
              </w:tabs>
              <w:suppressAutoHyphens/>
              <w:spacing w:after="0" w:line="240" w:lineRule="auto"/>
              <w:jc w:val="left"/>
              <w:rPr>
                <w:rFonts w:eastAsia="MS Mincho"/>
                <w:noProof/>
                <w:sz w:val="20"/>
                <w:szCs w:val="20"/>
                <w:lang w:val="it-IT"/>
                <w:rPrChange w:id="2230" w:author="Author">
                  <w:rPr>
                    <w:rFonts w:eastAsia="MS Mincho"/>
                    <w:sz w:val="22"/>
                    <w:szCs w:val="22"/>
                    <w:lang w:val="it-IT"/>
                  </w:rPr>
                </w:rPrChange>
              </w:rPr>
              <w:pPrChange w:id="2231" w:author="Author">
                <w:pPr>
                  <w:pStyle w:val="TextTi12"/>
                  <w:keepNext/>
                  <w:keepLines/>
                  <w:tabs>
                    <w:tab w:val="left" w:pos="180"/>
                  </w:tabs>
                  <w:spacing w:after="0" w:line="240" w:lineRule="auto"/>
                </w:pPr>
              </w:pPrChange>
            </w:pPr>
            <w:r>
              <w:rPr>
                <w:rFonts w:eastAsia="MS Mincho"/>
                <w:noProof/>
                <w:sz w:val="20"/>
                <w:szCs w:val="20"/>
                <w:lang w:val="it-IT"/>
                <w:rPrChange w:id="2232" w:author="Author">
                  <w:rPr>
                    <w:rFonts w:eastAsia="MS Mincho"/>
                    <w:sz w:val="22"/>
                    <w:szCs w:val="22"/>
                    <w:lang w:val="it-IT"/>
                  </w:rPr>
                </w:rPrChange>
              </w:rPr>
              <w:t>ACR 90 per l’AIG</w:t>
            </w:r>
          </w:p>
        </w:tc>
        <w:tc>
          <w:tcPr>
            <w:tcW w:w="2409" w:type="dxa"/>
            <w:tcPrChange w:id="2233" w:author="Author">
              <w:tcPr>
                <w:tcW w:w="2409" w:type="dxa"/>
              </w:tcPr>
            </w:tcPrChange>
          </w:tcPr>
          <w:p>
            <w:pPr>
              <w:pStyle w:val="TextTi12"/>
              <w:keepNext/>
              <w:tabs>
                <w:tab w:val="left" w:pos="180"/>
              </w:tabs>
              <w:suppressAutoHyphens/>
              <w:spacing w:after="0" w:line="240" w:lineRule="auto"/>
              <w:jc w:val="center"/>
              <w:rPr>
                <w:rFonts w:eastAsia="MS Mincho"/>
                <w:noProof/>
                <w:sz w:val="20"/>
                <w:szCs w:val="20"/>
                <w:lang w:val="it-IT"/>
                <w:rPrChange w:id="2234" w:author="Author">
                  <w:rPr>
                    <w:rFonts w:eastAsia="MS Mincho"/>
                    <w:sz w:val="22"/>
                    <w:szCs w:val="22"/>
                    <w:lang w:val="it-IT"/>
                  </w:rPr>
                </w:rPrChange>
              </w:rPr>
              <w:pPrChange w:id="2235" w:author="Author">
                <w:pPr>
                  <w:pStyle w:val="TextTi12"/>
                  <w:keepNext/>
                  <w:keepLines/>
                  <w:tabs>
                    <w:tab w:val="left" w:pos="180"/>
                  </w:tabs>
                  <w:spacing w:after="0" w:line="240" w:lineRule="auto"/>
                  <w:jc w:val="center"/>
                </w:pPr>
              </w:pPrChange>
            </w:pPr>
            <w:r>
              <w:rPr>
                <w:rFonts w:eastAsia="MS Mincho"/>
                <w:noProof/>
                <w:sz w:val="20"/>
                <w:szCs w:val="20"/>
                <w:lang w:val="it-IT"/>
                <w:rPrChange w:id="2236" w:author="Author">
                  <w:rPr>
                    <w:rFonts w:eastAsia="MS Mincho"/>
                    <w:sz w:val="22"/>
                    <w:szCs w:val="22"/>
                    <w:lang w:val="it-IT"/>
                  </w:rPr>
                </w:rPrChange>
              </w:rPr>
              <w:t>37,3%</w:t>
            </w:r>
            <w:r>
              <w:rPr>
                <w:rFonts w:eastAsia="MS Mincho"/>
                <w:noProof/>
                <w:sz w:val="20"/>
                <w:szCs w:val="20"/>
                <w:vertAlign w:val="superscript"/>
                <w:lang w:val="it-IT"/>
                <w:rPrChange w:id="2237" w:author="Author">
                  <w:rPr>
                    <w:rFonts w:eastAsia="MS Mincho"/>
                    <w:sz w:val="22"/>
                    <w:szCs w:val="22"/>
                    <w:vertAlign w:val="superscript"/>
                    <w:lang w:val="it-IT"/>
                  </w:rPr>
                </w:rPrChange>
              </w:rPr>
              <w:t>1</w:t>
            </w:r>
          </w:p>
        </w:tc>
        <w:tc>
          <w:tcPr>
            <w:tcW w:w="3261" w:type="dxa"/>
            <w:tcPrChange w:id="2238" w:author="Author">
              <w:tcPr>
                <w:tcW w:w="3261" w:type="dxa"/>
              </w:tcPr>
            </w:tcPrChange>
          </w:tcPr>
          <w:p>
            <w:pPr>
              <w:pStyle w:val="TextTi12"/>
              <w:keepNext/>
              <w:tabs>
                <w:tab w:val="left" w:pos="180"/>
              </w:tabs>
              <w:suppressAutoHyphens/>
              <w:spacing w:after="0" w:line="240" w:lineRule="auto"/>
              <w:jc w:val="center"/>
              <w:rPr>
                <w:rFonts w:eastAsia="MS Mincho"/>
                <w:noProof/>
                <w:sz w:val="20"/>
                <w:szCs w:val="20"/>
                <w:lang w:val="it-IT"/>
                <w:rPrChange w:id="2239" w:author="Author">
                  <w:rPr>
                    <w:rFonts w:eastAsia="MS Mincho"/>
                    <w:sz w:val="22"/>
                    <w:szCs w:val="22"/>
                    <w:lang w:val="it-IT"/>
                  </w:rPr>
                </w:rPrChange>
              </w:rPr>
              <w:pPrChange w:id="2240" w:author="Author">
                <w:pPr>
                  <w:pStyle w:val="TextTi12"/>
                  <w:keepNext/>
                  <w:keepLines/>
                  <w:tabs>
                    <w:tab w:val="left" w:pos="180"/>
                  </w:tabs>
                  <w:spacing w:after="0" w:line="240" w:lineRule="auto"/>
                  <w:jc w:val="center"/>
                </w:pPr>
              </w:pPrChange>
            </w:pPr>
            <w:r>
              <w:rPr>
                <w:rFonts w:eastAsia="MS Mincho"/>
                <w:noProof/>
                <w:sz w:val="20"/>
                <w:szCs w:val="20"/>
                <w:lang w:val="it-IT"/>
                <w:rPrChange w:id="2241" w:author="Author">
                  <w:rPr>
                    <w:rFonts w:eastAsia="MS Mincho"/>
                    <w:sz w:val="22"/>
                    <w:szCs w:val="22"/>
                    <w:lang w:val="it-IT"/>
                  </w:rPr>
                </w:rPrChange>
              </w:rPr>
              <w:t>5,4%</w:t>
            </w:r>
          </w:p>
        </w:tc>
      </w:tr>
    </w:tbl>
    <w:p>
      <w:pPr>
        <w:keepNext/>
        <w:keepLines/>
        <w:tabs>
          <w:tab w:val="left" w:pos="180"/>
        </w:tabs>
        <w:rPr>
          <w:i/>
          <w:noProof/>
          <w:sz w:val="18"/>
          <w:szCs w:val="18"/>
          <w:lang w:val="it-IT"/>
        </w:rPr>
      </w:pPr>
      <w:r>
        <w:rPr>
          <w:noProof/>
          <w:sz w:val="18"/>
          <w:szCs w:val="18"/>
          <w:vertAlign w:val="superscript"/>
          <w:lang w:val="it-IT"/>
        </w:rPr>
        <w:t>1</w:t>
      </w:r>
      <w:r>
        <w:rPr>
          <w:i/>
          <w:noProof/>
          <w:sz w:val="18"/>
          <w:szCs w:val="18"/>
          <w:lang w:val="it-IT"/>
        </w:rPr>
        <w:t>p</w:t>
      </w:r>
      <w:ins w:id="2242" w:author="Author">
        <w:r>
          <w:rPr>
            <w:i/>
            <w:noProof/>
            <w:sz w:val="18"/>
            <w:szCs w:val="18"/>
            <w:lang w:val="it-IT"/>
          </w:rPr>
          <w:t xml:space="preserve"> </w:t>
        </w:r>
      </w:ins>
      <w:r>
        <w:rPr>
          <w:i/>
          <w:noProof/>
          <w:sz w:val="18"/>
          <w:szCs w:val="18"/>
          <w:lang w:val="it-IT"/>
        </w:rPr>
        <w:t>&lt;</w:t>
      </w:r>
      <w:ins w:id="2243" w:author="Author">
        <w:r>
          <w:rPr>
            <w:i/>
            <w:noProof/>
            <w:sz w:val="18"/>
            <w:szCs w:val="18"/>
            <w:lang w:val="it-IT"/>
          </w:rPr>
          <w:t xml:space="preserve"> </w:t>
        </w:r>
      </w:ins>
      <w:r>
        <w:rPr>
          <w:i/>
          <w:noProof/>
          <w:sz w:val="18"/>
          <w:szCs w:val="18"/>
          <w:lang w:val="it-IT"/>
        </w:rPr>
        <w:t>0,0001, tocilizumab vs placebo</w:t>
      </w:r>
    </w:p>
    <w:p>
      <w:pPr>
        <w:keepNext/>
        <w:keepLines/>
        <w:numPr>
          <w:ilvl w:val="12"/>
          <w:numId w:val="0"/>
        </w:numPr>
        <w:tabs>
          <w:tab w:val="left" w:pos="180"/>
        </w:tabs>
        <w:ind w:right="-2"/>
        <w:rPr>
          <w:noProof/>
          <w:lang w:val="it-IT"/>
        </w:rPr>
      </w:pPr>
    </w:p>
    <w:p>
      <w:pPr>
        <w:keepNext/>
        <w:keepLines/>
        <w:numPr>
          <w:ilvl w:val="12"/>
          <w:numId w:val="0"/>
        </w:numPr>
        <w:tabs>
          <w:tab w:val="left" w:pos="180"/>
        </w:tabs>
        <w:ind w:right="-2"/>
        <w:rPr>
          <w:i/>
          <w:noProof/>
          <w:szCs w:val="22"/>
          <w:lang w:val="it-IT"/>
        </w:rPr>
      </w:pPr>
      <w:r>
        <w:rPr>
          <w:i/>
          <w:noProof/>
          <w:szCs w:val="22"/>
          <w:lang w:val="it-IT"/>
        </w:rPr>
        <w:t>Effetti sistemici</w:t>
      </w:r>
    </w:p>
    <w:p>
      <w:pPr>
        <w:keepNext/>
        <w:keepLines/>
        <w:tabs>
          <w:tab w:val="left" w:pos="180"/>
        </w:tabs>
        <w:rPr>
          <w:noProof/>
          <w:lang w:val="it-IT"/>
        </w:rPr>
      </w:pPr>
      <w:r>
        <w:rPr>
          <w:noProof/>
          <w:lang w:val="it-IT"/>
        </w:rPr>
        <w:t>L’85% dei pazienti del gruppo trattato con tocilizumab che manifestava febbre dovuta all’AIGs al basale, non presentava questo sintomo (non è stata registrata una temperatura corporea ≥ 37,5°C nei 14 giorni precedenti) alla settimana 12 rispetto al 21% dei pazienti del gruppo trattato con placebo (p</w:t>
      </w:r>
      <w:ins w:id="2244" w:author="Author">
        <w:r>
          <w:rPr>
            <w:noProof/>
            <w:lang w:val="it-IT"/>
          </w:rPr>
          <w:t xml:space="preserve"> </w:t>
        </w:r>
      </w:ins>
      <w:r>
        <w:rPr>
          <w:noProof/>
          <w:lang w:val="it-IT"/>
        </w:rPr>
        <w:t>&lt;</w:t>
      </w:r>
      <w:ins w:id="2245" w:author="Author">
        <w:r>
          <w:rPr>
            <w:noProof/>
            <w:lang w:val="it-IT"/>
          </w:rPr>
          <w:t xml:space="preserve"> </w:t>
        </w:r>
      </w:ins>
      <w:r>
        <w:rPr>
          <w:noProof/>
          <w:lang w:val="it-IT"/>
        </w:rPr>
        <w:t xml:space="preserve">0,0001). </w:t>
      </w:r>
    </w:p>
    <w:p>
      <w:pPr>
        <w:keepNext/>
        <w:keepLines/>
        <w:tabs>
          <w:tab w:val="left" w:pos="180"/>
        </w:tabs>
        <w:rPr>
          <w:noProof/>
          <w:lang w:val="it-IT"/>
        </w:rPr>
      </w:pPr>
    </w:p>
    <w:p>
      <w:pPr>
        <w:keepNext/>
        <w:keepLines/>
        <w:tabs>
          <w:tab w:val="left" w:pos="180"/>
        </w:tabs>
        <w:rPr>
          <w:noProof/>
          <w:lang w:val="it-IT"/>
        </w:rPr>
      </w:pPr>
      <w:r>
        <w:rPr>
          <w:noProof/>
          <w:lang w:val="it-IT"/>
        </w:rPr>
        <w:t>La variazione media aggiustata della scala analogica visiva (VAS) per il dolore, dopo 12 settimane di trattamento con tocilizumab, è stata di una riduzione di 41 punti su una scala da 0 a 100 rispetto a una riduzione di 1 punto per i pazienti trattati con placebo (p</w:t>
      </w:r>
      <w:ins w:id="2246" w:author="Author">
        <w:r>
          <w:rPr>
            <w:noProof/>
            <w:lang w:val="it-IT"/>
          </w:rPr>
          <w:t xml:space="preserve"> </w:t>
        </w:r>
      </w:ins>
      <w:r>
        <w:rPr>
          <w:noProof/>
          <w:lang w:val="it-IT"/>
        </w:rPr>
        <w:t>&lt;</w:t>
      </w:r>
      <w:ins w:id="2247" w:author="Author">
        <w:r>
          <w:rPr>
            <w:noProof/>
            <w:lang w:val="it-IT"/>
          </w:rPr>
          <w:t xml:space="preserve"> </w:t>
        </w:r>
      </w:ins>
      <w:r>
        <w:rPr>
          <w:noProof/>
          <w:lang w:val="it-IT"/>
        </w:rPr>
        <w:t>0</w:t>
      </w:r>
      <w:ins w:id="2248" w:author="Author">
        <w:r>
          <w:rPr>
            <w:noProof/>
            <w:lang w:val="it-IT"/>
          </w:rPr>
          <w:t>,</w:t>
        </w:r>
      </w:ins>
      <w:del w:id="2249" w:author="Author">
        <w:r>
          <w:rPr>
            <w:noProof/>
            <w:lang w:val="it-IT"/>
          </w:rPr>
          <w:delText>.</w:delText>
        </w:r>
      </w:del>
      <w:r>
        <w:rPr>
          <w:noProof/>
          <w:lang w:val="it-IT"/>
        </w:rPr>
        <w:t xml:space="preserve">0001). </w:t>
      </w:r>
    </w:p>
    <w:p>
      <w:pPr>
        <w:tabs>
          <w:tab w:val="left" w:pos="180"/>
        </w:tabs>
        <w:rPr>
          <w:noProof/>
          <w:lang w:val="it-IT"/>
        </w:rPr>
      </w:pPr>
    </w:p>
    <w:p>
      <w:pPr>
        <w:tabs>
          <w:tab w:val="left" w:pos="180"/>
        </w:tabs>
        <w:rPr>
          <w:i/>
          <w:noProof/>
          <w:lang w:val="it-IT"/>
        </w:rPr>
      </w:pPr>
      <w:r>
        <w:rPr>
          <w:i/>
          <w:noProof/>
          <w:lang w:val="it-IT"/>
        </w:rPr>
        <w:t>Riduzione dei corticosteroidi</w:t>
      </w:r>
    </w:p>
    <w:p>
      <w:pPr>
        <w:tabs>
          <w:tab w:val="left" w:pos="180"/>
        </w:tabs>
        <w:rPr>
          <w:noProof/>
          <w:lang w:val="it-IT"/>
        </w:rPr>
      </w:pPr>
      <w:r>
        <w:rPr>
          <w:noProof/>
          <w:lang w:val="it-IT"/>
        </w:rPr>
        <w:t>Ai pazienti che hanno raggiunto una risposta ACR 70 per l’AIG, è stata permessa una riduzione della dose di corticosteroidi. Per 17 pazienti (24%) trattati con tocilizumab rispetto a 1 paziente (3%) trattato con placebo è stato possibile diminuire di almeno il 20% la dose di corticosteroidi senza che si verificasse una conseguente riacutizzazione o comparsa dei sintomi sistemici secondo i criteri ACR 30 per l’AIG fino alla settimana 12 (p</w:t>
      </w:r>
      <w:ins w:id="2250" w:author="Author">
        <w:r>
          <w:rPr>
            <w:noProof/>
            <w:lang w:val="it-IT"/>
          </w:rPr>
          <w:t> </w:t>
        </w:r>
      </w:ins>
      <w:r>
        <w:rPr>
          <w:noProof/>
          <w:lang w:val="it-IT"/>
        </w:rPr>
        <w:t>=</w:t>
      </w:r>
      <w:ins w:id="2251" w:author="Author">
        <w:r>
          <w:rPr>
            <w:noProof/>
            <w:lang w:val="it-IT"/>
          </w:rPr>
          <w:t> </w:t>
        </w:r>
      </w:ins>
      <w:r>
        <w:rPr>
          <w:noProof/>
          <w:lang w:val="it-IT"/>
        </w:rPr>
        <w:t>0,028). La somministrazione dei corticosteroidi è stata ulteriormente ridotta, con 44 pazienti che hanno smesso di assumere corticosteroidi orali alla settimana 44 pur mantenendo le risposte ACR per l’AIG.</w:t>
      </w:r>
    </w:p>
    <w:p>
      <w:pPr>
        <w:tabs>
          <w:tab w:val="left" w:pos="180"/>
        </w:tabs>
        <w:rPr>
          <w:i/>
          <w:iCs/>
          <w:noProof/>
          <w:lang w:val="it-IT"/>
        </w:rPr>
      </w:pPr>
    </w:p>
    <w:p>
      <w:pPr>
        <w:tabs>
          <w:tab w:val="left" w:pos="180"/>
        </w:tabs>
        <w:rPr>
          <w:i/>
          <w:noProof/>
          <w:lang w:val="it-IT"/>
        </w:rPr>
      </w:pPr>
      <w:r>
        <w:rPr>
          <w:i/>
          <w:noProof/>
          <w:lang w:val="it-IT"/>
        </w:rPr>
        <w:t>Esiti correlati alla salute e alla qualità della vita</w:t>
      </w:r>
    </w:p>
    <w:p>
      <w:pPr>
        <w:tabs>
          <w:tab w:val="left" w:pos="180"/>
        </w:tabs>
        <w:rPr>
          <w:noProof/>
          <w:lang w:val="it-IT"/>
        </w:rPr>
      </w:pPr>
      <w:r>
        <w:rPr>
          <w:noProof/>
          <w:lang w:val="it-IT"/>
        </w:rPr>
        <w:t xml:space="preserve">Alla settimana 12, la percentuale di pazienti trattati con tocilizumab che ha mostrato un miglioramento minimo clinicamente importante nel </w:t>
      </w:r>
      <w:bookmarkStart w:id="2252" w:name="_Hlk223623721"/>
      <w:r>
        <w:rPr>
          <w:noProof/>
          <w:lang w:val="it-IT"/>
        </w:rPr>
        <w:t xml:space="preserve">Childhood Health Assessment Questionnaire – Disability Index </w:t>
      </w:r>
      <w:bookmarkEnd w:id="2252"/>
      <w:r>
        <w:rPr>
          <w:noProof/>
          <w:lang w:val="it-IT"/>
        </w:rPr>
        <w:t>(definito come una riduzione del punteggio totale individuale ≥0,13) è stata significativamente maggiore rispetto alla percentuale dei pazienti trattati con placebo, 77% rispetto a 19% (p</w:t>
      </w:r>
      <w:ins w:id="2253" w:author="Author">
        <w:r>
          <w:rPr>
            <w:noProof/>
            <w:lang w:val="it-IT"/>
          </w:rPr>
          <w:t xml:space="preserve"> </w:t>
        </w:r>
      </w:ins>
      <w:r>
        <w:rPr>
          <w:noProof/>
          <w:lang w:val="it-IT"/>
        </w:rPr>
        <w:t>&lt;</w:t>
      </w:r>
      <w:ins w:id="2254" w:author="Author">
        <w:r>
          <w:rPr>
            <w:noProof/>
            <w:lang w:val="it-IT"/>
          </w:rPr>
          <w:t xml:space="preserve"> </w:t>
        </w:r>
      </w:ins>
      <w:r>
        <w:rPr>
          <w:noProof/>
          <w:lang w:val="it-IT"/>
        </w:rPr>
        <w:t xml:space="preserve">0,0001). </w:t>
      </w:r>
    </w:p>
    <w:p>
      <w:pPr>
        <w:tabs>
          <w:tab w:val="left" w:pos="180"/>
        </w:tabs>
        <w:rPr>
          <w:noProof/>
          <w:lang w:val="it-IT"/>
        </w:rPr>
      </w:pPr>
    </w:p>
    <w:p>
      <w:pPr>
        <w:keepNext/>
        <w:keepLines/>
        <w:tabs>
          <w:tab w:val="left" w:pos="180"/>
        </w:tabs>
        <w:rPr>
          <w:i/>
          <w:noProof/>
          <w:lang w:val="it-IT"/>
        </w:rPr>
      </w:pPr>
      <w:r>
        <w:rPr>
          <w:i/>
          <w:noProof/>
          <w:lang w:val="it-IT"/>
        </w:rPr>
        <w:t>Parametri di laboratorio</w:t>
      </w:r>
    </w:p>
    <w:p>
      <w:pPr>
        <w:keepNext/>
        <w:keepLines/>
        <w:tabs>
          <w:tab w:val="left" w:pos="180"/>
        </w:tabs>
        <w:rPr>
          <w:noProof/>
          <w:lang w:val="it-IT"/>
        </w:rPr>
      </w:pPr>
      <w:del w:id="2255" w:author="Author">
        <w:r>
          <w:rPr>
            <w:noProof/>
            <w:lang w:val="it-IT"/>
          </w:rPr>
          <w:delText>Al basale, t</w:delText>
        </w:r>
      </w:del>
      <w:ins w:id="2256" w:author="Author">
        <w:r>
          <w:rPr>
            <w:noProof/>
            <w:lang w:val="it-IT"/>
          </w:rPr>
          <w:t>T</w:t>
        </w:r>
      </w:ins>
      <w:r>
        <w:rPr>
          <w:noProof/>
          <w:lang w:val="it-IT"/>
        </w:rPr>
        <w:t xml:space="preserve">ra i pazienti trattati con tocilizumab, 50 su 75 (67%) presentavano </w:t>
      </w:r>
      <w:ins w:id="2257" w:author="Author">
        <w:r>
          <w:rPr>
            <w:noProof/>
            <w:lang w:val="it-IT"/>
          </w:rPr>
          <w:t xml:space="preserve">al basale </w:t>
        </w:r>
      </w:ins>
      <w:r>
        <w:rPr>
          <w:noProof/>
          <w:lang w:val="it-IT"/>
        </w:rPr>
        <w:t>livelli di emoglobina al di sotto del limite inferiore del</w:t>
      </w:r>
      <w:ins w:id="2258" w:author="Author">
        <w:r>
          <w:rPr>
            <w:noProof/>
            <w:lang w:val="it-IT"/>
          </w:rPr>
          <w:t xml:space="preserve"> valore normale</w:t>
        </w:r>
      </w:ins>
      <w:del w:id="2259" w:author="Author">
        <w:r>
          <w:rPr>
            <w:noProof/>
            <w:lang w:val="it-IT"/>
          </w:rPr>
          <w:delText>l’intervallo di normalità</w:delText>
        </w:r>
      </w:del>
      <w:r>
        <w:rPr>
          <w:noProof/>
          <w:lang w:val="it-IT"/>
        </w:rPr>
        <w:t xml:space="preserve"> (</w:t>
      </w:r>
      <w:r>
        <w:rPr>
          <w:noProof/>
          <w:szCs w:val="22"/>
          <w:lang w:val="it-IT"/>
        </w:rPr>
        <w:t xml:space="preserve">Low Limit of Normal, </w:t>
      </w:r>
      <w:r>
        <w:rPr>
          <w:noProof/>
          <w:lang w:val="it-IT"/>
        </w:rPr>
        <w:t>LLN). Quaranta di questi pazienti (80%) hanno presentato aumenti nei valori di emoglobina fino a rientrare nell’intervallo di normalità alla settimana 12, rispetto a 2 pazienti su 29 (7%) trattati con placebo che manifestavano una riduzione dei livelli di emoglobina al di sotto dell’LLN al basale (p</w:t>
      </w:r>
      <w:ins w:id="2260" w:author="Author">
        <w:r>
          <w:rPr>
            <w:noProof/>
            <w:lang w:val="it-IT"/>
          </w:rPr>
          <w:t xml:space="preserve"> </w:t>
        </w:r>
      </w:ins>
      <w:r>
        <w:rPr>
          <w:noProof/>
          <w:lang w:val="it-IT"/>
        </w:rPr>
        <w:t>&lt;</w:t>
      </w:r>
      <w:ins w:id="2261" w:author="Author">
        <w:r>
          <w:rPr>
            <w:noProof/>
            <w:lang w:val="it-IT"/>
          </w:rPr>
          <w:t xml:space="preserve"> </w:t>
        </w:r>
      </w:ins>
      <w:r>
        <w:rPr>
          <w:noProof/>
          <w:lang w:val="it-IT"/>
        </w:rPr>
        <w:t xml:space="preserve">0,0001). </w:t>
      </w:r>
    </w:p>
    <w:p>
      <w:pPr>
        <w:numPr>
          <w:ilvl w:val="12"/>
          <w:numId w:val="0"/>
        </w:numPr>
        <w:tabs>
          <w:tab w:val="left" w:pos="180"/>
        </w:tabs>
        <w:ind w:right="-2"/>
        <w:rPr>
          <w:i/>
          <w:noProof/>
          <w:lang w:val="it-IT"/>
        </w:rPr>
      </w:pPr>
    </w:p>
    <w:p>
      <w:pPr>
        <w:keepNext/>
        <w:keepLines/>
        <w:numPr>
          <w:ilvl w:val="12"/>
          <w:numId w:val="0"/>
        </w:numPr>
        <w:tabs>
          <w:tab w:val="left" w:pos="180"/>
        </w:tabs>
        <w:ind w:right="-2"/>
        <w:rPr>
          <w:noProof/>
          <w:u w:val="single"/>
          <w:lang w:val="it-IT"/>
        </w:rPr>
      </w:pPr>
      <w:r>
        <w:rPr>
          <w:noProof/>
          <w:u w:val="single"/>
          <w:lang w:val="it-IT"/>
        </w:rPr>
        <w:t>Popolazione pediatrica affetta AIGP</w:t>
      </w:r>
    </w:p>
    <w:p>
      <w:pPr>
        <w:numPr>
          <w:ilvl w:val="12"/>
          <w:numId w:val="0"/>
        </w:numPr>
        <w:tabs>
          <w:tab w:val="left" w:pos="180"/>
        </w:tabs>
        <w:ind w:right="-2"/>
        <w:rPr>
          <w:del w:id="2262" w:author="Author"/>
          <w:i/>
          <w:noProof/>
          <w:lang w:val="it-IT"/>
        </w:rPr>
      </w:pPr>
    </w:p>
    <w:p>
      <w:pPr>
        <w:numPr>
          <w:ilvl w:val="12"/>
          <w:numId w:val="0"/>
        </w:numPr>
        <w:tabs>
          <w:tab w:val="left" w:pos="180"/>
        </w:tabs>
        <w:ind w:right="-2"/>
        <w:rPr>
          <w:i/>
          <w:iCs/>
          <w:noProof/>
          <w:lang w:val="it-IT"/>
        </w:rPr>
      </w:pPr>
      <w:r>
        <w:rPr>
          <w:i/>
          <w:iCs/>
          <w:noProof/>
          <w:lang w:val="it-IT"/>
        </w:rPr>
        <w:t>Efficacia clinica</w:t>
      </w:r>
    </w:p>
    <w:p>
      <w:pPr>
        <w:numPr>
          <w:ilvl w:val="12"/>
          <w:numId w:val="0"/>
        </w:numPr>
        <w:tabs>
          <w:tab w:val="left" w:pos="180"/>
        </w:tabs>
        <w:ind w:right="-2"/>
        <w:rPr>
          <w:del w:id="2263" w:author="Author"/>
          <w:noProof/>
          <w:lang w:val="it-IT"/>
        </w:rPr>
      </w:pPr>
    </w:p>
    <w:p>
      <w:pPr>
        <w:numPr>
          <w:ilvl w:val="12"/>
          <w:numId w:val="0"/>
        </w:numPr>
        <w:tabs>
          <w:tab w:val="left" w:pos="180"/>
        </w:tabs>
        <w:ind w:right="-2"/>
        <w:rPr>
          <w:noProof/>
          <w:lang w:val="it-IT"/>
        </w:rPr>
      </w:pPr>
      <w:r>
        <w:rPr>
          <w:noProof/>
          <w:lang w:val="it-IT"/>
        </w:rPr>
        <w:t xml:space="preserve">L’efficacia di tocilizumab è stata valutata in uno studio </w:t>
      </w:r>
      <w:ins w:id="2264" w:author="Author">
        <w:r>
          <w:rPr>
            <w:noProof/>
            <w:lang w:val="it-IT"/>
          </w:rPr>
          <w:t xml:space="preserve">clinico </w:t>
        </w:r>
      </w:ins>
      <w:del w:id="2265" w:author="Author">
        <w:r>
          <w:rPr>
            <w:noProof/>
            <w:lang w:val="it-IT"/>
          </w:rPr>
          <w:delText xml:space="preserve">di </w:delText>
        </w:r>
      </w:del>
      <w:ins w:id="2266" w:author="Author">
        <w:r>
          <w:rPr>
            <w:noProof/>
            <w:lang w:val="it-IT"/>
          </w:rPr>
          <w:t xml:space="preserve">suddiviso in </w:t>
        </w:r>
      </w:ins>
      <w:r>
        <w:rPr>
          <w:noProof/>
          <w:lang w:val="it-IT"/>
        </w:rPr>
        <w:t xml:space="preserve">tre parti, WA19977, che ha incluso una estensione in aperto, in bambini con AIGp attiva. La Parte I consisteva in un </w:t>
      </w:r>
      <w:r>
        <w:rPr>
          <w:noProof/>
          <w:lang w:val="it-IT"/>
        </w:rPr>
        <w:lastRenderedPageBreak/>
        <w:t>trattamento attivo con tocilizumab di 16-settimane (n</w:t>
      </w:r>
      <w:ins w:id="2267" w:author="Author">
        <w:r>
          <w:rPr>
            <w:noProof/>
            <w:lang w:val="it-IT"/>
          </w:rPr>
          <w:t> </w:t>
        </w:r>
      </w:ins>
      <w:r>
        <w:rPr>
          <w:noProof/>
          <w:lang w:val="it-IT"/>
        </w:rPr>
        <w:t>=</w:t>
      </w:r>
      <w:ins w:id="2268" w:author="Author">
        <w:r>
          <w:rPr>
            <w:noProof/>
            <w:lang w:val="it-IT"/>
          </w:rPr>
          <w:t> </w:t>
        </w:r>
      </w:ins>
      <w:r>
        <w:rPr>
          <w:noProof/>
          <w:lang w:val="it-IT"/>
        </w:rPr>
        <w:t>188) seguito da una Parte II, un periodo di interruzione di 24 settimane in doppio cieco controllato verso placebo (n</w:t>
      </w:r>
      <w:ins w:id="2269" w:author="Author">
        <w:r>
          <w:rPr>
            <w:noProof/>
            <w:lang w:val="it-IT"/>
          </w:rPr>
          <w:t> </w:t>
        </w:r>
      </w:ins>
      <w:r>
        <w:rPr>
          <w:noProof/>
          <w:lang w:val="it-IT"/>
        </w:rPr>
        <w:t>=</w:t>
      </w:r>
      <w:ins w:id="2270" w:author="Author">
        <w:r>
          <w:rPr>
            <w:noProof/>
            <w:lang w:val="it-IT"/>
          </w:rPr>
          <w:t> </w:t>
        </w:r>
      </w:ins>
      <w:r>
        <w:rPr>
          <w:noProof/>
          <w:lang w:val="it-IT"/>
        </w:rPr>
        <w:t xml:space="preserve">163), seguito da una Parte III, un periodo di 64 settimane in aperto. Nella Parte I, i pazienti eleggibili con peso </w:t>
      </w:r>
      <w:r>
        <w:rPr>
          <w:rFonts w:eastAsia="SimSun"/>
          <w:noProof/>
          <w:szCs w:val="22"/>
          <w:lang w:val="it-IT" w:eastAsia="zh-CN"/>
        </w:rPr>
        <w:t>≥</w:t>
      </w:r>
      <w:r>
        <w:rPr>
          <w:noProof/>
          <w:lang w:val="it-IT"/>
        </w:rPr>
        <w:t xml:space="preserve"> 30 kg ricevevano tocilizumab endovena a 8 mg/kg. ogni 4 settimane per 4 dosi. I pazienti con peso &lt; 30 Kg erano randomizzati 1:1 a ricevere o tocilizumab endovena 8 mg/kg o 10 mg/kg ogni 4 settimane per 4 dosi. I pazienti che avevano completato la Parte I dello studio </w:t>
      </w:r>
      <w:ins w:id="2271" w:author="Author">
        <w:r>
          <w:rPr>
            <w:noProof/>
            <w:lang w:val="it-IT"/>
          </w:rPr>
          <w:t xml:space="preserve">clinico </w:t>
        </w:r>
      </w:ins>
      <w:r>
        <w:rPr>
          <w:noProof/>
          <w:lang w:val="it-IT"/>
        </w:rPr>
        <w:t xml:space="preserve">e raggiungevano almeno una risposta ACR30 per AIGp alla settimana 16 rispetto al basale, erano eleggibili per entrare nel periodo di interruzione in cieco dello studio (Parte II). Nella Parte II, i pazienti venivano randomizzati a tocilizumab (stessa dose ricevuta nella Parte I) o placebo in una proporzione 1:1, stratificata per l’uso concomitante di MTX e l’uso concomitante di corticosteroidi. Ogni paziente continuava la Parte II fino alla settimana 40 o finché il paziente soddisfaceva i criteri ACR30 per AIGp per una riacutizzazione (relativa alla settimana 16) ed era qualificato per passare alla terapia con tocilizumab nel braccio di salvataggio (stesso dosaggio ricevuto nella Parte I). </w:t>
      </w:r>
    </w:p>
    <w:p>
      <w:pPr>
        <w:numPr>
          <w:ilvl w:val="12"/>
          <w:numId w:val="0"/>
        </w:numPr>
        <w:tabs>
          <w:tab w:val="left" w:pos="180"/>
        </w:tabs>
        <w:ind w:right="-2"/>
        <w:rPr>
          <w:noProof/>
          <w:lang w:val="it-IT"/>
        </w:rPr>
      </w:pPr>
    </w:p>
    <w:p>
      <w:pPr>
        <w:numPr>
          <w:ilvl w:val="12"/>
          <w:numId w:val="0"/>
        </w:numPr>
        <w:tabs>
          <w:tab w:val="left" w:pos="180"/>
        </w:tabs>
        <w:ind w:right="-2"/>
        <w:rPr>
          <w:i/>
          <w:noProof/>
          <w:lang w:val="it-IT"/>
        </w:rPr>
      </w:pPr>
      <w:r>
        <w:rPr>
          <w:i/>
          <w:noProof/>
          <w:lang w:val="it-IT"/>
        </w:rPr>
        <w:t>Risposta clinica</w:t>
      </w:r>
    </w:p>
    <w:p>
      <w:pPr>
        <w:numPr>
          <w:ilvl w:val="12"/>
          <w:numId w:val="0"/>
        </w:numPr>
        <w:tabs>
          <w:tab w:val="left" w:pos="180"/>
        </w:tabs>
        <w:ind w:right="-2"/>
        <w:rPr>
          <w:noProof/>
          <w:lang w:val="it-IT"/>
        </w:rPr>
      </w:pPr>
      <w:r>
        <w:rPr>
          <w:noProof/>
          <w:lang w:val="it-IT"/>
        </w:rPr>
        <w:t xml:space="preserve">L’endpoint primario era la percentuale di pazienti con una riacutizzazione per ACR30 per AIG alla settimana 40 rispetto alla settimana 16. Il quarantotto percento (48,1%, 39/81) dei pazienti trattati con placebo ha avuto una riacutizzazione rispetto al 25,6% (21/82) dei pazienti trattati con tocilizumab. La differenza tra queste </w:t>
      </w:r>
      <w:del w:id="2272" w:author="Author">
        <w:r>
          <w:rPr>
            <w:noProof/>
            <w:lang w:val="it-IT"/>
          </w:rPr>
          <w:delText xml:space="preserve">proporzioni </w:delText>
        </w:r>
      </w:del>
      <w:ins w:id="2273" w:author="Author">
        <w:r>
          <w:rPr>
            <w:noProof/>
            <w:lang w:val="it-IT"/>
          </w:rPr>
          <w:t xml:space="preserve">percentuali </w:t>
        </w:r>
      </w:ins>
      <w:r>
        <w:rPr>
          <w:noProof/>
          <w:lang w:val="it-IT"/>
        </w:rPr>
        <w:t>era statisticamente significativa (p</w:t>
      </w:r>
      <w:ins w:id="2274" w:author="Author">
        <w:r>
          <w:rPr>
            <w:noProof/>
            <w:lang w:val="it-IT"/>
          </w:rPr>
          <w:t> </w:t>
        </w:r>
      </w:ins>
      <w:r>
        <w:rPr>
          <w:noProof/>
          <w:lang w:val="it-IT"/>
        </w:rPr>
        <w:t>=</w:t>
      </w:r>
      <w:ins w:id="2275" w:author="Author">
        <w:r>
          <w:rPr>
            <w:noProof/>
            <w:lang w:val="it-IT"/>
          </w:rPr>
          <w:t> </w:t>
        </w:r>
      </w:ins>
      <w:r>
        <w:rPr>
          <w:noProof/>
          <w:lang w:val="it-IT"/>
        </w:rPr>
        <w:t>0</w:t>
      </w:r>
      <w:ins w:id="2276" w:author="Author">
        <w:r>
          <w:rPr>
            <w:noProof/>
            <w:lang w:val="it-IT"/>
          </w:rPr>
          <w:t>,</w:t>
        </w:r>
      </w:ins>
      <w:del w:id="2277" w:author="Author">
        <w:r>
          <w:rPr>
            <w:noProof/>
            <w:lang w:val="it-IT"/>
          </w:rPr>
          <w:delText>.</w:delText>
        </w:r>
      </w:del>
      <w:r>
        <w:rPr>
          <w:noProof/>
          <w:lang w:val="it-IT"/>
        </w:rPr>
        <w:t>0024).</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Al termine della Parte I, le risposte ACR per l’AIG 30/50/70/90 erano 89,4%, 83,0%, 62,2% e 26,1%, rispettivamente.</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 xml:space="preserve">Durante la fase di interruzione (Parte II), la percentuale di pazienti che hanno conseguito risposte ACR 30/50/70 per l’AIG alla settimana 40 rispetto al basale sono mostrate nella Tabella 9. In questa analisi statistica, i pazienti che avevano avuto una riacutizzazione della malattia (e che erano usciti dal trattamento con tocilizumab) durante la Parte II o che interrompevano lo studio, sono stati classificati come non-responders. Una analisi aggiuntiva delle risposte ACR per l’AIG che considerava i dati osservati alla settimana 40, indipendentemente dallo stato di riacutizzazione della malattia, aveva mostrato che alla settimana 40 il 95,1 % dei pazienti che avevano ricevuto la terapia continuativa di tocilizumab, aveva raggiunto l’ACR30 per l’AIG o più alta. </w:t>
      </w:r>
    </w:p>
    <w:p>
      <w:pPr>
        <w:numPr>
          <w:ilvl w:val="12"/>
          <w:numId w:val="0"/>
        </w:numPr>
        <w:tabs>
          <w:tab w:val="left" w:pos="180"/>
        </w:tabs>
        <w:ind w:right="-2"/>
        <w:rPr>
          <w:noProof/>
          <w:lang w:val="it-IT"/>
        </w:rPr>
      </w:pPr>
    </w:p>
    <w:p>
      <w:pPr>
        <w:keepNext/>
        <w:keepLines/>
        <w:numPr>
          <w:ilvl w:val="12"/>
          <w:numId w:val="0"/>
        </w:numPr>
        <w:tabs>
          <w:tab w:val="left" w:pos="180"/>
        </w:tabs>
        <w:ind w:right="-2"/>
        <w:rPr>
          <w:i/>
          <w:noProof/>
          <w:szCs w:val="22"/>
          <w:lang w:val="it-IT"/>
        </w:rPr>
      </w:pPr>
      <w:r>
        <w:rPr>
          <w:i/>
          <w:noProof/>
          <w:szCs w:val="22"/>
          <w:lang w:val="it-IT"/>
        </w:rPr>
        <w:t xml:space="preserve">Tabella 9. Tassi di risposta ACR dell’AIGp alla settimana 40 relativi al basale (percentuale </w:t>
      </w:r>
      <w:del w:id="2278" w:author="Author">
        <w:r>
          <w:rPr>
            <w:i/>
            <w:noProof/>
            <w:szCs w:val="22"/>
            <w:lang w:val="it-IT"/>
          </w:rPr>
          <w:tab/>
        </w:r>
        <w:r>
          <w:rPr>
            <w:i/>
            <w:noProof/>
            <w:szCs w:val="22"/>
            <w:lang w:val="it-IT"/>
          </w:rPr>
          <w:tab/>
        </w:r>
      </w:del>
      <w:r>
        <w:rPr>
          <w:i/>
          <w:noProof/>
          <w:szCs w:val="22"/>
          <w:lang w:val="it-IT"/>
        </w:rPr>
        <w:t>di pazienti)</w:t>
      </w:r>
    </w:p>
    <w:p>
      <w:pPr>
        <w:keepNext/>
        <w:keepLines/>
        <w:numPr>
          <w:ilvl w:val="12"/>
          <w:numId w:val="0"/>
        </w:numPr>
        <w:tabs>
          <w:tab w:val="left" w:pos="180"/>
        </w:tabs>
        <w:ind w:right="-2"/>
        <w:rPr>
          <w:i/>
          <w:noProof/>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2279"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972"/>
        <w:gridCol w:w="2552"/>
        <w:gridCol w:w="3402"/>
        <w:tblGridChange w:id="2280">
          <w:tblGrid>
            <w:gridCol w:w="2235"/>
            <w:gridCol w:w="2409"/>
            <w:gridCol w:w="2409"/>
          </w:tblGrid>
        </w:tblGridChange>
      </w:tblGrid>
      <w:tr>
        <w:trPr>
          <w:cantSplit/>
          <w:tblHeader/>
        </w:trPr>
        <w:tc>
          <w:tcPr>
            <w:tcW w:w="2972" w:type="dxa"/>
            <w:tcPrChange w:id="2281" w:author="Author">
              <w:tcPr>
                <w:tcW w:w="2235" w:type="dxa"/>
              </w:tcPr>
            </w:tcPrChange>
          </w:tcPr>
          <w:p>
            <w:pPr>
              <w:pStyle w:val="TextTi12"/>
              <w:keepNext/>
              <w:tabs>
                <w:tab w:val="left" w:pos="180"/>
              </w:tabs>
              <w:suppressAutoHyphens/>
              <w:spacing w:after="0" w:line="240" w:lineRule="auto"/>
              <w:jc w:val="left"/>
              <w:rPr>
                <w:rFonts w:eastAsia="MS Mincho"/>
                <w:noProof/>
                <w:sz w:val="20"/>
                <w:szCs w:val="20"/>
                <w:lang w:val="it-IT"/>
                <w:rPrChange w:id="2282" w:author="Author">
                  <w:rPr>
                    <w:rFonts w:eastAsia="MS Mincho"/>
                    <w:sz w:val="22"/>
                    <w:szCs w:val="22"/>
                    <w:lang w:val="it-IT"/>
                  </w:rPr>
                </w:rPrChange>
              </w:rPr>
              <w:pPrChange w:id="2283" w:author="Author">
                <w:pPr>
                  <w:pStyle w:val="TextTi12"/>
                  <w:keepNext/>
                  <w:keepLines/>
                  <w:tabs>
                    <w:tab w:val="left" w:pos="180"/>
                  </w:tabs>
                  <w:spacing w:after="0" w:line="240" w:lineRule="auto"/>
                </w:pPr>
              </w:pPrChange>
            </w:pPr>
            <w:r>
              <w:rPr>
                <w:rFonts w:eastAsia="MS Mincho"/>
                <w:b/>
                <w:bCs/>
                <w:noProof/>
                <w:sz w:val="20"/>
                <w:szCs w:val="20"/>
                <w:lang w:val="it-IT"/>
                <w:rPrChange w:id="2284" w:author="Author">
                  <w:rPr>
                    <w:rFonts w:eastAsia="MS Mincho"/>
                    <w:b/>
                    <w:bCs/>
                    <w:sz w:val="22"/>
                    <w:szCs w:val="22"/>
                    <w:lang w:val="it-IT"/>
                  </w:rPr>
                </w:rPrChange>
              </w:rPr>
              <w:t>Tasso di risposta</w:t>
            </w:r>
          </w:p>
        </w:tc>
        <w:tc>
          <w:tcPr>
            <w:tcW w:w="2552" w:type="dxa"/>
            <w:tcPrChange w:id="2285" w:author="Author">
              <w:tcPr>
                <w:tcW w:w="2409" w:type="dxa"/>
              </w:tcPr>
            </w:tcPrChange>
          </w:tcPr>
          <w:p>
            <w:pPr>
              <w:pStyle w:val="TextTi12"/>
              <w:keepNext/>
              <w:tabs>
                <w:tab w:val="left" w:pos="180"/>
              </w:tabs>
              <w:suppressAutoHyphens/>
              <w:spacing w:after="0" w:line="240" w:lineRule="auto"/>
              <w:jc w:val="left"/>
              <w:rPr>
                <w:rFonts w:eastAsia="MS Mincho"/>
                <w:bCs/>
                <w:noProof/>
                <w:sz w:val="20"/>
                <w:szCs w:val="20"/>
                <w:lang w:val="it-IT"/>
                <w:rPrChange w:id="2286" w:author="Author">
                  <w:rPr>
                    <w:rFonts w:eastAsia="MS Mincho"/>
                    <w:b/>
                    <w:sz w:val="22"/>
                    <w:szCs w:val="22"/>
                    <w:lang w:val="it-IT"/>
                  </w:rPr>
                </w:rPrChange>
              </w:rPr>
              <w:pPrChange w:id="2287" w:author="Author">
                <w:pPr>
                  <w:pStyle w:val="TextTi12"/>
                  <w:keepNext/>
                  <w:keepLines/>
                  <w:tabs>
                    <w:tab w:val="left" w:pos="180"/>
                  </w:tabs>
                  <w:spacing w:after="0" w:line="240" w:lineRule="auto"/>
                  <w:jc w:val="center"/>
                </w:pPr>
              </w:pPrChange>
            </w:pPr>
            <w:r>
              <w:rPr>
                <w:rFonts w:eastAsia="MS Mincho"/>
                <w:bCs/>
                <w:noProof/>
                <w:sz w:val="20"/>
                <w:szCs w:val="20"/>
                <w:lang w:val="it-IT"/>
                <w:rPrChange w:id="2288" w:author="Author">
                  <w:rPr>
                    <w:rFonts w:eastAsia="MS Mincho"/>
                    <w:b/>
                    <w:sz w:val="22"/>
                    <w:szCs w:val="22"/>
                    <w:lang w:val="it-IT"/>
                  </w:rPr>
                </w:rPrChange>
              </w:rPr>
              <w:t>Tocilizumab</w:t>
            </w:r>
          </w:p>
          <w:p>
            <w:pPr>
              <w:pStyle w:val="TextTi12"/>
              <w:keepNext/>
              <w:tabs>
                <w:tab w:val="left" w:pos="180"/>
              </w:tabs>
              <w:suppressAutoHyphens/>
              <w:spacing w:after="0" w:line="240" w:lineRule="auto"/>
              <w:jc w:val="left"/>
              <w:rPr>
                <w:rFonts w:eastAsia="MS Mincho"/>
                <w:bCs/>
                <w:noProof/>
                <w:sz w:val="20"/>
                <w:szCs w:val="20"/>
                <w:lang w:val="it-IT"/>
                <w:rPrChange w:id="2289" w:author="Author">
                  <w:rPr>
                    <w:rFonts w:eastAsia="MS Mincho"/>
                    <w:b/>
                    <w:sz w:val="22"/>
                    <w:szCs w:val="22"/>
                    <w:lang w:val="it-IT"/>
                  </w:rPr>
                </w:rPrChange>
              </w:rPr>
              <w:pPrChange w:id="2290" w:author="Author">
                <w:pPr>
                  <w:pStyle w:val="TextTi12"/>
                  <w:keepNext/>
                  <w:keepLines/>
                  <w:tabs>
                    <w:tab w:val="left" w:pos="180"/>
                  </w:tabs>
                  <w:spacing w:after="0" w:line="240" w:lineRule="auto"/>
                  <w:jc w:val="center"/>
                </w:pPr>
              </w:pPrChange>
            </w:pPr>
            <w:r>
              <w:rPr>
                <w:rFonts w:eastAsia="MS Mincho"/>
                <w:bCs/>
                <w:noProof/>
                <w:sz w:val="20"/>
                <w:szCs w:val="20"/>
                <w:lang w:val="it-IT"/>
                <w:rPrChange w:id="2291" w:author="Author">
                  <w:rPr>
                    <w:rFonts w:eastAsia="MS Mincho"/>
                    <w:b/>
                    <w:sz w:val="22"/>
                    <w:szCs w:val="22"/>
                    <w:lang w:val="it-IT"/>
                  </w:rPr>
                </w:rPrChange>
              </w:rPr>
              <w:t>(n</w:t>
            </w:r>
            <w:del w:id="2292" w:author="Author">
              <w:r>
                <w:rPr>
                  <w:rFonts w:eastAsia="MS Mincho"/>
                  <w:bCs/>
                  <w:noProof/>
                  <w:sz w:val="20"/>
                  <w:szCs w:val="20"/>
                  <w:lang w:val="it-IT"/>
                  <w:rPrChange w:id="2293" w:author="Author">
                    <w:rPr>
                      <w:rFonts w:eastAsia="MS Mincho"/>
                      <w:b/>
                      <w:sz w:val="22"/>
                      <w:szCs w:val="22"/>
                      <w:lang w:val="it-IT"/>
                    </w:rPr>
                  </w:rPrChange>
                </w:rPr>
                <w:delText xml:space="preserve"> </w:delText>
              </w:r>
            </w:del>
            <w:ins w:id="2294" w:author="Author">
              <w:r>
                <w:rPr>
                  <w:rFonts w:eastAsia="MS Mincho"/>
                  <w:bCs/>
                  <w:noProof/>
                  <w:sz w:val="20"/>
                  <w:szCs w:val="20"/>
                  <w:lang w:val="it-IT"/>
                  <w:rPrChange w:id="2295" w:author="Author">
                    <w:rPr>
                      <w:rFonts w:eastAsia="MS Mincho"/>
                      <w:b/>
                      <w:sz w:val="22"/>
                      <w:szCs w:val="22"/>
                      <w:lang w:val="it-IT"/>
                    </w:rPr>
                  </w:rPrChange>
                </w:rPr>
                <w:t> </w:t>
              </w:r>
            </w:ins>
            <w:r>
              <w:rPr>
                <w:rFonts w:eastAsia="MS Mincho"/>
                <w:bCs/>
                <w:noProof/>
                <w:sz w:val="20"/>
                <w:szCs w:val="20"/>
                <w:lang w:val="it-IT"/>
                <w:rPrChange w:id="2296" w:author="Author">
                  <w:rPr>
                    <w:rFonts w:eastAsia="MS Mincho"/>
                    <w:b/>
                    <w:sz w:val="22"/>
                    <w:szCs w:val="22"/>
                    <w:lang w:val="it-IT"/>
                  </w:rPr>
                </w:rPrChange>
              </w:rPr>
              <w:t>=</w:t>
            </w:r>
            <w:ins w:id="2297" w:author="Author">
              <w:r>
                <w:rPr>
                  <w:rFonts w:eastAsia="MS Mincho"/>
                  <w:bCs/>
                  <w:noProof/>
                  <w:sz w:val="20"/>
                  <w:szCs w:val="20"/>
                  <w:lang w:val="it-IT"/>
                  <w:rPrChange w:id="2298" w:author="Author">
                    <w:rPr>
                      <w:rFonts w:eastAsia="MS Mincho"/>
                      <w:b/>
                      <w:sz w:val="22"/>
                      <w:szCs w:val="22"/>
                      <w:lang w:val="it-IT"/>
                    </w:rPr>
                  </w:rPrChange>
                </w:rPr>
                <w:t> </w:t>
              </w:r>
            </w:ins>
            <w:del w:id="2299" w:author="Author">
              <w:r>
                <w:rPr>
                  <w:rFonts w:eastAsia="MS Mincho"/>
                  <w:bCs/>
                  <w:noProof/>
                  <w:sz w:val="20"/>
                  <w:szCs w:val="20"/>
                  <w:lang w:val="it-IT"/>
                  <w:rPrChange w:id="2300" w:author="Author">
                    <w:rPr>
                      <w:rFonts w:eastAsia="MS Mincho"/>
                      <w:b/>
                      <w:sz w:val="22"/>
                      <w:szCs w:val="22"/>
                      <w:lang w:val="it-IT"/>
                    </w:rPr>
                  </w:rPrChange>
                </w:rPr>
                <w:delText xml:space="preserve"> </w:delText>
              </w:r>
            </w:del>
            <w:r>
              <w:rPr>
                <w:rFonts w:eastAsia="MS Mincho"/>
                <w:bCs/>
                <w:noProof/>
                <w:sz w:val="20"/>
                <w:szCs w:val="20"/>
                <w:lang w:val="it-IT"/>
                <w:rPrChange w:id="2301" w:author="Author">
                  <w:rPr>
                    <w:rFonts w:eastAsia="MS Mincho"/>
                    <w:b/>
                    <w:sz w:val="22"/>
                    <w:szCs w:val="22"/>
                    <w:lang w:val="it-IT"/>
                  </w:rPr>
                </w:rPrChange>
              </w:rPr>
              <w:t>82)</w:t>
            </w:r>
          </w:p>
        </w:tc>
        <w:tc>
          <w:tcPr>
            <w:tcW w:w="3402" w:type="dxa"/>
            <w:tcPrChange w:id="2302" w:author="Author">
              <w:tcPr>
                <w:tcW w:w="2409" w:type="dxa"/>
              </w:tcPr>
            </w:tcPrChange>
          </w:tcPr>
          <w:p>
            <w:pPr>
              <w:pStyle w:val="TextTi12"/>
              <w:keepNext/>
              <w:tabs>
                <w:tab w:val="left" w:pos="180"/>
              </w:tabs>
              <w:suppressAutoHyphens/>
              <w:spacing w:after="0" w:line="240" w:lineRule="auto"/>
              <w:jc w:val="left"/>
              <w:rPr>
                <w:rFonts w:eastAsia="MS Mincho"/>
                <w:bCs/>
                <w:noProof/>
                <w:sz w:val="20"/>
                <w:szCs w:val="20"/>
                <w:lang w:val="it-IT"/>
                <w:rPrChange w:id="2303" w:author="Author">
                  <w:rPr>
                    <w:rFonts w:eastAsia="MS Mincho"/>
                    <w:b/>
                    <w:sz w:val="22"/>
                    <w:szCs w:val="22"/>
                    <w:lang w:val="it-IT"/>
                  </w:rPr>
                </w:rPrChange>
              </w:rPr>
              <w:pPrChange w:id="2304" w:author="Author">
                <w:pPr>
                  <w:pStyle w:val="TextTi12"/>
                  <w:keepNext/>
                  <w:keepLines/>
                  <w:tabs>
                    <w:tab w:val="left" w:pos="180"/>
                  </w:tabs>
                  <w:spacing w:after="0" w:line="240" w:lineRule="auto"/>
                  <w:jc w:val="center"/>
                </w:pPr>
              </w:pPrChange>
            </w:pPr>
            <w:r>
              <w:rPr>
                <w:rFonts w:eastAsia="MS Mincho"/>
                <w:bCs/>
                <w:noProof/>
                <w:sz w:val="20"/>
                <w:szCs w:val="20"/>
                <w:lang w:val="it-IT"/>
                <w:rPrChange w:id="2305" w:author="Author">
                  <w:rPr>
                    <w:rFonts w:eastAsia="MS Mincho"/>
                    <w:b/>
                    <w:sz w:val="22"/>
                    <w:szCs w:val="22"/>
                    <w:lang w:val="it-IT"/>
                  </w:rPr>
                </w:rPrChange>
              </w:rPr>
              <w:t>Placebo</w:t>
            </w:r>
          </w:p>
          <w:p>
            <w:pPr>
              <w:pStyle w:val="TextTi12"/>
              <w:keepNext/>
              <w:tabs>
                <w:tab w:val="left" w:pos="180"/>
              </w:tabs>
              <w:suppressAutoHyphens/>
              <w:spacing w:after="0" w:line="240" w:lineRule="auto"/>
              <w:jc w:val="left"/>
              <w:rPr>
                <w:rFonts w:eastAsia="MS Mincho"/>
                <w:bCs/>
                <w:noProof/>
                <w:sz w:val="20"/>
                <w:szCs w:val="20"/>
                <w:lang w:val="it-IT"/>
                <w:rPrChange w:id="2306" w:author="Author">
                  <w:rPr>
                    <w:rFonts w:eastAsia="MS Mincho"/>
                    <w:b/>
                    <w:sz w:val="22"/>
                    <w:szCs w:val="22"/>
                    <w:lang w:val="it-IT"/>
                  </w:rPr>
                </w:rPrChange>
              </w:rPr>
              <w:pPrChange w:id="2307" w:author="Author">
                <w:pPr>
                  <w:pStyle w:val="TextTi12"/>
                  <w:keepNext/>
                  <w:keepLines/>
                  <w:tabs>
                    <w:tab w:val="left" w:pos="180"/>
                  </w:tabs>
                  <w:spacing w:after="0" w:line="240" w:lineRule="auto"/>
                  <w:jc w:val="center"/>
                </w:pPr>
              </w:pPrChange>
            </w:pPr>
            <w:r>
              <w:rPr>
                <w:rFonts w:eastAsia="MS Mincho"/>
                <w:bCs/>
                <w:noProof/>
                <w:sz w:val="20"/>
                <w:szCs w:val="20"/>
                <w:lang w:val="it-IT"/>
                <w:rPrChange w:id="2308" w:author="Author">
                  <w:rPr>
                    <w:rFonts w:eastAsia="MS Mincho"/>
                    <w:b/>
                    <w:sz w:val="22"/>
                    <w:szCs w:val="22"/>
                    <w:lang w:val="it-IT"/>
                  </w:rPr>
                </w:rPrChange>
              </w:rPr>
              <w:t>(n</w:t>
            </w:r>
            <w:del w:id="2309" w:author="Author">
              <w:r>
                <w:rPr>
                  <w:rFonts w:eastAsia="MS Mincho"/>
                  <w:bCs/>
                  <w:noProof/>
                  <w:sz w:val="20"/>
                  <w:szCs w:val="20"/>
                  <w:lang w:val="it-IT"/>
                  <w:rPrChange w:id="2310" w:author="Author">
                    <w:rPr>
                      <w:rFonts w:eastAsia="MS Mincho"/>
                      <w:b/>
                      <w:sz w:val="22"/>
                      <w:szCs w:val="22"/>
                      <w:lang w:val="it-IT"/>
                    </w:rPr>
                  </w:rPrChange>
                </w:rPr>
                <w:delText xml:space="preserve"> </w:delText>
              </w:r>
            </w:del>
            <w:ins w:id="2311" w:author="Author">
              <w:r>
                <w:rPr>
                  <w:rFonts w:eastAsia="MS Mincho"/>
                  <w:bCs/>
                  <w:noProof/>
                  <w:sz w:val="20"/>
                  <w:szCs w:val="20"/>
                  <w:lang w:val="it-IT"/>
                  <w:rPrChange w:id="2312" w:author="Author">
                    <w:rPr>
                      <w:rFonts w:eastAsia="MS Mincho"/>
                      <w:b/>
                      <w:sz w:val="22"/>
                      <w:szCs w:val="22"/>
                      <w:lang w:val="it-IT"/>
                    </w:rPr>
                  </w:rPrChange>
                </w:rPr>
                <w:t> </w:t>
              </w:r>
            </w:ins>
            <w:r>
              <w:rPr>
                <w:rFonts w:eastAsia="MS Mincho"/>
                <w:bCs/>
                <w:noProof/>
                <w:sz w:val="20"/>
                <w:szCs w:val="20"/>
                <w:lang w:val="it-IT"/>
                <w:rPrChange w:id="2313" w:author="Author">
                  <w:rPr>
                    <w:rFonts w:eastAsia="MS Mincho"/>
                    <w:b/>
                    <w:sz w:val="22"/>
                    <w:szCs w:val="22"/>
                    <w:lang w:val="it-IT"/>
                  </w:rPr>
                </w:rPrChange>
              </w:rPr>
              <w:t>=</w:t>
            </w:r>
            <w:ins w:id="2314" w:author="Author">
              <w:r>
                <w:rPr>
                  <w:rFonts w:eastAsia="MS Mincho"/>
                  <w:bCs/>
                  <w:noProof/>
                  <w:sz w:val="20"/>
                  <w:szCs w:val="20"/>
                  <w:lang w:val="it-IT"/>
                  <w:rPrChange w:id="2315" w:author="Author">
                    <w:rPr>
                      <w:rFonts w:eastAsia="MS Mincho"/>
                      <w:b/>
                      <w:sz w:val="22"/>
                      <w:szCs w:val="22"/>
                      <w:lang w:val="it-IT"/>
                    </w:rPr>
                  </w:rPrChange>
                </w:rPr>
                <w:t> </w:t>
              </w:r>
            </w:ins>
            <w:del w:id="2316" w:author="Author">
              <w:r>
                <w:rPr>
                  <w:rFonts w:eastAsia="MS Mincho"/>
                  <w:bCs/>
                  <w:noProof/>
                  <w:sz w:val="20"/>
                  <w:szCs w:val="20"/>
                  <w:lang w:val="it-IT"/>
                  <w:rPrChange w:id="2317" w:author="Author">
                    <w:rPr>
                      <w:rFonts w:eastAsia="MS Mincho"/>
                      <w:b/>
                      <w:sz w:val="22"/>
                      <w:szCs w:val="22"/>
                      <w:lang w:val="it-IT"/>
                    </w:rPr>
                  </w:rPrChange>
                </w:rPr>
                <w:delText xml:space="preserve"> </w:delText>
              </w:r>
            </w:del>
            <w:r>
              <w:rPr>
                <w:rFonts w:eastAsia="MS Mincho"/>
                <w:bCs/>
                <w:noProof/>
                <w:sz w:val="20"/>
                <w:szCs w:val="20"/>
                <w:lang w:val="it-IT"/>
                <w:rPrChange w:id="2318" w:author="Author">
                  <w:rPr>
                    <w:rFonts w:eastAsia="MS Mincho"/>
                    <w:b/>
                    <w:sz w:val="22"/>
                    <w:szCs w:val="22"/>
                    <w:lang w:val="it-IT"/>
                  </w:rPr>
                </w:rPrChange>
              </w:rPr>
              <w:t>81)</w:t>
            </w:r>
          </w:p>
        </w:tc>
      </w:tr>
      <w:tr>
        <w:trPr>
          <w:cantSplit/>
        </w:trPr>
        <w:tc>
          <w:tcPr>
            <w:tcW w:w="2972" w:type="dxa"/>
            <w:tcPrChange w:id="2319" w:author="Author">
              <w:tcPr>
                <w:tcW w:w="2235" w:type="dxa"/>
              </w:tcPr>
            </w:tcPrChange>
          </w:tcPr>
          <w:p>
            <w:pPr>
              <w:pStyle w:val="TextTi12"/>
              <w:tabs>
                <w:tab w:val="left" w:pos="180"/>
              </w:tabs>
              <w:suppressAutoHyphens/>
              <w:spacing w:after="0" w:line="240" w:lineRule="auto"/>
              <w:jc w:val="left"/>
              <w:rPr>
                <w:rFonts w:eastAsia="MS Mincho"/>
                <w:noProof/>
                <w:sz w:val="20"/>
                <w:szCs w:val="20"/>
                <w:lang w:val="it-IT"/>
                <w:rPrChange w:id="2320" w:author="Author">
                  <w:rPr>
                    <w:rFonts w:eastAsia="MS Mincho"/>
                    <w:sz w:val="22"/>
                    <w:szCs w:val="22"/>
                    <w:lang w:val="it-IT"/>
                  </w:rPr>
                </w:rPrChange>
              </w:rPr>
              <w:pPrChange w:id="2321" w:author="Author">
                <w:pPr>
                  <w:pStyle w:val="TextTi12"/>
                  <w:keepNext/>
                  <w:keepLines/>
                  <w:tabs>
                    <w:tab w:val="left" w:pos="180"/>
                  </w:tabs>
                  <w:spacing w:after="0" w:line="240" w:lineRule="auto"/>
                </w:pPr>
              </w:pPrChange>
            </w:pPr>
            <w:r>
              <w:rPr>
                <w:rFonts w:eastAsia="MS Mincho"/>
                <w:noProof/>
                <w:sz w:val="20"/>
                <w:szCs w:val="20"/>
                <w:lang w:val="it-IT"/>
                <w:rPrChange w:id="2322" w:author="Author">
                  <w:rPr>
                    <w:rFonts w:eastAsia="MS Mincho"/>
                    <w:sz w:val="22"/>
                    <w:szCs w:val="22"/>
                    <w:lang w:val="it-IT"/>
                  </w:rPr>
                </w:rPrChange>
              </w:rPr>
              <w:t xml:space="preserve">ACR 30 </w:t>
            </w:r>
          </w:p>
        </w:tc>
        <w:tc>
          <w:tcPr>
            <w:tcW w:w="2552" w:type="dxa"/>
            <w:tcPrChange w:id="2323" w:author="Author">
              <w:tcPr>
                <w:tcW w:w="2409" w:type="dxa"/>
              </w:tcPr>
            </w:tcPrChange>
          </w:tcPr>
          <w:p>
            <w:pPr>
              <w:pStyle w:val="TextTi12"/>
              <w:tabs>
                <w:tab w:val="left" w:pos="180"/>
              </w:tabs>
              <w:suppressAutoHyphens/>
              <w:spacing w:after="0" w:line="240" w:lineRule="auto"/>
              <w:jc w:val="left"/>
              <w:rPr>
                <w:rFonts w:eastAsia="MS Mincho"/>
                <w:noProof/>
                <w:sz w:val="20"/>
                <w:szCs w:val="20"/>
                <w:lang w:val="it-IT"/>
                <w:rPrChange w:id="2324" w:author="Author">
                  <w:rPr>
                    <w:rFonts w:eastAsia="MS Mincho"/>
                    <w:sz w:val="22"/>
                    <w:szCs w:val="22"/>
                    <w:lang w:val="it-IT"/>
                  </w:rPr>
                </w:rPrChange>
              </w:rPr>
              <w:pPrChange w:id="2325" w:author="Author">
                <w:pPr>
                  <w:pStyle w:val="TextTi12"/>
                  <w:keepNext/>
                  <w:keepLines/>
                  <w:tabs>
                    <w:tab w:val="left" w:pos="180"/>
                  </w:tabs>
                  <w:spacing w:after="0" w:line="240" w:lineRule="auto"/>
                  <w:jc w:val="center"/>
                </w:pPr>
              </w:pPrChange>
            </w:pPr>
            <w:r>
              <w:rPr>
                <w:rFonts w:eastAsia="MS Mincho"/>
                <w:noProof/>
                <w:sz w:val="20"/>
                <w:szCs w:val="20"/>
                <w:lang w:val="it-IT"/>
                <w:rPrChange w:id="2326" w:author="Author">
                  <w:rPr>
                    <w:rFonts w:eastAsia="MS Mincho"/>
                    <w:sz w:val="22"/>
                    <w:szCs w:val="22"/>
                    <w:lang w:val="it-IT"/>
                  </w:rPr>
                </w:rPrChange>
              </w:rPr>
              <w:t>74,4%</w:t>
            </w:r>
            <w:r>
              <w:rPr>
                <w:noProof/>
                <w:sz w:val="20"/>
                <w:szCs w:val="20"/>
                <w:lang w:val="it-IT" w:eastAsia="de-DE"/>
                <w:rPrChange w:id="2327" w:author="Author">
                  <w:rPr>
                    <w:szCs w:val="22"/>
                    <w:lang w:val="it-IT" w:eastAsia="de-DE"/>
                  </w:rPr>
                </w:rPrChange>
              </w:rPr>
              <w:t>*</w:t>
            </w:r>
          </w:p>
        </w:tc>
        <w:tc>
          <w:tcPr>
            <w:tcW w:w="3402" w:type="dxa"/>
            <w:tcPrChange w:id="2328" w:author="Author">
              <w:tcPr>
                <w:tcW w:w="2409" w:type="dxa"/>
              </w:tcPr>
            </w:tcPrChange>
          </w:tcPr>
          <w:p>
            <w:pPr>
              <w:pStyle w:val="TextTi12"/>
              <w:tabs>
                <w:tab w:val="left" w:pos="180"/>
              </w:tabs>
              <w:suppressAutoHyphens/>
              <w:spacing w:after="0" w:line="240" w:lineRule="auto"/>
              <w:jc w:val="left"/>
              <w:rPr>
                <w:rFonts w:eastAsia="MS Mincho"/>
                <w:noProof/>
                <w:sz w:val="20"/>
                <w:szCs w:val="20"/>
                <w:lang w:val="it-IT"/>
                <w:rPrChange w:id="2329" w:author="Author">
                  <w:rPr>
                    <w:rFonts w:eastAsia="MS Mincho"/>
                    <w:sz w:val="22"/>
                    <w:szCs w:val="22"/>
                    <w:lang w:val="it-IT"/>
                  </w:rPr>
                </w:rPrChange>
              </w:rPr>
              <w:pPrChange w:id="2330" w:author="Author">
                <w:pPr>
                  <w:pStyle w:val="TextTi12"/>
                  <w:keepNext/>
                  <w:keepLines/>
                  <w:tabs>
                    <w:tab w:val="left" w:pos="180"/>
                  </w:tabs>
                  <w:spacing w:after="0" w:line="240" w:lineRule="auto"/>
                  <w:jc w:val="center"/>
                </w:pPr>
              </w:pPrChange>
            </w:pPr>
            <w:r>
              <w:rPr>
                <w:noProof/>
                <w:sz w:val="20"/>
                <w:szCs w:val="20"/>
                <w:lang w:val="it-IT" w:eastAsia="de-DE"/>
                <w:rPrChange w:id="2331" w:author="Author">
                  <w:rPr>
                    <w:szCs w:val="22"/>
                    <w:lang w:val="it-IT" w:eastAsia="de-DE"/>
                  </w:rPr>
                </w:rPrChange>
              </w:rPr>
              <w:t>54,3%*</w:t>
            </w:r>
          </w:p>
        </w:tc>
      </w:tr>
      <w:tr>
        <w:trPr>
          <w:cantSplit/>
        </w:trPr>
        <w:tc>
          <w:tcPr>
            <w:tcW w:w="2972" w:type="dxa"/>
            <w:tcPrChange w:id="2332" w:author="Author">
              <w:tcPr>
                <w:tcW w:w="2235" w:type="dxa"/>
              </w:tcPr>
            </w:tcPrChange>
          </w:tcPr>
          <w:p>
            <w:pPr>
              <w:pStyle w:val="TextTi12"/>
              <w:tabs>
                <w:tab w:val="left" w:pos="180"/>
              </w:tabs>
              <w:suppressAutoHyphens/>
              <w:spacing w:after="0" w:line="240" w:lineRule="auto"/>
              <w:jc w:val="left"/>
              <w:rPr>
                <w:rFonts w:eastAsia="MS Mincho"/>
                <w:noProof/>
                <w:sz w:val="20"/>
                <w:szCs w:val="20"/>
                <w:lang w:val="it-IT"/>
                <w:rPrChange w:id="2333" w:author="Author">
                  <w:rPr>
                    <w:rFonts w:eastAsia="MS Mincho"/>
                    <w:sz w:val="22"/>
                    <w:szCs w:val="22"/>
                    <w:lang w:val="it-IT"/>
                  </w:rPr>
                </w:rPrChange>
              </w:rPr>
              <w:pPrChange w:id="2334" w:author="Author">
                <w:pPr>
                  <w:pStyle w:val="TextTi12"/>
                  <w:keepNext/>
                  <w:keepLines/>
                  <w:tabs>
                    <w:tab w:val="left" w:pos="180"/>
                  </w:tabs>
                  <w:spacing w:after="0" w:line="240" w:lineRule="auto"/>
                </w:pPr>
              </w:pPrChange>
            </w:pPr>
            <w:r>
              <w:rPr>
                <w:rFonts w:eastAsia="MS Mincho"/>
                <w:noProof/>
                <w:sz w:val="20"/>
                <w:szCs w:val="20"/>
                <w:lang w:val="it-IT"/>
                <w:rPrChange w:id="2335" w:author="Author">
                  <w:rPr>
                    <w:rFonts w:eastAsia="MS Mincho"/>
                    <w:sz w:val="22"/>
                    <w:szCs w:val="22"/>
                    <w:lang w:val="it-IT"/>
                  </w:rPr>
                </w:rPrChange>
              </w:rPr>
              <w:t xml:space="preserve">ACR 50 </w:t>
            </w:r>
          </w:p>
        </w:tc>
        <w:tc>
          <w:tcPr>
            <w:tcW w:w="2552" w:type="dxa"/>
            <w:tcPrChange w:id="2336" w:author="Author">
              <w:tcPr>
                <w:tcW w:w="2409" w:type="dxa"/>
              </w:tcPr>
            </w:tcPrChange>
          </w:tcPr>
          <w:p>
            <w:pPr>
              <w:pStyle w:val="TextTi12"/>
              <w:tabs>
                <w:tab w:val="left" w:pos="180"/>
              </w:tabs>
              <w:suppressAutoHyphens/>
              <w:spacing w:after="0" w:line="240" w:lineRule="auto"/>
              <w:jc w:val="left"/>
              <w:rPr>
                <w:rFonts w:eastAsia="MS Mincho"/>
                <w:noProof/>
                <w:sz w:val="20"/>
                <w:szCs w:val="20"/>
                <w:lang w:val="it-IT"/>
                <w:rPrChange w:id="2337" w:author="Author">
                  <w:rPr>
                    <w:rFonts w:eastAsia="MS Mincho"/>
                    <w:sz w:val="22"/>
                    <w:szCs w:val="22"/>
                    <w:lang w:val="it-IT"/>
                  </w:rPr>
                </w:rPrChange>
              </w:rPr>
              <w:pPrChange w:id="2338" w:author="Author">
                <w:pPr>
                  <w:pStyle w:val="TextTi12"/>
                  <w:keepNext/>
                  <w:keepLines/>
                  <w:tabs>
                    <w:tab w:val="left" w:pos="180"/>
                  </w:tabs>
                  <w:spacing w:after="0" w:line="240" w:lineRule="auto"/>
                  <w:jc w:val="center"/>
                </w:pPr>
              </w:pPrChange>
            </w:pPr>
            <w:r>
              <w:rPr>
                <w:rFonts w:eastAsia="MS Mincho"/>
                <w:noProof/>
                <w:sz w:val="20"/>
                <w:szCs w:val="20"/>
                <w:lang w:val="it-IT"/>
                <w:rPrChange w:id="2339" w:author="Author">
                  <w:rPr>
                    <w:rFonts w:eastAsia="MS Mincho"/>
                    <w:sz w:val="22"/>
                    <w:szCs w:val="22"/>
                    <w:lang w:val="it-IT"/>
                  </w:rPr>
                </w:rPrChange>
              </w:rPr>
              <w:t>73,2%</w:t>
            </w:r>
            <w:r>
              <w:rPr>
                <w:noProof/>
                <w:sz w:val="20"/>
                <w:szCs w:val="20"/>
                <w:lang w:val="it-IT" w:eastAsia="de-DE"/>
                <w:rPrChange w:id="2340" w:author="Author">
                  <w:rPr>
                    <w:szCs w:val="22"/>
                    <w:lang w:val="it-IT" w:eastAsia="de-DE"/>
                  </w:rPr>
                </w:rPrChange>
              </w:rPr>
              <w:t>*</w:t>
            </w:r>
          </w:p>
        </w:tc>
        <w:tc>
          <w:tcPr>
            <w:tcW w:w="3402" w:type="dxa"/>
            <w:tcPrChange w:id="2341" w:author="Author">
              <w:tcPr>
                <w:tcW w:w="2409" w:type="dxa"/>
              </w:tcPr>
            </w:tcPrChange>
          </w:tcPr>
          <w:p>
            <w:pPr>
              <w:pStyle w:val="TextTi12"/>
              <w:tabs>
                <w:tab w:val="left" w:pos="180"/>
              </w:tabs>
              <w:suppressAutoHyphens/>
              <w:spacing w:after="0" w:line="240" w:lineRule="auto"/>
              <w:jc w:val="left"/>
              <w:rPr>
                <w:rFonts w:eastAsia="MS Mincho"/>
                <w:noProof/>
                <w:sz w:val="20"/>
                <w:szCs w:val="20"/>
                <w:lang w:val="it-IT"/>
                <w:rPrChange w:id="2342" w:author="Author">
                  <w:rPr>
                    <w:rFonts w:eastAsia="MS Mincho"/>
                    <w:sz w:val="22"/>
                    <w:szCs w:val="22"/>
                    <w:lang w:val="it-IT"/>
                  </w:rPr>
                </w:rPrChange>
              </w:rPr>
              <w:pPrChange w:id="2343" w:author="Author">
                <w:pPr>
                  <w:pStyle w:val="TextTi12"/>
                  <w:keepNext/>
                  <w:keepLines/>
                  <w:tabs>
                    <w:tab w:val="left" w:pos="180"/>
                  </w:tabs>
                  <w:spacing w:after="0" w:line="240" w:lineRule="auto"/>
                  <w:jc w:val="center"/>
                </w:pPr>
              </w:pPrChange>
            </w:pPr>
            <w:r>
              <w:rPr>
                <w:noProof/>
                <w:sz w:val="20"/>
                <w:szCs w:val="20"/>
                <w:lang w:val="it-IT" w:eastAsia="de-DE"/>
                <w:rPrChange w:id="2344" w:author="Author">
                  <w:rPr>
                    <w:szCs w:val="22"/>
                    <w:lang w:val="it-IT" w:eastAsia="de-DE"/>
                  </w:rPr>
                </w:rPrChange>
              </w:rPr>
              <w:t>51,9%*</w:t>
            </w:r>
          </w:p>
        </w:tc>
      </w:tr>
      <w:tr>
        <w:trPr>
          <w:cantSplit/>
        </w:trPr>
        <w:tc>
          <w:tcPr>
            <w:tcW w:w="2972" w:type="dxa"/>
            <w:tcPrChange w:id="2345" w:author="Author">
              <w:tcPr>
                <w:tcW w:w="2235" w:type="dxa"/>
              </w:tcPr>
            </w:tcPrChange>
          </w:tcPr>
          <w:p>
            <w:pPr>
              <w:pStyle w:val="TextTi12"/>
              <w:keepNext/>
              <w:tabs>
                <w:tab w:val="left" w:pos="180"/>
              </w:tabs>
              <w:suppressAutoHyphens/>
              <w:spacing w:after="0" w:line="240" w:lineRule="auto"/>
              <w:jc w:val="left"/>
              <w:rPr>
                <w:rFonts w:eastAsia="MS Mincho"/>
                <w:noProof/>
                <w:sz w:val="20"/>
                <w:szCs w:val="20"/>
                <w:lang w:val="it-IT"/>
                <w:rPrChange w:id="2346" w:author="Author">
                  <w:rPr>
                    <w:rFonts w:eastAsia="MS Mincho"/>
                    <w:sz w:val="22"/>
                    <w:szCs w:val="22"/>
                    <w:lang w:val="it-IT"/>
                  </w:rPr>
                </w:rPrChange>
              </w:rPr>
              <w:pPrChange w:id="2347" w:author="Author">
                <w:pPr>
                  <w:pStyle w:val="TextTi12"/>
                  <w:keepNext/>
                  <w:keepLines/>
                  <w:tabs>
                    <w:tab w:val="left" w:pos="180"/>
                  </w:tabs>
                  <w:spacing w:after="0" w:line="240" w:lineRule="auto"/>
                </w:pPr>
              </w:pPrChange>
            </w:pPr>
            <w:r>
              <w:rPr>
                <w:rFonts w:eastAsia="MS Mincho"/>
                <w:noProof/>
                <w:sz w:val="20"/>
                <w:szCs w:val="20"/>
                <w:lang w:val="it-IT"/>
                <w:rPrChange w:id="2348" w:author="Author">
                  <w:rPr>
                    <w:rFonts w:eastAsia="MS Mincho"/>
                    <w:sz w:val="22"/>
                    <w:szCs w:val="22"/>
                    <w:lang w:val="it-IT"/>
                  </w:rPr>
                </w:rPrChange>
              </w:rPr>
              <w:t xml:space="preserve">ACR 70 </w:t>
            </w:r>
          </w:p>
        </w:tc>
        <w:tc>
          <w:tcPr>
            <w:tcW w:w="2552" w:type="dxa"/>
            <w:tcPrChange w:id="2349" w:author="Author">
              <w:tcPr>
                <w:tcW w:w="2409" w:type="dxa"/>
              </w:tcPr>
            </w:tcPrChange>
          </w:tcPr>
          <w:p>
            <w:pPr>
              <w:pStyle w:val="TextTi12"/>
              <w:keepNext/>
              <w:tabs>
                <w:tab w:val="left" w:pos="180"/>
              </w:tabs>
              <w:suppressAutoHyphens/>
              <w:spacing w:after="0" w:line="240" w:lineRule="auto"/>
              <w:jc w:val="left"/>
              <w:rPr>
                <w:rFonts w:eastAsia="MS Mincho"/>
                <w:noProof/>
                <w:sz w:val="20"/>
                <w:szCs w:val="20"/>
                <w:lang w:val="it-IT"/>
                <w:rPrChange w:id="2350" w:author="Author">
                  <w:rPr>
                    <w:rFonts w:eastAsia="MS Mincho"/>
                    <w:sz w:val="22"/>
                    <w:szCs w:val="22"/>
                    <w:lang w:val="it-IT"/>
                  </w:rPr>
                </w:rPrChange>
              </w:rPr>
              <w:pPrChange w:id="2351" w:author="Author">
                <w:pPr>
                  <w:pStyle w:val="TextTi12"/>
                  <w:keepNext/>
                  <w:keepLines/>
                  <w:tabs>
                    <w:tab w:val="left" w:pos="180"/>
                  </w:tabs>
                  <w:spacing w:after="0" w:line="240" w:lineRule="auto"/>
                  <w:jc w:val="center"/>
                </w:pPr>
              </w:pPrChange>
            </w:pPr>
            <w:r>
              <w:rPr>
                <w:rFonts w:eastAsia="MS Mincho"/>
                <w:noProof/>
                <w:sz w:val="20"/>
                <w:szCs w:val="20"/>
                <w:lang w:val="it-IT"/>
                <w:rPrChange w:id="2352" w:author="Author">
                  <w:rPr>
                    <w:rFonts w:eastAsia="MS Mincho"/>
                    <w:sz w:val="22"/>
                    <w:szCs w:val="22"/>
                    <w:lang w:val="it-IT"/>
                  </w:rPr>
                </w:rPrChange>
              </w:rPr>
              <w:t>64,6%</w:t>
            </w:r>
            <w:r>
              <w:rPr>
                <w:noProof/>
                <w:sz w:val="20"/>
                <w:szCs w:val="20"/>
                <w:lang w:val="it-IT" w:eastAsia="de-DE"/>
                <w:rPrChange w:id="2353" w:author="Author">
                  <w:rPr>
                    <w:szCs w:val="22"/>
                    <w:lang w:val="it-IT" w:eastAsia="de-DE"/>
                  </w:rPr>
                </w:rPrChange>
              </w:rPr>
              <w:t>*</w:t>
            </w:r>
          </w:p>
        </w:tc>
        <w:tc>
          <w:tcPr>
            <w:tcW w:w="3402" w:type="dxa"/>
            <w:tcPrChange w:id="2354" w:author="Author">
              <w:tcPr>
                <w:tcW w:w="2409" w:type="dxa"/>
              </w:tcPr>
            </w:tcPrChange>
          </w:tcPr>
          <w:p>
            <w:pPr>
              <w:pStyle w:val="TextTi12"/>
              <w:keepNext/>
              <w:tabs>
                <w:tab w:val="left" w:pos="180"/>
              </w:tabs>
              <w:suppressAutoHyphens/>
              <w:spacing w:after="0" w:line="240" w:lineRule="auto"/>
              <w:jc w:val="left"/>
              <w:rPr>
                <w:rFonts w:eastAsia="MS Mincho"/>
                <w:noProof/>
                <w:sz w:val="20"/>
                <w:szCs w:val="20"/>
                <w:lang w:val="it-IT"/>
                <w:rPrChange w:id="2355" w:author="Author">
                  <w:rPr>
                    <w:rFonts w:eastAsia="MS Mincho"/>
                    <w:sz w:val="22"/>
                    <w:szCs w:val="22"/>
                    <w:lang w:val="it-IT"/>
                  </w:rPr>
                </w:rPrChange>
              </w:rPr>
              <w:pPrChange w:id="2356" w:author="Author">
                <w:pPr>
                  <w:pStyle w:val="TextTi12"/>
                  <w:keepNext/>
                  <w:keepLines/>
                  <w:tabs>
                    <w:tab w:val="left" w:pos="180"/>
                  </w:tabs>
                  <w:spacing w:after="0" w:line="240" w:lineRule="auto"/>
                  <w:jc w:val="center"/>
                </w:pPr>
              </w:pPrChange>
            </w:pPr>
            <w:r>
              <w:rPr>
                <w:noProof/>
                <w:sz w:val="20"/>
                <w:szCs w:val="20"/>
                <w:lang w:val="it-IT" w:eastAsia="de-DE"/>
                <w:rPrChange w:id="2357" w:author="Author">
                  <w:rPr>
                    <w:szCs w:val="22"/>
                    <w:lang w:val="it-IT" w:eastAsia="de-DE"/>
                  </w:rPr>
                </w:rPrChange>
              </w:rPr>
              <w:t>42,0%*</w:t>
            </w:r>
          </w:p>
        </w:tc>
      </w:tr>
    </w:tbl>
    <w:p>
      <w:pPr>
        <w:tabs>
          <w:tab w:val="left" w:pos="180"/>
        </w:tabs>
        <w:rPr>
          <w:rFonts w:eastAsia="SimSun"/>
          <w:noProof/>
          <w:sz w:val="18"/>
          <w:szCs w:val="18"/>
          <w:lang w:val="it-IT" w:eastAsia="zh-CN"/>
        </w:rPr>
        <w:pPrChange w:id="2358" w:author="Author">
          <w:pPr>
            <w:keepNext/>
            <w:keepLines/>
            <w:tabs>
              <w:tab w:val="left" w:pos="180"/>
            </w:tabs>
            <w:spacing w:after="170" w:line="280" w:lineRule="atLeast"/>
            <w:jc w:val="both"/>
          </w:pPr>
        </w:pPrChange>
      </w:pPr>
      <w:r>
        <w:rPr>
          <w:rFonts w:eastAsia="SimSun"/>
          <w:i/>
          <w:iCs/>
          <w:noProof/>
          <w:sz w:val="18"/>
          <w:szCs w:val="18"/>
          <w:lang w:val="it-IT" w:eastAsia="zh-CN"/>
        </w:rPr>
        <w:t>* p</w:t>
      </w:r>
      <w:ins w:id="2359" w:author="Author">
        <w:r>
          <w:rPr>
            <w:rFonts w:eastAsia="SimSun"/>
            <w:i/>
            <w:iCs/>
            <w:noProof/>
            <w:sz w:val="18"/>
            <w:szCs w:val="18"/>
            <w:lang w:val="it-IT" w:eastAsia="zh-CN"/>
          </w:rPr>
          <w:t xml:space="preserve"> </w:t>
        </w:r>
      </w:ins>
      <w:r>
        <w:rPr>
          <w:rFonts w:eastAsia="SimSun"/>
          <w:i/>
          <w:iCs/>
          <w:noProof/>
          <w:sz w:val="18"/>
          <w:szCs w:val="18"/>
          <w:lang w:val="it-IT" w:eastAsia="zh-CN"/>
        </w:rPr>
        <w:t>&lt;</w:t>
      </w:r>
      <w:ins w:id="2360" w:author="Author">
        <w:r>
          <w:rPr>
            <w:rFonts w:eastAsia="SimSun"/>
            <w:i/>
            <w:iCs/>
            <w:noProof/>
            <w:sz w:val="18"/>
            <w:szCs w:val="18"/>
            <w:lang w:val="it-IT" w:eastAsia="zh-CN"/>
          </w:rPr>
          <w:t xml:space="preserve"> </w:t>
        </w:r>
      </w:ins>
      <w:r>
        <w:rPr>
          <w:rFonts w:eastAsia="SimSun"/>
          <w:i/>
          <w:iCs/>
          <w:noProof/>
          <w:sz w:val="18"/>
          <w:szCs w:val="18"/>
          <w:lang w:val="it-IT" w:eastAsia="zh-CN"/>
        </w:rPr>
        <w:t>0,01</w:t>
      </w:r>
      <w:r>
        <w:rPr>
          <w:rFonts w:eastAsia="SimSun"/>
          <w:noProof/>
          <w:sz w:val="18"/>
          <w:szCs w:val="18"/>
          <w:lang w:val="it-IT" w:eastAsia="zh-CN"/>
        </w:rPr>
        <w:t xml:space="preserve">, </w:t>
      </w:r>
      <w:r>
        <w:rPr>
          <w:rFonts w:eastAsia="SimSun"/>
          <w:i/>
          <w:iCs/>
          <w:noProof/>
          <w:sz w:val="18"/>
          <w:szCs w:val="18"/>
          <w:lang w:val="it-IT" w:eastAsia="zh-CN"/>
        </w:rPr>
        <w:t>tocilizuma</w:t>
      </w:r>
      <w:r>
        <w:rPr>
          <w:rFonts w:eastAsia="SimSun"/>
          <w:noProof/>
          <w:sz w:val="18"/>
          <w:szCs w:val="18"/>
          <w:lang w:val="it-IT" w:eastAsia="zh-CN"/>
        </w:rPr>
        <w:t xml:space="preserve">b </w:t>
      </w:r>
      <w:r>
        <w:rPr>
          <w:rFonts w:eastAsia="SimSun"/>
          <w:i/>
          <w:iCs/>
          <w:noProof/>
          <w:sz w:val="18"/>
          <w:szCs w:val="18"/>
          <w:lang w:val="it-IT" w:eastAsia="zh-CN"/>
        </w:rPr>
        <w:t xml:space="preserve">vs. </w:t>
      </w:r>
      <w:r>
        <w:rPr>
          <w:rFonts w:eastAsia="SimSun"/>
          <w:i/>
          <w:noProof/>
          <w:sz w:val="18"/>
          <w:szCs w:val="18"/>
          <w:lang w:val="it-IT"/>
        </w:rPr>
        <w:t>placebo</w:t>
      </w:r>
    </w:p>
    <w:p>
      <w:pPr>
        <w:numPr>
          <w:ilvl w:val="12"/>
          <w:numId w:val="0"/>
        </w:numPr>
        <w:tabs>
          <w:tab w:val="left" w:pos="180"/>
        </w:tabs>
        <w:ind w:right="-2"/>
        <w:rPr>
          <w:noProof/>
          <w:lang w:val="it-IT"/>
        </w:rPr>
        <w:pPrChange w:id="2361" w:author="Author">
          <w:pPr>
            <w:keepNext/>
            <w:keepLines/>
            <w:numPr>
              <w:ilvl w:val="12"/>
            </w:numPr>
            <w:tabs>
              <w:tab w:val="left" w:pos="180"/>
            </w:tabs>
            <w:ind w:right="-2"/>
          </w:pPr>
        </w:pPrChange>
      </w:pPr>
    </w:p>
    <w:p>
      <w:pPr>
        <w:tabs>
          <w:tab w:val="left" w:pos="180"/>
        </w:tabs>
        <w:rPr>
          <w:noProof/>
          <w:lang w:val="it-IT"/>
        </w:rPr>
        <w:pPrChange w:id="2362" w:author="Author">
          <w:pPr>
            <w:keepNext/>
            <w:keepLines/>
            <w:tabs>
              <w:tab w:val="left" w:pos="180"/>
            </w:tabs>
          </w:pPr>
        </w:pPrChange>
      </w:pPr>
      <w:r>
        <w:rPr>
          <w:noProof/>
          <w:lang w:val="it-IT"/>
        </w:rPr>
        <w:t>Il numero delle articolazioni attive è stato significativamente ridotto rispetto al basale nei pazienti che hanno ricevuto tocilizumab rispetto al placebo (variazioni medie aggiustate di -14,3 vs -11,4, p</w:t>
      </w:r>
      <w:ins w:id="2363" w:author="Author">
        <w:r>
          <w:rPr>
            <w:noProof/>
            <w:lang w:val="it-IT"/>
          </w:rPr>
          <w:t> </w:t>
        </w:r>
      </w:ins>
      <w:r>
        <w:rPr>
          <w:noProof/>
          <w:lang w:val="it-IT"/>
        </w:rPr>
        <w:t>=</w:t>
      </w:r>
      <w:ins w:id="2364" w:author="Author">
        <w:r>
          <w:rPr>
            <w:noProof/>
            <w:lang w:val="it-IT"/>
          </w:rPr>
          <w:t> </w:t>
        </w:r>
      </w:ins>
      <w:del w:id="2365" w:author="Author">
        <w:r>
          <w:rPr>
            <w:noProof/>
            <w:lang w:val="it-IT"/>
          </w:rPr>
          <w:delText xml:space="preserve"> </w:delText>
        </w:r>
      </w:del>
      <w:r>
        <w:rPr>
          <w:noProof/>
          <w:lang w:val="it-IT"/>
        </w:rPr>
        <w:t>0,0435). La valutazione globale dell’attività di malattia da parte del clinico, misurata su una scala 0-100</w:t>
      </w:r>
      <w:ins w:id="2366" w:author="Author">
        <w:r>
          <w:rPr>
            <w:noProof/>
            <w:lang w:val="it-IT"/>
          </w:rPr>
          <w:t> </w:t>
        </w:r>
      </w:ins>
      <w:del w:id="2367" w:author="Author">
        <w:r>
          <w:rPr>
            <w:noProof/>
            <w:lang w:val="it-IT"/>
          </w:rPr>
          <w:delText xml:space="preserve"> </w:delText>
        </w:r>
      </w:del>
      <w:r>
        <w:rPr>
          <w:noProof/>
          <w:lang w:val="it-IT"/>
        </w:rPr>
        <w:t>mm, ha mostrato una maggiore riduzione nell’attività di malattia per tocilizumab rispetto al placebo (variazione media aggiustata di -45</w:t>
      </w:r>
      <w:del w:id="2368" w:author="Author">
        <w:r>
          <w:rPr>
            <w:noProof/>
            <w:lang w:val="it-IT"/>
          </w:rPr>
          <w:delText>.</w:delText>
        </w:r>
      </w:del>
      <w:ins w:id="2369" w:author="Author">
        <w:r>
          <w:rPr>
            <w:noProof/>
            <w:lang w:val="it-IT"/>
          </w:rPr>
          <w:t>,</w:t>
        </w:r>
      </w:ins>
      <w:r>
        <w:rPr>
          <w:noProof/>
          <w:lang w:val="it-IT"/>
        </w:rPr>
        <w:t>2 mm vs -35</w:t>
      </w:r>
      <w:ins w:id="2370" w:author="Author">
        <w:r>
          <w:rPr>
            <w:noProof/>
            <w:lang w:val="it-IT"/>
          </w:rPr>
          <w:t>,</w:t>
        </w:r>
      </w:ins>
      <w:del w:id="2371" w:author="Author">
        <w:r>
          <w:rPr>
            <w:noProof/>
            <w:lang w:val="it-IT"/>
          </w:rPr>
          <w:delText>.</w:delText>
        </w:r>
      </w:del>
      <w:r>
        <w:rPr>
          <w:noProof/>
          <w:lang w:val="it-IT"/>
        </w:rPr>
        <w:t>2 mm, p</w:t>
      </w:r>
      <w:ins w:id="2372" w:author="Author">
        <w:r>
          <w:rPr>
            <w:noProof/>
            <w:lang w:val="it-IT"/>
          </w:rPr>
          <w:t> </w:t>
        </w:r>
      </w:ins>
      <w:r>
        <w:rPr>
          <w:noProof/>
          <w:lang w:val="it-IT"/>
        </w:rPr>
        <w:t>=</w:t>
      </w:r>
      <w:ins w:id="2373" w:author="Author">
        <w:r>
          <w:rPr>
            <w:noProof/>
            <w:lang w:val="it-IT"/>
          </w:rPr>
          <w:t> </w:t>
        </w:r>
      </w:ins>
      <w:r>
        <w:rPr>
          <w:noProof/>
          <w:lang w:val="it-IT"/>
        </w:rPr>
        <w:t>0,0031).</w:t>
      </w:r>
    </w:p>
    <w:p>
      <w:pPr>
        <w:tabs>
          <w:tab w:val="left" w:pos="180"/>
        </w:tabs>
        <w:rPr>
          <w:noProof/>
          <w:lang w:val="it-IT"/>
        </w:rPr>
        <w:pPrChange w:id="2374" w:author="Author">
          <w:pPr>
            <w:keepNext/>
            <w:keepLines/>
            <w:tabs>
              <w:tab w:val="left" w:pos="180"/>
            </w:tabs>
          </w:pPr>
        </w:pPrChange>
      </w:pPr>
      <w:r>
        <w:rPr>
          <w:noProof/>
          <w:lang w:val="it-IT"/>
        </w:rPr>
        <w:t xml:space="preserve"> </w:t>
      </w:r>
    </w:p>
    <w:p>
      <w:pPr>
        <w:keepNext/>
        <w:keepLines/>
        <w:tabs>
          <w:tab w:val="left" w:pos="180"/>
        </w:tabs>
        <w:rPr>
          <w:noProof/>
          <w:lang w:val="it-IT"/>
        </w:rPr>
      </w:pPr>
      <w:r>
        <w:rPr>
          <w:noProof/>
          <w:lang w:val="it-IT"/>
        </w:rPr>
        <w:t>La variazione media aggiustata della scala analogica visiva (VAS) per il dolore, dopo 40 settimane di trattamento con tocilizumab, è stata di 32,4 mm su una scala da 0 a 100 mm rispetto a una riduzione di 22,3 mm per i pazienti trattati con placebo (elevata significatività statistica; p</w:t>
      </w:r>
      <w:ins w:id="2375" w:author="Author">
        <w:r>
          <w:rPr>
            <w:noProof/>
            <w:lang w:val="it-IT"/>
          </w:rPr>
          <w:t> </w:t>
        </w:r>
      </w:ins>
      <w:r>
        <w:rPr>
          <w:noProof/>
          <w:lang w:val="it-IT"/>
        </w:rPr>
        <w:t>=</w:t>
      </w:r>
      <w:ins w:id="2376" w:author="Author">
        <w:r>
          <w:rPr>
            <w:noProof/>
            <w:lang w:val="it-IT"/>
          </w:rPr>
          <w:t> </w:t>
        </w:r>
      </w:ins>
      <w:del w:id="2377" w:author="Author">
        <w:r>
          <w:rPr>
            <w:noProof/>
            <w:lang w:val="it-IT"/>
          </w:rPr>
          <w:delText xml:space="preserve"> </w:delText>
        </w:r>
      </w:del>
      <w:r>
        <w:rPr>
          <w:noProof/>
          <w:lang w:val="it-IT"/>
        </w:rPr>
        <w:t xml:space="preserve">0,0076). </w:t>
      </w:r>
    </w:p>
    <w:p>
      <w:pPr>
        <w:tabs>
          <w:tab w:val="left" w:pos="180"/>
        </w:tabs>
        <w:rPr>
          <w:noProof/>
          <w:lang w:val="it-IT"/>
        </w:rPr>
        <w:pPrChange w:id="2378" w:author="Author">
          <w:pPr>
            <w:keepNext/>
            <w:keepLines/>
            <w:tabs>
              <w:tab w:val="left" w:pos="180"/>
            </w:tabs>
          </w:pPr>
        </w:pPrChange>
      </w:pPr>
    </w:p>
    <w:p>
      <w:pPr>
        <w:keepLines/>
        <w:tabs>
          <w:tab w:val="left" w:pos="180"/>
        </w:tabs>
        <w:rPr>
          <w:noProof/>
          <w:lang w:val="it-IT"/>
        </w:rPr>
        <w:pPrChange w:id="2379" w:author="Author">
          <w:pPr>
            <w:keepNext/>
            <w:keepLines/>
            <w:tabs>
              <w:tab w:val="left" w:pos="180"/>
            </w:tabs>
          </w:pPr>
        </w:pPrChange>
      </w:pPr>
      <w:r>
        <w:rPr>
          <w:noProof/>
          <w:lang w:val="it-IT"/>
        </w:rPr>
        <w:t>I tassi di risposta ACR sono stati numericamente inferiori nei pazienti con un trattamento precedente con un farmaco biologico, come mostrato nella tabella 10.</w:t>
      </w:r>
    </w:p>
    <w:p>
      <w:pPr>
        <w:keepLines/>
        <w:tabs>
          <w:tab w:val="left" w:pos="180"/>
        </w:tabs>
        <w:rPr>
          <w:noProof/>
          <w:lang w:val="it-IT"/>
        </w:rPr>
        <w:pPrChange w:id="2380" w:author="Author">
          <w:pPr>
            <w:keepNext/>
            <w:keepLines/>
            <w:tabs>
              <w:tab w:val="left" w:pos="180"/>
            </w:tabs>
          </w:pPr>
        </w:pPrChange>
      </w:pPr>
    </w:p>
    <w:p>
      <w:pPr>
        <w:tabs>
          <w:tab w:val="left" w:pos="180"/>
        </w:tabs>
        <w:rPr>
          <w:i/>
          <w:noProof/>
          <w:szCs w:val="22"/>
          <w:lang w:val="it-IT"/>
        </w:rPr>
      </w:pPr>
      <w:r>
        <w:rPr>
          <w:i/>
          <w:noProof/>
          <w:lang w:val="it-IT"/>
        </w:rPr>
        <w:lastRenderedPageBreak/>
        <w:t>Tabella 10.</w:t>
      </w:r>
      <w:r>
        <w:rPr>
          <w:noProof/>
          <w:lang w:val="it-IT"/>
        </w:rPr>
        <w:t xml:space="preserve"> </w:t>
      </w:r>
      <w:r>
        <w:rPr>
          <w:i/>
          <w:noProof/>
          <w:szCs w:val="22"/>
          <w:lang w:val="it-IT"/>
        </w:rPr>
        <w:t xml:space="preserve">Numero e </w:t>
      </w:r>
      <w:del w:id="2381" w:author="Author">
        <w:r>
          <w:rPr>
            <w:i/>
            <w:noProof/>
            <w:szCs w:val="22"/>
            <w:lang w:val="it-IT"/>
          </w:rPr>
          <w:delText xml:space="preserve">proporzione </w:delText>
        </w:r>
      </w:del>
      <w:ins w:id="2382" w:author="Author">
        <w:r>
          <w:rPr>
            <w:i/>
            <w:noProof/>
            <w:szCs w:val="22"/>
            <w:lang w:val="it-IT"/>
          </w:rPr>
          <w:t xml:space="preserve">percentuale </w:t>
        </w:r>
      </w:ins>
      <w:r>
        <w:rPr>
          <w:i/>
          <w:noProof/>
          <w:szCs w:val="22"/>
          <w:lang w:val="it-IT"/>
        </w:rPr>
        <w:t>di pazienti con riacutizzazione da AIG ACR30 per l’AIG e percentuale di pazienti con risposte AIG ACR30/50/70/90 per l’AIG alla settimana 40, in relazione a utilizzo precedente di un biologico (popolazione ITT – Parte dello Studio II)</w:t>
      </w:r>
    </w:p>
    <w:p>
      <w:pPr>
        <w:tabs>
          <w:tab w:val="left" w:pos="180"/>
        </w:tabs>
        <w:rPr>
          <w:i/>
          <w:noProof/>
          <w:szCs w:val="22"/>
          <w:lang w:val="it-IT"/>
        </w:rPr>
      </w:pPr>
    </w:p>
    <w:tbl>
      <w:tblPr>
        <w:tblW w:w="0" w:type="auto"/>
        <w:tblLayout w:type="fixed"/>
        <w:tblCellMar>
          <w:top w:w="28" w:type="dxa"/>
          <w:bottom w:w="28" w:type="dxa"/>
        </w:tblCellMar>
        <w:tblLook w:val="01E0" w:firstRow="1" w:lastRow="1" w:firstColumn="1" w:lastColumn="1" w:noHBand="0" w:noVBand="0"/>
        <w:tblPrChange w:id="2383" w:author="Author">
          <w:tblPr>
            <w:tblW w:w="0" w:type="auto"/>
            <w:tblLayout w:type="fixed"/>
            <w:tblCellMar>
              <w:top w:w="28" w:type="dxa"/>
              <w:bottom w:w="28" w:type="dxa"/>
            </w:tblCellMar>
            <w:tblLook w:val="01E0" w:firstRow="1" w:lastRow="1" w:firstColumn="1" w:lastColumn="1" w:noHBand="0" w:noVBand="0"/>
          </w:tblPr>
        </w:tblPrChange>
      </w:tblPr>
      <w:tblGrid>
        <w:gridCol w:w="2875"/>
        <w:gridCol w:w="1469"/>
        <w:gridCol w:w="1470"/>
        <w:gridCol w:w="1469"/>
        <w:gridCol w:w="1470"/>
        <w:tblGridChange w:id="2384">
          <w:tblGrid>
            <w:gridCol w:w="5"/>
            <w:gridCol w:w="2292"/>
            <w:gridCol w:w="5"/>
            <w:gridCol w:w="573"/>
            <w:gridCol w:w="1035"/>
            <w:gridCol w:w="434"/>
            <w:gridCol w:w="1181"/>
            <w:gridCol w:w="5"/>
            <w:gridCol w:w="284"/>
            <w:gridCol w:w="1324"/>
            <w:gridCol w:w="145"/>
            <w:gridCol w:w="1470"/>
            <w:gridCol w:w="5"/>
          </w:tblGrid>
        </w:tblGridChange>
      </w:tblGrid>
      <w:tr>
        <w:trPr>
          <w:cantSplit/>
          <w:tblHeader/>
          <w:trPrChange w:id="2385" w:author="Author">
            <w:trPr>
              <w:gridBefore w:val="1"/>
              <w:cantSplit/>
              <w:tblHeader/>
            </w:trPr>
          </w:trPrChange>
        </w:trPr>
        <w:tc>
          <w:tcPr>
            <w:tcW w:w="2875" w:type="dxa"/>
            <w:tcBorders>
              <w:top w:val="single" w:sz="4" w:space="0" w:color="000000"/>
              <w:left w:val="single" w:sz="4" w:space="0" w:color="000000"/>
              <w:bottom w:val="single" w:sz="4" w:space="0" w:color="000000"/>
              <w:right w:val="single" w:sz="4" w:space="0" w:color="000000"/>
            </w:tcBorders>
            <w:tcPrChange w:id="2386" w:author="Author">
              <w:tcPr>
                <w:tcW w:w="2297" w:type="dxa"/>
                <w:gridSpan w:val="2"/>
                <w:tcBorders>
                  <w:top w:val="single" w:sz="4" w:space="0" w:color="000000"/>
                  <w:left w:val="single" w:sz="4" w:space="0" w:color="000000"/>
                  <w:bottom w:val="single" w:sz="4" w:space="0" w:color="000000"/>
                  <w:right w:val="single" w:sz="4" w:space="0" w:color="000000"/>
                </w:tcBorders>
              </w:tcPr>
            </w:tcPrChange>
          </w:tcPr>
          <w:p>
            <w:pPr>
              <w:keepNext/>
              <w:tabs>
                <w:tab w:val="left" w:pos="180"/>
              </w:tabs>
              <w:suppressAutoHyphens/>
              <w:rPr>
                <w:noProof/>
                <w:sz w:val="20"/>
                <w:lang w:val="it-IT"/>
                <w:rPrChange w:id="2387" w:author="Author">
                  <w:rPr>
                    <w:sz w:val="24"/>
                    <w:szCs w:val="24"/>
                    <w:lang w:val="it-IT"/>
                  </w:rPr>
                </w:rPrChange>
              </w:rPr>
              <w:pPrChange w:id="2388" w:author="Author">
                <w:pPr>
                  <w:tabs>
                    <w:tab w:val="left" w:pos="180"/>
                  </w:tabs>
                </w:pPr>
              </w:pPrChange>
            </w:pPr>
          </w:p>
        </w:tc>
        <w:tc>
          <w:tcPr>
            <w:tcW w:w="2939" w:type="dxa"/>
            <w:gridSpan w:val="2"/>
            <w:tcBorders>
              <w:top w:val="single" w:sz="4" w:space="0" w:color="000000"/>
              <w:left w:val="single" w:sz="4" w:space="0" w:color="000000"/>
              <w:bottom w:val="single" w:sz="4" w:space="0" w:color="000000"/>
              <w:right w:val="single" w:sz="4" w:space="0" w:color="000000"/>
            </w:tcBorders>
            <w:tcPrChange w:id="2389" w:author="Author">
              <w:tcPr>
                <w:tcW w:w="3228" w:type="dxa"/>
                <w:gridSpan w:val="5"/>
                <w:tcBorders>
                  <w:top w:val="single" w:sz="4" w:space="0" w:color="000000"/>
                  <w:left w:val="single" w:sz="4" w:space="0" w:color="000000"/>
                  <w:bottom w:val="single" w:sz="4" w:space="0" w:color="000000"/>
                  <w:right w:val="single" w:sz="4" w:space="0" w:color="000000"/>
                </w:tcBorders>
              </w:tcPr>
            </w:tcPrChange>
          </w:tcPr>
          <w:p>
            <w:pPr>
              <w:keepNext/>
              <w:tabs>
                <w:tab w:val="left" w:pos="180"/>
              </w:tabs>
              <w:suppressAutoHyphens/>
              <w:jc w:val="center"/>
              <w:rPr>
                <w:rFonts w:eastAsia="Arial"/>
                <w:noProof/>
                <w:sz w:val="20"/>
                <w:lang w:val="it-IT"/>
              </w:rPr>
              <w:pPrChange w:id="2390" w:author="Author">
                <w:pPr>
                  <w:tabs>
                    <w:tab w:val="left" w:pos="180"/>
                  </w:tabs>
                  <w:spacing w:before="51"/>
                  <w:ind w:left="1069" w:right="-20"/>
                </w:pPr>
              </w:pPrChange>
            </w:pPr>
            <w:r>
              <w:rPr>
                <w:rFonts w:eastAsia="Arial"/>
                <w:b/>
                <w:bCs/>
                <w:noProof/>
                <w:spacing w:val="-1"/>
                <w:sz w:val="20"/>
                <w:lang w:val="it-IT"/>
              </w:rPr>
              <w:t>P</w:t>
            </w:r>
            <w:r>
              <w:rPr>
                <w:rFonts w:eastAsia="Arial"/>
                <w:b/>
                <w:bCs/>
                <w:noProof/>
                <w:spacing w:val="2"/>
                <w:sz w:val="20"/>
                <w:lang w:val="it-IT"/>
              </w:rPr>
              <w:t>l</w:t>
            </w:r>
            <w:r>
              <w:rPr>
                <w:rFonts w:eastAsia="Arial"/>
                <w:b/>
                <w:bCs/>
                <w:noProof/>
                <w:sz w:val="20"/>
                <w:lang w:val="it-IT"/>
              </w:rPr>
              <w:t>ace</w:t>
            </w:r>
            <w:r>
              <w:rPr>
                <w:rFonts w:eastAsia="Arial"/>
                <w:b/>
                <w:bCs/>
                <w:noProof/>
                <w:spacing w:val="1"/>
                <w:sz w:val="20"/>
                <w:lang w:val="it-IT"/>
              </w:rPr>
              <w:t>b</w:t>
            </w:r>
            <w:r>
              <w:rPr>
                <w:rFonts w:eastAsia="Arial"/>
                <w:b/>
                <w:bCs/>
                <w:noProof/>
                <w:sz w:val="20"/>
                <w:lang w:val="it-IT"/>
              </w:rPr>
              <w:t>o</w:t>
            </w:r>
          </w:p>
        </w:tc>
        <w:tc>
          <w:tcPr>
            <w:tcW w:w="2939" w:type="dxa"/>
            <w:gridSpan w:val="2"/>
            <w:tcBorders>
              <w:top w:val="single" w:sz="4" w:space="0" w:color="000000"/>
              <w:left w:val="single" w:sz="4" w:space="0" w:color="000000"/>
              <w:bottom w:val="single" w:sz="4" w:space="0" w:color="000000"/>
              <w:right w:val="single" w:sz="4" w:space="0" w:color="000000"/>
            </w:tcBorders>
            <w:tcPrChange w:id="2391" w:author="Author">
              <w:tcPr>
                <w:tcW w:w="3228" w:type="dxa"/>
                <w:gridSpan w:val="5"/>
                <w:tcBorders>
                  <w:top w:val="single" w:sz="4" w:space="0" w:color="000000"/>
                  <w:left w:val="single" w:sz="4" w:space="0" w:color="000000"/>
                  <w:bottom w:val="single" w:sz="4" w:space="0" w:color="000000"/>
                  <w:right w:val="single" w:sz="4" w:space="0" w:color="000000"/>
                </w:tcBorders>
              </w:tcPr>
            </w:tcPrChange>
          </w:tcPr>
          <w:p>
            <w:pPr>
              <w:keepNext/>
              <w:tabs>
                <w:tab w:val="left" w:pos="180"/>
              </w:tabs>
              <w:suppressAutoHyphens/>
              <w:jc w:val="center"/>
              <w:rPr>
                <w:rFonts w:eastAsia="Arial"/>
                <w:noProof/>
                <w:sz w:val="20"/>
                <w:lang w:val="it-IT"/>
              </w:rPr>
              <w:pPrChange w:id="2392" w:author="Author">
                <w:pPr>
                  <w:tabs>
                    <w:tab w:val="left" w:pos="180"/>
                  </w:tabs>
                  <w:spacing w:before="51"/>
                  <w:ind w:left="1222" w:right="1205"/>
                  <w:jc w:val="center"/>
                </w:pPr>
              </w:pPrChange>
            </w:pPr>
            <w:r>
              <w:rPr>
                <w:rFonts w:eastAsia="Arial"/>
                <w:b/>
                <w:bCs/>
                <w:noProof/>
                <w:spacing w:val="-5"/>
                <w:sz w:val="20"/>
                <w:lang w:val="it-IT"/>
              </w:rPr>
              <w:t>Tutti</w:t>
            </w:r>
            <w:r>
              <w:rPr>
                <w:rFonts w:eastAsia="Arial"/>
                <w:b/>
                <w:bCs/>
                <w:noProof/>
                <w:spacing w:val="-1"/>
                <w:sz w:val="20"/>
                <w:lang w:val="it-IT"/>
              </w:rPr>
              <w:t xml:space="preserve"> </w:t>
            </w:r>
            <w:r>
              <w:rPr>
                <w:rFonts w:eastAsia="Arial"/>
                <w:b/>
                <w:bCs/>
                <w:noProof/>
                <w:spacing w:val="3"/>
                <w:w w:val="99"/>
                <w:sz w:val="20"/>
                <w:lang w:val="it-IT"/>
              </w:rPr>
              <w:t>T</w:t>
            </w:r>
            <w:r>
              <w:rPr>
                <w:rFonts w:eastAsia="Arial"/>
                <w:b/>
                <w:bCs/>
                <w:noProof/>
                <w:w w:val="99"/>
                <w:sz w:val="20"/>
                <w:lang w:val="it-IT"/>
              </w:rPr>
              <w:t>CZ</w:t>
            </w:r>
          </w:p>
        </w:tc>
      </w:tr>
      <w:tr>
        <w:tblPrEx>
          <w:tblPrExChange w:id="2393" w:author="Author">
            <w:tblPrEx>
              <w:jc w:val="center"/>
              <w:tblCellMar>
                <w:left w:w="0" w:type="dxa"/>
                <w:right w:w="0" w:type="dxa"/>
              </w:tblCellMar>
            </w:tblPrEx>
          </w:tblPrExChange>
        </w:tblPrEx>
        <w:trPr>
          <w:cantSplit/>
          <w:tblHeader/>
          <w:trPrChange w:id="2394" w:author="Author">
            <w:trPr>
              <w:gridAfter w:val="0"/>
              <w:trHeight w:hRule="exact" w:val="350"/>
              <w:jc w:val="center"/>
            </w:trPr>
          </w:trPrChange>
        </w:trPr>
        <w:tc>
          <w:tcPr>
            <w:tcW w:w="2875" w:type="dxa"/>
            <w:tcBorders>
              <w:top w:val="single" w:sz="4" w:space="0" w:color="000000"/>
              <w:left w:val="single" w:sz="4" w:space="0" w:color="000000"/>
              <w:bottom w:val="single" w:sz="4" w:space="0" w:color="000000"/>
              <w:right w:val="single" w:sz="4" w:space="0" w:color="000000"/>
            </w:tcBorders>
            <w:tcPrChange w:id="2395" w:author="Author">
              <w:tcPr>
                <w:tcW w:w="2297" w:type="dxa"/>
                <w:gridSpan w:val="2"/>
                <w:tcBorders>
                  <w:top w:val="single" w:sz="4" w:space="0" w:color="000000"/>
                  <w:left w:val="single" w:sz="4" w:space="0" w:color="000000"/>
                  <w:bottom w:val="single" w:sz="4" w:space="0" w:color="000000"/>
                  <w:right w:val="single" w:sz="4" w:space="0" w:color="000000"/>
                </w:tcBorders>
              </w:tcPr>
            </w:tcPrChange>
          </w:tcPr>
          <w:p>
            <w:pPr>
              <w:keepNext/>
              <w:tabs>
                <w:tab w:val="left" w:pos="180"/>
              </w:tabs>
              <w:suppressAutoHyphens/>
              <w:rPr>
                <w:rFonts w:eastAsia="Arial"/>
                <w:noProof/>
                <w:sz w:val="20"/>
                <w:lang w:val="it-IT"/>
              </w:rPr>
              <w:pPrChange w:id="2396" w:author="Author">
                <w:pPr>
                  <w:tabs>
                    <w:tab w:val="left" w:pos="180"/>
                  </w:tabs>
                  <w:spacing w:before="51"/>
                  <w:ind w:left="52" w:right="-20"/>
                </w:pPr>
              </w:pPrChange>
            </w:pPr>
            <w:r>
              <w:rPr>
                <w:rFonts w:eastAsia="Arial"/>
                <w:b/>
                <w:bCs/>
                <w:noProof/>
                <w:sz w:val="20"/>
                <w:lang w:val="it-IT"/>
              </w:rPr>
              <w:t>Uso del biologico</w:t>
            </w:r>
          </w:p>
        </w:tc>
        <w:tc>
          <w:tcPr>
            <w:tcW w:w="1469" w:type="dxa"/>
            <w:tcBorders>
              <w:top w:val="single" w:sz="4" w:space="0" w:color="000000"/>
              <w:left w:val="single" w:sz="4" w:space="0" w:color="000000"/>
              <w:bottom w:val="single" w:sz="4" w:space="0" w:color="000000"/>
              <w:right w:val="single" w:sz="4" w:space="0" w:color="000000"/>
            </w:tcBorders>
            <w:tcPrChange w:id="2397" w:author="Author">
              <w:tcPr>
                <w:tcW w:w="1613" w:type="dxa"/>
                <w:gridSpan w:val="3"/>
                <w:tcBorders>
                  <w:top w:val="single" w:sz="4" w:space="0" w:color="000000"/>
                  <w:left w:val="single" w:sz="4" w:space="0" w:color="000000"/>
                  <w:bottom w:val="single" w:sz="4" w:space="0" w:color="000000"/>
                  <w:right w:val="single" w:sz="4" w:space="0" w:color="000000"/>
                </w:tcBorders>
              </w:tcPr>
            </w:tcPrChange>
          </w:tcPr>
          <w:p>
            <w:pPr>
              <w:keepNext/>
              <w:tabs>
                <w:tab w:val="left" w:pos="180"/>
              </w:tabs>
              <w:suppressAutoHyphens/>
              <w:jc w:val="center"/>
              <w:rPr>
                <w:rFonts w:eastAsia="Arial"/>
                <w:noProof/>
                <w:sz w:val="20"/>
                <w:lang w:val="it-IT"/>
              </w:rPr>
              <w:pPrChange w:id="2398" w:author="Author">
                <w:pPr>
                  <w:tabs>
                    <w:tab w:val="left" w:pos="180"/>
                  </w:tabs>
                  <w:spacing w:before="51"/>
                  <w:ind w:left="234" w:right="-20"/>
                </w:pPr>
              </w:pPrChange>
            </w:pPr>
            <w:r>
              <w:rPr>
                <w:rFonts w:eastAsia="Arial"/>
                <w:b/>
                <w:bCs/>
                <w:noProof/>
                <w:spacing w:val="2"/>
                <w:sz w:val="20"/>
                <w:lang w:val="it-IT"/>
              </w:rPr>
              <w:t>Si</w:t>
            </w:r>
            <w:r>
              <w:rPr>
                <w:rFonts w:eastAsia="Arial"/>
                <w:b/>
                <w:bCs/>
                <w:noProof/>
                <w:spacing w:val="-4"/>
                <w:sz w:val="20"/>
                <w:lang w:val="it-IT"/>
              </w:rPr>
              <w:t xml:space="preserve"> </w:t>
            </w:r>
            <w:r>
              <w:rPr>
                <w:rFonts w:eastAsia="Arial"/>
                <w:b/>
                <w:bCs/>
                <w:noProof/>
                <w:spacing w:val="1"/>
                <w:sz w:val="20"/>
                <w:lang w:val="it-IT"/>
              </w:rPr>
              <w:t>(</w:t>
            </w:r>
            <w:del w:id="2399" w:author="Author">
              <w:r>
                <w:rPr>
                  <w:rFonts w:eastAsia="Arial"/>
                  <w:b/>
                  <w:bCs/>
                  <w:noProof/>
                  <w:sz w:val="20"/>
                  <w:lang w:val="it-IT"/>
                </w:rPr>
                <w:delText>N</w:delText>
              </w:r>
              <w:r>
                <w:rPr>
                  <w:rFonts w:eastAsia="Arial"/>
                  <w:b/>
                  <w:bCs/>
                  <w:noProof/>
                  <w:spacing w:val="-2"/>
                  <w:sz w:val="20"/>
                  <w:lang w:val="it-IT"/>
                </w:rPr>
                <w:delText xml:space="preserve"> </w:delText>
              </w:r>
            </w:del>
            <w:ins w:id="2400" w:author="Author">
              <w:r>
                <w:rPr>
                  <w:rFonts w:eastAsia="Arial"/>
                  <w:b/>
                  <w:bCs/>
                  <w:noProof/>
                  <w:spacing w:val="-2"/>
                  <w:sz w:val="20"/>
                  <w:lang w:val="it-IT"/>
                </w:rPr>
                <w:t>n </w:t>
              </w:r>
            </w:ins>
            <w:r>
              <w:rPr>
                <w:noProof/>
                <w:sz w:val="20"/>
                <w:lang w:val="it-IT"/>
              </w:rPr>
              <w:t>=</w:t>
            </w:r>
            <w:del w:id="2401" w:author="Author">
              <w:r>
                <w:rPr>
                  <w:noProof/>
                  <w:spacing w:val="4"/>
                  <w:sz w:val="20"/>
                  <w:lang w:val="it-IT"/>
                </w:rPr>
                <w:delText xml:space="preserve"> </w:delText>
              </w:r>
            </w:del>
            <w:ins w:id="2402" w:author="Author">
              <w:r>
                <w:rPr>
                  <w:noProof/>
                  <w:spacing w:val="4"/>
                  <w:sz w:val="20"/>
                  <w:lang w:val="it-IT"/>
                </w:rPr>
                <w:t> </w:t>
              </w:r>
            </w:ins>
            <w:r>
              <w:rPr>
                <w:rFonts w:eastAsia="Arial"/>
                <w:b/>
                <w:bCs/>
                <w:noProof/>
                <w:sz w:val="20"/>
                <w:lang w:val="it-IT"/>
              </w:rPr>
              <w:t>23)</w:t>
            </w:r>
          </w:p>
        </w:tc>
        <w:tc>
          <w:tcPr>
            <w:tcW w:w="1470" w:type="dxa"/>
            <w:tcBorders>
              <w:top w:val="single" w:sz="4" w:space="0" w:color="000000"/>
              <w:left w:val="single" w:sz="4" w:space="0" w:color="000000"/>
              <w:bottom w:val="single" w:sz="4" w:space="0" w:color="000000"/>
              <w:right w:val="single" w:sz="4" w:space="0" w:color="000000"/>
            </w:tcBorders>
            <w:tcPrChange w:id="2403" w:author="Author">
              <w:tcPr>
                <w:tcW w:w="1615" w:type="dxa"/>
                <w:gridSpan w:val="2"/>
                <w:tcBorders>
                  <w:top w:val="single" w:sz="4" w:space="0" w:color="000000"/>
                  <w:left w:val="single" w:sz="4" w:space="0" w:color="000000"/>
                  <w:bottom w:val="single" w:sz="4" w:space="0" w:color="000000"/>
                  <w:right w:val="single" w:sz="4" w:space="0" w:color="000000"/>
                </w:tcBorders>
              </w:tcPr>
            </w:tcPrChange>
          </w:tcPr>
          <w:p>
            <w:pPr>
              <w:keepNext/>
              <w:tabs>
                <w:tab w:val="left" w:pos="180"/>
              </w:tabs>
              <w:suppressAutoHyphens/>
              <w:jc w:val="center"/>
              <w:rPr>
                <w:rFonts w:eastAsia="Arial"/>
                <w:noProof/>
                <w:sz w:val="20"/>
                <w:lang w:val="it-IT"/>
              </w:rPr>
              <w:pPrChange w:id="2404" w:author="Author">
                <w:pPr>
                  <w:tabs>
                    <w:tab w:val="left" w:pos="180"/>
                  </w:tabs>
                  <w:spacing w:before="51"/>
                  <w:ind w:left="280" w:right="-20"/>
                </w:pPr>
              </w:pPrChange>
            </w:pPr>
            <w:r>
              <w:rPr>
                <w:rFonts w:eastAsia="Arial"/>
                <w:b/>
                <w:bCs/>
                <w:noProof/>
                <w:sz w:val="20"/>
                <w:lang w:val="it-IT"/>
              </w:rPr>
              <w:t>No</w:t>
            </w:r>
            <w:r>
              <w:rPr>
                <w:rFonts w:eastAsia="Arial"/>
                <w:b/>
                <w:bCs/>
                <w:noProof/>
                <w:spacing w:val="-3"/>
                <w:sz w:val="20"/>
                <w:lang w:val="it-IT"/>
              </w:rPr>
              <w:t xml:space="preserve"> </w:t>
            </w:r>
            <w:r>
              <w:rPr>
                <w:rFonts w:eastAsia="Arial"/>
                <w:b/>
                <w:bCs/>
                <w:noProof/>
                <w:spacing w:val="1"/>
                <w:sz w:val="20"/>
                <w:lang w:val="it-IT"/>
              </w:rPr>
              <w:t>(</w:t>
            </w:r>
            <w:del w:id="2405" w:author="Author">
              <w:r>
                <w:rPr>
                  <w:rFonts w:eastAsia="Arial"/>
                  <w:b/>
                  <w:bCs/>
                  <w:noProof/>
                  <w:sz w:val="20"/>
                  <w:lang w:val="it-IT"/>
                </w:rPr>
                <w:delText>N</w:delText>
              </w:r>
              <w:r>
                <w:rPr>
                  <w:rFonts w:eastAsia="Arial"/>
                  <w:b/>
                  <w:bCs/>
                  <w:noProof/>
                  <w:spacing w:val="-2"/>
                  <w:sz w:val="20"/>
                  <w:lang w:val="it-IT"/>
                </w:rPr>
                <w:delText xml:space="preserve"> </w:delText>
              </w:r>
            </w:del>
            <w:ins w:id="2406" w:author="Author">
              <w:r>
                <w:rPr>
                  <w:rFonts w:eastAsia="Arial"/>
                  <w:b/>
                  <w:bCs/>
                  <w:noProof/>
                  <w:spacing w:val="-2"/>
                  <w:sz w:val="20"/>
                  <w:lang w:val="it-IT"/>
                </w:rPr>
                <w:t>n </w:t>
              </w:r>
            </w:ins>
            <w:r>
              <w:rPr>
                <w:noProof/>
                <w:sz w:val="20"/>
                <w:lang w:val="it-IT"/>
              </w:rPr>
              <w:t>=</w:t>
            </w:r>
            <w:ins w:id="2407" w:author="Author">
              <w:r>
                <w:rPr>
                  <w:noProof/>
                  <w:sz w:val="20"/>
                  <w:lang w:val="it-IT"/>
                </w:rPr>
                <w:t> </w:t>
              </w:r>
            </w:ins>
            <w:del w:id="2408" w:author="Author">
              <w:r>
                <w:rPr>
                  <w:noProof/>
                  <w:spacing w:val="4"/>
                  <w:sz w:val="20"/>
                  <w:lang w:val="it-IT"/>
                </w:rPr>
                <w:delText xml:space="preserve"> </w:delText>
              </w:r>
            </w:del>
            <w:r>
              <w:rPr>
                <w:rFonts w:eastAsia="Arial"/>
                <w:b/>
                <w:bCs/>
                <w:noProof/>
                <w:sz w:val="20"/>
                <w:lang w:val="it-IT"/>
              </w:rPr>
              <w:t>58)</w:t>
            </w:r>
          </w:p>
        </w:tc>
        <w:tc>
          <w:tcPr>
            <w:tcW w:w="1469" w:type="dxa"/>
            <w:tcBorders>
              <w:top w:val="single" w:sz="4" w:space="0" w:color="000000"/>
              <w:left w:val="single" w:sz="4" w:space="0" w:color="000000"/>
              <w:bottom w:val="single" w:sz="4" w:space="0" w:color="000000"/>
              <w:right w:val="single" w:sz="4" w:space="0" w:color="000000"/>
            </w:tcBorders>
            <w:tcPrChange w:id="2409" w:author="Author">
              <w:tcPr>
                <w:tcW w:w="1613" w:type="dxa"/>
                <w:gridSpan w:val="3"/>
                <w:tcBorders>
                  <w:top w:val="single" w:sz="4" w:space="0" w:color="000000"/>
                  <w:left w:val="single" w:sz="4" w:space="0" w:color="000000"/>
                  <w:bottom w:val="single" w:sz="4" w:space="0" w:color="000000"/>
                  <w:right w:val="single" w:sz="4" w:space="0" w:color="000000"/>
                </w:tcBorders>
              </w:tcPr>
            </w:tcPrChange>
          </w:tcPr>
          <w:p>
            <w:pPr>
              <w:keepNext/>
              <w:tabs>
                <w:tab w:val="left" w:pos="180"/>
              </w:tabs>
              <w:suppressAutoHyphens/>
              <w:jc w:val="center"/>
              <w:rPr>
                <w:rFonts w:eastAsia="Arial"/>
                <w:noProof/>
                <w:sz w:val="20"/>
                <w:lang w:val="it-IT"/>
              </w:rPr>
              <w:pPrChange w:id="2410" w:author="Author">
                <w:pPr>
                  <w:tabs>
                    <w:tab w:val="left" w:pos="180"/>
                  </w:tabs>
                  <w:spacing w:before="51"/>
                  <w:ind w:left="234" w:right="-20"/>
                </w:pPr>
              </w:pPrChange>
            </w:pPr>
            <w:r>
              <w:rPr>
                <w:rFonts w:eastAsia="Arial"/>
                <w:b/>
                <w:bCs/>
                <w:noProof/>
                <w:spacing w:val="2"/>
                <w:sz w:val="20"/>
                <w:lang w:val="it-IT"/>
              </w:rPr>
              <w:t>Si</w:t>
            </w:r>
            <w:r>
              <w:rPr>
                <w:rFonts w:eastAsia="Arial"/>
                <w:b/>
                <w:bCs/>
                <w:noProof/>
                <w:spacing w:val="-5"/>
                <w:sz w:val="20"/>
                <w:lang w:val="it-IT"/>
              </w:rPr>
              <w:t xml:space="preserve"> </w:t>
            </w:r>
            <w:r>
              <w:rPr>
                <w:rFonts w:eastAsia="Arial"/>
                <w:b/>
                <w:bCs/>
                <w:noProof/>
                <w:spacing w:val="1"/>
                <w:sz w:val="20"/>
                <w:lang w:val="it-IT"/>
              </w:rPr>
              <w:t>(</w:t>
            </w:r>
            <w:del w:id="2411" w:author="Author">
              <w:r>
                <w:rPr>
                  <w:rFonts w:eastAsia="Arial"/>
                  <w:b/>
                  <w:bCs/>
                  <w:noProof/>
                  <w:sz w:val="20"/>
                  <w:lang w:val="it-IT"/>
                </w:rPr>
                <w:delText>N</w:delText>
              </w:r>
              <w:r>
                <w:rPr>
                  <w:rFonts w:eastAsia="Arial"/>
                  <w:b/>
                  <w:bCs/>
                  <w:noProof/>
                  <w:spacing w:val="-2"/>
                  <w:sz w:val="20"/>
                  <w:lang w:val="it-IT"/>
                </w:rPr>
                <w:delText xml:space="preserve"> </w:delText>
              </w:r>
            </w:del>
            <w:ins w:id="2412" w:author="Author">
              <w:r>
                <w:rPr>
                  <w:rFonts w:eastAsia="Arial"/>
                  <w:b/>
                  <w:bCs/>
                  <w:noProof/>
                  <w:spacing w:val="-2"/>
                  <w:sz w:val="20"/>
                  <w:lang w:val="it-IT"/>
                </w:rPr>
                <w:t>n </w:t>
              </w:r>
            </w:ins>
            <w:r>
              <w:rPr>
                <w:noProof/>
                <w:sz w:val="20"/>
                <w:lang w:val="it-IT"/>
              </w:rPr>
              <w:t>=</w:t>
            </w:r>
            <w:ins w:id="2413" w:author="Author">
              <w:r>
                <w:rPr>
                  <w:noProof/>
                  <w:sz w:val="20"/>
                  <w:lang w:val="it-IT"/>
                </w:rPr>
                <w:t> </w:t>
              </w:r>
            </w:ins>
            <w:del w:id="2414" w:author="Author">
              <w:r>
                <w:rPr>
                  <w:noProof/>
                  <w:spacing w:val="4"/>
                  <w:sz w:val="20"/>
                  <w:lang w:val="it-IT"/>
                </w:rPr>
                <w:delText xml:space="preserve"> </w:delText>
              </w:r>
            </w:del>
            <w:r>
              <w:rPr>
                <w:rFonts w:eastAsia="Arial"/>
                <w:b/>
                <w:bCs/>
                <w:noProof/>
                <w:sz w:val="20"/>
                <w:lang w:val="it-IT"/>
              </w:rPr>
              <w:t>27)</w:t>
            </w:r>
          </w:p>
        </w:tc>
        <w:tc>
          <w:tcPr>
            <w:tcW w:w="1470" w:type="dxa"/>
            <w:tcBorders>
              <w:top w:val="single" w:sz="4" w:space="0" w:color="000000"/>
              <w:left w:val="single" w:sz="4" w:space="0" w:color="000000"/>
              <w:bottom w:val="single" w:sz="4" w:space="0" w:color="000000"/>
              <w:right w:val="single" w:sz="4" w:space="0" w:color="000000"/>
            </w:tcBorders>
            <w:tcPrChange w:id="2415" w:author="Author">
              <w:tcPr>
                <w:tcW w:w="1615" w:type="dxa"/>
                <w:gridSpan w:val="2"/>
                <w:tcBorders>
                  <w:top w:val="single" w:sz="4" w:space="0" w:color="000000"/>
                  <w:left w:val="single" w:sz="4" w:space="0" w:color="000000"/>
                  <w:bottom w:val="single" w:sz="4" w:space="0" w:color="000000"/>
                  <w:right w:val="single" w:sz="4" w:space="0" w:color="000000"/>
                </w:tcBorders>
              </w:tcPr>
            </w:tcPrChange>
          </w:tcPr>
          <w:p>
            <w:pPr>
              <w:keepNext/>
              <w:tabs>
                <w:tab w:val="left" w:pos="180"/>
              </w:tabs>
              <w:suppressAutoHyphens/>
              <w:jc w:val="center"/>
              <w:rPr>
                <w:rFonts w:eastAsia="Arial"/>
                <w:noProof/>
                <w:sz w:val="20"/>
                <w:lang w:val="it-IT"/>
              </w:rPr>
              <w:pPrChange w:id="2416" w:author="Author">
                <w:pPr>
                  <w:tabs>
                    <w:tab w:val="left" w:pos="180"/>
                  </w:tabs>
                  <w:spacing w:before="51"/>
                  <w:ind w:left="281" w:right="-20"/>
                </w:pPr>
              </w:pPrChange>
            </w:pPr>
            <w:r>
              <w:rPr>
                <w:rFonts w:eastAsia="Arial"/>
                <w:b/>
                <w:bCs/>
                <w:noProof/>
                <w:sz w:val="20"/>
                <w:lang w:val="it-IT"/>
              </w:rPr>
              <w:t>No</w:t>
            </w:r>
            <w:r>
              <w:rPr>
                <w:rFonts w:eastAsia="Arial"/>
                <w:b/>
                <w:bCs/>
                <w:noProof/>
                <w:spacing w:val="-3"/>
                <w:sz w:val="20"/>
                <w:lang w:val="it-IT"/>
              </w:rPr>
              <w:t xml:space="preserve"> </w:t>
            </w:r>
            <w:r>
              <w:rPr>
                <w:rFonts w:eastAsia="Arial"/>
                <w:b/>
                <w:bCs/>
                <w:noProof/>
                <w:spacing w:val="1"/>
                <w:sz w:val="20"/>
                <w:lang w:val="it-IT"/>
              </w:rPr>
              <w:t>(</w:t>
            </w:r>
            <w:ins w:id="2417" w:author="Author">
              <w:r>
                <w:rPr>
                  <w:rFonts w:eastAsia="Arial"/>
                  <w:b/>
                  <w:bCs/>
                  <w:noProof/>
                  <w:spacing w:val="1"/>
                  <w:sz w:val="20"/>
                  <w:lang w:val="it-IT"/>
                </w:rPr>
                <w:t>n </w:t>
              </w:r>
            </w:ins>
            <w:del w:id="2418" w:author="Author">
              <w:r>
                <w:rPr>
                  <w:rFonts w:eastAsia="Arial"/>
                  <w:b/>
                  <w:bCs/>
                  <w:noProof/>
                  <w:sz w:val="20"/>
                  <w:lang w:val="it-IT"/>
                </w:rPr>
                <w:delText>N</w:delText>
              </w:r>
              <w:r>
                <w:rPr>
                  <w:rFonts w:eastAsia="Arial"/>
                  <w:b/>
                  <w:bCs/>
                  <w:noProof/>
                  <w:spacing w:val="-2"/>
                  <w:sz w:val="20"/>
                  <w:lang w:val="it-IT"/>
                </w:rPr>
                <w:delText xml:space="preserve"> </w:delText>
              </w:r>
            </w:del>
            <w:r>
              <w:rPr>
                <w:noProof/>
                <w:sz w:val="20"/>
                <w:lang w:val="it-IT"/>
              </w:rPr>
              <w:t>=</w:t>
            </w:r>
            <w:ins w:id="2419" w:author="Author">
              <w:r>
                <w:rPr>
                  <w:noProof/>
                  <w:sz w:val="20"/>
                  <w:lang w:val="it-IT"/>
                </w:rPr>
                <w:t> </w:t>
              </w:r>
            </w:ins>
            <w:del w:id="2420" w:author="Author">
              <w:r>
                <w:rPr>
                  <w:noProof/>
                  <w:spacing w:val="4"/>
                  <w:sz w:val="20"/>
                  <w:lang w:val="it-IT"/>
                </w:rPr>
                <w:delText xml:space="preserve"> </w:delText>
              </w:r>
            </w:del>
            <w:r>
              <w:rPr>
                <w:rFonts w:eastAsia="Arial"/>
                <w:b/>
                <w:bCs/>
                <w:noProof/>
                <w:sz w:val="20"/>
                <w:lang w:val="it-IT"/>
              </w:rPr>
              <w:t>55)</w:t>
            </w:r>
          </w:p>
        </w:tc>
      </w:tr>
      <w:tr>
        <w:trPr>
          <w:cantSplit/>
        </w:trPr>
        <w:tc>
          <w:tcPr>
            <w:tcW w:w="2875" w:type="dxa"/>
            <w:tcBorders>
              <w:top w:val="single" w:sz="4" w:space="0" w:color="000000"/>
              <w:left w:val="single" w:sz="4" w:space="0" w:color="000000"/>
              <w:bottom w:val="single" w:sz="4" w:space="0" w:color="000000"/>
              <w:right w:val="single" w:sz="4" w:space="0" w:color="000000"/>
            </w:tcBorders>
          </w:tcPr>
          <w:p>
            <w:pPr>
              <w:tabs>
                <w:tab w:val="left" w:pos="180"/>
              </w:tabs>
              <w:suppressAutoHyphens/>
              <w:rPr>
                <w:rFonts w:eastAsia="Arial"/>
                <w:noProof/>
                <w:sz w:val="20"/>
                <w:lang w:val="it-IT"/>
              </w:rPr>
              <w:pPrChange w:id="2421" w:author="Author">
                <w:pPr>
                  <w:tabs>
                    <w:tab w:val="left" w:pos="180"/>
                  </w:tabs>
                  <w:spacing w:before="51"/>
                  <w:ind w:left="52" w:right="-20"/>
                </w:pPr>
              </w:pPrChange>
            </w:pPr>
            <w:r>
              <w:rPr>
                <w:i/>
                <w:noProof/>
                <w:sz w:val="20"/>
                <w:lang w:val="it-IT"/>
                <w:rPrChange w:id="2422" w:author="Author">
                  <w:rPr>
                    <w:i/>
                    <w:szCs w:val="22"/>
                    <w:lang w:val="it-IT"/>
                  </w:rPr>
                </w:rPrChange>
              </w:rPr>
              <w:t>Riacutizzazione per AIG ACR30</w:t>
            </w:r>
          </w:p>
        </w:tc>
        <w:tc>
          <w:tcPr>
            <w:tcW w:w="1469" w:type="dxa"/>
            <w:tcBorders>
              <w:top w:val="single" w:sz="4" w:space="0" w:color="000000"/>
              <w:left w:val="single" w:sz="4" w:space="0" w:color="000000"/>
              <w:bottom w:val="single" w:sz="4" w:space="0" w:color="000000"/>
              <w:right w:val="single" w:sz="4" w:space="0" w:color="000000"/>
            </w:tcBorders>
          </w:tcPr>
          <w:p>
            <w:pPr>
              <w:tabs>
                <w:tab w:val="left" w:pos="180"/>
              </w:tabs>
              <w:suppressAutoHyphens/>
              <w:jc w:val="center"/>
              <w:rPr>
                <w:rFonts w:eastAsia="Arial"/>
                <w:noProof/>
                <w:sz w:val="20"/>
                <w:lang w:val="it-IT"/>
              </w:rPr>
              <w:pPrChange w:id="2423" w:author="Author">
                <w:pPr>
                  <w:tabs>
                    <w:tab w:val="left" w:pos="180"/>
                  </w:tabs>
                  <w:spacing w:before="51"/>
                  <w:ind w:left="402" w:right="-20"/>
                </w:pPr>
              </w:pPrChange>
            </w:pPr>
            <w:r>
              <w:rPr>
                <w:rFonts w:eastAsia="Arial"/>
                <w:noProof/>
                <w:sz w:val="20"/>
                <w:lang w:val="it-IT"/>
              </w:rPr>
              <w:t>18</w:t>
            </w:r>
            <w:r>
              <w:rPr>
                <w:rFonts w:eastAsia="Arial"/>
                <w:noProof/>
                <w:spacing w:val="-3"/>
                <w:sz w:val="20"/>
                <w:lang w:val="it-IT"/>
              </w:rPr>
              <w:t xml:space="preserve"> </w:t>
            </w:r>
            <w:r>
              <w:rPr>
                <w:rFonts w:eastAsia="Arial"/>
                <w:noProof/>
                <w:spacing w:val="1"/>
                <w:sz w:val="20"/>
                <w:lang w:val="it-IT"/>
              </w:rPr>
              <w:t>(</w:t>
            </w:r>
            <w:r>
              <w:rPr>
                <w:rFonts w:eastAsia="Arial"/>
                <w:noProof/>
                <w:sz w:val="20"/>
                <w:lang w:val="it-IT"/>
              </w:rPr>
              <w:t>78</w:t>
            </w:r>
            <w:r>
              <w:rPr>
                <w:rFonts w:eastAsia="Arial"/>
                <w:noProof/>
                <w:spacing w:val="2"/>
                <w:sz w:val="20"/>
                <w:lang w:val="it-IT"/>
              </w:rPr>
              <w:t>,</w:t>
            </w:r>
            <w:r>
              <w:rPr>
                <w:rFonts w:eastAsia="Arial"/>
                <w:noProof/>
                <w:sz w:val="20"/>
                <w:lang w:val="it-IT"/>
              </w:rPr>
              <w:t>3)</w:t>
            </w:r>
          </w:p>
        </w:tc>
        <w:tc>
          <w:tcPr>
            <w:tcW w:w="1470" w:type="dxa"/>
            <w:tcBorders>
              <w:top w:val="single" w:sz="4" w:space="0" w:color="000000"/>
              <w:left w:val="single" w:sz="4" w:space="0" w:color="000000"/>
              <w:bottom w:val="single" w:sz="4" w:space="0" w:color="000000"/>
              <w:right w:val="single" w:sz="4" w:space="0" w:color="000000"/>
            </w:tcBorders>
          </w:tcPr>
          <w:p>
            <w:pPr>
              <w:tabs>
                <w:tab w:val="left" w:pos="180"/>
              </w:tabs>
              <w:suppressAutoHyphens/>
              <w:jc w:val="center"/>
              <w:rPr>
                <w:rFonts w:eastAsia="Arial"/>
                <w:noProof/>
                <w:sz w:val="20"/>
                <w:lang w:val="it-IT"/>
              </w:rPr>
              <w:pPrChange w:id="2424" w:author="Author">
                <w:pPr>
                  <w:tabs>
                    <w:tab w:val="left" w:pos="180"/>
                  </w:tabs>
                  <w:spacing w:before="51"/>
                  <w:ind w:left="402" w:right="-20"/>
                </w:pPr>
              </w:pPrChange>
            </w:pPr>
            <w:r>
              <w:rPr>
                <w:rFonts w:eastAsia="Arial"/>
                <w:noProof/>
                <w:sz w:val="20"/>
                <w:lang w:val="it-IT"/>
              </w:rPr>
              <w:t>21</w:t>
            </w:r>
            <w:r>
              <w:rPr>
                <w:rFonts w:eastAsia="Arial"/>
                <w:noProof/>
                <w:spacing w:val="-3"/>
                <w:sz w:val="20"/>
                <w:lang w:val="it-IT"/>
              </w:rPr>
              <w:t xml:space="preserve"> </w:t>
            </w:r>
            <w:r>
              <w:rPr>
                <w:rFonts w:eastAsia="Arial"/>
                <w:noProof/>
                <w:spacing w:val="1"/>
                <w:sz w:val="20"/>
                <w:lang w:val="it-IT"/>
              </w:rPr>
              <w:t>(</w:t>
            </w:r>
            <w:r>
              <w:rPr>
                <w:rFonts w:eastAsia="Arial"/>
                <w:noProof/>
                <w:sz w:val="20"/>
                <w:lang w:val="it-IT"/>
              </w:rPr>
              <w:t>36</w:t>
            </w:r>
            <w:r>
              <w:rPr>
                <w:rFonts w:eastAsia="Arial"/>
                <w:noProof/>
                <w:spacing w:val="2"/>
                <w:sz w:val="20"/>
                <w:lang w:val="it-IT"/>
              </w:rPr>
              <w:t>,</w:t>
            </w:r>
            <w:r>
              <w:rPr>
                <w:rFonts w:eastAsia="Arial"/>
                <w:noProof/>
                <w:sz w:val="20"/>
                <w:lang w:val="it-IT"/>
              </w:rPr>
              <w:t>2)</w:t>
            </w:r>
          </w:p>
        </w:tc>
        <w:tc>
          <w:tcPr>
            <w:tcW w:w="1469" w:type="dxa"/>
            <w:tcBorders>
              <w:top w:val="single" w:sz="4" w:space="0" w:color="000000"/>
              <w:left w:val="single" w:sz="4" w:space="0" w:color="000000"/>
              <w:bottom w:val="single" w:sz="4" w:space="0" w:color="000000"/>
              <w:right w:val="single" w:sz="4" w:space="0" w:color="000000"/>
            </w:tcBorders>
          </w:tcPr>
          <w:p>
            <w:pPr>
              <w:tabs>
                <w:tab w:val="left" w:pos="180"/>
              </w:tabs>
              <w:suppressAutoHyphens/>
              <w:jc w:val="center"/>
              <w:rPr>
                <w:rFonts w:eastAsia="Arial"/>
                <w:noProof/>
                <w:sz w:val="20"/>
                <w:lang w:val="it-IT"/>
              </w:rPr>
              <w:pPrChange w:id="2425" w:author="Author">
                <w:pPr>
                  <w:tabs>
                    <w:tab w:val="left" w:pos="180"/>
                  </w:tabs>
                  <w:spacing w:before="51"/>
                  <w:ind w:left="402" w:right="-20"/>
                </w:pPr>
              </w:pPrChange>
            </w:pPr>
            <w:r>
              <w:rPr>
                <w:rFonts w:eastAsia="Arial"/>
                <w:noProof/>
                <w:sz w:val="20"/>
                <w:lang w:val="it-IT"/>
              </w:rPr>
              <w:t>12</w:t>
            </w:r>
            <w:r>
              <w:rPr>
                <w:rFonts w:eastAsia="Arial"/>
                <w:noProof/>
                <w:spacing w:val="-3"/>
                <w:sz w:val="20"/>
                <w:lang w:val="it-IT"/>
              </w:rPr>
              <w:t xml:space="preserve"> </w:t>
            </w:r>
            <w:r>
              <w:rPr>
                <w:rFonts w:eastAsia="Arial"/>
                <w:noProof/>
                <w:spacing w:val="1"/>
                <w:sz w:val="20"/>
                <w:lang w:val="it-IT"/>
              </w:rPr>
              <w:t>(</w:t>
            </w:r>
            <w:r>
              <w:rPr>
                <w:rFonts w:eastAsia="Arial"/>
                <w:noProof/>
                <w:sz w:val="20"/>
                <w:lang w:val="it-IT"/>
              </w:rPr>
              <w:t>44</w:t>
            </w:r>
            <w:r>
              <w:rPr>
                <w:rFonts w:eastAsia="Arial"/>
                <w:noProof/>
                <w:spacing w:val="2"/>
                <w:sz w:val="20"/>
                <w:lang w:val="it-IT"/>
              </w:rPr>
              <w:t>,</w:t>
            </w:r>
            <w:r>
              <w:rPr>
                <w:rFonts w:eastAsia="Arial"/>
                <w:noProof/>
                <w:sz w:val="20"/>
                <w:lang w:val="it-IT"/>
              </w:rPr>
              <w:t>4)</w:t>
            </w:r>
          </w:p>
        </w:tc>
        <w:tc>
          <w:tcPr>
            <w:tcW w:w="1470" w:type="dxa"/>
            <w:tcBorders>
              <w:top w:val="single" w:sz="4" w:space="0" w:color="000000"/>
              <w:left w:val="single" w:sz="4" w:space="0" w:color="000000"/>
              <w:bottom w:val="single" w:sz="4" w:space="0" w:color="000000"/>
              <w:right w:val="single" w:sz="4" w:space="0" w:color="000000"/>
            </w:tcBorders>
          </w:tcPr>
          <w:p>
            <w:pPr>
              <w:tabs>
                <w:tab w:val="left" w:pos="180"/>
              </w:tabs>
              <w:suppressAutoHyphens/>
              <w:jc w:val="center"/>
              <w:rPr>
                <w:rFonts w:eastAsia="Arial"/>
                <w:noProof/>
                <w:sz w:val="20"/>
                <w:lang w:val="it-IT"/>
              </w:rPr>
              <w:pPrChange w:id="2426" w:author="Author">
                <w:pPr>
                  <w:tabs>
                    <w:tab w:val="left" w:pos="180"/>
                  </w:tabs>
                  <w:spacing w:before="51"/>
                  <w:ind w:left="457" w:right="-20"/>
                </w:pPr>
              </w:pPrChange>
            </w:pPr>
            <w:r>
              <w:rPr>
                <w:rFonts w:eastAsia="Arial"/>
                <w:noProof/>
                <w:sz w:val="20"/>
                <w:lang w:val="it-IT"/>
              </w:rPr>
              <w:t>9</w:t>
            </w:r>
            <w:r>
              <w:rPr>
                <w:rFonts w:eastAsia="Arial"/>
                <w:noProof/>
                <w:spacing w:val="-2"/>
                <w:sz w:val="20"/>
                <w:lang w:val="it-IT"/>
              </w:rPr>
              <w:t xml:space="preserve"> </w:t>
            </w:r>
            <w:r>
              <w:rPr>
                <w:rFonts w:eastAsia="Arial"/>
                <w:noProof/>
                <w:spacing w:val="1"/>
                <w:sz w:val="20"/>
                <w:lang w:val="it-IT"/>
              </w:rPr>
              <w:t>(</w:t>
            </w:r>
            <w:r>
              <w:rPr>
                <w:rFonts w:eastAsia="Arial"/>
                <w:noProof/>
                <w:sz w:val="20"/>
                <w:lang w:val="it-IT"/>
              </w:rPr>
              <w:t>16,4)</w:t>
            </w:r>
          </w:p>
        </w:tc>
      </w:tr>
      <w:tr>
        <w:trPr>
          <w:cantSplit/>
        </w:trPr>
        <w:tc>
          <w:tcPr>
            <w:tcW w:w="2875" w:type="dxa"/>
            <w:tcBorders>
              <w:top w:val="single" w:sz="4" w:space="0" w:color="000000"/>
              <w:left w:val="single" w:sz="4" w:space="0" w:color="000000"/>
              <w:bottom w:val="single" w:sz="4" w:space="0" w:color="000000"/>
              <w:right w:val="single" w:sz="4" w:space="0" w:color="000000"/>
            </w:tcBorders>
          </w:tcPr>
          <w:p>
            <w:pPr>
              <w:tabs>
                <w:tab w:val="left" w:pos="180"/>
              </w:tabs>
              <w:suppressAutoHyphens/>
              <w:rPr>
                <w:i/>
                <w:noProof/>
                <w:sz w:val="20"/>
                <w:lang w:val="it-IT"/>
                <w:rPrChange w:id="2427" w:author="Author">
                  <w:rPr>
                    <w:i/>
                    <w:szCs w:val="22"/>
                    <w:lang w:val="it-IT"/>
                  </w:rPr>
                </w:rPrChange>
              </w:rPr>
              <w:pPrChange w:id="2428" w:author="Author">
                <w:pPr>
                  <w:tabs>
                    <w:tab w:val="left" w:pos="180"/>
                  </w:tabs>
                  <w:spacing w:before="51"/>
                  <w:ind w:left="52" w:right="-20"/>
                </w:pPr>
              </w:pPrChange>
            </w:pPr>
            <w:r>
              <w:rPr>
                <w:i/>
                <w:noProof/>
                <w:sz w:val="20"/>
                <w:lang w:val="it-IT"/>
                <w:rPrChange w:id="2429" w:author="Author">
                  <w:rPr>
                    <w:i/>
                    <w:szCs w:val="22"/>
                    <w:lang w:val="it-IT"/>
                  </w:rPr>
                </w:rPrChange>
              </w:rPr>
              <w:t>Risposta AIG ACR30</w:t>
            </w:r>
            <w:r>
              <w:rPr>
                <w:i/>
                <w:iCs/>
                <w:noProof/>
                <w:sz w:val="20"/>
                <w:lang w:val="it-IT"/>
                <w:rPrChange w:id="2430" w:author="Author">
                  <w:rPr>
                    <w:i/>
                    <w:iCs/>
                    <w:lang w:val="it-IT"/>
                  </w:rPr>
                </w:rPrChange>
              </w:rPr>
              <w:t xml:space="preserve"> </w:t>
            </w:r>
          </w:p>
        </w:tc>
        <w:tc>
          <w:tcPr>
            <w:tcW w:w="1469" w:type="dxa"/>
            <w:tcBorders>
              <w:top w:val="single" w:sz="4" w:space="0" w:color="000000"/>
              <w:left w:val="single" w:sz="4" w:space="0" w:color="000000"/>
              <w:bottom w:val="single" w:sz="4" w:space="0" w:color="000000"/>
              <w:right w:val="single" w:sz="4" w:space="0" w:color="000000"/>
            </w:tcBorders>
          </w:tcPr>
          <w:p>
            <w:pPr>
              <w:tabs>
                <w:tab w:val="left" w:pos="180"/>
              </w:tabs>
              <w:suppressAutoHyphens/>
              <w:jc w:val="center"/>
              <w:rPr>
                <w:rFonts w:eastAsia="Arial"/>
                <w:noProof/>
                <w:sz w:val="20"/>
                <w:lang w:val="it-IT"/>
              </w:rPr>
              <w:pPrChange w:id="2431" w:author="Author">
                <w:pPr>
                  <w:tabs>
                    <w:tab w:val="left" w:pos="180"/>
                  </w:tabs>
                  <w:spacing w:before="51"/>
                  <w:ind w:left="457" w:right="-20"/>
                </w:pPr>
              </w:pPrChange>
            </w:pPr>
            <w:r>
              <w:rPr>
                <w:rFonts w:eastAsia="Arial"/>
                <w:noProof/>
                <w:sz w:val="20"/>
                <w:lang w:val="it-IT"/>
              </w:rPr>
              <w:t>6</w:t>
            </w:r>
            <w:r>
              <w:rPr>
                <w:rFonts w:eastAsia="Arial"/>
                <w:noProof/>
                <w:spacing w:val="-2"/>
                <w:sz w:val="20"/>
                <w:lang w:val="it-IT"/>
              </w:rPr>
              <w:t xml:space="preserve"> </w:t>
            </w:r>
            <w:r>
              <w:rPr>
                <w:rFonts w:eastAsia="Arial"/>
                <w:noProof/>
                <w:spacing w:val="1"/>
                <w:sz w:val="20"/>
                <w:lang w:val="it-IT"/>
              </w:rPr>
              <w:t>(</w:t>
            </w:r>
            <w:r>
              <w:rPr>
                <w:rFonts w:eastAsia="Arial"/>
                <w:noProof/>
                <w:sz w:val="20"/>
                <w:lang w:val="it-IT"/>
              </w:rPr>
              <w:t>26,1)</w:t>
            </w:r>
          </w:p>
        </w:tc>
        <w:tc>
          <w:tcPr>
            <w:tcW w:w="1470" w:type="dxa"/>
            <w:tcBorders>
              <w:top w:val="single" w:sz="4" w:space="0" w:color="000000"/>
              <w:left w:val="single" w:sz="4" w:space="0" w:color="000000"/>
              <w:bottom w:val="single" w:sz="4" w:space="0" w:color="000000"/>
              <w:right w:val="single" w:sz="4" w:space="0" w:color="000000"/>
            </w:tcBorders>
          </w:tcPr>
          <w:p>
            <w:pPr>
              <w:tabs>
                <w:tab w:val="left" w:pos="180"/>
              </w:tabs>
              <w:suppressAutoHyphens/>
              <w:jc w:val="center"/>
              <w:rPr>
                <w:rFonts w:eastAsia="Arial"/>
                <w:noProof/>
                <w:sz w:val="20"/>
                <w:lang w:val="it-IT"/>
              </w:rPr>
              <w:pPrChange w:id="2432" w:author="Author">
                <w:pPr>
                  <w:tabs>
                    <w:tab w:val="left" w:pos="180"/>
                  </w:tabs>
                  <w:spacing w:before="51"/>
                  <w:ind w:left="401" w:right="-20"/>
                </w:pPr>
              </w:pPrChange>
            </w:pPr>
            <w:r>
              <w:rPr>
                <w:rFonts w:eastAsia="Arial"/>
                <w:noProof/>
                <w:sz w:val="20"/>
                <w:lang w:val="it-IT"/>
              </w:rPr>
              <w:t>38</w:t>
            </w:r>
            <w:r>
              <w:rPr>
                <w:rFonts w:eastAsia="Arial"/>
                <w:noProof/>
                <w:spacing w:val="-3"/>
                <w:sz w:val="20"/>
                <w:lang w:val="it-IT"/>
              </w:rPr>
              <w:t xml:space="preserve"> </w:t>
            </w:r>
            <w:r>
              <w:rPr>
                <w:rFonts w:eastAsia="Arial"/>
                <w:noProof/>
                <w:spacing w:val="1"/>
                <w:sz w:val="20"/>
                <w:lang w:val="it-IT"/>
              </w:rPr>
              <w:t>(</w:t>
            </w:r>
            <w:r>
              <w:rPr>
                <w:rFonts w:eastAsia="Arial"/>
                <w:noProof/>
                <w:sz w:val="20"/>
                <w:lang w:val="it-IT"/>
              </w:rPr>
              <w:t>65</w:t>
            </w:r>
            <w:r>
              <w:rPr>
                <w:rFonts w:eastAsia="Arial"/>
                <w:noProof/>
                <w:spacing w:val="2"/>
                <w:sz w:val="20"/>
                <w:lang w:val="it-IT"/>
              </w:rPr>
              <w:t>,</w:t>
            </w:r>
            <w:r>
              <w:rPr>
                <w:rFonts w:eastAsia="Arial"/>
                <w:noProof/>
                <w:sz w:val="20"/>
                <w:lang w:val="it-IT"/>
              </w:rPr>
              <w:t>5)</w:t>
            </w:r>
          </w:p>
        </w:tc>
        <w:tc>
          <w:tcPr>
            <w:tcW w:w="1469" w:type="dxa"/>
            <w:tcBorders>
              <w:top w:val="single" w:sz="4" w:space="0" w:color="000000"/>
              <w:left w:val="single" w:sz="4" w:space="0" w:color="000000"/>
              <w:bottom w:val="single" w:sz="4" w:space="0" w:color="000000"/>
              <w:right w:val="single" w:sz="4" w:space="0" w:color="000000"/>
            </w:tcBorders>
          </w:tcPr>
          <w:p>
            <w:pPr>
              <w:tabs>
                <w:tab w:val="left" w:pos="180"/>
              </w:tabs>
              <w:suppressAutoHyphens/>
              <w:jc w:val="center"/>
              <w:rPr>
                <w:rFonts w:eastAsia="Arial"/>
                <w:noProof/>
                <w:sz w:val="20"/>
                <w:lang w:val="it-IT"/>
              </w:rPr>
              <w:pPrChange w:id="2433" w:author="Author">
                <w:pPr>
                  <w:tabs>
                    <w:tab w:val="left" w:pos="180"/>
                  </w:tabs>
                  <w:spacing w:before="51"/>
                  <w:ind w:left="401" w:right="-20"/>
                </w:pPr>
              </w:pPrChange>
            </w:pPr>
            <w:r>
              <w:rPr>
                <w:rFonts w:eastAsia="Arial"/>
                <w:noProof/>
                <w:sz w:val="20"/>
                <w:lang w:val="it-IT"/>
              </w:rPr>
              <w:t>15</w:t>
            </w:r>
            <w:r>
              <w:rPr>
                <w:rFonts w:eastAsia="Arial"/>
                <w:noProof/>
                <w:spacing w:val="-3"/>
                <w:sz w:val="20"/>
                <w:lang w:val="it-IT"/>
              </w:rPr>
              <w:t xml:space="preserve"> </w:t>
            </w:r>
            <w:r>
              <w:rPr>
                <w:rFonts w:eastAsia="Arial"/>
                <w:noProof/>
                <w:spacing w:val="1"/>
                <w:sz w:val="20"/>
                <w:lang w:val="it-IT"/>
              </w:rPr>
              <w:t>(</w:t>
            </w:r>
            <w:r>
              <w:rPr>
                <w:rFonts w:eastAsia="Arial"/>
                <w:noProof/>
                <w:sz w:val="20"/>
                <w:lang w:val="it-IT"/>
              </w:rPr>
              <w:t>55</w:t>
            </w:r>
            <w:r>
              <w:rPr>
                <w:rFonts w:eastAsia="Arial"/>
                <w:noProof/>
                <w:spacing w:val="2"/>
                <w:sz w:val="20"/>
                <w:lang w:val="it-IT"/>
              </w:rPr>
              <w:t>,</w:t>
            </w:r>
            <w:r>
              <w:rPr>
                <w:rFonts w:eastAsia="Arial"/>
                <w:noProof/>
                <w:sz w:val="20"/>
                <w:lang w:val="it-IT"/>
              </w:rPr>
              <w:t>6)</w:t>
            </w:r>
          </w:p>
        </w:tc>
        <w:tc>
          <w:tcPr>
            <w:tcW w:w="1470" w:type="dxa"/>
            <w:tcBorders>
              <w:top w:val="single" w:sz="4" w:space="0" w:color="000000"/>
              <w:left w:val="single" w:sz="4" w:space="0" w:color="000000"/>
              <w:bottom w:val="single" w:sz="4" w:space="0" w:color="000000"/>
              <w:right w:val="single" w:sz="4" w:space="0" w:color="000000"/>
            </w:tcBorders>
          </w:tcPr>
          <w:p>
            <w:pPr>
              <w:tabs>
                <w:tab w:val="left" w:pos="180"/>
              </w:tabs>
              <w:suppressAutoHyphens/>
              <w:jc w:val="center"/>
              <w:rPr>
                <w:rFonts w:eastAsia="Arial"/>
                <w:noProof/>
                <w:sz w:val="20"/>
                <w:lang w:val="it-IT"/>
              </w:rPr>
              <w:pPrChange w:id="2434" w:author="Author">
                <w:pPr>
                  <w:tabs>
                    <w:tab w:val="left" w:pos="180"/>
                  </w:tabs>
                  <w:spacing w:before="51"/>
                  <w:ind w:left="401" w:right="-20"/>
                </w:pPr>
              </w:pPrChange>
            </w:pPr>
            <w:r>
              <w:rPr>
                <w:rFonts w:eastAsia="Arial"/>
                <w:noProof/>
                <w:sz w:val="20"/>
                <w:lang w:val="it-IT"/>
              </w:rPr>
              <w:t>46</w:t>
            </w:r>
            <w:r>
              <w:rPr>
                <w:rFonts w:eastAsia="Arial"/>
                <w:noProof/>
                <w:spacing w:val="-3"/>
                <w:sz w:val="20"/>
                <w:lang w:val="it-IT"/>
              </w:rPr>
              <w:t xml:space="preserve"> </w:t>
            </w:r>
            <w:r>
              <w:rPr>
                <w:rFonts w:eastAsia="Arial"/>
                <w:noProof/>
                <w:spacing w:val="1"/>
                <w:sz w:val="20"/>
                <w:lang w:val="it-IT"/>
              </w:rPr>
              <w:t>(</w:t>
            </w:r>
            <w:r>
              <w:rPr>
                <w:rFonts w:eastAsia="Arial"/>
                <w:noProof/>
                <w:sz w:val="20"/>
                <w:lang w:val="it-IT"/>
              </w:rPr>
              <w:t>83</w:t>
            </w:r>
            <w:r>
              <w:rPr>
                <w:rFonts w:eastAsia="Arial"/>
                <w:noProof/>
                <w:spacing w:val="2"/>
                <w:sz w:val="20"/>
                <w:lang w:val="it-IT"/>
              </w:rPr>
              <w:t>,</w:t>
            </w:r>
            <w:r>
              <w:rPr>
                <w:rFonts w:eastAsia="Arial"/>
                <w:noProof/>
                <w:sz w:val="20"/>
                <w:lang w:val="it-IT"/>
              </w:rPr>
              <w:t>6)</w:t>
            </w:r>
          </w:p>
        </w:tc>
      </w:tr>
      <w:tr>
        <w:trPr>
          <w:cantSplit/>
        </w:trPr>
        <w:tc>
          <w:tcPr>
            <w:tcW w:w="2875" w:type="dxa"/>
            <w:tcBorders>
              <w:top w:val="single" w:sz="4" w:space="0" w:color="000000"/>
              <w:left w:val="single" w:sz="4" w:space="0" w:color="000000"/>
              <w:bottom w:val="single" w:sz="4" w:space="0" w:color="000000"/>
              <w:right w:val="single" w:sz="4" w:space="0" w:color="000000"/>
            </w:tcBorders>
          </w:tcPr>
          <w:p>
            <w:pPr>
              <w:tabs>
                <w:tab w:val="left" w:pos="180"/>
              </w:tabs>
              <w:suppressAutoHyphens/>
              <w:rPr>
                <w:i/>
                <w:noProof/>
                <w:sz w:val="20"/>
                <w:lang w:val="it-IT"/>
                <w:rPrChange w:id="2435" w:author="Author">
                  <w:rPr>
                    <w:i/>
                    <w:szCs w:val="22"/>
                    <w:lang w:val="it-IT"/>
                  </w:rPr>
                </w:rPrChange>
              </w:rPr>
              <w:pPrChange w:id="2436" w:author="Author">
                <w:pPr>
                  <w:tabs>
                    <w:tab w:val="left" w:pos="180"/>
                  </w:tabs>
                  <w:spacing w:before="51"/>
                  <w:ind w:left="52" w:right="-20"/>
                </w:pPr>
              </w:pPrChange>
            </w:pPr>
            <w:r>
              <w:rPr>
                <w:i/>
                <w:noProof/>
                <w:sz w:val="20"/>
                <w:lang w:val="it-IT"/>
                <w:rPrChange w:id="2437" w:author="Author">
                  <w:rPr>
                    <w:i/>
                    <w:szCs w:val="22"/>
                    <w:lang w:val="it-IT"/>
                  </w:rPr>
                </w:rPrChange>
              </w:rPr>
              <w:t>Risposta AIG ACR50</w:t>
            </w:r>
            <w:r>
              <w:rPr>
                <w:i/>
                <w:iCs/>
                <w:noProof/>
                <w:sz w:val="20"/>
                <w:lang w:val="it-IT"/>
                <w:rPrChange w:id="2438" w:author="Author">
                  <w:rPr>
                    <w:i/>
                    <w:iCs/>
                    <w:lang w:val="it-IT"/>
                  </w:rPr>
                </w:rPrChange>
              </w:rPr>
              <w:t xml:space="preserve"> </w:t>
            </w:r>
          </w:p>
        </w:tc>
        <w:tc>
          <w:tcPr>
            <w:tcW w:w="1469" w:type="dxa"/>
            <w:tcBorders>
              <w:top w:val="single" w:sz="4" w:space="0" w:color="000000"/>
              <w:left w:val="single" w:sz="4" w:space="0" w:color="000000"/>
              <w:bottom w:val="single" w:sz="4" w:space="0" w:color="000000"/>
              <w:right w:val="single" w:sz="4" w:space="0" w:color="000000"/>
            </w:tcBorders>
          </w:tcPr>
          <w:p>
            <w:pPr>
              <w:tabs>
                <w:tab w:val="left" w:pos="180"/>
              </w:tabs>
              <w:suppressAutoHyphens/>
              <w:jc w:val="center"/>
              <w:rPr>
                <w:rFonts w:eastAsia="Arial"/>
                <w:noProof/>
                <w:sz w:val="20"/>
                <w:lang w:val="it-IT"/>
              </w:rPr>
              <w:pPrChange w:id="2439" w:author="Author">
                <w:pPr>
                  <w:tabs>
                    <w:tab w:val="left" w:pos="180"/>
                  </w:tabs>
                  <w:spacing w:before="51"/>
                  <w:ind w:left="457" w:right="-20"/>
                </w:pPr>
              </w:pPrChange>
            </w:pPr>
            <w:r>
              <w:rPr>
                <w:rFonts w:eastAsia="Arial"/>
                <w:noProof/>
                <w:sz w:val="20"/>
                <w:lang w:val="it-IT"/>
              </w:rPr>
              <w:t>5</w:t>
            </w:r>
            <w:r>
              <w:rPr>
                <w:rFonts w:eastAsia="Arial"/>
                <w:noProof/>
                <w:spacing w:val="-2"/>
                <w:sz w:val="20"/>
                <w:lang w:val="it-IT"/>
              </w:rPr>
              <w:t xml:space="preserve"> </w:t>
            </w:r>
            <w:r>
              <w:rPr>
                <w:rFonts w:eastAsia="Arial"/>
                <w:noProof/>
                <w:spacing w:val="1"/>
                <w:sz w:val="20"/>
                <w:lang w:val="it-IT"/>
              </w:rPr>
              <w:t>(</w:t>
            </w:r>
            <w:r>
              <w:rPr>
                <w:rFonts w:eastAsia="Arial"/>
                <w:noProof/>
                <w:sz w:val="20"/>
                <w:lang w:val="it-IT"/>
              </w:rPr>
              <w:t>21,7)</w:t>
            </w:r>
          </w:p>
        </w:tc>
        <w:tc>
          <w:tcPr>
            <w:tcW w:w="1470" w:type="dxa"/>
            <w:tcBorders>
              <w:top w:val="single" w:sz="4" w:space="0" w:color="000000"/>
              <w:left w:val="single" w:sz="4" w:space="0" w:color="000000"/>
              <w:bottom w:val="single" w:sz="4" w:space="0" w:color="000000"/>
              <w:right w:val="single" w:sz="4" w:space="0" w:color="000000"/>
            </w:tcBorders>
          </w:tcPr>
          <w:p>
            <w:pPr>
              <w:tabs>
                <w:tab w:val="left" w:pos="180"/>
              </w:tabs>
              <w:suppressAutoHyphens/>
              <w:jc w:val="center"/>
              <w:rPr>
                <w:rFonts w:eastAsia="Arial"/>
                <w:noProof/>
                <w:sz w:val="20"/>
                <w:lang w:val="it-IT"/>
              </w:rPr>
              <w:pPrChange w:id="2440" w:author="Author">
                <w:pPr>
                  <w:tabs>
                    <w:tab w:val="left" w:pos="180"/>
                  </w:tabs>
                  <w:spacing w:before="51"/>
                  <w:ind w:left="401" w:right="-20"/>
                </w:pPr>
              </w:pPrChange>
            </w:pPr>
            <w:r>
              <w:rPr>
                <w:rFonts w:eastAsia="Arial"/>
                <w:noProof/>
                <w:sz w:val="20"/>
                <w:lang w:val="it-IT"/>
              </w:rPr>
              <w:t>37</w:t>
            </w:r>
            <w:r>
              <w:rPr>
                <w:rFonts w:eastAsia="Arial"/>
                <w:noProof/>
                <w:spacing w:val="-3"/>
                <w:sz w:val="20"/>
                <w:lang w:val="it-IT"/>
              </w:rPr>
              <w:t xml:space="preserve"> </w:t>
            </w:r>
            <w:r>
              <w:rPr>
                <w:rFonts w:eastAsia="Arial"/>
                <w:noProof/>
                <w:spacing w:val="1"/>
                <w:sz w:val="20"/>
                <w:lang w:val="it-IT"/>
              </w:rPr>
              <w:t>(</w:t>
            </w:r>
            <w:r>
              <w:rPr>
                <w:rFonts w:eastAsia="Arial"/>
                <w:noProof/>
                <w:sz w:val="20"/>
                <w:lang w:val="it-IT"/>
              </w:rPr>
              <w:t>63</w:t>
            </w:r>
            <w:r>
              <w:rPr>
                <w:rFonts w:eastAsia="Arial"/>
                <w:noProof/>
                <w:spacing w:val="2"/>
                <w:sz w:val="20"/>
                <w:lang w:val="it-IT"/>
              </w:rPr>
              <w:t>,</w:t>
            </w:r>
            <w:r>
              <w:rPr>
                <w:rFonts w:eastAsia="Arial"/>
                <w:noProof/>
                <w:sz w:val="20"/>
                <w:lang w:val="it-IT"/>
              </w:rPr>
              <w:t>8)</w:t>
            </w:r>
          </w:p>
        </w:tc>
        <w:tc>
          <w:tcPr>
            <w:tcW w:w="1469" w:type="dxa"/>
            <w:tcBorders>
              <w:top w:val="single" w:sz="4" w:space="0" w:color="000000"/>
              <w:left w:val="single" w:sz="4" w:space="0" w:color="000000"/>
              <w:bottom w:val="single" w:sz="4" w:space="0" w:color="000000"/>
              <w:right w:val="single" w:sz="4" w:space="0" w:color="000000"/>
            </w:tcBorders>
          </w:tcPr>
          <w:p>
            <w:pPr>
              <w:tabs>
                <w:tab w:val="left" w:pos="180"/>
              </w:tabs>
              <w:suppressAutoHyphens/>
              <w:jc w:val="center"/>
              <w:rPr>
                <w:rFonts w:eastAsia="Arial"/>
                <w:noProof/>
                <w:sz w:val="20"/>
                <w:lang w:val="it-IT"/>
              </w:rPr>
              <w:pPrChange w:id="2441" w:author="Author">
                <w:pPr>
                  <w:tabs>
                    <w:tab w:val="left" w:pos="180"/>
                  </w:tabs>
                  <w:spacing w:before="51"/>
                  <w:ind w:left="401" w:right="-20"/>
                </w:pPr>
              </w:pPrChange>
            </w:pPr>
            <w:r>
              <w:rPr>
                <w:rFonts w:eastAsia="Arial"/>
                <w:noProof/>
                <w:sz w:val="20"/>
                <w:lang w:val="it-IT"/>
              </w:rPr>
              <w:t>14</w:t>
            </w:r>
            <w:r>
              <w:rPr>
                <w:rFonts w:eastAsia="Arial"/>
                <w:noProof/>
                <w:spacing w:val="-3"/>
                <w:sz w:val="20"/>
                <w:lang w:val="it-IT"/>
              </w:rPr>
              <w:t xml:space="preserve"> </w:t>
            </w:r>
            <w:r>
              <w:rPr>
                <w:rFonts w:eastAsia="Arial"/>
                <w:noProof/>
                <w:spacing w:val="1"/>
                <w:sz w:val="20"/>
                <w:lang w:val="it-IT"/>
              </w:rPr>
              <w:t>(</w:t>
            </w:r>
            <w:r>
              <w:rPr>
                <w:rFonts w:eastAsia="Arial"/>
                <w:noProof/>
                <w:sz w:val="20"/>
                <w:lang w:val="it-IT"/>
              </w:rPr>
              <w:t>51</w:t>
            </w:r>
            <w:r>
              <w:rPr>
                <w:rFonts w:eastAsia="Arial"/>
                <w:noProof/>
                <w:spacing w:val="2"/>
                <w:sz w:val="20"/>
                <w:lang w:val="it-IT"/>
              </w:rPr>
              <w:t>,</w:t>
            </w:r>
            <w:r>
              <w:rPr>
                <w:rFonts w:eastAsia="Arial"/>
                <w:noProof/>
                <w:sz w:val="20"/>
                <w:lang w:val="it-IT"/>
              </w:rPr>
              <w:t>9)</w:t>
            </w:r>
          </w:p>
        </w:tc>
        <w:tc>
          <w:tcPr>
            <w:tcW w:w="1470" w:type="dxa"/>
            <w:tcBorders>
              <w:top w:val="single" w:sz="4" w:space="0" w:color="000000"/>
              <w:left w:val="single" w:sz="4" w:space="0" w:color="000000"/>
              <w:bottom w:val="single" w:sz="4" w:space="0" w:color="000000"/>
              <w:right w:val="single" w:sz="4" w:space="0" w:color="000000"/>
            </w:tcBorders>
          </w:tcPr>
          <w:p>
            <w:pPr>
              <w:tabs>
                <w:tab w:val="left" w:pos="180"/>
              </w:tabs>
              <w:suppressAutoHyphens/>
              <w:jc w:val="center"/>
              <w:rPr>
                <w:rFonts w:eastAsia="Arial"/>
                <w:noProof/>
                <w:sz w:val="20"/>
                <w:lang w:val="it-IT"/>
              </w:rPr>
              <w:pPrChange w:id="2442" w:author="Author">
                <w:pPr>
                  <w:tabs>
                    <w:tab w:val="left" w:pos="180"/>
                  </w:tabs>
                  <w:spacing w:before="51"/>
                  <w:ind w:left="401" w:right="-20"/>
                </w:pPr>
              </w:pPrChange>
            </w:pPr>
            <w:r>
              <w:rPr>
                <w:rFonts w:eastAsia="Arial"/>
                <w:noProof/>
                <w:sz w:val="20"/>
                <w:lang w:val="it-IT"/>
              </w:rPr>
              <w:t>46</w:t>
            </w:r>
            <w:r>
              <w:rPr>
                <w:rFonts w:eastAsia="Arial"/>
                <w:noProof/>
                <w:spacing w:val="-3"/>
                <w:sz w:val="20"/>
                <w:lang w:val="it-IT"/>
              </w:rPr>
              <w:t xml:space="preserve"> </w:t>
            </w:r>
            <w:r>
              <w:rPr>
                <w:rFonts w:eastAsia="Arial"/>
                <w:noProof/>
                <w:spacing w:val="1"/>
                <w:sz w:val="20"/>
                <w:lang w:val="it-IT"/>
              </w:rPr>
              <w:t>(</w:t>
            </w:r>
            <w:r>
              <w:rPr>
                <w:rFonts w:eastAsia="Arial"/>
                <w:noProof/>
                <w:sz w:val="20"/>
                <w:lang w:val="it-IT"/>
              </w:rPr>
              <w:t>83</w:t>
            </w:r>
            <w:r>
              <w:rPr>
                <w:rFonts w:eastAsia="Arial"/>
                <w:noProof/>
                <w:spacing w:val="2"/>
                <w:sz w:val="20"/>
                <w:lang w:val="it-IT"/>
              </w:rPr>
              <w:t>,</w:t>
            </w:r>
            <w:r>
              <w:rPr>
                <w:rFonts w:eastAsia="Arial"/>
                <w:noProof/>
                <w:sz w:val="20"/>
                <w:lang w:val="it-IT"/>
              </w:rPr>
              <w:t>6)</w:t>
            </w:r>
          </w:p>
        </w:tc>
      </w:tr>
      <w:tr>
        <w:trPr>
          <w:cantSplit/>
        </w:trPr>
        <w:tc>
          <w:tcPr>
            <w:tcW w:w="2875" w:type="dxa"/>
            <w:tcBorders>
              <w:top w:val="single" w:sz="4" w:space="0" w:color="000000"/>
              <w:left w:val="single" w:sz="4" w:space="0" w:color="000000"/>
              <w:bottom w:val="single" w:sz="4" w:space="0" w:color="000000"/>
              <w:right w:val="single" w:sz="4" w:space="0" w:color="000000"/>
            </w:tcBorders>
          </w:tcPr>
          <w:p>
            <w:pPr>
              <w:tabs>
                <w:tab w:val="left" w:pos="180"/>
              </w:tabs>
              <w:suppressAutoHyphens/>
              <w:rPr>
                <w:i/>
                <w:noProof/>
                <w:sz w:val="20"/>
                <w:lang w:val="it-IT"/>
                <w:rPrChange w:id="2443" w:author="Author">
                  <w:rPr>
                    <w:i/>
                    <w:szCs w:val="22"/>
                    <w:lang w:val="it-IT"/>
                  </w:rPr>
                </w:rPrChange>
              </w:rPr>
              <w:pPrChange w:id="2444" w:author="Author">
                <w:pPr>
                  <w:tabs>
                    <w:tab w:val="left" w:pos="180"/>
                  </w:tabs>
                  <w:spacing w:before="51"/>
                  <w:ind w:left="52" w:right="-20"/>
                </w:pPr>
              </w:pPrChange>
            </w:pPr>
            <w:r>
              <w:rPr>
                <w:i/>
                <w:noProof/>
                <w:sz w:val="20"/>
                <w:lang w:val="it-IT"/>
                <w:rPrChange w:id="2445" w:author="Author">
                  <w:rPr>
                    <w:i/>
                    <w:szCs w:val="22"/>
                    <w:lang w:val="it-IT"/>
                  </w:rPr>
                </w:rPrChange>
              </w:rPr>
              <w:t>Risposta AIG ACR70</w:t>
            </w:r>
            <w:r>
              <w:rPr>
                <w:i/>
                <w:iCs/>
                <w:noProof/>
                <w:sz w:val="20"/>
                <w:lang w:val="it-IT"/>
                <w:rPrChange w:id="2446" w:author="Author">
                  <w:rPr>
                    <w:i/>
                    <w:iCs/>
                    <w:lang w:val="it-IT"/>
                  </w:rPr>
                </w:rPrChange>
              </w:rPr>
              <w:t xml:space="preserve"> </w:t>
            </w:r>
          </w:p>
        </w:tc>
        <w:tc>
          <w:tcPr>
            <w:tcW w:w="1469" w:type="dxa"/>
            <w:tcBorders>
              <w:top w:val="single" w:sz="4" w:space="0" w:color="000000"/>
              <w:left w:val="single" w:sz="4" w:space="0" w:color="000000"/>
              <w:bottom w:val="single" w:sz="4" w:space="0" w:color="000000"/>
              <w:right w:val="single" w:sz="4" w:space="0" w:color="000000"/>
            </w:tcBorders>
          </w:tcPr>
          <w:p>
            <w:pPr>
              <w:tabs>
                <w:tab w:val="left" w:pos="180"/>
              </w:tabs>
              <w:suppressAutoHyphens/>
              <w:jc w:val="center"/>
              <w:rPr>
                <w:rFonts w:eastAsia="Arial"/>
                <w:noProof/>
                <w:sz w:val="20"/>
                <w:lang w:val="it-IT"/>
              </w:rPr>
              <w:pPrChange w:id="2447" w:author="Author">
                <w:pPr>
                  <w:tabs>
                    <w:tab w:val="left" w:pos="180"/>
                  </w:tabs>
                  <w:spacing w:before="51"/>
                  <w:ind w:left="512" w:right="-20"/>
                </w:pPr>
              </w:pPrChange>
            </w:pPr>
            <w:r>
              <w:rPr>
                <w:rFonts w:eastAsia="Arial"/>
                <w:noProof/>
                <w:sz w:val="20"/>
                <w:lang w:val="it-IT"/>
              </w:rPr>
              <w:t>2</w:t>
            </w:r>
            <w:r>
              <w:rPr>
                <w:rFonts w:eastAsia="Arial"/>
                <w:noProof/>
                <w:spacing w:val="-2"/>
                <w:sz w:val="20"/>
                <w:lang w:val="it-IT"/>
              </w:rPr>
              <w:t xml:space="preserve"> </w:t>
            </w:r>
            <w:r>
              <w:rPr>
                <w:rFonts w:eastAsia="Arial"/>
                <w:noProof/>
                <w:spacing w:val="1"/>
                <w:sz w:val="20"/>
                <w:lang w:val="it-IT"/>
              </w:rPr>
              <w:t>(</w:t>
            </w:r>
            <w:r>
              <w:rPr>
                <w:rFonts w:eastAsia="Arial"/>
                <w:noProof/>
                <w:sz w:val="20"/>
                <w:lang w:val="it-IT"/>
              </w:rPr>
              <w:t>8,7)</w:t>
            </w:r>
          </w:p>
        </w:tc>
        <w:tc>
          <w:tcPr>
            <w:tcW w:w="1470" w:type="dxa"/>
            <w:tcBorders>
              <w:top w:val="single" w:sz="4" w:space="0" w:color="000000"/>
              <w:left w:val="single" w:sz="4" w:space="0" w:color="000000"/>
              <w:bottom w:val="single" w:sz="4" w:space="0" w:color="000000"/>
              <w:right w:val="single" w:sz="4" w:space="0" w:color="000000"/>
            </w:tcBorders>
          </w:tcPr>
          <w:p>
            <w:pPr>
              <w:tabs>
                <w:tab w:val="left" w:pos="180"/>
              </w:tabs>
              <w:suppressAutoHyphens/>
              <w:jc w:val="center"/>
              <w:rPr>
                <w:rFonts w:eastAsia="Arial"/>
                <w:noProof/>
                <w:sz w:val="20"/>
                <w:lang w:val="it-IT"/>
              </w:rPr>
              <w:pPrChange w:id="2448" w:author="Author">
                <w:pPr>
                  <w:tabs>
                    <w:tab w:val="left" w:pos="180"/>
                  </w:tabs>
                  <w:spacing w:before="51"/>
                  <w:ind w:left="401" w:right="-20"/>
                </w:pPr>
              </w:pPrChange>
            </w:pPr>
            <w:r>
              <w:rPr>
                <w:rFonts w:eastAsia="Arial"/>
                <w:noProof/>
                <w:sz w:val="20"/>
                <w:lang w:val="it-IT"/>
              </w:rPr>
              <w:t>32</w:t>
            </w:r>
            <w:r>
              <w:rPr>
                <w:rFonts w:eastAsia="Arial"/>
                <w:noProof/>
                <w:spacing w:val="-3"/>
                <w:sz w:val="20"/>
                <w:lang w:val="it-IT"/>
              </w:rPr>
              <w:t xml:space="preserve"> </w:t>
            </w:r>
            <w:r>
              <w:rPr>
                <w:rFonts w:eastAsia="Arial"/>
                <w:noProof/>
                <w:spacing w:val="1"/>
                <w:sz w:val="20"/>
                <w:lang w:val="it-IT"/>
              </w:rPr>
              <w:t>(</w:t>
            </w:r>
            <w:r>
              <w:rPr>
                <w:rFonts w:eastAsia="Arial"/>
                <w:noProof/>
                <w:sz w:val="20"/>
                <w:lang w:val="it-IT"/>
              </w:rPr>
              <w:t>55,2)</w:t>
            </w:r>
          </w:p>
        </w:tc>
        <w:tc>
          <w:tcPr>
            <w:tcW w:w="1469" w:type="dxa"/>
            <w:tcBorders>
              <w:top w:val="single" w:sz="4" w:space="0" w:color="000000"/>
              <w:left w:val="single" w:sz="4" w:space="0" w:color="000000"/>
              <w:bottom w:val="single" w:sz="4" w:space="0" w:color="000000"/>
              <w:right w:val="single" w:sz="4" w:space="0" w:color="000000"/>
            </w:tcBorders>
          </w:tcPr>
          <w:p>
            <w:pPr>
              <w:tabs>
                <w:tab w:val="left" w:pos="180"/>
              </w:tabs>
              <w:suppressAutoHyphens/>
              <w:jc w:val="center"/>
              <w:rPr>
                <w:rFonts w:eastAsia="Arial"/>
                <w:noProof/>
                <w:sz w:val="20"/>
                <w:lang w:val="it-IT"/>
              </w:rPr>
              <w:pPrChange w:id="2449" w:author="Author">
                <w:pPr>
                  <w:tabs>
                    <w:tab w:val="left" w:pos="180"/>
                  </w:tabs>
                  <w:spacing w:before="51"/>
                  <w:ind w:left="401" w:right="-20"/>
                </w:pPr>
              </w:pPrChange>
            </w:pPr>
            <w:r>
              <w:rPr>
                <w:rFonts w:eastAsia="Arial"/>
                <w:noProof/>
                <w:sz w:val="20"/>
                <w:lang w:val="it-IT"/>
              </w:rPr>
              <w:t>13</w:t>
            </w:r>
            <w:r>
              <w:rPr>
                <w:rFonts w:eastAsia="Arial"/>
                <w:noProof/>
                <w:spacing w:val="-3"/>
                <w:sz w:val="20"/>
                <w:lang w:val="it-IT"/>
              </w:rPr>
              <w:t xml:space="preserve"> </w:t>
            </w:r>
            <w:r>
              <w:rPr>
                <w:rFonts w:eastAsia="Arial"/>
                <w:noProof/>
                <w:spacing w:val="1"/>
                <w:sz w:val="20"/>
                <w:lang w:val="it-IT"/>
              </w:rPr>
              <w:t>(</w:t>
            </w:r>
            <w:r>
              <w:rPr>
                <w:rFonts w:eastAsia="Arial"/>
                <w:noProof/>
                <w:sz w:val="20"/>
                <w:lang w:val="it-IT"/>
              </w:rPr>
              <w:t>48</w:t>
            </w:r>
            <w:r>
              <w:rPr>
                <w:rFonts w:eastAsia="Arial"/>
                <w:noProof/>
                <w:spacing w:val="2"/>
                <w:sz w:val="20"/>
                <w:lang w:val="it-IT"/>
              </w:rPr>
              <w:t>,</w:t>
            </w:r>
            <w:r>
              <w:rPr>
                <w:rFonts w:eastAsia="Arial"/>
                <w:noProof/>
                <w:sz w:val="20"/>
                <w:lang w:val="it-IT"/>
              </w:rPr>
              <w:t>1)</w:t>
            </w:r>
          </w:p>
        </w:tc>
        <w:tc>
          <w:tcPr>
            <w:tcW w:w="1470" w:type="dxa"/>
            <w:tcBorders>
              <w:top w:val="single" w:sz="4" w:space="0" w:color="000000"/>
              <w:left w:val="single" w:sz="4" w:space="0" w:color="000000"/>
              <w:bottom w:val="single" w:sz="4" w:space="0" w:color="000000"/>
              <w:right w:val="single" w:sz="4" w:space="0" w:color="000000"/>
            </w:tcBorders>
          </w:tcPr>
          <w:p>
            <w:pPr>
              <w:tabs>
                <w:tab w:val="left" w:pos="180"/>
              </w:tabs>
              <w:suppressAutoHyphens/>
              <w:jc w:val="center"/>
              <w:rPr>
                <w:rFonts w:eastAsia="Arial"/>
                <w:noProof/>
                <w:sz w:val="20"/>
                <w:lang w:val="it-IT"/>
              </w:rPr>
              <w:pPrChange w:id="2450" w:author="Author">
                <w:pPr>
                  <w:tabs>
                    <w:tab w:val="left" w:pos="180"/>
                  </w:tabs>
                  <w:spacing w:before="51"/>
                  <w:ind w:left="401" w:right="-20"/>
                </w:pPr>
              </w:pPrChange>
            </w:pPr>
            <w:r>
              <w:rPr>
                <w:rFonts w:eastAsia="Arial"/>
                <w:noProof/>
                <w:sz w:val="20"/>
                <w:lang w:val="it-IT"/>
              </w:rPr>
              <w:t>40</w:t>
            </w:r>
            <w:r>
              <w:rPr>
                <w:rFonts w:eastAsia="Arial"/>
                <w:noProof/>
                <w:spacing w:val="-3"/>
                <w:sz w:val="20"/>
                <w:lang w:val="it-IT"/>
              </w:rPr>
              <w:t xml:space="preserve"> </w:t>
            </w:r>
            <w:r>
              <w:rPr>
                <w:rFonts w:eastAsia="Arial"/>
                <w:noProof/>
                <w:spacing w:val="1"/>
                <w:sz w:val="20"/>
                <w:lang w:val="it-IT"/>
              </w:rPr>
              <w:t>(</w:t>
            </w:r>
            <w:r>
              <w:rPr>
                <w:rFonts w:eastAsia="Arial"/>
                <w:noProof/>
                <w:sz w:val="20"/>
                <w:lang w:val="it-IT"/>
              </w:rPr>
              <w:t>72</w:t>
            </w:r>
            <w:r>
              <w:rPr>
                <w:rFonts w:eastAsia="Arial"/>
                <w:noProof/>
                <w:spacing w:val="2"/>
                <w:sz w:val="20"/>
                <w:lang w:val="it-IT"/>
              </w:rPr>
              <w:t>,</w:t>
            </w:r>
            <w:r>
              <w:rPr>
                <w:rFonts w:eastAsia="Arial"/>
                <w:noProof/>
                <w:sz w:val="20"/>
                <w:lang w:val="it-IT"/>
              </w:rPr>
              <w:t>7)</w:t>
            </w:r>
          </w:p>
        </w:tc>
      </w:tr>
      <w:tr>
        <w:trPr>
          <w:cantSplit/>
        </w:trPr>
        <w:tc>
          <w:tcPr>
            <w:tcW w:w="2875" w:type="dxa"/>
            <w:tcBorders>
              <w:top w:val="single" w:sz="4" w:space="0" w:color="000000"/>
              <w:left w:val="single" w:sz="4" w:space="0" w:color="000000"/>
              <w:bottom w:val="single" w:sz="4" w:space="0" w:color="000000"/>
              <w:right w:val="single" w:sz="4" w:space="0" w:color="000000"/>
            </w:tcBorders>
          </w:tcPr>
          <w:p>
            <w:pPr>
              <w:keepNext/>
              <w:tabs>
                <w:tab w:val="left" w:pos="180"/>
              </w:tabs>
              <w:suppressAutoHyphens/>
              <w:rPr>
                <w:i/>
                <w:noProof/>
                <w:sz w:val="20"/>
                <w:lang w:val="it-IT"/>
                <w:rPrChange w:id="2451" w:author="Author">
                  <w:rPr>
                    <w:i/>
                    <w:szCs w:val="22"/>
                    <w:lang w:val="it-IT"/>
                  </w:rPr>
                </w:rPrChange>
              </w:rPr>
              <w:pPrChange w:id="2452" w:author="Author">
                <w:pPr>
                  <w:tabs>
                    <w:tab w:val="left" w:pos="180"/>
                  </w:tabs>
                  <w:spacing w:before="51"/>
                  <w:ind w:left="52" w:right="-20"/>
                </w:pPr>
              </w:pPrChange>
            </w:pPr>
            <w:r>
              <w:rPr>
                <w:i/>
                <w:noProof/>
                <w:sz w:val="20"/>
                <w:lang w:val="it-IT"/>
                <w:rPrChange w:id="2453" w:author="Author">
                  <w:rPr>
                    <w:i/>
                    <w:szCs w:val="22"/>
                    <w:lang w:val="it-IT"/>
                  </w:rPr>
                </w:rPrChange>
              </w:rPr>
              <w:t xml:space="preserve">Risposta AIG ACR90 </w:t>
            </w:r>
          </w:p>
        </w:tc>
        <w:tc>
          <w:tcPr>
            <w:tcW w:w="1469" w:type="dxa"/>
            <w:tcBorders>
              <w:top w:val="single" w:sz="4" w:space="0" w:color="000000"/>
              <w:left w:val="single" w:sz="4" w:space="0" w:color="000000"/>
              <w:bottom w:val="single" w:sz="4" w:space="0" w:color="000000"/>
              <w:right w:val="single" w:sz="4" w:space="0" w:color="000000"/>
            </w:tcBorders>
          </w:tcPr>
          <w:p>
            <w:pPr>
              <w:keepNext/>
              <w:tabs>
                <w:tab w:val="left" w:pos="180"/>
              </w:tabs>
              <w:suppressAutoHyphens/>
              <w:jc w:val="center"/>
              <w:rPr>
                <w:rFonts w:eastAsia="Arial"/>
                <w:noProof/>
                <w:sz w:val="20"/>
                <w:lang w:val="it-IT"/>
              </w:rPr>
              <w:pPrChange w:id="2454" w:author="Author">
                <w:pPr>
                  <w:tabs>
                    <w:tab w:val="left" w:pos="180"/>
                  </w:tabs>
                  <w:spacing w:before="51"/>
                  <w:ind w:left="512" w:right="-20"/>
                </w:pPr>
              </w:pPrChange>
            </w:pPr>
            <w:r>
              <w:rPr>
                <w:rFonts w:eastAsia="Arial"/>
                <w:noProof/>
                <w:sz w:val="20"/>
                <w:lang w:val="it-IT"/>
              </w:rPr>
              <w:t>2</w:t>
            </w:r>
            <w:r>
              <w:rPr>
                <w:rFonts w:eastAsia="Arial"/>
                <w:noProof/>
                <w:spacing w:val="-2"/>
                <w:sz w:val="20"/>
                <w:lang w:val="it-IT"/>
              </w:rPr>
              <w:t xml:space="preserve"> </w:t>
            </w:r>
            <w:r>
              <w:rPr>
                <w:rFonts w:eastAsia="Arial"/>
                <w:noProof/>
                <w:spacing w:val="1"/>
                <w:sz w:val="20"/>
                <w:lang w:val="it-IT"/>
              </w:rPr>
              <w:t>(</w:t>
            </w:r>
            <w:r>
              <w:rPr>
                <w:rFonts w:eastAsia="Arial"/>
                <w:noProof/>
                <w:sz w:val="20"/>
                <w:lang w:val="it-IT"/>
              </w:rPr>
              <w:t>8,7)</w:t>
            </w:r>
          </w:p>
        </w:tc>
        <w:tc>
          <w:tcPr>
            <w:tcW w:w="1470" w:type="dxa"/>
            <w:tcBorders>
              <w:top w:val="single" w:sz="4" w:space="0" w:color="000000"/>
              <w:left w:val="single" w:sz="4" w:space="0" w:color="000000"/>
              <w:bottom w:val="single" w:sz="4" w:space="0" w:color="000000"/>
              <w:right w:val="single" w:sz="4" w:space="0" w:color="000000"/>
            </w:tcBorders>
          </w:tcPr>
          <w:p>
            <w:pPr>
              <w:keepNext/>
              <w:tabs>
                <w:tab w:val="left" w:pos="180"/>
              </w:tabs>
              <w:suppressAutoHyphens/>
              <w:jc w:val="center"/>
              <w:rPr>
                <w:rFonts w:eastAsia="Arial"/>
                <w:noProof/>
                <w:sz w:val="20"/>
                <w:lang w:val="it-IT"/>
              </w:rPr>
              <w:pPrChange w:id="2455" w:author="Author">
                <w:pPr>
                  <w:tabs>
                    <w:tab w:val="left" w:pos="180"/>
                  </w:tabs>
                  <w:spacing w:before="51"/>
                  <w:ind w:left="402" w:right="-20"/>
                </w:pPr>
              </w:pPrChange>
            </w:pPr>
            <w:r>
              <w:rPr>
                <w:rFonts w:eastAsia="Arial"/>
                <w:noProof/>
                <w:sz w:val="20"/>
                <w:lang w:val="it-IT"/>
              </w:rPr>
              <w:t>17</w:t>
            </w:r>
            <w:r>
              <w:rPr>
                <w:rFonts w:eastAsia="Arial"/>
                <w:noProof/>
                <w:spacing w:val="-3"/>
                <w:sz w:val="20"/>
                <w:lang w:val="it-IT"/>
              </w:rPr>
              <w:t xml:space="preserve"> </w:t>
            </w:r>
            <w:r>
              <w:rPr>
                <w:rFonts w:eastAsia="Arial"/>
                <w:noProof/>
                <w:spacing w:val="1"/>
                <w:sz w:val="20"/>
                <w:lang w:val="it-IT"/>
              </w:rPr>
              <w:t>(</w:t>
            </w:r>
            <w:r>
              <w:rPr>
                <w:rFonts w:eastAsia="Arial"/>
                <w:noProof/>
                <w:sz w:val="20"/>
                <w:lang w:val="it-IT"/>
              </w:rPr>
              <w:t>29</w:t>
            </w:r>
            <w:r>
              <w:rPr>
                <w:rFonts w:eastAsia="Arial"/>
                <w:noProof/>
                <w:spacing w:val="2"/>
                <w:sz w:val="20"/>
                <w:lang w:val="it-IT"/>
              </w:rPr>
              <w:t>,</w:t>
            </w:r>
            <w:r>
              <w:rPr>
                <w:rFonts w:eastAsia="Arial"/>
                <w:noProof/>
                <w:sz w:val="20"/>
                <w:lang w:val="it-IT"/>
              </w:rPr>
              <w:t>3)</w:t>
            </w:r>
          </w:p>
        </w:tc>
        <w:tc>
          <w:tcPr>
            <w:tcW w:w="1469" w:type="dxa"/>
            <w:tcBorders>
              <w:top w:val="single" w:sz="4" w:space="0" w:color="000000"/>
              <w:left w:val="single" w:sz="4" w:space="0" w:color="000000"/>
              <w:bottom w:val="single" w:sz="4" w:space="0" w:color="000000"/>
              <w:right w:val="single" w:sz="4" w:space="0" w:color="000000"/>
            </w:tcBorders>
          </w:tcPr>
          <w:p>
            <w:pPr>
              <w:keepNext/>
              <w:tabs>
                <w:tab w:val="left" w:pos="180"/>
              </w:tabs>
              <w:suppressAutoHyphens/>
              <w:jc w:val="center"/>
              <w:rPr>
                <w:rFonts w:eastAsia="Arial"/>
                <w:noProof/>
                <w:sz w:val="20"/>
                <w:lang w:val="it-IT"/>
              </w:rPr>
              <w:pPrChange w:id="2456" w:author="Author">
                <w:pPr>
                  <w:tabs>
                    <w:tab w:val="left" w:pos="180"/>
                  </w:tabs>
                  <w:spacing w:before="51"/>
                  <w:ind w:left="457" w:right="-20"/>
                </w:pPr>
              </w:pPrChange>
            </w:pPr>
            <w:r>
              <w:rPr>
                <w:rFonts w:eastAsia="Arial"/>
                <w:noProof/>
                <w:sz w:val="20"/>
                <w:lang w:val="it-IT"/>
              </w:rPr>
              <w:t>5</w:t>
            </w:r>
            <w:r>
              <w:rPr>
                <w:rFonts w:eastAsia="Arial"/>
                <w:noProof/>
                <w:spacing w:val="-2"/>
                <w:sz w:val="20"/>
                <w:lang w:val="it-IT"/>
              </w:rPr>
              <w:t xml:space="preserve"> </w:t>
            </w:r>
            <w:r>
              <w:rPr>
                <w:rFonts w:eastAsia="Arial"/>
                <w:noProof/>
                <w:spacing w:val="1"/>
                <w:sz w:val="20"/>
                <w:lang w:val="it-IT"/>
              </w:rPr>
              <w:t>(</w:t>
            </w:r>
            <w:r>
              <w:rPr>
                <w:rFonts w:eastAsia="Arial"/>
                <w:noProof/>
                <w:sz w:val="20"/>
                <w:lang w:val="it-IT"/>
              </w:rPr>
              <w:t>18,5)</w:t>
            </w:r>
          </w:p>
        </w:tc>
        <w:tc>
          <w:tcPr>
            <w:tcW w:w="1470" w:type="dxa"/>
            <w:tcBorders>
              <w:top w:val="single" w:sz="4" w:space="0" w:color="000000"/>
              <w:left w:val="single" w:sz="4" w:space="0" w:color="000000"/>
              <w:bottom w:val="single" w:sz="4" w:space="0" w:color="000000"/>
              <w:right w:val="single" w:sz="4" w:space="0" w:color="000000"/>
            </w:tcBorders>
          </w:tcPr>
          <w:p>
            <w:pPr>
              <w:keepNext/>
              <w:tabs>
                <w:tab w:val="left" w:pos="180"/>
              </w:tabs>
              <w:suppressAutoHyphens/>
              <w:jc w:val="center"/>
              <w:rPr>
                <w:rFonts w:eastAsia="Arial"/>
                <w:noProof/>
                <w:sz w:val="20"/>
                <w:lang w:val="it-IT"/>
              </w:rPr>
              <w:pPrChange w:id="2457" w:author="Author">
                <w:pPr>
                  <w:tabs>
                    <w:tab w:val="left" w:pos="180"/>
                  </w:tabs>
                  <w:spacing w:before="51"/>
                  <w:ind w:left="401" w:right="-20"/>
                </w:pPr>
              </w:pPrChange>
            </w:pPr>
            <w:r>
              <w:rPr>
                <w:rFonts w:eastAsia="Arial"/>
                <w:noProof/>
                <w:sz w:val="20"/>
                <w:lang w:val="it-IT"/>
              </w:rPr>
              <w:t>32</w:t>
            </w:r>
            <w:r>
              <w:rPr>
                <w:rFonts w:eastAsia="Arial"/>
                <w:noProof/>
                <w:spacing w:val="-3"/>
                <w:sz w:val="20"/>
                <w:lang w:val="it-IT"/>
              </w:rPr>
              <w:t xml:space="preserve"> </w:t>
            </w:r>
            <w:r>
              <w:rPr>
                <w:rFonts w:eastAsia="Arial"/>
                <w:noProof/>
                <w:spacing w:val="1"/>
                <w:sz w:val="20"/>
                <w:lang w:val="it-IT"/>
              </w:rPr>
              <w:t>(</w:t>
            </w:r>
            <w:r>
              <w:rPr>
                <w:rFonts w:eastAsia="Arial"/>
                <w:noProof/>
                <w:sz w:val="20"/>
                <w:lang w:val="it-IT"/>
              </w:rPr>
              <w:t>58</w:t>
            </w:r>
            <w:r>
              <w:rPr>
                <w:rFonts w:eastAsia="Arial"/>
                <w:noProof/>
                <w:spacing w:val="2"/>
                <w:sz w:val="20"/>
                <w:lang w:val="it-IT"/>
              </w:rPr>
              <w:t>,</w:t>
            </w:r>
            <w:r>
              <w:rPr>
                <w:rFonts w:eastAsia="Arial"/>
                <w:noProof/>
                <w:sz w:val="20"/>
                <w:lang w:val="it-IT"/>
              </w:rPr>
              <w:t>2)</w:t>
            </w:r>
          </w:p>
        </w:tc>
      </w:tr>
    </w:tbl>
    <w:p>
      <w:pPr>
        <w:tabs>
          <w:tab w:val="left" w:pos="180"/>
        </w:tabs>
        <w:rPr>
          <w:noProof/>
          <w:sz w:val="18"/>
          <w:szCs w:val="18"/>
          <w:lang w:val="it-IT"/>
        </w:rPr>
      </w:pPr>
      <w:r>
        <w:rPr>
          <w:noProof/>
          <w:sz w:val="18"/>
          <w:szCs w:val="18"/>
          <w:lang w:val="it-IT"/>
        </w:rPr>
        <w:t>TCZ</w:t>
      </w:r>
      <w:del w:id="2458" w:author="Author">
        <w:r>
          <w:rPr>
            <w:noProof/>
            <w:sz w:val="18"/>
            <w:szCs w:val="18"/>
            <w:lang w:val="it-IT"/>
          </w:rPr>
          <w:delText xml:space="preserve"> </w:delText>
        </w:r>
      </w:del>
      <w:ins w:id="2459" w:author="Author">
        <w:r>
          <w:rPr>
            <w:noProof/>
            <w:sz w:val="18"/>
            <w:szCs w:val="18"/>
            <w:lang w:val="it-IT"/>
          </w:rPr>
          <w:t> </w:t>
        </w:r>
      </w:ins>
      <w:r>
        <w:rPr>
          <w:noProof/>
          <w:sz w:val="18"/>
          <w:szCs w:val="18"/>
          <w:lang w:val="it-IT"/>
        </w:rPr>
        <w:t>=</w:t>
      </w:r>
      <w:ins w:id="2460" w:author="Author">
        <w:r>
          <w:rPr>
            <w:noProof/>
            <w:sz w:val="18"/>
            <w:szCs w:val="18"/>
            <w:lang w:val="it-IT"/>
          </w:rPr>
          <w:t> </w:t>
        </w:r>
      </w:ins>
      <w:del w:id="2461" w:author="Author">
        <w:r>
          <w:rPr>
            <w:noProof/>
            <w:sz w:val="18"/>
            <w:szCs w:val="18"/>
            <w:lang w:val="it-IT"/>
          </w:rPr>
          <w:delText xml:space="preserve"> </w:delText>
        </w:r>
      </w:del>
      <w:r>
        <w:rPr>
          <w:noProof/>
          <w:sz w:val="18"/>
          <w:szCs w:val="18"/>
          <w:lang w:val="it-IT"/>
        </w:rPr>
        <w:t>tocilizumab</w:t>
      </w:r>
    </w:p>
    <w:p>
      <w:pPr>
        <w:tabs>
          <w:tab w:val="left" w:pos="180"/>
        </w:tabs>
        <w:rPr>
          <w:noProof/>
          <w:szCs w:val="22"/>
          <w:lang w:val="it-IT"/>
        </w:rPr>
      </w:pPr>
    </w:p>
    <w:p>
      <w:pPr>
        <w:numPr>
          <w:ilvl w:val="12"/>
          <w:numId w:val="0"/>
        </w:numPr>
        <w:tabs>
          <w:tab w:val="left" w:pos="180"/>
        </w:tabs>
        <w:ind w:right="-2"/>
        <w:rPr>
          <w:noProof/>
          <w:lang w:val="it-IT"/>
        </w:rPr>
      </w:pPr>
      <w:r>
        <w:rPr>
          <w:noProof/>
          <w:lang w:val="it-IT"/>
        </w:rPr>
        <w:t xml:space="preserve">I pazienti randomizzati a tocilizumab hanno avuto meno riacutizzazione per ACR30 e risposte complessive ACR superiori, rispetto ai pazienti trattati con placebo indipendentemente da una storia di uso precedente di biologico. </w:t>
      </w:r>
    </w:p>
    <w:p>
      <w:pPr>
        <w:numPr>
          <w:ilvl w:val="12"/>
          <w:numId w:val="0"/>
        </w:numPr>
        <w:tabs>
          <w:tab w:val="left" w:pos="180"/>
        </w:tabs>
        <w:ind w:right="-2"/>
        <w:rPr>
          <w:rFonts w:eastAsia="SimSun"/>
          <w:noProof/>
          <w:szCs w:val="22"/>
          <w:lang w:val="it-IT" w:eastAsia="zh-CN"/>
        </w:rPr>
      </w:pPr>
    </w:p>
    <w:p>
      <w:pPr>
        <w:tabs>
          <w:tab w:val="left" w:pos="180"/>
        </w:tabs>
        <w:autoSpaceDE w:val="0"/>
        <w:autoSpaceDN w:val="0"/>
        <w:adjustRightInd w:val="0"/>
        <w:rPr>
          <w:del w:id="2462" w:author="Author"/>
          <w:rFonts w:eastAsia="SimSun"/>
          <w:noProof/>
          <w:szCs w:val="22"/>
          <w:u w:val="single"/>
          <w:lang w:val="it-IT" w:eastAsia="zh-CN"/>
        </w:rPr>
      </w:pPr>
      <w:r>
        <w:rPr>
          <w:rFonts w:eastAsia="SimSun"/>
          <w:noProof/>
          <w:szCs w:val="22"/>
          <w:u w:val="single"/>
          <w:lang w:val="it-IT" w:eastAsia="zh-CN"/>
        </w:rPr>
        <w:t>CRS</w:t>
      </w:r>
    </w:p>
    <w:p>
      <w:pPr>
        <w:keepNext/>
        <w:keepLines/>
        <w:tabs>
          <w:tab w:val="left" w:pos="180"/>
        </w:tabs>
        <w:autoSpaceDE w:val="0"/>
        <w:autoSpaceDN w:val="0"/>
        <w:adjustRightInd w:val="0"/>
        <w:rPr>
          <w:rFonts w:eastAsia="SimSun"/>
          <w:noProof/>
          <w:szCs w:val="22"/>
          <w:u w:val="single"/>
          <w:lang w:val="it-IT" w:eastAsia="zh-CN"/>
        </w:rPr>
        <w:pPrChange w:id="2463" w:author="Author">
          <w:pPr>
            <w:tabs>
              <w:tab w:val="left" w:pos="180"/>
            </w:tabs>
            <w:autoSpaceDE w:val="0"/>
            <w:autoSpaceDN w:val="0"/>
            <w:adjustRightInd w:val="0"/>
          </w:pPr>
        </w:pPrChange>
      </w:pPr>
    </w:p>
    <w:p>
      <w:pPr>
        <w:keepNext/>
        <w:tabs>
          <w:tab w:val="left" w:pos="180"/>
        </w:tabs>
        <w:autoSpaceDE w:val="0"/>
        <w:autoSpaceDN w:val="0"/>
        <w:adjustRightInd w:val="0"/>
        <w:rPr>
          <w:noProof/>
          <w:lang w:val="it-IT"/>
        </w:rPr>
      </w:pPr>
      <w:r>
        <w:rPr>
          <w:noProof/>
          <w:szCs w:val="22"/>
          <w:lang w:val="it-IT" w:eastAsia="en-GB"/>
        </w:rPr>
        <w:t>L’efficacia di tocilizumab nel trattamento della CRS è stata valutata in un’analisi retrospettiva su dati ricavati da sperimentazioni cliniche condotte con terapie basate su linfociti CAR-T (tisagenlecleucel e axicabtagene ciloleucel) per il trattamento di tumori maligni ematologici. I pazienti valutabili</w:t>
      </w:r>
      <w:r>
        <w:rPr>
          <w:noProof/>
          <w:lang w:val="it-IT"/>
        </w:rPr>
        <w:t xml:space="preserve"> sono stati trattati con tocilizumab 8 mg/kg. (12 mg/kg nei pazienti di peso &lt; 30 kg) per CRS severa o potenzialmente letale, con o senza corticosteroidi supplementari ad alte dosi; nell’analisi è stato incluso solo il primo episodio di CRS. La popolazione di efficacia della coorte tisagenlecleucel comprendeva 28 maschi e 23 femmine (per un totale di 51 pazienti) di età mediana pari a 17 anni (range, 3–68 anni). Il tempo mediano dall’insorgenza della CRS alla prima dose di tocilizumab è stato di 3 giorni (range, 0–18 giorni). La risoluzione della CRS è stata definita come assenza di febbre e nessun trattamento con vasopressori per almeno 24 ore. I pazienti sono stati considerati responsivi se la CRS si è risolta entro 14 giorni dalla prima dose di tocilizumab, se non si sono rivelate necessarie più di 2 dosi e se per il trattamento non sono stati usati farmaci diversi da tocilizumab e corticosteroidi. Trentanove pazienti (76,5%; IC al 95%: 62,5%–87,2%) hanno ottenuto una risposta. In una coorte indipendente di 15 pazienti (range: 9–75 anni) affetti da CRS indotta da axicabtagene ciloleucel, il 53% dei soggetti ha manifestato una risposta.</w:t>
      </w:r>
    </w:p>
    <w:p>
      <w:pPr>
        <w:tabs>
          <w:tab w:val="left" w:pos="180"/>
        </w:tabs>
        <w:autoSpaceDE w:val="0"/>
        <w:autoSpaceDN w:val="0"/>
        <w:adjustRightInd w:val="0"/>
        <w:rPr>
          <w:noProof/>
          <w:lang w:val="it-IT"/>
        </w:rPr>
      </w:pPr>
    </w:p>
    <w:p>
      <w:pPr>
        <w:numPr>
          <w:ilvl w:val="12"/>
          <w:numId w:val="0"/>
        </w:numPr>
        <w:tabs>
          <w:tab w:val="left" w:pos="180"/>
        </w:tabs>
        <w:ind w:right="-2"/>
        <w:rPr>
          <w:rFonts w:eastAsia="SimSun" w:cs="Arial"/>
          <w:noProof/>
          <w:lang w:val="it-IT" w:eastAsia="zh-CN" w:bidi="th-TH"/>
        </w:rPr>
      </w:pPr>
      <w:r>
        <w:rPr>
          <w:rFonts w:eastAsia="SimSun"/>
          <w:noProof/>
          <w:szCs w:val="22"/>
          <w:lang w:val="it-IT" w:eastAsia="zh-CN"/>
        </w:rPr>
        <w:t>L’</w:t>
      </w:r>
      <w:r>
        <w:rPr>
          <w:noProof/>
          <w:szCs w:val="22"/>
          <w:lang w:val="it-IT"/>
        </w:rPr>
        <w:t xml:space="preserve">Agenzia Europea dei Medicinali </w:t>
      </w:r>
      <w:r>
        <w:rPr>
          <w:rFonts w:eastAsia="SimSun"/>
          <w:noProof/>
          <w:szCs w:val="22"/>
          <w:lang w:val="it-IT" w:eastAsia="zh-CN"/>
        </w:rPr>
        <w:t xml:space="preserve">ha previsto l’esonero dall’obbligo di presentare i risultati degli studi </w:t>
      </w:r>
      <w:ins w:id="2464" w:author="Author">
        <w:del w:id="2465" w:author="Author">
          <w:r>
            <w:rPr>
              <w:rFonts w:eastAsia="SimSun"/>
              <w:noProof/>
              <w:szCs w:val="22"/>
              <w:lang w:val="it-IT" w:eastAsia="zh-CN"/>
            </w:rPr>
            <w:delText xml:space="preserve">clinici </w:delText>
          </w:r>
        </w:del>
      </w:ins>
      <w:r>
        <w:rPr>
          <w:rFonts w:eastAsia="SimSun"/>
          <w:noProof/>
          <w:szCs w:val="22"/>
          <w:lang w:val="it-IT" w:eastAsia="zh-CN"/>
        </w:rPr>
        <w:t xml:space="preserve">con tocilizumab in tutti i sottogruppi della popolazione pediatrica per il trattamento della </w:t>
      </w:r>
      <w:r>
        <w:rPr>
          <w:rFonts w:eastAsia="SimSun" w:cs="Arial"/>
          <w:noProof/>
          <w:lang w:val="it-IT" w:eastAsia="zh-CN" w:bidi="th-TH"/>
        </w:rPr>
        <w:t xml:space="preserve">sindrome da rilascio di citochine indotta dai linfociti CAR-T. </w:t>
      </w:r>
    </w:p>
    <w:p>
      <w:pPr>
        <w:numPr>
          <w:ilvl w:val="12"/>
          <w:numId w:val="0"/>
        </w:numPr>
        <w:tabs>
          <w:tab w:val="left" w:pos="180"/>
        </w:tabs>
        <w:ind w:right="-2"/>
        <w:rPr>
          <w:rFonts w:eastAsia="SimSun" w:cs="Arial"/>
          <w:noProof/>
          <w:lang w:val="it-IT" w:eastAsia="zh-CN" w:bidi="th-TH"/>
        </w:rPr>
      </w:pPr>
    </w:p>
    <w:p>
      <w:pPr>
        <w:tabs>
          <w:tab w:val="left" w:pos="180"/>
        </w:tabs>
        <w:autoSpaceDE w:val="0"/>
        <w:autoSpaceDN w:val="0"/>
        <w:adjustRightInd w:val="0"/>
        <w:rPr>
          <w:rFonts w:eastAsia="SimSun"/>
          <w:noProof/>
          <w:szCs w:val="22"/>
          <w:u w:val="single"/>
          <w:lang w:val="it-IT" w:eastAsia="zh-CN"/>
        </w:rPr>
      </w:pPr>
      <w:r>
        <w:rPr>
          <w:rFonts w:eastAsia="SimSun"/>
          <w:noProof/>
          <w:szCs w:val="22"/>
          <w:u w:val="single"/>
          <w:lang w:val="it-IT" w:eastAsia="zh-CN"/>
        </w:rPr>
        <w:t>COVID-19</w:t>
      </w:r>
    </w:p>
    <w:p>
      <w:pPr>
        <w:numPr>
          <w:ilvl w:val="12"/>
          <w:numId w:val="0"/>
        </w:numPr>
        <w:tabs>
          <w:tab w:val="left" w:pos="180"/>
        </w:tabs>
        <w:ind w:right="-2"/>
        <w:rPr>
          <w:rFonts w:eastAsia="SimSun"/>
          <w:noProof/>
          <w:szCs w:val="22"/>
          <w:lang w:val="it-IT" w:eastAsia="zh-CN"/>
        </w:rPr>
      </w:pPr>
      <w:r>
        <w:rPr>
          <w:rFonts w:eastAsia="SimSun"/>
          <w:noProof/>
          <w:szCs w:val="22"/>
          <w:lang w:val="it-IT" w:eastAsia="zh-CN"/>
        </w:rPr>
        <w:t>L’</w:t>
      </w:r>
      <w:r>
        <w:rPr>
          <w:noProof/>
          <w:szCs w:val="22"/>
          <w:lang w:val="it-IT"/>
        </w:rPr>
        <w:t xml:space="preserve">Agenzia europea dei medicinali </w:t>
      </w:r>
      <w:r>
        <w:rPr>
          <w:noProof/>
          <w:lang w:val="it-IT"/>
        </w:rPr>
        <w:t xml:space="preserve">ha rinviato l’obbligo di presentare i risultati degli studi </w:t>
      </w:r>
      <w:ins w:id="2466" w:author="Author">
        <w:del w:id="2467" w:author="Author">
          <w:r>
            <w:rPr>
              <w:noProof/>
              <w:lang w:val="it-IT"/>
            </w:rPr>
            <w:delText xml:space="preserve">clinici </w:delText>
          </w:r>
        </w:del>
      </w:ins>
      <w:r>
        <w:rPr>
          <w:noProof/>
          <w:lang w:val="it-IT"/>
        </w:rPr>
        <w:t xml:space="preserve">con </w:t>
      </w:r>
      <w:r>
        <w:rPr>
          <w:rFonts w:eastAsia="SimSun"/>
          <w:noProof/>
          <w:szCs w:val="22"/>
          <w:lang w:val="it-IT" w:eastAsia="zh-CN"/>
        </w:rPr>
        <w:t>tocilizumab in</w:t>
      </w:r>
      <w:r>
        <w:rPr>
          <w:iCs/>
          <w:noProof/>
          <w:szCs w:val="22"/>
          <w:lang w:val="it-IT"/>
        </w:rPr>
        <w:t xml:space="preserve"> uno o più </w:t>
      </w:r>
      <w:r>
        <w:rPr>
          <w:rFonts w:eastAsia="SimSun"/>
          <w:noProof/>
          <w:szCs w:val="22"/>
          <w:lang w:val="it-IT" w:eastAsia="zh-CN"/>
        </w:rPr>
        <w:t xml:space="preserve">sottogruppi della popolazione pediatrica per il trattamento di </w:t>
      </w:r>
      <w:r>
        <w:rPr>
          <w:iCs/>
          <w:noProof/>
          <w:szCs w:val="22"/>
          <w:lang w:val="it-IT"/>
        </w:rPr>
        <w:t>COVID-19.</w:t>
      </w:r>
    </w:p>
    <w:p>
      <w:pPr>
        <w:numPr>
          <w:ilvl w:val="12"/>
          <w:numId w:val="0"/>
        </w:numPr>
        <w:tabs>
          <w:tab w:val="left" w:pos="180"/>
        </w:tabs>
        <w:ind w:right="-2"/>
        <w:rPr>
          <w:i/>
          <w:noProof/>
          <w:lang w:val="it-IT"/>
        </w:rPr>
      </w:pPr>
    </w:p>
    <w:p>
      <w:pPr>
        <w:keepNext/>
        <w:keepLines/>
        <w:tabs>
          <w:tab w:val="left" w:pos="180"/>
        </w:tabs>
        <w:ind w:left="567" w:hanging="567"/>
        <w:outlineLvl w:val="0"/>
        <w:rPr>
          <w:b/>
          <w:noProof/>
          <w:lang w:val="it-IT"/>
        </w:rPr>
      </w:pPr>
      <w:r>
        <w:rPr>
          <w:b/>
          <w:noProof/>
          <w:lang w:val="it-IT"/>
        </w:rPr>
        <w:t>5.2</w:t>
      </w:r>
      <w:r>
        <w:rPr>
          <w:b/>
          <w:noProof/>
          <w:lang w:val="it-IT"/>
        </w:rPr>
        <w:tab/>
        <w:t>Proprietà farmacocinetiche</w:t>
      </w:r>
    </w:p>
    <w:p>
      <w:pPr>
        <w:keepNext/>
        <w:keepLines/>
        <w:tabs>
          <w:tab w:val="left" w:pos="180"/>
        </w:tabs>
        <w:outlineLvl w:val="0"/>
        <w:rPr>
          <w:noProof/>
          <w:lang w:val="it-IT"/>
        </w:rPr>
      </w:pPr>
    </w:p>
    <w:p>
      <w:pPr>
        <w:keepNext/>
        <w:keepLines/>
        <w:tabs>
          <w:tab w:val="left" w:pos="180"/>
        </w:tabs>
        <w:ind w:left="567" w:hanging="567"/>
        <w:outlineLvl w:val="0"/>
        <w:rPr>
          <w:noProof/>
          <w:u w:val="single"/>
          <w:lang w:val="it-IT"/>
        </w:rPr>
      </w:pPr>
      <w:r>
        <w:rPr>
          <w:noProof/>
          <w:u w:val="single"/>
          <w:lang w:val="it-IT"/>
        </w:rPr>
        <w:t>Pazienti affetti da AR</w:t>
      </w:r>
    </w:p>
    <w:p>
      <w:pPr>
        <w:numPr>
          <w:ilvl w:val="12"/>
          <w:numId w:val="0"/>
        </w:numPr>
        <w:tabs>
          <w:tab w:val="left" w:pos="180"/>
        </w:tabs>
        <w:ind w:right="-2"/>
        <w:rPr>
          <w:noProof/>
          <w:lang w:val="it-IT"/>
        </w:rPr>
      </w:pPr>
      <w:r>
        <w:rPr>
          <w:noProof/>
          <w:lang w:val="it-IT"/>
        </w:rPr>
        <w:t>La farmacocinetica di tocilizumab è stata determinata effettuando un’analisi di farmacocinetica di popolazione su un database composto da 3</w:t>
      </w:r>
      <w:del w:id="2468" w:author="Author">
        <w:r>
          <w:rPr>
            <w:noProof/>
            <w:lang w:val="it-IT"/>
          </w:rPr>
          <w:delText>.</w:delText>
        </w:r>
      </w:del>
      <w:ins w:id="2469" w:author="Author">
        <w:r>
          <w:rPr>
            <w:noProof/>
            <w:lang w:val="it-IT"/>
          </w:rPr>
          <w:t> </w:t>
        </w:r>
      </w:ins>
      <w:r>
        <w:rPr>
          <w:noProof/>
          <w:lang w:val="it-IT"/>
        </w:rPr>
        <w:t>552 pazienti affetti da AR, trattati con un’infusione da un’ora di 4 o 8 mg/kg di tocilizumab ogni 4 settimane per 24 settimane o con 162 mg di tocilizumab somministrato per via sottocutanea o una volta alla settimana o ogni due settimane per 24 settimane.</w:t>
      </w:r>
    </w:p>
    <w:p>
      <w:pPr>
        <w:numPr>
          <w:ilvl w:val="12"/>
          <w:numId w:val="0"/>
        </w:numPr>
        <w:tabs>
          <w:tab w:val="left" w:pos="180"/>
        </w:tabs>
        <w:ind w:right="-2"/>
        <w:rPr>
          <w:noProof/>
          <w:lang w:val="it-IT"/>
        </w:rPr>
      </w:pPr>
    </w:p>
    <w:p>
      <w:pPr>
        <w:numPr>
          <w:ilvl w:val="12"/>
          <w:numId w:val="0"/>
        </w:numPr>
        <w:tabs>
          <w:tab w:val="left" w:pos="180"/>
        </w:tabs>
        <w:rPr>
          <w:noProof/>
          <w:lang w:val="it-IT"/>
        </w:rPr>
      </w:pPr>
      <w:r>
        <w:rPr>
          <w:noProof/>
          <w:lang w:val="it-IT"/>
        </w:rPr>
        <w:t xml:space="preserve">I seguenti parametri (valori medi previsti </w:t>
      </w:r>
      <w:r>
        <w:rPr>
          <w:noProof/>
          <w:szCs w:val="22"/>
          <w:lang w:val="it-IT"/>
        </w:rPr>
        <w:sym w:font="Symbol" w:char="F0B1"/>
      </w:r>
      <w:r>
        <w:rPr>
          <w:noProof/>
          <w:lang w:val="it-IT"/>
        </w:rPr>
        <w:t xml:space="preserve"> DS) sono stati stimati per una dose di 8 mg/kg di </w:t>
      </w:r>
      <w:r>
        <w:rPr>
          <w:noProof/>
          <w:szCs w:val="22"/>
          <w:lang w:val="it-IT"/>
        </w:rPr>
        <w:t xml:space="preserve">tocilizumab somministrata ogni 4 settimane: </w:t>
      </w:r>
      <w:del w:id="2470" w:author="Author">
        <w:r>
          <w:rPr>
            <w:noProof/>
            <w:szCs w:val="22"/>
            <w:lang w:val="it-IT"/>
          </w:rPr>
          <w:delText>stato stazionario del</w:delText>
        </w:r>
      </w:del>
      <w:r>
        <w:rPr>
          <w:noProof/>
          <w:szCs w:val="22"/>
          <w:lang w:val="it-IT"/>
        </w:rPr>
        <w:t>l’area sotto la curva (AUC)</w:t>
      </w:r>
      <w:del w:id="2471" w:author="Author">
        <w:r>
          <w:rPr>
            <w:noProof/>
            <w:szCs w:val="22"/>
            <w:lang w:val="it-IT"/>
          </w:rPr>
          <w:delText xml:space="preserve"> </w:delText>
        </w:r>
      </w:del>
      <w:ins w:id="2472" w:author="Author">
        <w:r>
          <w:rPr>
            <w:noProof/>
            <w:szCs w:val="22"/>
            <w:lang w:val="it-IT"/>
          </w:rPr>
          <w:t>allo stato stazionario </w:t>
        </w:r>
      </w:ins>
      <w:r>
        <w:rPr>
          <w:noProof/>
          <w:szCs w:val="22"/>
          <w:lang w:val="it-IT"/>
        </w:rPr>
        <w:t>=</w:t>
      </w:r>
      <w:ins w:id="2473" w:author="Author">
        <w:r>
          <w:rPr>
            <w:noProof/>
            <w:szCs w:val="22"/>
            <w:lang w:val="it-IT"/>
          </w:rPr>
          <w:t> </w:t>
        </w:r>
      </w:ins>
      <w:del w:id="2474" w:author="Author">
        <w:r>
          <w:rPr>
            <w:noProof/>
            <w:szCs w:val="22"/>
            <w:lang w:val="it-IT"/>
          </w:rPr>
          <w:delText xml:space="preserve"> </w:delText>
        </w:r>
      </w:del>
      <w:r>
        <w:rPr>
          <w:noProof/>
          <w:szCs w:val="22"/>
          <w:lang w:val="it-IT"/>
        </w:rPr>
        <w:t>38</w:t>
      </w:r>
      <w:ins w:id="2475" w:author="Author">
        <w:r>
          <w:rPr>
            <w:noProof/>
            <w:szCs w:val="22"/>
            <w:lang w:val="it-IT"/>
          </w:rPr>
          <w:t> </w:t>
        </w:r>
      </w:ins>
      <w:r>
        <w:rPr>
          <w:noProof/>
          <w:szCs w:val="22"/>
          <w:lang w:val="it-IT"/>
        </w:rPr>
        <w:t>000</w:t>
      </w:r>
      <w:ins w:id="2476" w:author="Author">
        <w:r>
          <w:rPr>
            <w:noProof/>
            <w:szCs w:val="22"/>
            <w:lang w:val="it-IT"/>
          </w:rPr>
          <w:t> </w:t>
        </w:r>
      </w:ins>
      <w:del w:id="2477" w:author="Author">
        <w:r>
          <w:rPr>
            <w:noProof/>
            <w:szCs w:val="22"/>
            <w:lang w:val="it-IT"/>
          </w:rPr>
          <w:delText xml:space="preserve"> </w:delText>
        </w:r>
      </w:del>
      <w:r>
        <w:rPr>
          <w:noProof/>
          <w:szCs w:val="22"/>
          <w:lang w:val="it-IT"/>
        </w:rPr>
        <w:sym w:font="Symbol" w:char="F0B1"/>
      </w:r>
      <w:ins w:id="2478" w:author="Author">
        <w:r>
          <w:rPr>
            <w:noProof/>
            <w:szCs w:val="22"/>
            <w:lang w:val="it-IT"/>
          </w:rPr>
          <w:t> </w:t>
        </w:r>
      </w:ins>
      <w:del w:id="2479" w:author="Author">
        <w:r>
          <w:rPr>
            <w:noProof/>
            <w:szCs w:val="22"/>
            <w:lang w:val="it-IT"/>
          </w:rPr>
          <w:delText xml:space="preserve"> </w:delText>
        </w:r>
      </w:del>
      <w:r>
        <w:rPr>
          <w:noProof/>
          <w:szCs w:val="22"/>
          <w:lang w:val="it-IT"/>
        </w:rPr>
        <w:t>13</w:t>
      </w:r>
      <w:ins w:id="2480" w:author="Author">
        <w:r>
          <w:rPr>
            <w:noProof/>
            <w:szCs w:val="22"/>
            <w:lang w:val="it-IT"/>
          </w:rPr>
          <w:t> </w:t>
        </w:r>
      </w:ins>
      <w:r>
        <w:rPr>
          <w:noProof/>
          <w:szCs w:val="22"/>
          <w:lang w:val="it-IT"/>
        </w:rPr>
        <w:t>000 h·µg/mL, concentrazione di valle (C</w:t>
      </w:r>
      <w:r>
        <w:rPr>
          <w:noProof/>
          <w:szCs w:val="22"/>
          <w:vertAlign w:val="subscript"/>
          <w:lang w:val="it-IT"/>
        </w:rPr>
        <w:t>min</w:t>
      </w:r>
      <w:r>
        <w:rPr>
          <w:noProof/>
          <w:szCs w:val="22"/>
          <w:lang w:val="it-IT"/>
        </w:rPr>
        <w:t>)</w:t>
      </w:r>
      <w:del w:id="2481" w:author="Author">
        <w:r>
          <w:rPr>
            <w:noProof/>
            <w:szCs w:val="22"/>
            <w:lang w:val="it-IT"/>
          </w:rPr>
          <w:delText xml:space="preserve"> </w:delText>
        </w:r>
      </w:del>
      <w:ins w:id="2482" w:author="Author">
        <w:r>
          <w:rPr>
            <w:noProof/>
            <w:szCs w:val="22"/>
            <w:lang w:val="it-IT"/>
          </w:rPr>
          <w:t> </w:t>
        </w:r>
      </w:ins>
      <w:r>
        <w:rPr>
          <w:noProof/>
          <w:szCs w:val="22"/>
          <w:lang w:val="it-IT"/>
        </w:rPr>
        <w:t>=</w:t>
      </w:r>
      <w:ins w:id="2483" w:author="Author">
        <w:r>
          <w:rPr>
            <w:noProof/>
            <w:szCs w:val="22"/>
            <w:lang w:val="it-IT"/>
          </w:rPr>
          <w:t> </w:t>
        </w:r>
      </w:ins>
      <w:del w:id="2484" w:author="Author">
        <w:r>
          <w:rPr>
            <w:noProof/>
            <w:szCs w:val="22"/>
            <w:lang w:val="it-IT"/>
          </w:rPr>
          <w:delText xml:space="preserve"> </w:delText>
        </w:r>
      </w:del>
      <w:r>
        <w:rPr>
          <w:noProof/>
          <w:szCs w:val="22"/>
          <w:lang w:val="it-IT"/>
        </w:rPr>
        <w:t xml:space="preserve">15,9 </w:t>
      </w:r>
      <w:r>
        <w:rPr>
          <w:noProof/>
          <w:szCs w:val="22"/>
          <w:lang w:val="it-IT"/>
        </w:rPr>
        <w:sym w:font="Symbol" w:char="F0B1"/>
      </w:r>
      <w:r>
        <w:rPr>
          <w:noProof/>
          <w:szCs w:val="22"/>
          <w:lang w:val="it-IT"/>
        </w:rPr>
        <w:t> 13,1</w:t>
      </w:r>
      <w:ins w:id="2485" w:author="Author">
        <w:r>
          <w:rPr>
            <w:noProof/>
            <w:szCs w:val="22"/>
            <w:lang w:val="it-IT"/>
          </w:rPr>
          <w:t> </w:t>
        </w:r>
      </w:ins>
      <w:del w:id="2486" w:author="Author">
        <w:r>
          <w:rPr>
            <w:noProof/>
            <w:szCs w:val="22"/>
            <w:lang w:val="it-IT"/>
          </w:rPr>
          <w:delText xml:space="preserve"> </w:delText>
        </w:r>
      </w:del>
      <w:r>
        <w:rPr>
          <w:noProof/>
          <w:szCs w:val="22"/>
          <w:lang w:val="it-IT"/>
        </w:rPr>
        <w:sym w:font="Symbol" w:char="F06D"/>
      </w:r>
      <w:r>
        <w:rPr>
          <w:noProof/>
          <w:szCs w:val="22"/>
          <w:lang w:val="it-IT"/>
        </w:rPr>
        <w:t>g/mL e concentrazione massima (C</w:t>
      </w:r>
      <w:r>
        <w:rPr>
          <w:noProof/>
          <w:szCs w:val="22"/>
          <w:vertAlign w:val="subscript"/>
          <w:lang w:val="it-IT"/>
        </w:rPr>
        <w:t>max</w:t>
      </w:r>
      <w:r>
        <w:rPr>
          <w:noProof/>
          <w:szCs w:val="22"/>
          <w:lang w:val="it-IT"/>
        </w:rPr>
        <w:t>)</w:t>
      </w:r>
      <w:del w:id="2487" w:author="Author">
        <w:r>
          <w:rPr>
            <w:noProof/>
            <w:szCs w:val="22"/>
            <w:lang w:val="it-IT"/>
          </w:rPr>
          <w:delText xml:space="preserve"> </w:delText>
        </w:r>
      </w:del>
      <w:ins w:id="2488" w:author="Author">
        <w:r>
          <w:rPr>
            <w:noProof/>
            <w:szCs w:val="22"/>
            <w:lang w:val="it-IT"/>
          </w:rPr>
          <w:t> </w:t>
        </w:r>
      </w:ins>
      <w:r>
        <w:rPr>
          <w:noProof/>
          <w:szCs w:val="22"/>
          <w:lang w:val="it-IT"/>
        </w:rPr>
        <w:t>=</w:t>
      </w:r>
      <w:ins w:id="2489" w:author="Author">
        <w:r>
          <w:rPr>
            <w:noProof/>
            <w:szCs w:val="22"/>
            <w:lang w:val="it-IT"/>
          </w:rPr>
          <w:t> </w:t>
        </w:r>
      </w:ins>
      <w:del w:id="2490" w:author="Author">
        <w:r>
          <w:rPr>
            <w:noProof/>
            <w:szCs w:val="22"/>
            <w:lang w:val="it-IT"/>
          </w:rPr>
          <w:delText xml:space="preserve"> </w:delText>
        </w:r>
      </w:del>
      <w:r>
        <w:rPr>
          <w:noProof/>
          <w:szCs w:val="22"/>
          <w:lang w:val="it-IT"/>
        </w:rPr>
        <w:t>182</w:t>
      </w:r>
      <w:ins w:id="2491" w:author="Author">
        <w:r>
          <w:rPr>
            <w:noProof/>
            <w:szCs w:val="22"/>
            <w:lang w:val="it-IT"/>
          </w:rPr>
          <w:t> </w:t>
        </w:r>
      </w:ins>
      <w:del w:id="2492" w:author="Author">
        <w:r>
          <w:rPr>
            <w:noProof/>
            <w:szCs w:val="22"/>
            <w:lang w:val="it-IT"/>
          </w:rPr>
          <w:delText xml:space="preserve"> </w:delText>
        </w:r>
      </w:del>
      <w:r>
        <w:rPr>
          <w:noProof/>
          <w:szCs w:val="22"/>
          <w:lang w:val="it-IT"/>
        </w:rPr>
        <w:sym w:font="Symbol" w:char="F0B1"/>
      </w:r>
      <w:r>
        <w:rPr>
          <w:noProof/>
          <w:szCs w:val="22"/>
          <w:lang w:val="it-IT"/>
        </w:rPr>
        <w:t> 50,4 µg/mL; i tassi di accumulo relativi ad AUC e C</w:t>
      </w:r>
      <w:r>
        <w:rPr>
          <w:noProof/>
          <w:szCs w:val="22"/>
          <w:vertAlign w:val="subscript"/>
          <w:lang w:val="it-IT"/>
        </w:rPr>
        <w:t>max</w:t>
      </w:r>
      <w:r>
        <w:rPr>
          <w:noProof/>
          <w:szCs w:val="22"/>
          <w:lang w:val="it-IT"/>
        </w:rPr>
        <w:t xml:space="preserve"> sono stati minimi, rispettivamente di 1,32 e 1,09. Il tasso di accumulo è stato maggiore per la C</w:t>
      </w:r>
      <w:r>
        <w:rPr>
          <w:noProof/>
          <w:szCs w:val="22"/>
          <w:vertAlign w:val="subscript"/>
          <w:lang w:val="it-IT"/>
        </w:rPr>
        <w:t>min</w:t>
      </w:r>
      <w:r>
        <w:rPr>
          <w:noProof/>
          <w:szCs w:val="22"/>
          <w:lang w:val="it-IT"/>
        </w:rPr>
        <w:t xml:space="preserve"> (2,49), risultato atteso in base al contributo della clearance non lineare alle concentrazioni più basse. Lo stato </w:t>
      </w:r>
      <w:r>
        <w:rPr>
          <w:noProof/>
          <w:szCs w:val="22"/>
          <w:lang w:val="it-IT"/>
        </w:rPr>
        <w:lastRenderedPageBreak/>
        <w:t>stazionario è stato raggiunto dopo la prima somministrazione per la C</w:t>
      </w:r>
      <w:r>
        <w:rPr>
          <w:noProof/>
          <w:szCs w:val="22"/>
          <w:vertAlign w:val="subscript"/>
          <w:lang w:val="it-IT"/>
        </w:rPr>
        <w:t>max</w:t>
      </w:r>
      <w:r>
        <w:rPr>
          <w:noProof/>
          <w:szCs w:val="22"/>
          <w:lang w:val="it-IT"/>
        </w:rPr>
        <w:t xml:space="preserve"> e dopo 8 e 20 settimane per AUC e C</w:t>
      </w:r>
      <w:r>
        <w:rPr>
          <w:noProof/>
          <w:szCs w:val="22"/>
          <w:vertAlign w:val="subscript"/>
          <w:lang w:val="it-IT"/>
        </w:rPr>
        <w:t>min</w:t>
      </w:r>
      <w:r>
        <w:rPr>
          <w:noProof/>
          <w:szCs w:val="22"/>
          <w:lang w:val="it-IT"/>
        </w:rPr>
        <w:t xml:space="preserve"> rispettivamente. </w:t>
      </w:r>
      <w:r>
        <w:rPr>
          <w:noProof/>
          <w:lang w:val="it-IT"/>
        </w:rPr>
        <w:t>L’</w:t>
      </w:r>
      <w:r>
        <w:rPr>
          <w:iCs/>
          <w:noProof/>
          <w:lang w:val="it-IT"/>
        </w:rPr>
        <w:t>AUC, C</w:t>
      </w:r>
      <w:r>
        <w:rPr>
          <w:iCs/>
          <w:noProof/>
          <w:vertAlign w:val="subscript"/>
          <w:lang w:val="it-IT"/>
        </w:rPr>
        <w:t>min</w:t>
      </w:r>
      <w:r>
        <w:rPr>
          <w:iCs/>
          <w:noProof/>
          <w:lang w:val="it-IT"/>
        </w:rPr>
        <w:t xml:space="preserve"> e C</w:t>
      </w:r>
      <w:r>
        <w:rPr>
          <w:iCs/>
          <w:noProof/>
          <w:vertAlign w:val="subscript"/>
          <w:lang w:val="it-IT"/>
        </w:rPr>
        <w:t>max</w:t>
      </w:r>
      <w:r>
        <w:rPr>
          <w:iCs/>
          <w:noProof/>
          <w:lang w:val="it-IT"/>
        </w:rPr>
        <w:t xml:space="preserve"> di t</w:t>
      </w:r>
      <w:r>
        <w:rPr>
          <w:noProof/>
          <w:lang w:val="it-IT"/>
        </w:rPr>
        <w:t xml:space="preserve">ocilizumab sono aumentate con l’aumentare del peso corporeo. Ad un peso corporeo </w:t>
      </w:r>
      <w:r>
        <w:rPr>
          <w:iCs/>
          <w:noProof/>
          <w:lang w:val="it-IT"/>
        </w:rPr>
        <w:t xml:space="preserve">≥ 100 kg, i valori medi predetti </w:t>
      </w:r>
      <w:r>
        <w:rPr>
          <w:noProof/>
          <w:lang w:val="it-IT"/>
        </w:rPr>
        <w:t>(± SD) allo</w:t>
      </w:r>
      <w:r>
        <w:rPr>
          <w:iCs/>
          <w:noProof/>
          <w:lang w:val="it-IT"/>
        </w:rPr>
        <w:t xml:space="preserve"> </w:t>
      </w:r>
      <w:r>
        <w:rPr>
          <w:noProof/>
          <w:lang w:val="it-IT"/>
        </w:rPr>
        <w:t>steady-state dell’AUC, C</w:t>
      </w:r>
      <w:r>
        <w:rPr>
          <w:noProof/>
          <w:vertAlign w:val="subscript"/>
          <w:lang w:val="it-IT"/>
        </w:rPr>
        <w:t>min</w:t>
      </w:r>
      <w:r>
        <w:rPr>
          <w:noProof/>
          <w:lang w:val="it-IT"/>
        </w:rPr>
        <w:t xml:space="preserve"> e C</w:t>
      </w:r>
      <w:r>
        <w:rPr>
          <w:noProof/>
          <w:vertAlign w:val="subscript"/>
          <w:lang w:val="it-IT"/>
        </w:rPr>
        <w:t>max</w:t>
      </w:r>
      <w:r>
        <w:rPr>
          <w:noProof/>
          <w:lang w:val="it-IT"/>
          <w:rPrChange w:id="2493" w:author="Author">
            <w:rPr>
              <w:vertAlign w:val="subscript"/>
              <w:lang w:val="it-IT"/>
            </w:rPr>
          </w:rPrChange>
        </w:rPr>
        <w:t xml:space="preserve"> </w:t>
      </w:r>
      <w:r>
        <w:rPr>
          <w:noProof/>
          <w:lang w:val="it-IT"/>
        </w:rPr>
        <w:t xml:space="preserve">di tocilizumab sono stati rispettivamente </w:t>
      </w:r>
      <w:r>
        <w:rPr>
          <w:iCs/>
          <w:noProof/>
          <w:lang w:val="it-IT"/>
        </w:rPr>
        <w:t>5</w:t>
      </w:r>
      <w:r>
        <w:rPr>
          <w:noProof/>
          <w:lang w:val="it-IT"/>
        </w:rPr>
        <w:t>0</w:t>
      </w:r>
      <w:ins w:id="2494" w:author="Author">
        <w:r>
          <w:rPr>
            <w:noProof/>
            <w:lang w:val="it-IT"/>
          </w:rPr>
          <w:t> </w:t>
        </w:r>
      </w:ins>
      <w:r>
        <w:rPr>
          <w:noProof/>
          <w:lang w:val="it-IT"/>
        </w:rPr>
        <w:t>000</w:t>
      </w:r>
      <w:del w:id="2495" w:author="Author">
        <w:r>
          <w:rPr>
            <w:noProof/>
            <w:lang w:val="it-IT"/>
          </w:rPr>
          <w:delText xml:space="preserve"> </w:delText>
        </w:r>
      </w:del>
      <w:ins w:id="2496" w:author="Author">
        <w:r>
          <w:rPr>
            <w:noProof/>
            <w:lang w:val="it-IT"/>
          </w:rPr>
          <w:t> </w:t>
        </w:r>
      </w:ins>
      <w:r>
        <w:rPr>
          <w:noProof/>
          <w:lang w:val="it-IT"/>
        </w:rPr>
        <w:t>±</w:t>
      </w:r>
      <w:ins w:id="2497" w:author="Author">
        <w:r>
          <w:rPr>
            <w:noProof/>
            <w:lang w:val="it-IT"/>
          </w:rPr>
          <w:t> </w:t>
        </w:r>
      </w:ins>
      <w:del w:id="2498" w:author="Author">
        <w:r>
          <w:rPr>
            <w:noProof/>
            <w:lang w:val="it-IT"/>
          </w:rPr>
          <w:delText xml:space="preserve"> </w:delText>
        </w:r>
      </w:del>
      <w:r>
        <w:rPr>
          <w:noProof/>
          <w:lang w:val="it-IT"/>
        </w:rPr>
        <w:t>16</w:t>
      </w:r>
      <w:ins w:id="2499" w:author="Author">
        <w:r>
          <w:rPr>
            <w:noProof/>
            <w:lang w:val="it-IT"/>
          </w:rPr>
          <w:t> </w:t>
        </w:r>
      </w:ins>
      <w:r>
        <w:rPr>
          <w:noProof/>
          <w:lang w:val="it-IT"/>
        </w:rPr>
        <w:t>800</w:t>
      </w:r>
      <w:ins w:id="2500" w:author="Author">
        <w:r>
          <w:rPr>
            <w:noProof/>
            <w:lang w:val="it-IT"/>
          </w:rPr>
          <w:t> </w:t>
        </w:r>
      </w:ins>
      <w:del w:id="2501" w:author="Author">
        <w:r>
          <w:rPr>
            <w:noProof/>
            <w:lang w:val="it-IT"/>
          </w:rPr>
          <w:delText xml:space="preserve"> </w:delText>
        </w:r>
      </w:del>
      <w:r>
        <w:rPr>
          <w:noProof/>
          <w:lang w:val="it-IT"/>
        </w:rPr>
        <w:t>μg</w:t>
      </w:r>
      <w:del w:id="2502" w:author="Author">
        <w:r>
          <w:rPr>
            <w:noProof/>
            <w:lang w:val="it-IT"/>
          </w:rPr>
          <w:delText>•</w:delText>
        </w:r>
      </w:del>
      <w:ins w:id="2503" w:author="Author">
        <w:r>
          <w:rPr>
            <w:noProof/>
            <w:lang w:val="it-IT"/>
          </w:rPr>
          <w:t> × </w:t>
        </w:r>
      </w:ins>
      <w:r>
        <w:rPr>
          <w:noProof/>
          <w:lang w:val="it-IT"/>
        </w:rPr>
        <w:t>h/mL, 24,4</w:t>
      </w:r>
      <w:ins w:id="2504" w:author="Author">
        <w:r>
          <w:rPr>
            <w:noProof/>
            <w:lang w:val="it-IT"/>
          </w:rPr>
          <w:t> </w:t>
        </w:r>
      </w:ins>
      <w:del w:id="2505" w:author="Author">
        <w:r>
          <w:rPr>
            <w:noProof/>
            <w:lang w:val="it-IT"/>
          </w:rPr>
          <w:delText xml:space="preserve"> </w:delText>
        </w:r>
      </w:del>
      <w:r>
        <w:rPr>
          <w:noProof/>
          <w:lang w:val="it-IT"/>
        </w:rPr>
        <w:t>±</w:t>
      </w:r>
      <w:ins w:id="2506" w:author="Author">
        <w:r>
          <w:rPr>
            <w:noProof/>
            <w:lang w:val="it-IT"/>
          </w:rPr>
          <w:t> </w:t>
        </w:r>
      </w:ins>
      <w:del w:id="2507" w:author="Author">
        <w:r>
          <w:rPr>
            <w:noProof/>
            <w:lang w:val="it-IT"/>
          </w:rPr>
          <w:delText xml:space="preserve"> </w:delText>
        </w:r>
      </w:del>
      <w:r>
        <w:rPr>
          <w:noProof/>
          <w:lang w:val="it-IT"/>
        </w:rPr>
        <w:t xml:space="preserve">17,5 μg/mL e 226 ± 50,3 μg/mL, che sono superiori ai valori medi di esposizione per la popolazione di pazienti (cioè tutti i pesi corporei) riportati di seguito. La curva dose-risposta per tocilizumab si appiattisce ad una esposizione più alta, determinando </w:t>
      </w:r>
      <w:del w:id="2508" w:author="Author">
        <w:r>
          <w:rPr>
            <w:noProof/>
            <w:lang w:val="it-IT"/>
          </w:rPr>
          <w:delText>un aumento</w:delText>
        </w:r>
      </w:del>
      <w:ins w:id="2509" w:author="Author">
        <w:r>
          <w:rPr>
            <w:noProof/>
            <w:lang w:val="it-IT"/>
          </w:rPr>
          <w:t>incrementi</w:t>
        </w:r>
      </w:ins>
      <w:r>
        <w:rPr>
          <w:noProof/>
          <w:lang w:val="it-IT"/>
        </w:rPr>
        <w:t xml:space="preserve"> di efficacia </w:t>
      </w:r>
      <w:del w:id="2510" w:author="Author">
        <w:r>
          <w:rPr>
            <w:noProof/>
            <w:lang w:val="it-IT"/>
          </w:rPr>
          <w:delText>più piccolo</w:delText>
        </w:r>
      </w:del>
      <w:ins w:id="2511" w:author="Author">
        <w:r>
          <w:rPr>
            <w:noProof/>
            <w:lang w:val="it-IT"/>
          </w:rPr>
          <w:t>minori</w:t>
        </w:r>
      </w:ins>
      <w:r>
        <w:rPr>
          <w:noProof/>
          <w:lang w:val="it-IT"/>
        </w:rPr>
        <w:t xml:space="preserve"> rispetto a ogni ulteriore aumento della concentrazione di tocilizumab</w:t>
      </w:r>
      <w:ins w:id="2512" w:author="Author">
        <w:r>
          <w:rPr>
            <w:noProof/>
            <w:lang w:val="it-IT"/>
          </w:rPr>
          <w:t>; di conseguenza, non è stato dimostrato un aumento dell’efficacia</w:t>
        </w:r>
      </w:ins>
      <w:r>
        <w:rPr>
          <w:noProof/>
          <w:lang w:val="it-IT"/>
        </w:rPr>
        <w:t xml:space="preserve"> </w:t>
      </w:r>
      <w:del w:id="2513" w:author="Author">
        <w:r>
          <w:rPr>
            <w:noProof/>
            <w:lang w:val="it-IT"/>
          </w:rPr>
          <w:delText xml:space="preserve">così che aumenti </w:delText>
        </w:r>
      </w:del>
      <w:r>
        <w:rPr>
          <w:noProof/>
          <w:lang w:val="it-IT"/>
        </w:rPr>
        <w:t>clinicamente rilevant</w:t>
      </w:r>
      <w:ins w:id="2514" w:author="Author">
        <w:r>
          <w:rPr>
            <w:noProof/>
            <w:lang w:val="it-IT"/>
          </w:rPr>
          <w:t>e</w:t>
        </w:r>
      </w:ins>
      <w:del w:id="2515" w:author="Author">
        <w:r>
          <w:rPr>
            <w:noProof/>
            <w:lang w:val="it-IT"/>
          </w:rPr>
          <w:delText>i</w:delText>
        </w:r>
      </w:del>
      <w:r>
        <w:rPr>
          <w:noProof/>
          <w:lang w:val="it-IT"/>
        </w:rPr>
        <w:t xml:space="preserve"> </w:t>
      </w:r>
      <w:del w:id="2516" w:author="Author">
        <w:r>
          <w:rPr>
            <w:noProof/>
            <w:lang w:val="it-IT"/>
          </w:rPr>
          <w:delText xml:space="preserve">dell’efficacia non siano stati dimostrati </w:delText>
        </w:r>
      </w:del>
      <w:r>
        <w:rPr>
          <w:noProof/>
          <w:lang w:val="it-IT"/>
        </w:rPr>
        <w:t>in pazienti trattati con</w:t>
      </w:r>
      <w:ins w:id="2517" w:author="Author">
        <w:r>
          <w:rPr>
            <w:noProof/>
            <w:lang w:val="it-IT"/>
          </w:rPr>
          <w:t xml:space="preserve"> dosi di</w:t>
        </w:r>
      </w:ins>
      <w:r>
        <w:rPr>
          <w:noProof/>
          <w:lang w:val="it-IT"/>
        </w:rPr>
        <w:t xml:space="preserve"> tocilizumab &gt;</w:t>
      </w:r>
      <w:ins w:id="2518" w:author="Author">
        <w:r>
          <w:rPr>
            <w:noProof/>
            <w:lang w:val="it-IT"/>
          </w:rPr>
          <w:t xml:space="preserve"> </w:t>
        </w:r>
      </w:ins>
      <w:r>
        <w:rPr>
          <w:noProof/>
          <w:lang w:val="it-IT"/>
        </w:rPr>
        <w:t>800 mg. Pertanto, una dose di tocilizumab &gt;</w:t>
      </w:r>
      <w:ins w:id="2519" w:author="Author">
        <w:r>
          <w:rPr>
            <w:noProof/>
            <w:lang w:val="it-IT"/>
          </w:rPr>
          <w:t xml:space="preserve"> </w:t>
        </w:r>
      </w:ins>
      <w:r>
        <w:rPr>
          <w:noProof/>
          <w:lang w:val="it-IT"/>
        </w:rPr>
        <w:t>800 mg per infusione non è raccomandata (vedere paragrafo 4.2).</w:t>
      </w:r>
    </w:p>
    <w:p>
      <w:pPr>
        <w:numPr>
          <w:ilvl w:val="12"/>
          <w:numId w:val="0"/>
        </w:numPr>
        <w:tabs>
          <w:tab w:val="left" w:pos="180"/>
        </w:tabs>
        <w:rPr>
          <w:noProof/>
          <w:szCs w:val="22"/>
          <w:lang w:val="it-IT"/>
        </w:rPr>
      </w:pPr>
    </w:p>
    <w:p>
      <w:pPr>
        <w:pStyle w:val="Standard1"/>
        <w:numPr>
          <w:ilvl w:val="12"/>
          <w:numId w:val="0"/>
        </w:numPr>
        <w:ind w:right="-2"/>
        <w:rPr>
          <w:rFonts w:ascii="Times New Roman" w:hAnsi="Times New Roman"/>
          <w:noProof/>
          <w:sz w:val="22"/>
          <w:szCs w:val="22"/>
          <w:u w:val="single"/>
        </w:rPr>
      </w:pPr>
      <w:r>
        <w:rPr>
          <w:rFonts w:ascii="Times New Roman" w:hAnsi="Times New Roman"/>
          <w:noProof/>
          <w:sz w:val="22"/>
          <w:szCs w:val="22"/>
          <w:u w:val="single"/>
        </w:rPr>
        <w:t>Pazienti affetti da COVID-19</w:t>
      </w:r>
    </w:p>
    <w:p>
      <w:pPr>
        <w:pStyle w:val="Standard1"/>
        <w:numPr>
          <w:ilvl w:val="12"/>
          <w:numId w:val="0"/>
        </w:numPr>
        <w:ind w:right="-2"/>
        <w:rPr>
          <w:rFonts w:ascii="Times New Roman" w:hAnsi="Times New Roman"/>
          <w:noProof/>
          <w:sz w:val="22"/>
          <w:szCs w:val="22"/>
        </w:rPr>
      </w:pPr>
      <w:r>
        <w:rPr>
          <w:rFonts w:ascii="Times New Roman" w:hAnsi="Times New Roman"/>
          <w:noProof/>
          <w:sz w:val="22"/>
          <w:szCs w:val="22"/>
        </w:rPr>
        <w:t xml:space="preserve">La farmacocinetica di tocilizumab è stata caratterizzata con un’analisi di farmacocinetica di popolazione su un database composto da 380 pazienti adulti affetti da COVID-19 partecipanti agli </w:t>
      </w:r>
      <w:del w:id="2520" w:author="Author">
        <w:r>
          <w:rPr>
            <w:rFonts w:ascii="Times New Roman" w:hAnsi="Times New Roman"/>
            <w:noProof/>
            <w:sz w:val="22"/>
            <w:szCs w:val="22"/>
          </w:rPr>
          <w:delText xml:space="preserve">studi </w:delText>
        </w:r>
      </w:del>
      <w:ins w:id="2521" w:author="Author">
        <w:r>
          <w:rPr>
            <w:rFonts w:ascii="Times New Roman" w:hAnsi="Times New Roman"/>
            <w:noProof/>
            <w:sz w:val="22"/>
            <w:szCs w:val="22"/>
          </w:rPr>
          <w:t xml:space="preserve">Studi </w:t>
        </w:r>
      </w:ins>
      <w:r>
        <w:rPr>
          <w:rFonts w:ascii="Times New Roman" w:hAnsi="Times New Roman"/>
          <w:noProof/>
          <w:sz w:val="22"/>
          <w:szCs w:val="22"/>
        </w:rPr>
        <w:t xml:space="preserve">WA42380 (COVACTA) e CA42481 (MARIPOSA) trattati con una singola infusione di 8 mg/kg di tocilizumab o con due infusioni a distanza di almeno 8 ore l’una dall’altra. Per una dose di 8 mg/kg di tocilizumab sono stati stimati i seguenti parametri (valori medi previsti </w:t>
      </w:r>
      <w:r>
        <w:rPr>
          <w:rFonts w:ascii="Times New Roman" w:hAnsi="Times New Roman"/>
          <w:noProof/>
          <w:sz w:val="22"/>
          <w:szCs w:val="22"/>
          <w:u w:val="single"/>
        </w:rPr>
        <w:t>+</w:t>
      </w:r>
      <w:r>
        <w:rPr>
          <w:rFonts w:ascii="Times New Roman" w:hAnsi="Times New Roman"/>
          <w:noProof/>
          <w:sz w:val="22"/>
          <w:szCs w:val="22"/>
        </w:rPr>
        <w:t xml:space="preserve"> DS): area sotto la curva nell’arco di 28 giorni (AUC</w:t>
      </w:r>
      <w:r>
        <w:rPr>
          <w:rFonts w:ascii="Times New Roman" w:hAnsi="Times New Roman"/>
          <w:noProof/>
          <w:sz w:val="22"/>
          <w:szCs w:val="22"/>
          <w:vertAlign w:val="subscript"/>
        </w:rPr>
        <w:t>0-28</w:t>
      </w:r>
      <w:r>
        <w:rPr>
          <w:rFonts w:ascii="Times New Roman" w:hAnsi="Times New Roman"/>
          <w:noProof/>
          <w:sz w:val="22"/>
          <w:szCs w:val="22"/>
        </w:rPr>
        <w:t>)</w:t>
      </w:r>
      <w:del w:id="2522" w:author="Author">
        <w:r>
          <w:rPr>
            <w:rFonts w:ascii="Times New Roman" w:hAnsi="Times New Roman"/>
            <w:noProof/>
            <w:sz w:val="22"/>
            <w:szCs w:val="22"/>
          </w:rPr>
          <w:delText xml:space="preserve"> </w:delText>
        </w:r>
      </w:del>
      <w:ins w:id="2523" w:author="Author">
        <w:r>
          <w:rPr>
            <w:rFonts w:ascii="Times New Roman" w:hAnsi="Times New Roman"/>
            <w:noProof/>
            <w:sz w:val="22"/>
            <w:szCs w:val="22"/>
          </w:rPr>
          <w:t> </w:t>
        </w:r>
      </w:ins>
      <w:r>
        <w:rPr>
          <w:rFonts w:ascii="Times New Roman" w:hAnsi="Times New Roman"/>
          <w:noProof/>
          <w:sz w:val="22"/>
          <w:szCs w:val="22"/>
        </w:rPr>
        <w:t>=</w:t>
      </w:r>
      <w:ins w:id="2524" w:author="Author">
        <w:r>
          <w:rPr>
            <w:rFonts w:ascii="Times New Roman" w:hAnsi="Times New Roman"/>
            <w:noProof/>
            <w:sz w:val="22"/>
            <w:szCs w:val="22"/>
          </w:rPr>
          <w:t> </w:t>
        </w:r>
      </w:ins>
      <w:del w:id="2525" w:author="Author">
        <w:r>
          <w:rPr>
            <w:rFonts w:ascii="Times New Roman" w:hAnsi="Times New Roman"/>
            <w:noProof/>
            <w:sz w:val="22"/>
            <w:szCs w:val="22"/>
          </w:rPr>
          <w:delText xml:space="preserve"> </w:delText>
        </w:r>
      </w:del>
      <w:r>
        <w:rPr>
          <w:rFonts w:ascii="Times New Roman" w:hAnsi="Times New Roman"/>
          <w:noProof/>
          <w:sz w:val="22"/>
          <w:szCs w:val="22"/>
        </w:rPr>
        <w:t>18</w:t>
      </w:r>
      <w:ins w:id="2526" w:author="Author">
        <w:r>
          <w:rPr>
            <w:rFonts w:ascii="Times New Roman" w:hAnsi="Times New Roman"/>
            <w:noProof/>
            <w:sz w:val="22"/>
            <w:szCs w:val="22"/>
          </w:rPr>
          <w:t> </w:t>
        </w:r>
      </w:ins>
      <w:del w:id="2527" w:author="Author">
        <w:r>
          <w:rPr>
            <w:rFonts w:ascii="Times New Roman" w:hAnsi="Times New Roman"/>
            <w:noProof/>
            <w:sz w:val="22"/>
            <w:szCs w:val="22"/>
          </w:rPr>
          <w:delText>.</w:delText>
        </w:r>
      </w:del>
      <w:r>
        <w:rPr>
          <w:rFonts w:ascii="Times New Roman" w:hAnsi="Times New Roman"/>
          <w:noProof/>
          <w:sz w:val="22"/>
          <w:szCs w:val="22"/>
        </w:rPr>
        <w:t>312 (5</w:t>
      </w:r>
      <w:ins w:id="2528" w:author="Author">
        <w:r>
          <w:rPr>
            <w:rFonts w:ascii="Times New Roman" w:hAnsi="Times New Roman"/>
            <w:noProof/>
            <w:sz w:val="22"/>
            <w:szCs w:val="22"/>
          </w:rPr>
          <w:t> </w:t>
        </w:r>
      </w:ins>
      <w:r>
        <w:rPr>
          <w:rFonts w:ascii="Times New Roman" w:hAnsi="Times New Roman"/>
          <w:noProof/>
          <w:sz w:val="22"/>
          <w:szCs w:val="22"/>
        </w:rPr>
        <w:t>184)</w:t>
      </w:r>
      <w:ins w:id="2529" w:author="Author">
        <w:r>
          <w:rPr>
            <w:rFonts w:ascii="Times New Roman" w:hAnsi="Times New Roman"/>
            <w:noProof/>
            <w:sz w:val="22"/>
            <w:szCs w:val="22"/>
          </w:rPr>
          <w:t> </w:t>
        </w:r>
      </w:ins>
      <w:del w:id="2530" w:author="Author">
        <w:r>
          <w:rPr>
            <w:rFonts w:ascii="Times New Roman" w:hAnsi="Times New Roman"/>
            <w:noProof/>
            <w:sz w:val="22"/>
            <w:szCs w:val="22"/>
          </w:rPr>
          <w:delText xml:space="preserve"> </w:delText>
        </w:r>
      </w:del>
      <w:r>
        <w:rPr>
          <w:rFonts w:ascii="Times New Roman" w:hAnsi="Times New Roman"/>
          <w:noProof/>
          <w:sz w:val="22"/>
          <w:szCs w:val="22"/>
        </w:rPr>
        <w:t>ora</w:t>
      </w:r>
      <w:del w:id="2531" w:author="Author">
        <w:r>
          <w:rPr>
            <w:rFonts w:ascii="Times New Roman" w:hAnsi="Times New Roman"/>
            <w:noProof/>
            <w:sz w:val="22"/>
            <w:szCs w:val="22"/>
          </w:rPr>
          <w:delText>•</w:delText>
        </w:r>
      </w:del>
      <w:ins w:id="2532" w:author="Author">
        <w:r>
          <w:rPr>
            <w:rFonts w:ascii="Times New Roman" w:hAnsi="Times New Roman"/>
            <w:noProof/>
            <w:sz w:val="22"/>
            <w:szCs w:val="22"/>
          </w:rPr>
          <w:t> </w:t>
        </w:r>
        <w:r>
          <w:rPr>
            <w:rFonts w:ascii="Times New Roman" w:hAnsi="Times New Roman"/>
            <w:noProof/>
            <w:sz w:val="22"/>
            <w:szCs w:val="22"/>
            <w:rPrChange w:id="2533" w:author="Author">
              <w:rPr/>
            </w:rPrChange>
          </w:rPr>
          <w:t>×</w:t>
        </w:r>
        <w:r>
          <w:rPr>
            <w:rFonts w:ascii="Times New Roman" w:hAnsi="Times New Roman"/>
            <w:noProof/>
            <w:sz w:val="22"/>
            <w:szCs w:val="22"/>
          </w:rPr>
          <w:t> </w:t>
        </w:r>
      </w:ins>
      <w:r>
        <w:rPr>
          <w:rFonts w:ascii="Times New Roman" w:hAnsi="Times New Roman"/>
          <w:noProof/>
          <w:sz w:val="22"/>
          <w:szCs w:val="22"/>
        </w:rPr>
        <w:t>µg/mL, concentrazione al giorno 28 (C</w:t>
      </w:r>
      <w:r>
        <w:rPr>
          <w:rFonts w:ascii="Times New Roman" w:hAnsi="Times New Roman"/>
          <w:noProof/>
          <w:sz w:val="22"/>
          <w:szCs w:val="22"/>
          <w:vertAlign w:val="subscript"/>
        </w:rPr>
        <w:t>day28</w:t>
      </w:r>
      <w:r>
        <w:rPr>
          <w:rFonts w:ascii="Times New Roman" w:hAnsi="Times New Roman"/>
          <w:noProof/>
          <w:sz w:val="22"/>
          <w:szCs w:val="22"/>
        </w:rPr>
        <w:t>)</w:t>
      </w:r>
      <w:del w:id="2534" w:author="Author">
        <w:r>
          <w:rPr>
            <w:rFonts w:ascii="Times New Roman" w:hAnsi="Times New Roman"/>
            <w:noProof/>
            <w:sz w:val="22"/>
            <w:szCs w:val="22"/>
          </w:rPr>
          <w:delText xml:space="preserve"> </w:delText>
        </w:r>
      </w:del>
      <w:ins w:id="2535" w:author="Author">
        <w:r>
          <w:rPr>
            <w:rFonts w:ascii="Times New Roman" w:hAnsi="Times New Roman"/>
            <w:noProof/>
            <w:sz w:val="22"/>
            <w:szCs w:val="22"/>
          </w:rPr>
          <w:t> </w:t>
        </w:r>
      </w:ins>
      <w:r>
        <w:rPr>
          <w:rFonts w:ascii="Times New Roman" w:hAnsi="Times New Roman"/>
          <w:noProof/>
          <w:sz w:val="22"/>
          <w:szCs w:val="22"/>
        </w:rPr>
        <w:t>=</w:t>
      </w:r>
      <w:ins w:id="2536" w:author="Author">
        <w:r>
          <w:rPr>
            <w:rFonts w:ascii="Times New Roman" w:hAnsi="Times New Roman"/>
            <w:noProof/>
            <w:sz w:val="22"/>
            <w:szCs w:val="22"/>
          </w:rPr>
          <w:t> </w:t>
        </w:r>
      </w:ins>
      <w:del w:id="2537" w:author="Author">
        <w:r>
          <w:rPr>
            <w:rFonts w:ascii="Times New Roman" w:hAnsi="Times New Roman"/>
            <w:noProof/>
            <w:sz w:val="22"/>
            <w:szCs w:val="22"/>
          </w:rPr>
          <w:delText xml:space="preserve"> </w:delText>
        </w:r>
      </w:del>
      <w:r>
        <w:rPr>
          <w:rFonts w:ascii="Times New Roman" w:hAnsi="Times New Roman"/>
          <w:noProof/>
          <w:sz w:val="22"/>
          <w:szCs w:val="22"/>
        </w:rPr>
        <w:t>0,934 (1,93)</w:t>
      </w:r>
      <w:ins w:id="2538" w:author="Author">
        <w:r>
          <w:rPr>
            <w:rFonts w:ascii="Times New Roman" w:hAnsi="Times New Roman"/>
            <w:noProof/>
            <w:sz w:val="22"/>
            <w:szCs w:val="22"/>
          </w:rPr>
          <w:t> </w:t>
        </w:r>
      </w:ins>
      <w:del w:id="2539" w:author="Author">
        <w:r>
          <w:rPr>
            <w:rFonts w:ascii="Times New Roman" w:hAnsi="Times New Roman"/>
            <w:noProof/>
            <w:sz w:val="22"/>
            <w:szCs w:val="22"/>
          </w:rPr>
          <w:delText xml:space="preserve"> </w:delText>
        </w:r>
      </w:del>
      <w:r>
        <w:rPr>
          <w:rFonts w:ascii="Times New Roman" w:hAnsi="Times New Roman"/>
          <w:noProof/>
          <w:sz w:val="22"/>
          <w:szCs w:val="22"/>
        </w:rPr>
        <w:t>µg/mL e concentrazione massima (C</w:t>
      </w:r>
      <w:r>
        <w:rPr>
          <w:rFonts w:ascii="Times New Roman" w:hAnsi="Times New Roman"/>
          <w:noProof/>
          <w:sz w:val="22"/>
          <w:szCs w:val="22"/>
          <w:vertAlign w:val="subscript"/>
        </w:rPr>
        <w:t>max</w:t>
      </w:r>
      <w:r>
        <w:rPr>
          <w:rFonts w:ascii="Times New Roman" w:hAnsi="Times New Roman"/>
          <w:noProof/>
          <w:sz w:val="22"/>
          <w:szCs w:val="22"/>
        </w:rPr>
        <w:t>)</w:t>
      </w:r>
      <w:del w:id="2540" w:author="Author">
        <w:r>
          <w:rPr>
            <w:rFonts w:ascii="Times New Roman" w:hAnsi="Times New Roman"/>
            <w:noProof/>
            <w:sz w:val="22"/>
            <w:szCs w:val="22"/>
          </w:rPr>
          <w:delText xml:space="preserve"> </w:delText>
        </w:r>
      </w:del>
      <w:ins w:id="2541" w:author="Author">
        <w:r>
          <w:rPr>
            <w:rFonts w:ascii="Times New Roman" w:hAnsi="Times New Roman"/>
            <w:noProof/>
            <w:sz w:val="22"/>
            <w:szCs w:val="22"/>
          </w:rPr>
          <w:t> </w:t>
        </w:r>
      </w:ins>
      <w:r>
        <w:rPr>
          <w:rFonts w:ascii="Times New Roman" w:hAnsi="Times New Roman"/>
          <w:noProof/>
          <w:sz w:val="22"/>
          <w:szCs w:val="22"/>
        </w:rPr>
        <w:t>=</w:t>
      </w:r>
      <w:ins w:id="2542" w:author="Author">
        <w:r>
          <w:rPr>
            <w:rFonts w:ascii="Times New Roman" w:hAnsi="Times New Roman"/>
            <w:noProof/>
            <w:sz w:val="22"/>
            <w:szCs w:val="22"/>
          </w:rPr>
          <w:t> </w:t>
        </w:r>
      </w:ins>
      <w:del w:id="2543" w:author="Author">
        <w:r>
          <w:rPr>
            <w:rFonts w:ascii="Times New Roman" w:hAnsi="Times New Roman"/>
            <w:noProof/>
            <w:sz w:val="22"/>
            <w:szCs w:val="22"/>
          </w:rPr>
          <w:delText xml:space="preserve"> </w:delText>
        </w:r>
      </w:del>
      <w:r>
        <w:rPr>
          <w:rFonts w:ascii="Times New Roman" w:hAnsi="Times New Roman"/>
          <w:noProof/>
          <w:sz w:val="22"/>
          <w:szCs w:val="22"/>
        </w:rPr>
        <w:t>154 (34,9)</w:t>
      </w:r>
      <w:ins w:id="2544" w:author="Author">
        <w:r>
          <w:rPr>
            <w:rFonts w:ascii="Times New Roman" w:hAnsi="Times New Roman"/>
            <w:noProof/>
            <w:sz w:val="22"/>
            <w:szCs w:val="22"/>
          </w:rPr>
          <w:t> </w:t>
        </w:r>
      </w:ins>
      <w:del w:id="2545" w:author="Author">
        <w:r>
          <w:rPr>
            <w:rFonts w:ascii="Times New Roman" w:hAnsi="Times New Roman"/>
            <w:noProof/>
            <w:sz w:val="22"/>
            <w:szCs w:val="22"/>
          </w:rPr>
          <w:delText xml:space="preserve"> </w:delText>
        </w:r>
      </w:del>
      <w:r>
        <w:rPr>
          <w:rFonts w:ascii="Times New Roman" w:hAnsi="Times New Roman"/>
          <w:noProof/>
          <w:sz w:val="22"/>
          <w:szCs w:val="22"/>
        </w:rPr>
        <w:t>µg/mL. Sono state inoltre stimate l’AUC</w:t>
      </w:r>
      <w:r>
        <w:rPr>
          <w:rFonts w:ascii="Times New Roman" w:hAnsi="Times New Roman"/>
          <w:noProof/>
          <w:sz w:val="22"/>
          <w:szCs w:val="22"/>
          <w:vertAlign w:val="subscript"/>
        </w:rPr>
        <w:t>0-28</w:t>
      </w:r>
      <w:r>
        <w:rPr>
          <w:rFonts w:ascii="Times New Roman" w:hAnsi="Times New Roman"/>
          <w:noProof/>
          <w:sz w:val="22"/>
          <w:szCs w:val="22"/>
        </w:rPr>
        <w:t>, la C</w:t>
      </w:r>
      <w:r>
        <w:rPr>
          <w:rFonts w:ascii="Times New Roman" w:hAnsi="Times New Roman"/>
          <w:noProof/>
          <w:sz w:val="22"/>
          <w:szCs w:val="22"/>
          <w:vertAlign w:val="subscript"/>
        </w:rPr>
        <w:t>day28</w:t>
      </w:r>
      <w:r>
        <w:rPr>
          <w:rFonts w:ascii="Times New Roman" w:hAnsi="Times New Roman"/>
          <w:noProof/>
          <w:sz w:val="22"/>
          <w:szCs w:val="22"/>
        </w:rPr>
        <w:t xml:space="preserve"> e la C</w:t>
      </w:r>
      <w:r>
        <w:rPr>
          <w:rFonts w:ascii="Times New Roman" w:hAnsi="Times New Roman"/>
          <w:noProof/>
          <w:sz w:val="22"/>
          <w:szCs w:val="22"/>
          <w:vertAlign w:val="subscript"/>
        </w:rPr>
        <w:t>max</w:t>
      </w:r>
      <w:r>
        <w:rPr>
          <w:rFonts w:ascii="Times New Roman" w:hAnsi="Times New Roman"/>
          <w:noProof/>
          <w:sz w:val="22"/>
          <w:szCs w:val="22"/>
        </w:rPr>
        <w:t xml:space="preserve"> dopo due dosi di 8 mg/kg di tocilizumab a distanza di 8 ore l’una dall’altra (valori medi previsti </w:t>
      </w:r>
      <w:r>
        <w:rPr>
          <w:rFonts w:ascii="Times New Roman" w:hAnsi="Times New Roman"/>
          <w:noProof/>
          <w:sz w:val="22"/>
          <w:szCs w:val="22"/>
          <w:u w:val="single"/>
        </w:rPr>
        <w:t>+</w:t>
      </w:r>
      <w:r>
        <w:rPr>
          <w:rFonts w:ascii="Times New Roman" w:hAnsi="Times New Roman"/>
          <w:noProof/>
          <w:sz w:val="22"/>
          <w:szCs w:val="22"/>
        </w:rPr>
        <w:t xml:space="preserve"> DS): rispettivamente 42</w:t>
      </w:r>
      <w:del w:id="2546" w:author="Author">
        <w:r>
          <w:rPr>
            <w:rFonts w:ascii="Times New Roman" w:hAnsi="Times New Roman"/>
            <w:noProof/>
            <w:sz w:val="22"/>
            <w:szCs w:val="22"/>
          </w:rPr>
          <w:delText>.</w:delText>
        </w:r>
      </w:del>
      <w:ins w:id="2547" w:author="Author">
        <w:r>
          <w:rPr>
            <w:rFonts w:ascii="Times New Roman" w:hAnsi="Times New Roman"/>
            <w:noProof/>
            <w:sz w:val="22"/>
            <w:szCs w:val="22"/>
          </w:rPr>
          <w:t> </w:t>
        </w:r>
      </w:ins>
      <w:r>
        <w:rPr>
          <w:rFonts w:ascii="Times New Roman" w:hAnsi="Times New Roman"/>
          <w:noProof/>
          <w:sz w:val="22"/>
          <w:szCs w:val="22"/>
        </w:rPr>
        <w:t>240 (11</w:t>
      </w:r>
      <w:del w:id="2548" w:author="Author">
        <w:r>
          <w:rPr>
            <w:rFonts w:ascii="Times New Roman" w:hAnsi="Times New Roman"/>
            <w:noProof/>
            <w:sz w:val="22"/>
            <w:szCs w:val="22"/>
          </w:rPr>
          <w:delText>.</w:delText>
        </w:r>
      </w:del>
      <w:ins w:id="2549" w:author="Author">
        <w:r>
          <w:rPr>
            <w:rFonts w:ascii="Times New Roman" w:hAnsi="Times New Roman"/>
            <w:noProof/>
            <w:sz w:val="22"/>
            <w:szCs w:val="22"/>
          </w:rPr>
          <w:t> </w:t>
        </w:r>
      </w:ins>
      <w:r>
        <w:rPr>
          <w:rFonts w:ascii="Times New Roman" w:hAnsi="Times New Roman"/>
          <w:noProof/>
          <w:sz w:val="22"/>
          <w:szCs w:val="22"/>
        </w:rPr>
        <w:t>520)</w:t>
      </w:r>
      <w:ins w:id="2550" w:author="Author">
        <w:r>
          <w:rPr>
            <w:rFonts w:ascii="Times New Roman" w:hAnsi="Times New Roman"/>
            <w:noProof/>
            <w:sz w:val="22"/>
            <w:szCs w:val="22"/>
          </w:rPr>
          <w:t> </w:t>
        </w:r>
      </w:ins>
      <w:del w:id="2551" w:author="Author">
        <w:r>
          <w:rPr>
            <w:rFonts w:ascii="Times New Roman" w:hAnsi="Times New Roman"/>
            <w:noProof/>
            <w:sz w:val="22"/>
            <w:szCs w:val="22"/>
          </w:rPr>
          <w:delText xml:space="preserve"> </w:delText>
        </w:r>
      </w:del>
      <w:r>
        <w:rPr>
          <w:rFonts w:ascii="Times New Roman" w:hAnsi="Times New Roman"/>
          <w:noProof/>
          <w:sz w:val="22"/>
          <w:szCs w:val="22"/>
        </w:rPr>
        <w:t>ora</w:t>
      </w:r>
      <w:del w:id="2552" w:author="Author">
        <w:r>
          <w:rPr>
            <w:rFonts w:ascii="Times New Roman" w:hAnsi="Times New Roman"/>
            <w:noProof/>
            <w:sz w:val="22"/>
            <w:szCs w:val="22"/>
          </w:rPr>
          <w:delText>•</w:delText>
        </w:r>
      </w:del>
      <w:ins w:id="2553" w:author="Author">
        <w:r>
          <w:rPr>
            <w:rFonts w:ascii="Times New Roman" w:hAnsi="Times New Roman"/>
            <w:noProof/>
            <w:sz w:val="22"/>
            <w:szCs w:val="22"/>
          </w:rPr>
          <w:t> × </w:t>
        </w:r>
      </w:ins>
      <w:r>
        <w:rPr>
          <w:rFonts w:ascii="Times New Roman" w:hAnsi="Times New Roman"/>
          <w:noProof/>
          <w:sz w:val="22"/>
          <w:szCs w:val="22"/>
        </w:rPr>
        <w:t>µg/mL e 8,94 (8,5)</w:t>
      </w:r>
      <w:ins w:id="2554" w:author="Author">
        <w:r>
          <w:rPr>
            <w:rFonts w:ascii="Times New Roman" w:hAnsi="Times New Roman"/>
            <w:noProof/>
            <w:sz w:val="22"/>
            <w:szCs w:val="22"/>
          </w:rPr>
          <w:t> </w:t>
        </w:r>
      </w:ins>
      <w:del w:id="2555" w:author="Author">
        <w:r>
          <w:rPr>
            <w:rFonts w:ascii="Times New Roman" w:hAnsi="Times New Roman"/>
            <w:noProof/>
            <w:sz w:val="22"/>
            <w:szCs w:val="22"/>
          </w:rPr>
          <w:delText xml:space="preserve"> </w:delText>
        </w:r>
      </w:del>
      <w:r>
        <w:rPr>
          <w:rFonts w:ascii="Times New Roman" w:hAnsi="Times New Roman"/>
          <w:noProof/>
          <w:sz w:val="22"/>
          <w:szCs w:val="22"/>
        </w:rPr>
        <w:t>µg/mL e 296 (64,7) µg/mL.</w:t>
      </w:r>
    </w:p>
    <w:p>
      <w:pPr>
        <w:numPr>
          <w:ilvl w:val="12"/>
          <w:numId w:val="0"/>
        </w:numPr>
        <w:tabs>
          <w:tab w:val="left" w:pos="180"/>
        </w:tabs>
        <w:ind w:right="-2"/>
        <w:rPr>
          <w:noProof/>
          <w:szCs w:val="22"/>
          <w:lang w:val="it-IT"/>
        </w:rPr>
      </w:pPr>
    </w:p>
    <w:p>
      <w:pPr>
        <w:keepNext/>
        <w:keepLines/>
        <w:numPr>
          <w:ilvl w:val="12"/>
          <w:numId w:val="0"/>
        </w:numPr>
        <w:tabs>
          <w:tab w:val="left" w:pos="180"/>
        </w:tabs>
        <w:rPr>
          <w:noProof/>
          <w:szCs w:val="22"/>
          <w:u w:val="single"/>
          <w:lang w:val="it-IT"/>
        </w:rPr>
      </w:pPr>
      <w:r>
        <w:rPr>
          <w:noProof/>
          <w:szCs w:val="22"/>
          <w:u w:val="single"/>
          <w:lang w:val="it-IT"/>
        </w:rPr>
        <w:t>Distribuzione</w:t>
      </w:r>
    </w:p>
    <w:p>
      <w:pPr>
        <w:keepNext/>
        <w:keepLines/>
        <w:numPr>
          <w:ilvl w:val="12"/>
          <w:numId w:val="0"/>
        </w:numPr>
        <w:tabs>
          <w:tab w:val="left" w:pos="180"/>
        </w:tabs>
        <w:rPr>
          <w:noProof/>
          <w:szCs w:val="22"/>
          <w:lang w:val="it-IT"/>
        </w:rPr>
      </w:pPr>
      <w:r>
        <w:rPr>
          <w:noProof/>
          <w:szCs w:val="22"/>
          <w:lang w:val="it-IT"/>
        </w:rPr>
        <w:t>Nei pazienti con AR il volume centrale di distribuzione era 3,72 L, il volume periferico di distribuzione era 3,35 L, con un risultante volume di distribuzione allo stato stazionario di 7,07 L.</w:t>
      </w:r>
    </w:p>
    <w:p>
      <w:pPr>
        <w:numPr>
          <w:ilvl w:val="12"/>
          <w:numId w:val="0"/>
        </w:numPr>
        <w:tabs>
          <w:tab w:val="left" w:pos="180"/>
        </w:tabs>
        <w:ind w:right="-2"/>
        <w:rPr>
          <w:noProof/>
          <w:szCs w:val="22"/>
          <w:lang w:val="it-IT"/>
        </w:rPr>
      </w:pPr>
    </w:p>
    <w:p>
      <w:pPr>
        <w:numPr>
          <w:ilvl w:val="12"/>
          <w:numId w:val="0"/>
        </w:numPr>
        <w:tabs>
          <w:tab w:val="left" w:pos="180"/>
        </w:tabs>
        <w:ind w:right="-2"/>
        <w:rPr>
          <w:noProof/>
          <w:szCs w:val="22"/>
          <w:lang w:val="it-IT"/>
        </w:rPr>
      </w:pPr>
      <w:r>
        <w:rPr>
          <w:noProof/>
          <w:szCs w:val="22"/>
          <w:lang w:val="it-IT"/>
        </w:rPr>
        <w:t xml:space="preserve">Nei pazienti adulti affetti da </w:t>
      </w:r>
      <w:r>
        <w:rPr>
          <w:iCs/>
          <w:noProof/>
          <w:szCs w:val="22"/>
          <w:lang w:val="it-IT"/>
        </w:rPr>
        <w:t>COVID-19</w:t>
      </w:r>
      <w:r>
        <w:rPr>
          <w:noProof/>
          <w:szCs w:val="22"/>
          <w:lang w:val="it-IT"/>
        </w:rPr>
        <w:t xml:space="preserve"> il volume centrale di distribuzione e il volume periferico di distribuzione sono risultati essere rispettivamente pari a 4,52 L e 4,23 L, che si traducono in un volume di distribuzione di 8,75 L.</w:t>
      </w:r>
    </w:p>
    <w:p>
      <w:pPr>
        <w:numPr>
          <w:ilvl w:val="12"/>
          <w:numId w:val="0"/>
        </w:numPr>
        <w:tabs>
          <w:tab w:val="left" w:pos="180"/>
        </w:tabs>
        <w:ind w:right="-2"/>
        <w:rPr>
          <w:noProof/>
          <w:szCs w:val="22"/>
          <w:lang w:val="it-IT"/>
        </w:rPr>
      </w:pPr>
    </w:p>
    <w:p>
      <w:pPr>
        <w:numPr>
          <w:ilvl w:val="12"/>
          <w:numId w:val="0"/>
        </w:numPr>
        <w:tabs>
          <w:tab w:val="left" w:pos="180"/>
        </w:tabs>
        <w:rPr>
          <w:noProof/>
          <w:szCs w:val="22"/>
          <w:u w:val="single"/>
          <w:lang w:val="it-IT"/>
        </w:rPr>
      </w:pPr>
      <w:r>
        <w:rPr>
          <w:noProof/>
          <w:szCs w:val="22"/>
          <w:u w:val="single"/>
          <w:lang w:val="it-IT"/>
        </w:rPr>
        <w:t>Eliminazione</w:t>
      </w:r>
    </w:p>
    <w:p>
      <w:pPr>
        <w:numPr>
          <w:ilvl w:val="12"/>
          <w:numId w:val="0"/>
        </w:numPr>
        <w:tabs>
          <w:tab w:val="left" w:pos="180"/>
        </w:tabs>
        <w:ind w:right="-2"/>
        <w:rPr>
          <w:noProof/>
          <w:szCs w:val="22"/>
          <w:lang w:val="it-IT"/>
        </w:rPr>
      </w:pPr>
      <w:r>
        <w:rPr>
          <w:noProof/>
          <w:szCs w:val="22"/>
          <w:lang w:val="it-IT"/>
        </w:rPr>
        <w:t xml:space="preserve">In seguito a somministrazione endovenosa, tocilizumab viene eliminato dalla circolazione in due modalità, ossia dopo una clearance lineare e dopo una clearance non lineare dipendente dalla concentrazione. Nei pazienti affetti da AR, la clearance lineare è risultata pari a 9,5 mL/h. Nei pazienti adulti affetti da COVID-19, la clearance lineare è risultata pari a 17,6 mL/h nei pazienti con categoria nella scala ordinale 3 (OS 3) al basale (pazienti necessitanti di ossigenoterapia supplementare), a 22,5 mL/h nei pazienti con OS 4 al basale (pazienti necessitanti di ossigeno ad alti flussi o ventilazione non invasiva), a 29 mL/h nei pazienti con OS 5 al basale (pazienti necessitanti di ventilazione meccanica) e a 35,4 mL/h nei pazienti con OS 6 al basale (pazienti necessitanti di ossigenazione extracorporea a membrana [ECMO] o ventilazione meccanica e supporto d’organo aggiuntivo). La clearance non lineare dipendente dalla concentrazione riveste un ruolo di primo piano a basse concentrazioni di tocilizumab. Una volta che la via della clearance non lineare è satura, a concentrazioni più alte di tocilizumab, la clearance è determinata principalmente dalla clearance lineare. </w:t>
      </w:r>
    </w:p>
    <w:p>
      <w:pPr>
        <w:numPr>
          <w:ilvl w:val="12"/>
          <w:numId w:val="0"/>
        </w:numPr>
        <w:tabs>
          <w:tab w:val="left" w:pos="180"/>
        </w:tabs>
        <w:ind w:right="-2"/>
        <w:rPr>
          <w:noProof/>
          <w:szCs w:val="22"/>
          <w:lang w:val="it-IT"/>
        </w:rPr>
      </w:pPr>
    </w:p>
    <w:p>
      <w:pPr>
        <w:numPr>
          <w:ilvl w:val="12"/>
          <w:numId w:val="0"/>
        </w:numPr>
        <w:tabs>
          <w:tab w:val="left" w:pos="180"/>
        </w:tabs>
        <w:ind w:right="-2"/>
        <w:rPr>
          <w:noProof/>
          <w:szCs w:val="22"/>
          <w:lang w:val="it-IT"/>
        </w:rPr>
      </w:pPr>
      <w:r>
        <w:rPr>
          <w:noProof/>
          <w:szCs w:val="22"/>
          <w:lang w:val="it-IT"/>
        </w:rPr>
        <w:t>Nei pazienti affetti da AR, il t</w:t>
      </w:r>
      <w:r>
        <w:rPr>
          <w:noProof/>
          <w:szCs w:val="22"/>
          <w:vertAlign w:val="subscript"/>
          <w:lang w:val="it-IT"/>
        </w:rPr>
        <w:t>1/2</w:t>
      </w:r>
      <w:r>
        <w:rPr>
          <w:noProof/>
          <w:szCs w:val="22"/>
          <w:lang w:val="it-IT"/>
        </w:rPr>
        <w:t xml:space="preserve"> di tocilizumab è risultato dipendente dalla concentrazione. Allo stato stazionario, dopo la somministrazione di una dose di 8 mg/kg ogni 4 settimane, il t</w:t>
      </w:r>
      <w:r>
        <w:rPr>
          <w:noProof/>
          <w:szCs w:val="22"/>
          <w:vertAlign w:val="subscript"/>
          <w:lang w:val="it-IT"/>
        </w:rPr>
        <w:t>1/2</w:t>
      </w:r>
      <w:r>
        <w:rPr>
          <w:noProof/>
          <w:szCs w:val="22"/>
          <w:lang w:val="it-IT"/>
        </w:rPr>
        <w:t xml:space="preserve"> effettivo si è ridotto di pari passo con le concentrazioni, e con un intervallo di somministrazione compreso tra i 18 e i 6 giorni.</w:t>
      </w:r>
    </w:p>
    <w:p>
      <w:pPr>
        <w:numPr>
          <w:ilvl w:val="12"/>
          <w:numId w:val="0"/>
        </w:numPr>
        <w:tabs>
          <w:tab w:val="left" w:pos="180"/>
        </w:tabs>
        <w:ind w:right="-2"/>
        <w:rPr>
          <w:noProof/>
          <w:szCs w:val="22"/>
          <w:lang w:val="it-IT"/>
        </w:rPr>
      </w:pPr>
    </w:p>
    <w:p>
      <w:pPr>
        <w:numPr>
          <w:ilvl w:val="12"/>
          <w:numId w:val="0"/>
        </w:numPr>
        <w:tabs>
          <w:tab w:val="left" w:pos="180"/>
        </w:tabs>
        <w:ind w:right="-2"/>
        <w:rPr>
          <w:noProof/>
          <w:szCs w:val="22"/>
          <w:lang w:val="it-IT"/>
        </w:rPr>
      </w:pPr>
      <w:r>
        <w:rPr>
          <w:noProof/>
          <w:szCs w:val="22"/>
          <w:lang w:val="it-IT"/>
        </w:rPr>
        <w:t xml:space="preserve">Nei pazienti affetti da COVID-19, dopo una media di 35 giorni, le concentrazioni sieriche erano inferiori al limite di quantificazione a seguito di un’infusione </w:t>
      </w:r>
      <w:del w:id="2556" w:author="Author">
        <w:r>
          <w:rPr>
            <w:noProof/>
            <w:szCs w:val="22"/>
            <w:lang w:val="it-IT"/>
          </w:rPr>
          <w:delText xml:space="preserve">endovenova </w:delText>
        </w:r>
      </w:del>
      <w:ins w:id="2557" w:author="Author">
        <w:r>
          <w:rPr>
            <w:noProof/>
            <w:szCs w:val="22"/>
            <w:lang w:val="it-IT"/>
          </w:rPr>
          <w:t xml:space="preserve">endovenosa </w:t>
        </w:r>
      </w:ins>
      <w:r>
        <w:rPr>
          <w:noProof/>
          <w:szCs w:val="22"/>
          <w:lang w:val="it-IT"/>
        </w:rPr>
        <w:t>di tocilizumab</w:t>
      </w:r>
      <w:del w:id="2558" w:author="Author">
        <w:r>
          <w:rPr>
            <w:noProof/>
            <w:szCs w:val="22"/>
            <w:lang w:val="it-IT"/>
          </w:rPr>
          <w:delText xml:space="preserve">. </w:delText>
        </w:r>
      </w:del>
      <w:r>
        <w:rPr>
          <w:noProof/>
          <w:szCs w:val="22"/>
          <w:lang w:val="it-IT"/>
        </w:rPr>
        <w:t>8 mg/kg.</w:t>
      </w:r>
    </w:p>
    <w:p>
      <w:pPr>
        <w:tabs>
          <w:tab w:val="left" w:pos="180"/>
        </w:tabs>
        <w:ind w:left="567" w:hanging="567"/>
        <w:outlineLvl w:val="0"/>
        <w:rPr>
          <w:noProof/>
          <w:szCs w:val="22"/>
          <w:lang w:val="it-IT"/>
        </w:rPr>
      </w:pPr>
    </w:p>
    <w:p>
      <w:pPr>
        <w:keepNext/>
        <w:keepLines/>
        <w:tabs>
          <w:tab w:val="left" w:pos="180"/>
        </w:tabs>
        <w:ind w:left="567" w:hanging="567"/>
        <w:outlineLvl w:val="0"/>
        <w:rPr>
          <w:noProof/>
          <w:szCs w:val="22"/>
          <w:u w:val="single"/>
          <w:lang w:val="it-IT"/>
        </w:rPr>
      </w:pPr>
      <w:r>
        <w:rPr>
          <w:noProof/>
          <w:szCs w:val="22"/>
          <w:u w:val="single"/>
          <w:lang w:val="it-IT"/>
        </w:rPr>
        <w:lastRenderedPageBreak/>
        <w:t>Linearità</w:t>
      </w:r>
    </w:p>
    <w:p>
      <w:pPr>
        <w:keepNext/>
        <w:keepLines/>
        <w:tabs>
          <w:tab w:val="left" w:pos="180"/>
        </w:tabs>
        <w:outlineLvl w:val="0"/>
        <w:rPr>
          <w:noProof/>
          <w:szCs w:val="22"/>
          <w:lang w:val="it-IT"/>
        </w:rPr>
      </w:pPr>
      <w:r>
        <w:rPr>
          <w:noProof/>
          <w:szCs w:val="22"/>
          <w:lang w:val="it-IT"/>
        </w:rPr>
        <w:t>I parametri farmacocinetici di tocilizumab non cambiano col tempo. Si è osservato un incremento più che proporzionale alla dose della AUC e della C</w:t>
      </w:r>
      <w:r>
        <w:rPr>
          <w:noProof/>
          <w:szCs w:val="22"/>
          <w:vertAlign w:val="subscript"/>
          <w:lang w:val="it-IT"/>
        </w:rPr>
        <w:t>min</w:t>
      </w:r>
      <w:r>
        <w:rPr>
          <w:noProof/>
          <w:szCs w:val="22"/>
          <w:lang w:val="it-IT"/>
        </w:rPr>
        <w:t xml:space="preserve"> per dosi di 4 e 8 mg/kg ogni 4 settimane. La C</w:t>
      </w:r>
      <w:r>
        <w:rPr>
          <w:noProof/>
          <w:szCs w:val="22"/>
          <w:vertAlign w:val="subscript"/>
          <w:lang w:val="it-IT"/>
        </w:rPr>
        <w:t xml:space="preserve">max </w:t>
      </w:r>
      <w:r>
        <w:rPr>
          <w:noProof/>
          <w:szCs w:val="22"/>
          <w:lang w:val="it-IT"/>
        </w:rPr>
        <w:t>è cresciuta proporzionalmente alla dose. Allo stato stazionario, le AUC e C</w:t>
      </w:r>
      <w:r>
        <w:rPr>
          <w:noProof/>
          <w:szCs w:val="22"/>
          <w:vertAlign w:val="subscript"/>
          <w:lang w:val="it-IT"/>
        </w:rPr>
        <w:t>min</w:t>
      </w:r>
      <w:r>
        <w:rPr>
          <w:noProof/>
          <w:szCs w:val="22"/>
          <w:lang w:val="it-IT"/>
        </w:rPr>
        <w:t xml:space="preserve"> previste erano 3,2 e 30 volte più elevate con 8 mg/kg rispetto a 4 mg/kg rispettivamente. </w:t>
      </w:r>
    </w:p>
    <w:p>
      <w:pPr>
        <w:tabs>
          <w:tab w:val="left" w:pos="180"/>
        </w:tabs>
        <w:ind w:left="567" w:hanging="567"/>
        <w:outlineLvl w:val="0"/>
        <w:rPr>
          <w:noProof/>
          <w:szCs w:val="22"/>
          <w:lang w:val="it-IT"/>
        </w:rPr>
      </w:pPr>
    </w:p>
    <w:p>
      <w:pPr>
        <w:tabs>
          <w:tab w:val="left" w:pos="180"/>
        </w:tabs>
        <w:ind w:left="567" w:hanging="567"/>
        <w:outlineLvl w:val="0"/>
        <w:rPr>
          <w:noProof/>
          <w:szCs w:val="22"/>
          <w:u w:val="single"/>
          <w:lang w:val="it-IT"/>
        </w:rPr>
      </w:pPr>
      <w:r>
        <w:rPr>
          <w:noProof/>
          <w:szCs w:val="22"/>
          <w:u w:val="single"/>
          <w:lang w:val="it-IT"/>
        </w:rPr>
        <w:t xml:space="preserve">Popolazioni </w:t>
      </w:r>
      <w:del w:id="2559" w:author="Author">
        <w:r>
          <w:rPr>
            <w:noProof/>
            <w:szCs w:val="22"/>
            <w:u w:val="single"/>
            <w:lang w:val="it-IT"/>
          </w:rPr>
          <w:delText>particolari</w:delText>
        </w:r>
      </w:del>
      <w:ins w:id="2560" w:author="Author">
        <w:r>
          <w:rPr>
            <w:noProof/>
            <w:szCs w:val="22"/>
            <w:u w:val="single"/>
            <w:lang w:val="it-IT"/>
            <w:rPrChange w:id="2561" w:author="Author">
              <w:rPr>
                <w:noProof/>
                <w:szCs w:val="22"/>
                <w:highlight w:val="green"/>
                <w:u w:val="single"/>
                <w:lang w:val="it-IT"/>
              </w:rPr>
            </w:rPrChange>
          </w:rPr>
          <w:t>special</w:t>
        </w:r>
        <w:r>
          <w:rPr>
            <w:noProof/>
            <w:szCs w:val="22"/>
            <w:u w:val="single"/>
            <w:lang w:val="it-IT"/>
          </w:rPr>
          <w:t>i</w:t>
        </w:r>
      </w:ins>
    </w:p>
    <w:p>
      <w:pPr>
        <w:tabs>
          <w:tab w:val="left" w:pos="180"/>
        </w:tabs>
        <w:outlineLvl w:val="0"/>
        <w:rPr>
          <w:ins w:id="2562" w:author="Author"/>
          <w:i/>
          <w:noProof/>
          <w:szCs w:val="22"/>
          <w:lang w:val="it-IT"/>
        </w:rPr>
      </w:pPr>
      <w:r>
        <w:rPr>
          <w:i/>
          <w:noProof/>
          <w:szCs w:val="22"/>
          <w:lang w:val="it-IT"/>
        </w:rPr>
        <w:t>Compromissione renale</w:t>
      </w:r>
      <w:del w:id="2563" w:author="Author">
        <w:r>
          <w:rPr>
            <w:i/>
            <w:noProof/>
            <w:szCs w:val="22"/>
            <w:lang w:val="it-IT"/>
          </w:rPr>
          <w:delText>:</w:delText>
        </w:r>
      </w:del>
      <w:r>
        <w:rPr>
          <w:i/>
          <w:noProof/>
          <w:szCs w:val="22"/>
          <w:lang w:val="it-IT"/>
        </w:rPr>
        <w:t xml:space="preserve"> </w:t>
      </w:r>
    </w:p>
    <w:p>
      <w:pPr>
        <w:tabs>
          <w:tab w:val="left" w:pos="180"/>
        </w:tabs>
        <w:outlineLvl w:val="0"/>
        <w:rPr>
          <w:i/>
          <w:noProof/>
          <w:szCs w:val="22"/>
          <w:lang w:val="it-IT"/>
        </w:rPr>
      </w:pPr>
      <w:del w:id="2564" w:author="Author">
        <w:r>
          <w:rPr>
            <w:noProof/>
            <w:szCs w:val="22"/>
            <w:lang w:val="it-IT"/>
          </w:rPr>
          <w:delText>n</w:delText>
        </w:r>
      </w:del>
      <w:ins w:id="2565" w:author="Author">
        <w:r>
          <w:rPr>
            <w:noProof/>
            <w:szCs w:val="22"/>
            <w:lang w:val="it-IT"/>
          </w:rPr>
          <w:t>N</w:t>
        </w:r>
      </w:ins>
      <w:r>
        <w:rPr>
          <w:noProof/>
          <w:szCs w:val="22"/>
          <w:lang w:val="it-IT"/>
        </w:rPr>
        <w:t xml:space="preserve">on sono stati condotti studi </w:t>
      </w:r>
      <w:ins w:id="2566" w:author="Author">
        <w:r>
          <w:rPr>
            <w:noProof/>
            <w:szCs w:val="22"/>
            <w:lang w:val="it-IT"/>
          </w:rPr>
          <w:t xml:space="preserve">clinici </w:t>
        </w:r>
      </w:ins>
      <w:r>
        <w:rPr>
          <w:noProof/>
          <w:szCs w:val="22"/>
          <w:lang w:val="it-IT"/>
        </w:rPr>
        <w:t xml:space="preserve">formali sull’effetto di una funzione renale compromessa sulla farmacocinetica di tocilizumab. La maggior parte dei pazienti inclusi nell’analisi di farmacocinetica di popolazione presentava una funzione renale nella norma o una </w:t>
      </w:r>
      <w:ins w:id="2567" w:author="Author">
        <w:r>
          <w:rPr>
            <w:noProof/>
            <w:szCs w:val="22"/>
            <w:lang w:val="it-IT"/>
          </w:rPr>
          <w:t xml:space="preserve">compromissione renale </w:t>
        </w:r>
      </w:ins>
      <w:r>
        <w:rPr>
          <w:noProof/>
          <w:szCs w:val="22"/>
          <w:lang w:val="it-IT"/>
        </w:rPr>
        <w:t xml:space="preserve">lieve </w:t>
      </w:r>
      <w:del w:id="2568" w:author="Author">
        <w:r>
          <w:rPr>
            <w:noProof/>
            <w:szCs w:val="22"/>
            <w:lang w:val="it-IT"/>
          </w:rPr>
          <w:delText>alterazione della funzione renale</w:delText>
        </w:r>
      </w:del>
      <w:r>
        <w:rPr>
          <w:noProof/>
          <w:szCs w:val="22"/>
          <w:lang w:val="it-IT"/>
        </w:rPr>
        <w:t xml:space="preserve">. Una </w:t>
      </w:r>
      <w:ins w:id="2569" w:author="Author">
        <w:r>
          <w:rPr>
            <w:noProof/>
            <w:szCs w:val="22"/>
            <w:lang w:val="it-IT"/>
          </w:rPr>
          <w:t xml:space="preserve">compromissione renale </w:t>
        </w:r>
      </w:ins>
      <w:r>
        <w:rPr>
          <w:noProof/>
          <w:szCs w:val="22"/>
          <w:lang w:val="it-IT"/>
        </w:rPr>
        <w:t xml:space="preserve">lieve </w:t>
      </w:r>
      <w:del w:id="2570" w:author="Author">
        <w:r>
          <w:rPr>
            <w:noProof/>
            <w:szCs w:val="22"/>
            <w:lang w:val="it-IT"/>
          </w:rPr>
          <w:delText xml:space="preserve">alterazione della funzione renale </w:delText>
        </w:r>
      </w:del>
      <w:r>
        <w:rPr>
          <w:noProof/>
          <w:szCs w:val="22"/>
          <w:lang w:val="it-IT"/>
        </w:rPr>
        <w:t>(clearance della creatinina secondo il metodo Cockcroft-Gault &lt; 80 mL/min e ≥ 50 mL/min) non ha avuto alcun effetto sulla farmacocinetica di tocilizumab.</w:t>
      </w:r>
    </w:p>
    <w:p>
      <w:pPr>
        <w:tabs>
          <w:tab w:val="left" w:pos="180"/>
        </w:tabs>
        <w:outlineLvl w:val="0"/>
        <w:rPr>
          <w:noProof/>
          <w:szCs w:val="22"/>
          <w:lang w:val="it-IT"/>
        </w:rPr>
      </w:pPr>
    </w:p>
    <w:p>
      <w:pPr>
        <w:tabs>
          <w:tab w:val="left" w:pos="180"/>
        </w:tabs>
        <w:outlineLvl w:val="0"/>
        <w:rPr>
          <w:ins w:id="2571" w:author="Author"/>
          <w:i/>
          <w:noProof/>
          <w:szCs w:val="22"/>
          <w:lang w:val="it-IT"/>
        </w:rPr>
      </w:pPr>
      <w:r>
        <w:rPr>
          <w:i/>
          <w:noProof/>
          <w:szCs w:val="22"/>
          <w:lang w:val="it-IT"/>
        </w:rPr>
        <w:t>Compromissione epatica</w:t>
      </w:r>
      <w:del w:id="2572" w:author="Author">
        <w:r>
          <w:rPr>
            <w:i/>
            <w:noProof/>
            <w:szCs w:val="22"/>
            <w:lang w:val="it-IT"/>
          </w:rPr>
          <w:delText>:</w:delText>
        </w:r>
      </w:del>
      <w:r>
        <w:rPr>
          <w:i/>
          <w:noProof/>
          <w:szCs w:val="22"/>
          <w:lang w:val="it-IT"/>
        </w:rPr>
        <w:t xml:space="preserve"> </w:t>
      </w:r>
    </w:p>
    <w:p>
      <w:pPr>
        <w:tabs>
          <w:tab w:val="left" w:pos="180"/>
        </w:tabs>
        <w:outlineLvl w:val="0"/>
        <w:rPr>
          <w:noProof/>
          <w:szCs w:val="22"/>
          <w:lang w:val="it-IT"/>
        </w:rPr>
      </w:pPr>
      <w:ins w:id="2573" w:author="Author">
        <w:r>
          <w:rPr>
            <w:noProof/>
            <w:szCs w:val="22"/>
            <w:lang w:val="it-IT"/>
          </w:rPr>
          <w:t>N</w:t>
        </w:r>
      </w:ins>
      <w:del w:id="2574" w:author="Author">
        <w:r>
          <w:rPr>
            <w:noProof/>
            <w:szCs w:val="22"/>
            <w:lang w:val="it-IT"/>
          </w:rPr>
          <w:delText>n</w:delText>
        </w:r>
      </w:del>
      <w:r>
        <w:rPr>
          <w:noProof/>
          <w:szCs w:val="22"/>
          <w:lang w:val="it-IT"/>
        </w:rPr>
        <w:t xml:space="preserve">on sono stati condotti studi </w:t>
      </w:r>
      <w:ins w:id="2575" w:author="Author">
        <w:r>
          <w:rPr>
            <w:noProof/>
            <w:szCs w:val="22"/>
            <w:lang w:val="it-IT"/>
          </w:rPr>
          <w:t xml:space="preserve">clinici </w:t>
        </w:r>
      </w:ins>
      <w:r>
        <w:rPr>
          <w:noProof/>
          <w:szCs w:val="22"/>
          <w:lang w:val="it-IT"/>
        </w:rPr>
        <w:t>formali sull’effetto di una funzione epatica compromessa sulla farmacocinetica di tocilizumab.</w:t>
      </w:r>
    </w:p>
    <w:p>
      <w:pPr>
        <w:tabs>
          <w:tab w:val="left" w:pos="180"/>
        </w:tabs>
        <w:outlineLvl w:val="0"/>
        <w:rPr>
          <w:i/>
          <w:noProof/>
          <w:szCs w:val="22"/>
          <w:lang w:val="it-IT"/>
        </w:rPr>
      </w:pPr>
    </w:p>
    <w:p>
      <w:pPr>
        <w:tabs>
          <w:tab w:val="left" w:pos="180"/>
        </w:tabs>
        <w:outlineLvl w:val="0"/>
        <w:rPr>
          <w:ins w:id="2576" w:author="Author"/>
          <w:bCs/>
          <w:i/>
          <w:noProof/>
          <w:szCs w:val="22"/>
          <w:lang w:val="it-IT"/>
        </w:rPr>
      </w:pPr>
      <w:r>
        <w:rPr>
          <w:bCs/>
          <w:i/>
          <w:noProof/>
          <w:szCs w:val="22"/>
          <w:lang w:val="it-IT"/>
        </w:rPr>
        <w:t>Età, genere ed etnia</w:t>
      </w:r>
      <w:del w:id="2577" w:author="Author">
        <w:r>
          <w:rPr>
            <w:bCs/>
            <w:i/>
            <w:noProof/>
            <w:szCs w:val="22"/>
            <w:lang w:val="it-IT"/>
          </w:rPr>
          <w:delText>:</w:delText>
        </w:r>
      </w:del>
      <w:r>
        <w:rPr>
          <w:bCs/>
          <w:i/>
          <w:noProof/>
          <w:szCs w:val="22"/>
          <w:lang w:val="it-IT"/>
        </w:rPr>
        <w:t xml:space="preserve"> </w:t>
      </w:r>
    </w:p>
    <w:p>
      <w:pPr>
        <w:tabs>
          <w:tab w:val="left" w:pos="180"/>
        </w:tabs>
        <w:outlineLvl w:val="0"/>
        <w:rPr>
          <w:noProof/>
          <w:szCs w:val="22"/>
          <w:lang w:val="it-IT"/>
        </w:rPr>
      </w:pPr>
      <w:del w:id="2578" w:author="Author">
        <w:r>
          <w:rPr>
            <w:noProof/>
            <w:szCs w:val="22"/>
            <w:lang w:val="it-IT"/>
          </w:rPr>
          <w:delText>l</w:delText>
        </w:r>
      </w:del>
      <w:ins w:id="2579" w:author="Author">
        <w:r>
          <w:rPr>
            <w:noProof/>
            <w:szCs w:val="22"/>
            <w:lang w:val="it-IT"/>
          </w:rPr>
          <w:t>L</w:t>
        </w:r>
      </w:ins>
      <w:r>
        <w:rPr>
          <w:noProof/>
          <w:szCs w:val="22"/>
          <w:lang w:val="it-IT"/>
        </w:rPr>
        <w:t>e analisi di farmacocinetica di popolazione effettuate su pazienti affetti da AR e COVID-19 hanno dimostrato che età, sesso e origine etnica non hanno influito sulla farmacocinetica di tocilizumab.</w:t>
      </w:r>
    </w:p>
    <w:p>
      <w:pPr>
        <w:tabs>
          <w:tab w:val="left" w:pos="180"/>
        </w:tabs>
        <w:outlineLvl w:val="0"/>
        <w:rPr>
          <w:noProof/>
          <w:szCs w:val="22"/>
          <w:lang w:val="it-IT"/>
        </w:rPr>
      </w:pPr>
    </w:p>
    <w:p>
      <w:pPr>
        <w:tabs>
          <w:tab w:val="left" w:pos="180"/>
        </w:tabs>
        <w:outlineLvl w:val="0"/>
        <w:rPr>
          <w:noProof/>
          <w:szCs w:val="22"/>
          <w:lang w:val="it-IT"/>
        </w:rPr>
      </w:pPr>
      <w:r>
        <w:rPr>
          <w:noProof/>
          <w:szCs w:val="22"/>
          <w:lang w:val="it-IT"/>
        </w:rPr>
        <w:t>I risultati dell’analisi di farmacocinetica (PK) di popolazione condotta su pazienti affetti da COVID-19 hanno confermato che il peso corporeo e la severità della malattia sono entrambe covariate che hanno un impatto considerevole sulla clearance lineare di tocilizumab.</w:t>
      </w:r>
    </w:p>
    <w:p>
      <w:pPr>
        <w:numPr>
          <w:ilvl w:val="12"/>
          <w:numId w:val="0"/>
        </w:numPr>
        <w:tabs>
          <w:tab w:val="left" w:pos="180"/>
        </w:tabs>
        <w:ind w:right="-2"/>
        <w:rPr>
          <w:i/>
          <w:noProof/>
          <w:szCs w:val="22"/>
          <w:lang w:val="it-IT"/>
        </w:rPr>
      </w:pPr>
    </w:p>
    <w:p>
      <w:pPr>
        <w:keepNext/>
        <w:keepLines/>
        <w:tabs>
          <w:tab w:val="left" w:pos="180"/>
        </w:tabs>
        <w:ind w:left="567" w:hanging="567"/>
        <w:outlineLvl w:val="0"/>
        <w:rPr>
          <w:i/>
          <w:noProof/>
          <w:lang w:val="it-IT"/>
        </w:rPr>
      </w:pPr>
      <w:r>
        <w:rPr>
          <w:i/>
          <w:noProof/>
          <w:lang w:val="it-IT"/>
        </w:rPr>
        <w:t>Pazienti affetti da AIGs</w:t>
      </w:r>
    </w:p>
    <w:p>
      <w:pPr>
        <w:numPr>
          <w:ilvl w:val="12"/>
          <w:numId w:val="0"/>
        </w:numPr>
        <w:tabs>
          <w:tab w:val="left" w:pos="180"/>
        </w:tabs>
        <w:ind w:right="-2"/>
        <w:rPr>
          <w:noProof/>
          <w:szCs w:val="22"/>
          <w:lang w:val="it-IT"/>
        </w:rPr>
      </w:pPr>
      <w:r>
        <w:rPr>
          <w:noProof/>
          <w:lang w:val="it-IT"/>
        </w:rPr>
        <w:t xml:space="preserve">La farmacocinetica di tocilizumab è stata determinata effettuando un’analisi di farmacocinetica di popolazione su un database composto da 140 pazienti affetti da AIGs, trattati </w:t>
      </w:r>
      <w:del w:id="2580" w:author="Author">
        <w:r>
          <w:rPr>
            <w:noProof/>
            <w:lang w:val="it-IT"/>
          </w:rPr>
          <w:delText xml:space="preserve">per via endovenosa </w:delText>
        </w:r>
      </w:del>
      <w:r>
        <w:rPr>
          <w:noProof/>
          <w:lang w:val="it-IT"/>
        </w:rPr>
        <w:t xml:space="preserve">con 8 mg/kg </w:t>
      </w:r>
      <w:ins w:id="2581" w:author="Author">
        <w:r>
          <w:rPr>
            <w:noProof/>
            <w:lang w:val="it-IT"/>
          </w:rPr>
          <w:t xml:space="preserve">per via endovenosa </w:t>
        </w:r>
      </w:ins>
      <w:r>
        <w:rPr>
          <w:noProof/>
          <w:lang w:val="it-IT"/>
        </w:rPr>
        <w:t xml:space="preserve">ogni 2 settimane </w:t>
      </w:r>
      <w:r>
        <w:rPr>
          <w:noProof/>
          <w:szCs w:val="22"/>
          <w:lang w:val="it-IT"/>
        </w:rPr>
        <w:t xml:space="preserve">(pazienti con un peso corporeo ≥ 30 kg), </w:t>
      </w:r>
      <w:del w:id="2582" w:author="Author">
        <w:r>
          <w:rPr>
            <w:noProof/>
            <w:szCs w:val="22"/>
            <w:lang w:val="it-IT"/>
          </w:rPr>
          <w:delText xml:space="preserve">per via endovenoca </w:delText>
        </w:r>
      </w:del>
      <w:r>
        <w:rPr>
          <w:noProof/>
          <w:szCs w:val="22"/>
          <w:lang w:val="it-IT"/>
        </w:rPr>
        <w:t xml:space="preserve">con 12 mg/kg </w:t>
      </w:r>
      <w:ins w:id="2583" w:author="Author">
        <w:r>
          <w:rPr>
            <w:noProof/>
            <w:lang w:val="it-IT"/>
          </w:rPr>
          <w:t xml:space="preserve">per via endovenosa </w:t>
        </w:r>
      </w:ins>
      <w:r>
        <w:rPr>
          <w:noProof/>
          <w:szCs w:val="22"/>
          <w:lang w:val="it-IT"/>
        </w:rPr>
        <w:t>ogni 2 settimane (pazienti con un peso corporeo &lt; 30 kg), per via sottocutanea con 162 mg</w:t>
      </w:r>
      <w:ins w:id="2584" w:author="Author">
        <w:r>
          <w:rPr>
            <w:noProof/>
            <w:szCs w:val="22"/>
            <w:lang w:val="it-IT"/>
          </w:rPr>
          <w:t xml:space="preserve"> per via sottocutanea</w:t>
        </w:r>
      </w:ins>
      <w:del w:id="2585" w:author="Author">
        <w:r>
          <w:rPr>
            <w:noProof/>
            <w:szCs w:val="22"/>
            <w:lang w:val="it-IT"/>
          </w:rPr>
          <w:delText xml:space="preserve"> .</w:delText>
        </w:r>
      </w:del>
      <w:r>
        <w:rPr>
          <w:noProof/>
          <w:szCs w:val="22"/>
          <w:lang w:val="it-IT"/>
        </w:rPr>
        <w:t xml:space="preserve"> ogni settimana (pazienti di peso ≥ 30 kg) o </w:t>
      </w:r>
      <w:del w:id="2586" w:author="Author">
        <w:r>
          <w:rPr>
            <w:noProof/>
            <w:szCs w:val="22"/>
            <w:lang w:val="it-IT"/>
          </w:rPr>
          <w:delText xml:space="preserve">per via sottocutanea </w:delText>
        </w:r>
      </w:del>
      <w:r>
        <w:rPr>
          <w:noProof/>
          <w:szCs w:val="22"/>
          <w:lang w:val="it-IT"/>
        </w:rPr>
        <w:t xml:space="preserve">con 162 mg </w:t>
      </w:r>
      <w:ins w:id="2587" w:author="Author">
        <w:r>
          <w:rPr>
            <w:noProof/>
            <w:szCs w:val="22"/>
            <w:lang w:val="it-IT"/>
          </w:rPr>
          <w:t xml:space="preserve">per via sottocutanea </w:t>
        </w:r>
      </w:ins>
      <w:r>
        <w:rPr>
          <w:noProof/>
          <w:szCs w:val="22"/>
          <w:lang w:val="it-IT"/>
        </w:rPr>
        <w:t xml:space="preserve">ogni 10 giorni od ogni 2 settimane (pazienti di peso inferiore a 30 kg). </w:t>
      </w:r>
    </w:p>
    <w:p>
      <w:pPr>
        <w:numPr>
          <w:ilvl w:val="12"/>
          <w:numId w:val="0"/>
        </w:numPr>
        <w:tabs>
          <w:tab w:val="left" w:pos="180"/>
        </w:tabs>
        <w:ind w:right="-2"/>
        <w:rPr>
          <w:noProof/>
          <w:szCs w:val="22"/>
          <w:lang w:val="it-IT"/>
        </w:rPr>
      </w:pPr>
    </w:p>
    <w:p>
      <w:pPr>
        <w:keepNext/>
        <w:keepLines/>
        <w:numPr>
          <w:ilvl w:val="12"/>
          <w:numId w:val="0"/>
        </w:numPr>
        <w:ind w:right="-2"/>
        <w:rPr>
          <w:i/>
          <w:noProof/>
          <w:lang w:val="it-IT"/>
        </w:rPr>
      </w:pPr>
      <w:r>
        <w:rPr>
          <w:bCs/>
          <w:i/>
          <w:noProof/>
          <w:szCs w:val="22"/>
          <w:lang w:val="it-IT"/>
        </w:rPr>
        <w:t xml:space="preserve">Tabella 11. Parametri </w:t>
      </w:r>
      <w:del w:id="2588" w:author="Author">
        <w:r>
          <w:rPr>
            <w:bCs/>
            <w:i/>
            <w:noProof/>
            <w:szCs w:val="22"/>
            <w:lang w:val="it-IT"/>
          </w:rPr>
          <w:delText xml:space="preserve">previsti di </w:delText>
        </w:r>
      </w:del>
      <w:r>
        <w:rPr>
          <w:bCs/>
          <w:i/>
          <w:noProof/>
          <w:szCs w:val="22"/>
          <w:lang w:val="it-IT"/>
        </w:rPr>
        <w:t>farmacocinetic</w:t>
      </w:r>
      <w:ins w:id="2589" w:author="Author">
        <w:r>
          <w:rPr>
            <w:bCs/>
            <w:i/>
            <w:noProof/>
            <w:szCs w:val="22"/>
            <w:lang w:val="it-IT"/>
          </w:rPr>
          <w:t>i</w:t>
        </w:r>
      </w:ins>
      <w:del w:id="2590" w:author="Author">
        <w:r>
          <w:rPr>
            <w:bCs/>
            <w:i/>
            <w:noProof/>
            <w:szCs w:val="22"/>
            <w:lang w:val="it-IT"/>
          </w:rPr>
          <w:delText>a</w:delText>
        </w:r>
      </w:del>
      <w:r>
        <w:rPr>
          <w:bCs/>
          <w:i/>
          <w:noProof/>
          <w:szCs w:val="22"/>
          <w:lang w:val="it-IT"/>
        </w:rPr>
        <w:t xml:space="preserve"> (PK) </w:t>
      </w:r>
      <w:ins w:id="2591" w:author="Author">
        <w:r>
          <w:rPr>
            <w:bCs/>
            <w:i/>
            <w:noProof/>
            <w:szCs w:val="22"/>
            <w:lang w:val="it-IT"/>
          </w:rPr>
          <w:t xml:space="preserve">medi ± DS predetti </w:t>
        </w:r>
      </w:ins>
      <w:r>
        <w:rPr>
          <w:bCs/>
          <w:i/>
          <w:noProof/>
          <w:szCs w:val="22"/>
          <w:lang w:val="it-IT"/>
        </w:rPr>
        <w:t xml:space="preserve">allo stato stazionario </w:t>
      </w:r>
      <w:del w:id="2592" w:author="Author">
        <w:r>
          <w:rPr>
            <w:bCs/>
            <w:i/>
            <w:noProof/>
            <w:szCs w:val="22"/>
            <w:lang w:val="it-IT"/>
          </w:rPr>
          <w:delText xml:space="preserve">relativi a media </w:delText>
        </w:r>
      </w:del>
      <w:ins w:id="2593" w:author="Author">
        <w:del w:id="2594" w:author="Author">
          <w:r>
            <w:rPr>
              <w:bCs/>
              <w:i/>
              <w:noProof/>
              <w:szCs w:val="22"/>
              <w:lang w:val="it-IT"/>
            </w:rPr>
            <w:delText> </w:delText>
          </w:r>
        </w:del>
      </w:ins>
      <w:del w:id="2595" w:author="Author">
        <w:r>
          <w:rPr>
            <w:bCs/>
            <w:i/>
            <w:noProof/>
            <w:szCs w:val="22"/>
            <w:lang w:val="it-IT"/>
          </w:rPr>
          <w:delText>±</w:delText>
        </w:r>
      </w:del>
      <w:ins w:id="2596" w:author="Author">
        <w:del w:id="2597" w:author="Author">
          <w:r>
            <w:rPr>
              <w:bCs/>
              <w:i/>
              <w:noProof/>
              <w:szCs w:val="22"/>
              <w:lang w:val="it-IT"/>
            </w:rPr>
            <w:delText> </w:delText>
          </w:r>
        </w:del>
      </w:ins>
      <w:del w:id="2598" w:author="Author">
        <w:r>
          <w:rPr>
            <w:bCs/>
            <w:i/>
            <w:noProof/>
            <w:szCs w:val="22"/>
            <w:lang w:val="it-IT"/>
          </w:rPr>
          <w:delText xml:space="preserve"> DS </w:delText>
        </w:r>
      </w:del>
      <w:r>
        <w:rPr>
          <w:bCs/>
          <w:i/>
          <w:noProof/>
          <w:szCs w:val="22"/>
          <w:lang w:val="it-IT"/>
        </w:rPr>
        <w:t xml:space="preserve">dopo somministrazione endovenosa in soggetti affetti da </w:t>
      </w:r>
      <w:r>
        <w:rPr>
          <w:i/>
          <w:noProof/>
          <w:lang w:val="it-IT"/>
        </w:rPr>
        <w:t>AIGs</w:t>
      </w:r>
    </w:p>
    <w:p>
      <w:pPr>
        <w:keepNext/>
        <w:keepLines/>
        <w:numPr>
          <w:ilvl w:val="12"/>
          <w:numId w:val="0"/>
        </w:numPr>
        <w:ind w:right="-2"/>
        <w:rPr>
          <w:bCs/>
          <w:i/>
          <w:noProof/>
          <w:szCs w:val="22"/>
          <w:lang w:val="it-IT"/>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2599" w:author="Author">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055"/>
        <w:gridCol w:w="2757"/>
        <w:gridCol w:w="2977"/>
        <w:tblGridChange w:id="2600">
          <w:tblGrid>
            <w:gridCol w:w="2835"/>
            <w:gridCol w:w="2977"/>
            <w:gridCol w:w="2977"/>
          </w:tblGrid>
        </w:tblGridChange>
      </w:tblGrid>
      <w:tr>
        <w:trPr>
          <w:cantSplit/>
          <w:tblHeader/>
          <w:trPrChange w:id="2601" w:author="Author">
            <w:trPr>
              <w:cantSplit/>
              <w:trHeight w:val="452"/>
            </w:trPr>
          </w:trPrChange>
        </w:trPr>
        <w:tc>
          <w:tcPr>
            <w:tcW w:w="3055" w:type="dxa"/>
            <w:tcBorders>
              <w:top w:val="single" w:sz="4" w:space="0" w:color="auto"/>
              <w:left w:val="single" w:sz="4" w:space="0" w:color="auto"/>
              <w:bottom w:val="single" w:sz="4" w:space="0" w:color="auto"/>
              <w:right w:val="single" w:sz="4" w:space="0" w:color="auto"/>
            </w:tcBorders>
            <w:hideMark/>
            <w:tcPrChange w:id="2602"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2603" w:author="Author">
                <w:pPr>
                  <w:pStyle w:val="TextTi9"/>
                  <w:keepNext/>
                  <w:keepLines/>
                  <w:spacing w:after="120"/>
                </w:pPr>
              </w:pPrChange>
            </w:pPr>
            <w:r>
              <w:rPr>
                <w:rFonts w:ascii="Times New Roman" w:hAnsi="Times New Roman"/>
                <w:b/>
                <w:noProof/>
                <w:sz w:val="20"/>
                <w:szCs w:val="20"/>
                <w:lang w:val="it-IT"/>
              </w:rPr>
              <w:t xml:space="preserve">Parametro </w:t>
            </w:r>
            <w:del w:id="2604" w:author="Author">
              <w:r>
                <w:rPr>
                  <w:rFonts w:ascii="Times New Roman" w:hAnsi="Times New Roman"/>
                  <w:b/>
                  <w:noProof/>
                  <w:sz w:val="20"/>
                  <w:szCs w:val="20"/>
                  <w:lang w:val="it-IT"/>
                </w:rPr>
                <w:delText xml:space="preserve">di </w:delText>
              </w:r>
            </w:del>
            <w:r>
              <w:rPr>
                <w:rFonts w:ascii="Times New Roman" w:hAnsi="Times New Roman"/>
                <w:b/>
                <w:noProof/>
                <w:sz w:val="20"/>
                <w:szCs w:val="20"/>
                <w:lang w:val="it-IT"/>
              </w:rPr>
              <w:t>PK di tocilizumab</w:t>
            </w:r>
          </w:p>
        </w:tc>
        <w:tc>
          <w:tcPr>
            <w:tcW w:w="2757" w:type="dxa"/>
            <w:tcBorders>
              <w:top w:val="single" w:sz="4" w:space="0" w:color="auto"/>
              <w:left w:val="single" w:sz="4" w:space="0" w:color="auto"/>
              <w:bottom w:val="single" w:sz="4" w:space="0" w:color="auto"/>
              <w:right w:val="single" w:sz="4" w:space="0" w:color="auto"/>
            </w:tcBorders>
            <w:hideMark/>
            <w:tcPrChange w:id="2605"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del w:id="2606" w:author="Author"/>
                <w:rFonts w:ascii="Times New Roman" w:hAnsi="Times New Roman"/>
                <w:b/>
                <w:noProof/>
                <w:sz w:val="20"/>
                <w:szCs w:val="20"/>
                <w:lang w:val="it-IT"/>
              </w:rPr>
              <w:pPrChange w:id="2607" w:author="Author">
                <w:pPr>
                  <w:pStyle w:val="TextTi9"/>
                  <w:keepNext/>
                  <w:keepLines/>
                  <w:spacing w:after="0"/>
                  <w:jc w:val="center"/>
                </w:pPr>
              </w:pPrChange>
            </w:pPr>
            <w:r>
              <w:rPr>
                <w:rFonts w:ascii="Times New Roman" w:hAnsi="Times New Roman"/>
                <w:b/>
                <w:noProof/>
                <w:sz w:val="20"/>
                <w:szCs w:val="20"/>
                <w:lang w:val="it-IT"/>
              </w:rPr>
              <w:t>8</w:t>
            </w:r>
            <w:del w:id="2608" w:author="Author">
              <w:r>
                <w:rPr>
                  <w:rFonts w:ascii="Times New Roman" w:hAnsi="Times New Roman"/>
                  <w:b/>
                  <w:noProof/>
                  <w:sz w:val="20"/>
                  <w:szCs w:val="20"/>
                  <w:lang w:val="it-IT"/>
                </w:rPr>
                <w:delText xml:space="preserve"> </w:delText>
              </w:r>
            </w:del>
            <w:ins w:id="2609" w:author="Author">
              <w:r>
                <w:rPr>
                  <w:rFonts w:ascii="Times New Roman" w:hAnsi="Times New Roman"/>
                  <w:b/>
                  <w:noProof/>
                  <w:sz w:val="20"/>
                  <w:szCs w:val="20"/>
                  <w:lang w:val="it-IT"/>
                </w:rPr>
                <w:t> </w:t>
              </w:r>
            </w:ins>
            <w:r>
              <w:rPr>
                <w:rFonts w:ascii="Times New Roman" w:hAnsi="Times New Roman"/>
                <w:b/>
                <w:noProof/>
                <w:sz w:val="20"/>
                <w:szCs w:val="20"/>
                <w:lang w:val="it-IT"/>
              </w:rPr>
              <w:t>mg/kg Q2W</w:t>
            </w:r>
            <w:ins w:id="2610" w:author="Author">
              <w:r>
                <w:rPr>
                  <w:rFonts w:ascii="Times New Roman" w:hAnsi="Times New Roman"/>
                  <w:b/>
                  <w:noProof/>
                  <w:sz w:val="20"/>
                  <w:szCs w:val="20"/>
                  <w:lang w:val="it-IT"/>
                </w:rPr>
                <w:t xml:space="preserve"> </w:t>
              </w:r>
            </w:ins>
          </w:p>
          <w:p>
            <w:pPr>
              <w:pStyle w:val="TextTi9"/>
              <w:keepNext/>
              <w:suppressAutoHyphens/>
              <w:spacing w:after="0"/>
              <w:jc w:val="center"/>
              <w:rPr>
                <w:rFonts w:ascii="Times New Roman" w:hAnsi="Times New Roman"/>
                <w:b/>
                <w:noProof/>
                <w:sz w:val="20"/>
                <w:szCs w:val="20"/>
                <w:lang w:val="it-IT"/>
              </w:rPr>
              <w:pPrChange w:id="2611" w:author="Author">
                <w:pPr>
                  <w:pStyle w:val="TextTi9"/>
                  <w:keepNext/>
                  <w:keepLines/>
                  <w:spacing w:after="120"/>
                  <w:jc w:val="center"/>
                </w:pPr>
              </w:pPrChange>
            </w:pPr>
            <w:r>
              <w:rPr>
                <w:rFonts w:ascii="Times New Roman" w:hAnsi="Times New Roman"/>
                <w:b/>
                <w:noProof/>
                <w:sz w:val="20"/>
                <w:szCs w:val="20"/>
                <w:lang w:val="it-IT"/>
              </w:rPr>
              <w:t>≥</w:t>
            </w:r>
            <w:del w:id="2612" w:author="Author">
              <w:r>
                <w:rPr>
                  <w:rFonts w:ascii="Times New Roman" w:hAnsi="Times New Roman"/>
                  <w:b/>
                  <w:noProof/>
                  <w:sz w:val="20"/>
                  <w:szCs w:val="20"/>
                  <w:lang w:val="it-IT"/>
                </w:rPr>
                <w:delText xml:space="preserve"> </w:delText>
              </w:r>
            </w:del>
            <w:ins w:id="2613" w:author="Author">
              <w:r>
                <w:rPr>
                  <w:rFonts w:ascii="Times New Roman" w:hAnsi="Times New Roman"/>
                  <w:b/>
                  <w:noProof/>
                  <w:sz w:val="20"/>
                  <w:szCs w:val="20"/>
                  <w:lang w:val="it-IT"/>
                </w:rPr>
                <w:t> </w:t>
              </w:r>
            </w:ins>
            <w:r>
              <w:rPr>
                <w:rFonts w:ascii="Times New Roman" w:hAnsi="Times New Roman"/>
                <w:b/>
                <w:noProof/>
                <w:sz w:val="20"/>
                <w:szCs w:val="20"/>
                <w:lang w:val="it-IT"/>
              </w:rPr>
              <w:t>30</w:t>
            </w:r>
            <w:ins w:id="2614" w:author="Author">
              <w:r>
                <w:rPr>
                  <w:rFonts w:ascii="Times New Roman" w:hAnsi="Times New Roman"/>
                  <w:b/>
                  <w:noProof/>
                  <w:sz w:val="20"/>
                  <w:szCs w:val="20"/>
                  <w:lang w:val="it-IT"/>
                </w:rPr>
                <w:t> </w:t>
              </w:r>
            </w:ins>
            <w:del w:id="2615" w:author="Author">
              <w:r>
                <w:rPr>
                  <w:rFonts w:ascii="Times New Roman" w:hAnsi="Times New Roman"/>
                  <w:b/>
                  <w:noProof/>
                  <w:sz w:val="20"/>
                  <w:szCs w:val="20"/>
                  <w:lang w:val="it-IT"/>
                </w:rPr>
                <w:delText xml:space="preserve"> </w:delText>
              </w:r>
            </w:del>
            <w:r>
              <w:rPr>
                <w:rFonts w:ascii="Times New Roman" w:hAnsi="Times New Roman"/>
                <w:b/>
                <w:noProof/>
                <w:sz w:val="20"/>
                <w:szCs w:val="20"/>
                <w:lang w:val="it-IT"/>
              </w:rPr>
              <w:t>kg</w:t>
            </w:r>
          </w:p>
        </w:tc>
        <w:tc>
          <w:tcPr>
            <w:tcW w:w="2977" w:type="dxa"/>
            <w:tcBorders>
              <w:top w:val="single" w:sz="4" w:space="0" w:color="auto"/>
              <w:left w:val="single" w:sz="4" w:space="0" w:color="auto"/>
              <w:bottom w:val="single" w:sz="4" w:space="0" w:color="auto"/>
              <w:right w:val="single" w:sz="4" w:space="0" w:color="auto"/>
            </w:tcBorders>
            <w:hideMark/>
            <w:tcPrChange w:id="2616"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del w:id="2617" w:author="Author"/>
                <w:rFonts w:ascii="Times New Roman" w:hAnsi="Times New Roman"/>
                <w:b/>
                <w:noProof/>
                <w:sz w:val="20"/>
                <w:szCs w:val="20"/>
                <w:lang w:val="it-IT"/>
              </w:rPr>
              <w:pPrChange w:id="2618" w:author="Author">
                <w:pPr>
                  <w:pStyle w:val="TextTi9"/>
                  <w:keepNext/>
                  <w:keepLines/>
                  <w:spacing w:after="0"/>
                  <w:jc w:val="center"/>
                </w:pPr>
              </w:pPrChange>
            </w:pPr>
            <w:r>
              <w:rPr>
                <w:rFonts w:ascii="Times New Roman" w:hAnsi="Times New Roman"/>
                <w:b/>
                <w:noProof/>
                <w:sz w:val="20"/>
                <w:szCs w:val="20"/>
                <w:lang w:val="it-IT"/>
              </w:rPr>
              <w:t>12 mg/kg Q2W</w:t>
            </w:r>
            <w:ins w:id="2619" w:author="Author">
              <w:r>
                <w:rPr>
                  <w:rFonts w:ascii="Times New Roman" w:hAnsi="Times New Roman"/>
                  <w:b/>
                  <w:noProof/>
                  <w:sz w:val="20"/>
                  <w:szCs w:val="20"/>
                  <w:lang w:val="it-IT"/>
                </w:rPr>
                <w:t xml:space="preserve"> </w:t>
              </w:r>
            </w:ins>
          </w:p>
          <w:p>
            <w:pPr>
              <w:pStyle w:val="TextTi9"/>
              <w:keepNext/>
              <w:suppressAutoHyphens/>
              <w:spacing w:after="0"/>
              <w:jc w:val="center"/>
              <w:rPr>
                <w:rFonts w:ascii="Times New Roman" w:hAnsi="Times New Roman"/>
                <w:b/>
                <w:noProof/>
                <w:sz w:val="20"/>
                <w:szCs w:val="20"/>
                <w:lang w:val="it-IT"/>
              </w:rPr>
              <w:pPrChange w:id="2620" w:author="Author">
                <w:pPr>
                  <w:pStyle w:val="TextTi9"/>
                  <w:keepNext/>
                  <w:keepLines/>
                  <w:spacing w:after="120"/>
                  <w:jc w:val="center"/>
                </w:pPr>
              </w:pPrChange>
            </w:pPr>
            <w:r>
              <w:rPr>
                <w:rFonts w:ascii="Times New Roman" w:hAnsi="Times New Roman"/>
                <w:b/>
                <w:noProof/>
                <w:sz w:val="20"/>
                <w:szCs w:val="20"/>
                <w:lang w:val="it-IT"/>
              </w:rPr>
              <w:t>&lt;</w:t>
            </w:r>
            <w:ins w:id="2621" w:author="Author">
              <w:r>
                <w:rPr>
                  <w:rFonts w:ascii="Times New Roman" w:hAnsi="Times New Roman"/>
                  <w:b/>
                  <w:noProof/>
                  <w:sz w:val="20"/>
                  <w:szCs w:val="20"/>
                  <w:lang w:val="it-IT"/>
                </w:rPr>
                <w:t> </w:t>
              </w:r>
            </w:ins>
            <w:del w:id="2622" w:author="Author">
              <w:r>
                <w:rPr>
                  <w:rFonts w:ascii="Times New Roman" w:hAnsi="Times New Roman"/>
                  <w:b/>
                  <w:noProof/>
                  <w:sz w:val="20"/>
                  <w:szCs w:val="20"/>
                  <w:lang w:val="it-IT"/>
                </w:rPr>
                <w:delText xml:space="preserve"> </w:delText>
              </w:r>
            </w:del>
            <w:r>
              <w:rPr>
                <w:rFonts w:ascii="Times New Roman" w:hAnsi="Times New Roman"/>
                <w:b/>
                <w:noProof/>
                <w:sz w:val="20"/>
                <w:szCs w:val="20"/>
                <w:lang w:val="it-IT"/>
              </w:rPr>
              <w:t>30</w:t>
            </w:r>
            <w:ins w:id="2623" w:author="Author">
              <w:r>
                <w:rPr>
                  <w:rFonts w:ascii="Times New Roman" w:hAnsi="Times New Roman"/>
                  <w:b/>
                  <w:noProof/>
                  <w:sz w:val="20"/>
                  <w:szCs w:val="20"/>
                  <w:lang w:val="it-IT"/>
                </w:rPr>
                <w:t> </w:t>
              </w:r>
            </w:ins>
            <w:del w:id="2624" w:author="Author">
              <w:r>
                <w:rPr>
                  <w:rFonts w:ascii="Times New Roman" w:hAnsi="Times New Roman"/>
                  <w:b/>
                  <w:noProof/>
                  <w:sz w:val="20"/>
                  <w:szCs w:val="20"/>
                  <w:lang w:val="it-IT"/>
                </w:rPr>
                <w:delText xml:space="preserve"> </w:delText>
              </w:r>
            </w:del>
            <w:r>
              <w:rPr>
                <w:rFonts w:ascii="Times New Roman" w:hAnsi="Times New Roman"/>
                <w:b/>
                <w:noProof/>
                <w:sz w:val="20"/>
                <w:szCs w:val="20"/>
                <w:lang w:val="it-IT"/>
              </w:rPr>
              <w:t>kg</w:t>
            </w:r>
          </w:p>
        </w:tc>
      </w:tr>
      <w:tr>
        <w:trPr>
          <w:cantSplit/>
          <w:trPrChange w:id="2625" w:author="Author">
            <w:trPr>
              <w:cantSplit/>
              <w:trHeight w:val="195"/>
            </w:trPr>
          </w:trPrChange>
        </w:trPr>
        <w:tc>
          <w:tcPr>
            <w:tcW w:w="3055" w:type="dxa"/>
            <w:tcBorders>
              <w:top w:val="single" w:sz="4" w:space="0" w:color="auto"/>
              <w:left w:val="single" w:sz="4" w:space="0" w:color="auto"/>
              <w:bottom w:val="single" w:sz="4" w:space="0" w:color="auto"/>
              <w:right w:val="single" w:sz="4" w:space="0" w:color="auto"/>
            </w:tcBorders>
            <w:hideMark/>
            <w:tcPrChange w:id="2626"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rPr>
                <w:rFonts w:ascii="Times New Roman" w:hAnsi="Times New Roman"/>
                <w:noProof/>
                <w:sz w:val="20"/>
                <w:szCs w:val="20"/>
                <w:lang w:val="it-IT"/>
              </w:rPr>
              <w:pPrChange w:id="2627" w:author="Author">
                <w:pPr>
                  <w:pStyle w:val="TextTi9"/>
                  <w:keepNext/>
                  <w:keepLines/>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max</w:t>
            </w:r>
            <w:r>
              <w:rPr>
                <w:rFonts w:ascii="Times New Roman" w:hAnsi="Times New Roman"/>
                <w:noProof/>
                <w:sz w:val="20"/>
                <w:szCs w:val="20"/>
                <w:lang w:val="it-IT"/>
              </w:rPr>
              <w:t xml:space="preserve"> (µg/mL)</w:t>
            </w:r>
          </w:p>
        </w:tc>
        <w:tc>
          <w:tcPr>
            <w:tcW w:w="2757" w:type="dxa"/>
            <w:tcBorders>
              <w:top w:val="single" w:sz="4" w:space="0" w:color="auto"/>
              <w:left w:val="single" w:sz="4" w:space="0" w:color="auto"/>
              <w:bottom w:val="single" w:sz="4" w:space="0" w:color="auto"/>
              <w:right w:val="single" w:sz="4" w:space="0" w:color="auto"/>
            </w:tcBorders>
            <w:hideMark/>
            <w:tcPrChange w:id="2628"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jc w:val="center"/>
              <w:rPr>
                <w:rFonts w:ascii="Times New Roman" w:hAnsi="Times New Roman"/>
                <w:noProof/>
                <w:sz w:val="20"/>
                <w:szCs w:val="20"/>
                <w:lang w:val="it-IT"/>
              </w:rPr>
              <w:pPrChange w:id="2629" w:author="Author">
                <w:pPr>
                  <w:pStyle w:val="TextTi9"/>
                  <w:keepNext/>
                  <w:keepLines/>
                  <w:spacing w:after="120"/>
                  <w:jc w:val="center"/>
                </w:pPr>
              </w:pPrChange>
            </w:pPr>
            <w:r>
              <w:rPr>
                <w:rFonts w:ascii="Times New Roman" w:eastAsia="SimSun" w:hAnsi="Times New Roman"/>
                <w:noProof/>
                <w:sz w:val="20"/>
                <w:szCs w:val="20"/>
                <w:lang w:val="it-IT"/>
              </w:rPr>
              <w:t>256</w:t>
            </w:r>
            <w:del w:id="2630" w:author="Author">
              <w:r>
                <w:rPr>
                  <w:rFonts w:ascii="Times New Roman" w:eastAsia="SimSun" w:hAnsi="Times New Roman"/>
                  <w:noProof/>
                  <w:sz w:val="20"/>
                  <w:szCs w:val="20"/>
                  <w:lang w:val="it-IT"/>
                </w:rPr>
                <w:delText xml:space="preserve"> </w:delText>
              </w:r>
            </w:del>
            <w:ins w:id="2631" w:author="Author">
              <w:r>
                <w:rPr>
                  <w:rFonts w:ascii="Times New Roman" w:eastAsia="SimSun" w:hAnsi="Times New Roman"/>
                  <w:noProof/>
                  <w:sz w:val="20"/>
                  <w:szCs w:val="20"/>
                  <w:lang w:val="it-IT"/>
                </w:rPr>
                <w:t> </w:t>
              </w:r>
            </w:ins>
            <w:r>
              <w:rPr>
                <w:rFonts w:ascii="Times New Roman" w:eastAsia="SimSun" w:hAnsi="Times New Roman"/>
                <w:noProof/>
                <w:sz w:val="20"/>
                <w:szCs w:val="20"/>
                <w:lang w:val="it-IT"/>
              </w:rPr>
              <w:t>±</w:t>
            </w:r>
            <w:ins w:id="2632" w:author="Author">
              <w:r>
                <w:rPr>
                  <w:rFonts w:ascii="Times New Roman" w:eastAsia="SimSun" w:hAnsi="Times New Roman"/>
                  <w:noProof/>
                  <w:sz w:val="20"/>
                  <w:szCs w:val="20"/>
                  <w:lang w:val="it-IT"/>
                </w:rPr>
                <w:t> </w:t>
              </w:r>
            </w:ins>
            <w:del w:id="2633" w:author="Author">
              <w:r>
                <w:rPr>
                  <w:rFonts w:ascii="Times New Roman" w:eastAsia="SimSun" w:hAnsi="Times New Roman"/>
                  <w:noProof/>
                  <w:sz w:val="20"/>
                  <w:szCs w:val="20"/>
                  <w:lang w:val="it-IT"/>
                </w:rPr>
                <w:delText xml:space="preserve"> </w:delText>
              </w:r>
            </w:del>
            <w:r>
              <w:rPr>
                <w:rFonts w:ascii="Times New Roman" w:eastAsia="SimSun" w:hAnsi="Times New Roman"/>
                <w:noProof/>
                <w:sz w:val="20"/>
                <w:szCs w:val="20"/>
                <w:lang w:val="it-IT"/>
              </w:rPr>
              <w:t>60,8</w:t>
            </w:r>
          </w:p>
        </w:tc>
        <w:tc>
          <w:tcPr>
            <w:tcW w:w="2977" w:type="dxa"/>
            <w:tcBorders>
              <w:top w:val="single" w:sz="4" w:space="0" w:color="auto"/>
              <w:left w:val="single" w:sz="4" w:space="0" w:color="auto"/>
              <w:bottom w:val="single" w:sz="4" w:space="0" w:color="auto"/>
              <w:right w:val="single" w:sz="4" w:space="0" w:color="auto"/>
            </w:tcBorders>
            <w:hideMark/>
            <w:tcPrChange w:id="2634"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jc w:val="center"/>
              <w:rPr>
                <w:rFonts w:ascii="Times New Roman" w:eastAsia="SimSun" w:hAnsi="Times New Roman"/>
                <w:noProof/>
                <w:sz w:val="20"/>
                <w:szCs w:val="20"/>
                <w:lang w:val="it-IT"/>
              </w:rPr>
              <w:pPrChange w:id="2635" w:author="Author">
                <w:pPr>
                  <w:pStyle w:val="TextTi9"/>
                  <w:keepNext/>
                  <w:keepLines/>
                  <w:spacing w:after="120"/>
                  <w:jc w:val="center"/>
                </w:pPr>
              </w:pPrChange>
            </w:pPr>
            <w:r>
              <w:rPr>
                <w:rFonts w:ascii="Times New Roman" w:hAnsi="Times New Roman"/>
                <w:noProof/>
                <w:sz w:val="20"/>
                <w:szCs w:val="20"/>
                <w:lang w:val="it-IT"/>
              </w:rPr>
              <w:t>274</w:t>
            </w:r>
            <w:ins w:id="2636" w:author="Author">
              <w:r>
                <w:rPr>
                  <w:rFonts w:ascii="Times New Roman" w:hAnsi="Times New Roman"/>
                  <w:noProof/>
                  <w:sz w:val="20"/>
                  <w:szCs w:val="20"/>
                  <w:lang w:val="it-IT"/>
                </w:rPr>
                <w:t> </w:t>
              </w:r>
            </w:ins>
            <w:del w:id="2637" w:author="Author">
              <w:r>
                <w:rPr>
                  <w:rFonts w:ascii="Times New Roman" w:hAnsi="Times New Roman"/>
                  <w:noProof/>
                  <w:sz w:val="20"/>
                  <w:szCs w:val="20"/>
                  <w:lang w:val="it-IT"/>
                </w:rPr>
                <w:delText xml:space="preserve"> </w:delText>
              </w:r>
            </w:del>
            <w:r>
              <w:rPr>
                <w:rFonts w:ascii="Times New Roman" w:hAnsi="Times New Roman" w:hint="eastAsia"/>
                <w:noProof/>
                <w:sz w:val="20"/>
                <w:szCs w:val="20"/>
                <w:lang w:val="it-IT"/>
                <w:rPrChange w:id="2638" w:author="Author">
                  <w:rPr>
                    <w:rFonts w:ascii="Symbol" w:hAnsi="Symbol" w:hint="eastAsia"/>
                    <w:sz w:val="20"/>
                    <w:szCs w:val="20"/>
                    <w:lang w:val="it-IT"/>
                  </w:rPr>
                </w:rPrChange>
              </w:rPr>
              <w:sym w:font="Symbol" w:char="F0B1"/>
            </w:r>
            <w:r>
              <w:rPr>
                <w:rFonts w:ascii="Times New Roman" w:hAnsi="Times New Roman"/>
                <w:noProof/>
                <w:sz w:val="20"/>
                <w:szCs w:val="20"/>
                <w:lang w:val="it-IT"/>
              </w:rPr>
              <w:t> 63,8</w:t>
            </w:r>
          </w:p>
        </w:tc>
      </w:tr>
      <w:tr>
        <w:trPr>
          <w:cantSplit/>
          <w:trPrChange w:id="2639" w:author="Author">
            <w:trPr>
              <w:cantSplit/>
              <w:trHeight w:val="195"/>
            </w:trPr>
          </w:trPrChange>
        </w:trPr>
        <w:tc>
          <w:tcPr>
            <w:tcW w:w="3055" w:type="dxa"/>
            <w:tcBorders>
              <w:top w:val="single" w:sz="4" w:space="0" w:color="auto"/>
              <w:left w:val="single" w:sz="4" w:space="0" w:color="auto"/>
              <w:bottom w:val="single" w:sz="4" w:space="0" w:color="auto"/>
              <w:right w:val="single" w:sz="4" w:space="0" w:color="auto"/>
            </w:tcBorders>
            <w:hideMark/>
            <w:tcPrChange w:id="2640"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rPr>
                <w:rFonts w:ascii="Times New Roman" w:hAnsi="Times New Roman"/>
                <w:noProof/>
                <w:sz w:val="20"/>
                <w:szCs w:val="20"/>
                <w:lang w:val="it-IT"/>
              </w:rPr>
              <w:pPrChange w:id="2641" w:author="Author">
                <w:pPr>
                  <w:pStyle w:val="TextTi9"/>
                  <w:keepNext/>
                  <w:keepLines/>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trough</w:t>
            </w:r>
            <w:r>
              <w:rPr>
                <w:rFonts w:ascii="Times New Roman" w:hAnsi="Times New Roman"/>
                <w:noProof/>
                <w:sz w:val="20"/>
                <w:szCs w:val="20"/>
                <w:lang w:val="it-IT"/>
              </w:rPr>
              <w:t xml:space="preserve"> (µg/mL)</w:t>
            </w:r>
          </w:p>
        </w:tc>
        <w:tc>
          <w:tcPr>
            <w:tcW w:w="2757" w:type="dxa"/>
            <w:tcBorders>
              <w:top w:val="single" w:sz="4" w:space="0" w:color="auto"/>
              <w:left w:val="single" w:sz="4" w:space="0" w:color="auto"/>
              <w:bottom w:val="single" w:sz="4" w:space="0" w:color="auto"/>
              <w:right w:val="single" w:sz="4" w:space="0" w:color="auto"/>
            </w:tcBorders>
            <w:hideMark/>
            <w:tcPrChange w:id="2642"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jc w:val="center"/>
              <w:rPr>
                <w:rFonts w:ascii="Times New Roman" w:hAnsi="Times New Roman"/>
                <w:noProof/>
                <w:sz w:val="20"/>
                <w:szCs w:val="20"/>
                <w:lang w:val="it-IT"/>
              </w:rPr>
              <w:pPrChange w:id="2643" w:author="Author">
                <w:pPr>
                  <w:pStyle w:val="TextTi9"/>
                  <w:keepNext/>
                  <w:keepLines/>
                  <w:spacing w:after="120"/>
                  <w:jc w:val="center"/>
                </w:pPr>
              </w:pPrChange>
            </w:pPr>
            <w:r>
              <w:rPr>
                <w:rFonts w:ascii="Times New Roman" w:eastAsia="SimSun" w:hAnsi="Times New Roman"/>
                <w:noProof/>
                <w:sz w:val="20"/>
                <w:szCs w:val="20"/>
                <w:lang w:val="it-IT"/>
              </w:rPr>
              <w:t>69,7</w:t>
            </w:r>
            <w:del w:id="2644" w:author="Author">
              <w:r>
                <w:rPr>
                  <w:rFonts w:ascii="Times New Roman" w:eastAsia="SimSun" w:hAnsi="Times New Roman"/>
                  <w:noProof/>
                  <w:sz w:val="20"/>
                  <w:szCs w:val="20"/>
                  <w:lang w:val="it-IT"/>
                </w:rPr>
                <w:delText xml:space="preserve"> </w:delText>
              </w:r>
            </w:del>
            <w:ins w:id="2645" w:author="Author">
              <w:r>
                <w:rPr>
                  <w:rFonts w:ascii="Times New Roman" w:eastAsia="SimSun" w:hAnsi="Times New Roman"/>
                  <w:noProof/>
                  <w:sz w:val="20"/>
                  <w:szCs w:val="20"/>
                  <w:lang w:val="it-IT"/>
                </w:rPr>
                <w:t> </w:t>
              </w:r>
            </w:ins>
            <w:r>
              <w:rPr>
                <w:rFonts w:ascii="Times New Roman" w:eastAsia="SimSun" w:hAnsi="Times New Roman"/>
                <w:noProof/>
                <w:sz w:val="20"/>
                <w:szCs w:val="20"/>
                <w:lang w:val="it-IT"/>
              </w:rPr>
              <w:t>±</w:t>
            </w:r>
            <w:ins w:id="2646" w:author="Author">
              <w:r>
                <w:rPr>
                  <w:rFonts w:ascii="Times New Roman" w:eastAsia="SimSun" w:hAnsi="Times New Roman"/>
                  <w:noProof/>
                  <w:sz w:val="20"/>
                  <w:szCs w:val="20"/>
                  <w:lang w:val="it-IT"/>
                </w:rPr>
                <w:t> </w:t>
              </w:r>
            </w:ins>
            <w:del w:id="2647" w:author="Author">
              <w:r>
                <w:rPr>
                  <w:rFonts w:ascii="Times New Roman" w:eastAsia="SimSun" w:hAnsi="Times New Roman"/>
                  <w:noProof/>
                  <w:sz w:val="20"/>
                  <w:szCs w:val="20"/>
                  <w:lang w:val="it-IT"/>
                </w:rPr>
                <w:delText xml:space="preserve"> </w:delText>
              </w:r>
            </w:del>
            <w:r>
              <w:rPr>
                <w:rFonts w:ascii="Times New Roman" w:eastAsia="SimSun" w:hAnsi="Times New Roman"/>
                <w:noProof/>
                <w:sz w:val="20"/>
                <w:szCs w:val="20"/>
                <w:lang w:val="it-IT"/>
              </w:rPr>
              <w:t>29,1</w:t>
            </w:r>
          </w:p>
        </w:tc>
        <w:tc>
          <w:tcPr>
            <w:tcW w:w="2977" w:type="dxa"/>
            <w:tcBorders>
              <w:top w:val="single" w:sz="4" w:space="0" w:color="auto"/>
              <w:left w:val="single" w:sz="4" w:space="0" w:color="auto"/>
              <w:bottom w:val="single" w:sz="4" w:space="0" w:color="auto"/>
              <w:right w:val="single" w:sz="4" w:space="0" w:color="auto"/>
            </w:tcBorders>
            <w:hideMark/>
            <w:tcPrChange w:id="2648"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jc w:val="center"/>
              <w:rPr>
                <w:rFonts w:ascii="Times New Roman" w:hAnsi="Times New Roman"/>
                <w:noProof/>
                <w:sz w:val="20"/>
                <w:szCs w:val="20"/>
                <w:lang w:val="it-IT"/>
              </w:rPr>
              <w:pPrChange w:id="2649" w:author="Author">
                <w:pPr>
                  <w:pStyle w:val="TextTi9"/>
                  <w:keepNext/>
                  <w:keepLines/>
                  <w:spacing w:after="120"/>
                  <w:jc w:val="center"/>
                </w:pPr>
              </w:pPrChange>
            </w:pPr>
            <w:r>
              <w:rPr>
                <w:rFonts w:ascii="Times New Roman" w:hAnsi="Times New Roman"/>
                <w:noProof/>
                <w:sz w:val="20"/>
                <w:szCs w:val="20"/>
                <w:lang w:val="it-IT"/>
              </w:rPr>
              <w:t>68,4</w:t>
            </w:r>
            <w:del w:id="2650" w:author="Author">
              <w:r>
                <w:rPr>
                  <w:rFonts w:ascii="Times New Roman" w:hAnsi="Times New Roman"/>
                  <w:noProof/>
                  <w:sz w:val="20"/>
                  <w:szCs w:val="20"/>
                  <w:lang w:val="it-IT"/>
                </w:rPr>
                <w:delText xml:space="preserve"> </w:delText>
              </w:r>
            </w:del>
            <w:ins w:id="2651" w:author="Author">
              <w:r>
                <w:rPr>
                  <w:rFonts w:ascii="Times New Roman" w:hAnsi="Times New Roman"/>
                  <w:noProof/>
                  <w:sz w:val="20"/>
                  <w:szCs w:val="20"/>
                  <w:lang w:val="it-IT"/>
                </w:rPr>
                <w:t> </w:t>
              </w:r>
            </w:ins>
            <w:r>
              <w:rPr>
                <w:rFonts w:ascii="Times New Roman" w:hAnsi="Times New Roman" w:hint="eastAsia"/>
                <w:noProof/>
                <w:sz w:val="20"/>
                <w:szCs w:val="20"/>
                <w:lang w:val="it-IT"/>
                <w:rPrChange w:id="2652" w:author="Author">
                  <w:rPr>
                    <w:rFonts w:ascii="Symbol" w:hAnsi="Symbol" w:hint="eastAsia"/>
                    <w:sz w:val="20"/>
                    <w:szCs w:val="20"/>
                    <w:lang w:val="it-IT"/>
                  </w:rPr>
                </w:rPrChange>
              </w:rPr>
              <w:sym w:font="Symbol" w:char="F0B1"/>
            </w:r>
            <w:r>
              <w:rPr>
                <w:rFonts w:ascii="Times New Roman" w:hAnsi="Times New Roman"/>
                <w:noProof/>
                <w:sz w:val="20"/>
                <w:szCs w:val="20"/>
                <w:lang w:val="it-IT"/>
              </w:rPr>
              <w:t> 30,0</w:t>
            </w:r>
          </w:p>
        </w:tc>
      </w:tr>
      <w:tr>
        <w:trPr>
          <w:cantSplit/>
          <w:trPrChange w:id="2653" w:author="Author">
            <w:trPr>
              <w:cantSplit/>
              <w:trHeight w:val="324"/>
            </w:trPr>
          </w:trPrChange>
        </w:trPr>
        <w:tc>
          <w:tcPr>
            <w:tcW w:w="3055" w:type="dxa"/>
            <w:tcBorders>
              <w:top w:val="single" w:sz="4" w:space="0" w:color="auto"/>
              <w:left w:val="single" w:sz="4" w:space="0" w:color="auto"/>
              <w:bottom w:val="single" w:sz="4" w:space="0" w:color="auto"/>
              <w:right w:val="single" w:sz="4" w:space="0" w:color="auto"/>
            </w:tcBorders>
            <w:hideMark/>
            <w:tcPrChange w:id="2654"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rPr>
                <w:rFonts w:ascii="Times New Roman" w:hAnsi="Times New Roman"/>
                <w:noProof/>
                <w:sz w:val="20"/>
                <w:szCs w:val="20"/>
                <w:lang w:val="it-IT"/>
              </w:rPr>
              <w:pPrChange w:id="2655" w:author="Author">
                <w:pPr>
                  <w:pStyle w:val="TextTi9"/>
                  <w:keepNext/>
                  <w:keepLines/>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mean</w:t>
            </w:r>
            <w:r>
              <w:rPr>
                <w:rFonts w:ascii="Times New Roman" w:hAnsi="Times New Roman"/>
                <w:noProof/>
                <w:sz w:val="20"/>
                <w:szCs w:val="20"/>
                <w:lang w:val="it-IT"/>
              </w:rPr>
              <w:t xml:space="preserve"> (µg/mL)</w:t>
            </w:r>
          </w:p>
        </w:tc>
        <w:tc>
          <w:tcPr>
            <w:tcW w:w="2757" w:type="dxa"/>
            <w:tcBorders>
              <w:top w:val="single" w:sz="4" w:space="0" w:color="auto"/>
              <w:left w:val="single" w:sz="4" w:space="0" w:color="auto"/>
              <w:bottom w:val="single" w:sz="4" w:space="0" w:color="auto"/>
              <w:right w:val="single" w:sz="4" w:space="0" w:color="auto"/>
            </w:tcBorders>
            <w:hideMark/>
            <w:tcPrChange w:id="2656"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jc w:val="center"/>
              <w:rPr>
                <w:rFonts w:ascii="Times New Roman" w:hAnsi="Times New Roman"/>
                <w:noProof/>
                <w:sz w:val="20"/>
                <w:szCs w:val="20"/>
                <w:lang w:val="it-IT"/>
              </w:rPr>
              <w:pPrChange w:id="2657" w:author="Author">
                <w:pPr>
                  <w:pStyle w:val="TextTi9"/>
                  <w:keepNext/>
                  <w:keepLines/>
                  <w:spacing w:after="120"/>
                  <w:jc w:val="center"/>
                </w:pPr>
              </w:pPrChange>
            </w:pPr>
            <w:r>
              <w:rPr>
                <w:rFonts w:ascii="Times New Roman" w:hAnsi="Times New Roman"/>
                <w:noProof/>
                <w:sz w:val="20"/>
                <w:szCs w:val="20"/>
                <w:lang w:val="it-IT"/>
              </w:rPr>
              <w:t>119</w:t>
            </w:r>
            <w:del w:id="2658" w:author="Author">
              <w:r>
                <w:rPr>
                  <w:rFonts w:ascii="Times New Roman" w:hAnsi="Times New Roman"/>
                  <w:noProof/>
                  <w:sz w:val="20"/>
                  <w:szCs w:val="20"/>
                  <w:lang w:val="it-IT"/>
                </w:rPr>
                <w:delText xml:space="preserve"> </w:delText>
              </w:r>
            </w:del>
            <w:ins w:id="2659" w:author="Author">
              <w:r>
                <w:rPr>
                  <w:rFonts w:ascii="Times New Roman" w:hAnsi="Times New Roman"/>
                  <w:noProof/>
                  <w:sz w:val="20"/>
                  <w:szCs w:val="20"/>
                  <w:lang w:val="it-IT"/>
                </w:rPr>
                <w:t> </w:t>
              </w:r>
            </w:ins>
            <w:r>
              <w:rPr>
                <w:rFonts w:ascii="Times New Roman" w:hAnsi="Times New Roman"/>
                <w:noProof/>
                <w:sz w:val="20"/>
                <w:szCs w:val="20"/>
                <w:lang w:val="it-IT"/>
              </w:rPr>
              <w:t>±</w:t>
            </w:r>
            <w:ins w:id="2660" w:author="Author">
              <w:r>
                <w:rPr>
                  <w:rFonts w:ascii="Times New Roman" w:hAnsi="Times New Roman"/>
                  <w:noProof/>
                  <w:sz w:val="20"/>
                  <w:szCs w:val="20"/>
                  <w:lang w:val="it-IT"/>
                </w:rPr>
                <w:t> </w:t>
              </w:r>
            </w:ins>
            <w:del w:id="2661"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36,0</w:t>
            </w:r>
          </w:p>
        </w:tc>
        <w:tc>
          <w:tcPr>
            <w:tcW w:w="2977" w:type="dxa"/>
            <w:tcBorders>
              <w:top w:val="single" w:sz="4" w:space="0" w:color="auto"/>
              <w:left w:val="single" w:sz="4" w:space="0" w:color="auto"/>
              <w:bottom w:val="single" w:sz="4" w:space="0" w:color="auto"/>
              <w:right w:val="single" w:sz="4" w:space="0" w:color="auto"/>
            </w:tcBorders>
            <w:hideMark/>
            <w:tcPrChange w:id="2662"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jc w:val="center"/>
              <w:rPr>
                <w:rFonts w:ascii="Times New Roman" w:hAnsi="Times New Roman"/>
                <w:noProof/>
                <w:sz w:val="20"/>
                <w:szCs w:val="20"/>
                <w:lang w:val="it-IT"/>
              </w:rPr>
              <w:pPrChange w:id="2663" w:author="Author">
                <w:pPr>
                  <w:pStyle w:val="TextTi9"/>
                  <w:keepNext/>
                  <w:keepLines/>
                  <w:spacing w:after="120"/>
                  <w:jc w:val="center"/>
                </w:pPr>
              </w:pPrChange>
            </w:pPr>
            <w:r>
              <w:rPr>
                <w:rFonts w:ascii="Times New Roman" w:hAnsi="Times New Roman"/>
                <w:noProof/>
                <w:sz w:val="20"/>
                <w:szCs w:val="20"/>
                <w:lang w:val="it-IT"/>
              </w:rPr>
              <w:t>123</w:t>
            </w:r>
            <w:del w:id="2664" w:author="Author">
              <w:r>
                <w:rPr>
                  <w:rFonts w:ascii="Times New Roman" w:hAnsi="Times New Roman"/>
                  <w:noProof/>
                  <w:sz w:val="20"/>
                  <w:szCs w:val="20"/>
                  <w:lang w:val="it-IT"/>
                </w:rPr>
                <w:delText xml:space="preserve"> </w:delText>
              </w:r>
            </w:del>
            <w:ins w:id="2665" w:author="Author">
              <w:r>
                <w:rPr>
                  <w:rFonts w:ascii="Times New Roman" w:hAnsi="Times New Roman"/>
                  <w:noProof/>
                  <w:sz w:val="20"/>
                  <w:szCs w:val="20"/>
                  <w:lang w:val="it-IT"/>
                </w:rPr>
                <w:t> </w:t>
              </w:r>
            </w:ins>
            <w:r>
              <w:rPr>
                <w:rFonts w:ascii="Times New Roman" w:hAnsi="Times New Roman" w:hint="eastAsia"/>
                <w:noProof/>
                <w:sz w:val="20"/>
                <w:szCs w:val="20"/>
                <w:lang w:val="it-IT"/>
                <w:rPrChange w:id="2666" w:author="Author">
                  <w:rPr>
                    <w:rFonts w:ascii="Symbol" w:hAnsi="Symbol" w:hint="eastAsia"/>
                    <w:sz w:val="20"/>
                    <w:szCs w:val="20"/>
                    <w:lang w:val="it-IT"/>
                  </w:rPr>
                </w:rPrChange>
              </w:rPr>
              <w:sym w:font="Symbol" w:char="F0B1"/>
            </w:r>
            <w:r>
              <w:rPr>
                <w:rFonts w:ascii="Times New Roman" w:hAnsi="Times New Roman"/>
                <w:noProof/>
                <w:sz w:val="20"/>
                <w:szCs w:val="20"/>
                <w:lang w:val="it-IT"/>
              </w:rPr>
              <w:t> 36,0</w:t>
            </w:r>
          </w:p>
        </w:tc>
      </w:tr>
      <w:tr>
        <w:trPr>
          <w:cantSplit/>
          <w:trPrChange w:id="2667" w:author="Author">
            <w:trPr>
              <w:cantSplit/>
              <w:trHeight w:val="324"/>
            </w:trPr>
          </w:trPrChange>
        </w:trPr>
        <w:tc>
          <w:tcPr>
            <w:tcW w:w="3055" w:type="dxa"/>
            <w:tcBorders>
              <w:top w:val="single" w:sz="4" w:space="0" w:color="auto"/>
              <w:left w:val="single" w:sz="4" w:space="0" w:color="auto"/>
              <w:bottom w:val="single" w:sz="4" w:space="0" w:color="auto"/>
              <w:right w:val="single" w:sz="4" w:space="0" w:color="auto"/>
            </w:tcBorders>
            <w:hideMark/>
            <w:tcPrChange w:id="2668"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rPr>
                <w:rFonts w:ascii="Times New Roman" w:hAnsi="Times New Roman"/>
                <w:noProof/>
                <w:sz w:val="20"/>
                <w:szCs w:val="20"/>
                <w:lang w:val="it-IT"/>
              </w:rPr>
              <w:pPrChange w:id="2669" w:author="Author">
                <w:pPr>
                  <w:pStyle w:val="TextTi9"/>
                  <w:keepNext/>
                  <w:keepLines/>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 xml:space="preserve">max </w:t>
            </w:r>
            <w:r>
              <w:rPr>
                <w:rFonts w:ascii="Times New Roman" w:hAnsi="Times New Roman"/>
                <w:noProof/>
                <w:sz w:val="20"/>
                <w:szCs w:val="20"/>
                <w:lang w:val="it-IT"/>
              </w:rPr>
              <w:t>d’accumulo</w:t>
            </w:r>
          </w:p>
        </w:tc>
        <w:tc>
          <w:tcPr>
            <w:tcW w:w="2757" w:type="dxa"/>
            <w:tcBorders>
              <w:top w:val="single" w:sz="4" w:space="0" w:color="auto"/>
              <w:left w:val="single" w:sz="4" w:space="0" w:color="auto"/>
              <w:bottom w:val="single" w:sz="4" w:space="0" w:color="auto"/>
              <w:right w:val="single" w:sz="4" w:space="0" w:color="auto"/>
            </w:tcBorders>
            <w:tcPrChange w:id="2670"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suppressAutoHyphens/>
              <w:spacing w:after="0"/>
              <w:jc w:val="center"/>
              <w:rPr>
                <w:rFonts w:ascii="Times New Roman" w:hAnsi="Times New Roman"/>
                <w:noProof/>
                <w:sz w:val="20"/>
                <w:szCs w:val="20"/>
                <w:lang w:val="it-IT"/>
              </w:rPr>
              <w:pPrChange w:id="2671" w:author="Author">
                <w:pPr>
                  <w:pStyle w:val="TextTi9"/>
                  <w:keepNext/>
                  <w:keepLines/>
                  <w:spacing w:after="120"/>
                  <w:jc w:val="center"/>
                </w:pPr>
              </w:pPrChange>
            </w:pPr>
            <w:r>
              <w:rPr>
                <w:rFonts w:ascii="Times New Roman" w:hAnsi="Times New Roman"/>
                <w:noProof/>
                <w:sz w:val="20"/>
                <w:szCs w:val="20"/>
                <w:lang w:val="it-IT"/>
              </w:rPr>
              <w:t>1,42</w:t>
            </w:r>
          </w:p>
        </w:tc>
        <w:tc>
          <w:tcPr>
            <w:tcW w:w="2977" w:type="dxa"/>
            <w:tcBorders>
              <w:top w:val="single" w:sz="4" w:space="0" w:color="auto"/>
              <w:left w:val="single" w:sz="4" w:space="0" w:color="auto"/>
              <w:bottom w:val="single" w:sz="4" w:space="0" w:color="auto"/>
              <w:right w:val="single" w:sz="4" w:space="0" w:color="auto"/>
            </w:tcBorders>
            <w:tcPrChange w:id="2672"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suppressAutoHyphens/>
              <w:spacing w:after="0"/>
              <w:jc w:val="center"/>
              <w:rPr>
                <w:rFonts w:ascii="Times New Roman" w:hAnsi="Times New Roman"/>
                <w:noProof/>
                <w:sz w:val="20"/>
                <w:szCs w:val="20"/>
                <w:lang w:val="it-IT"/>
              </w:rPr>
              <w:pPrChange w:id="2673" w:author="Author">
                <w:pPr>
                  <w:pStyle w:val="TextTi9"/>
                  <w:keepNext/>
                  <w:keepLines/>
                  <w:spacing w:after="120"/>
                  <w:jc w:val="center"/>
                </w:pPr>
              </w:pPrChange>
            </w:pPr>
            <w:r>
              <w:rPr>
                <w:rFonts w:ascii="Times New Roman" w:hAnsi="Times New Roman"/>
                <w:noProof/>
                <w:sz w:val="20"/>
                <w:szCs w:val="20"/>
                <w:lang w:val="it-IT"/>
              </w:rPr>
              <w:t>1,37</w:t>
            </w:r>
          </w:p>
        </w:tc>
      </w:tr>
      <w:tr>
        <w:trPr>
          <w:cantSplit/>
          <w:trPrChange w:id="2674" w:author="Author">
            <w:trPr>
              <w:cantSplit/>
              <w:trHeight w:val="331"/>
            </w:trPr>
          </w:trPrChange>
        </w:trPr>
        <w:tc>
          <w:tcPr>
            <w:tcW w:w="3055" w:type="dxa"/>
            <w:tcBorders>
              <w:top w:val="single" w:sz="4" w:space="0" w:color="auto"/>
              <w:left w:val="single" w:sz="4" w:space="0" w:color="auto"/>
              <w:bottom w:val="single" w:sz="4" w:space="0" w:color="auto"/>
              <w:right w:val="single" w:sz="4" w:space="0" w:color="auto"/>
            </w:tcBorders>
            <w:hideMark/>
            <w:tcPrChange w:id="2675"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rPr>
                <w:rFonts w:ascii="Times New Roman" w:hAnsi="Times New Roman"/>
                <w:noProof/>
                <w:sz w:val="20"/>
                <w:szCs w:val="20"/>
                <w:lang w:val="it-IT"/>
              </w:rPr>
              <w:pPrChange w:id="2676" w:author="Author">
                <w:pPr>
                  <w:pStyle w:val="TextTi9"/>
                  <w:keepNext/>
                  <w:keepLines/>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 xml:space="preserve">trough </w:t>
            </w:r>
            <w:r>
              <w:rPr>
                <w:rFonts w:ascii="Times New Roman" w:hAnsi="Times New Roman"/>
                <w:noProof/>
                <w:sz w:val="20"/>
                <w:szCs w:val="20"/>
                <w:lang w:val="it-IT"/>
              </w:rPr>
              <w:t>d’accumulo</w:t>
            </w:r>
          </w:p>
        </w:tc>
        <w:tc>
          <w:tcPr>
            <w:tcW w:w="2757" w:type="dxa"/>
            <w:tcBorders>
              <w:top w:val="single" w:sz="4" w:space="0" w:color="auto"/>
              <w:left w:val="single" w:sz="4" w:space="0" w:color="auto"/>
              <w:bottom w:val="single" w:sz="4" w:space="0" w:color="auto"/>
              <w:right w:val="single" w:sz="4" w:space="0" w:color="auto"/>
            </w:tcBorders>
            <w:tcPrChange w:id="2677"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suppressAutoHyphens/>
              <w:spacing w:after="0"/>
              <w:jc w:val="center"/>
              <w:rPr>
                <w:rFonts w:ascii="Times New Roman" w:hAnsi="Times New Roman"/>
                <w:noProof/>
                <w:sz w:val="20"/>
                <w:szCs w:val="20"/>
                <w:lang w:val="it-IT"/>
              </w:rPr>
              <w:pPrChange w:id="2678" w:author="Author">
                <w:pPr>
                  <w:pStyle w:val="TextTi9"/>
                  <w:keepNext/>
                  <w:keepLines/>
                  <w:spacing w:after="120"/>
                  <w:jc w:val="center"/>
                </w:pPr>
              </w:pPrChange>
            </w:pPr>
            <w:r>
              <w:rPr>
                <w:rFonts w:ascii="Times New Roman" w:hAnsi="Times New Roman"/>
                <w:noProof/>
                <w:sz w:val="20"/>
                <w:szCs w:val="20"/>
                <w:lang w:val="it-IT"/>
              </w:rPr>
              <w:t>3,20</w:t>
            </w:r>
          </w:p>
        </w:tc>
        <w:tc>
          <w:tcPr>
            <w:tcW w:w="2977" w:type="dxa"/>
            <w:tcBorders>
              <w:top w:val="single" w:sz="4" w:space="0" w:color="auto"/>
              <w:left w:val="single" w:sz="4" w:space="0" w:color="auto"/>
              <w:bottom w:val="single" w:sz="4" w:space="0" w:color="auto"/>
              <w:right w:val="single" w:sz="4" w:space="0" w:color="auto"/>
            </w:tcBorders>
            <w:tcPrChange w:id="2679"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suppressAutoHyphens/>
              <w:spacing w:after="0"/>
              <w:jc w:val="center"/>
              <w:rPr>
                <w:rFonts w:ascii="Times New Roman" w:hAnsi="Times New Roman"/>
                <w:noProof/>
                <w:sz w:val="20"/>
                <w:szCs w:val="20"/>
                <w:lang w:val="it-IT"/>
              </w:rPr>
              <w:pPrChange w:id="2680" w:author="Author">
                <w:pPr>
                  <w:pStyle w:val="TextTi9"/>
                  <w:keepNext/>
                  <w:keepLines/>
                  <w:spacing w:after="120"/>
                  <w:jc w:val="center"/>
                </w:pPr>
              </w:pPrChange>
            </w:pPr>
            <w:r>
              <w:rPr>
                <w:rFonts w:ascii="Times New Roman" w:hAnsi="Times New Roman"/>
                <w:noProof/>
                <w:sz w:val="20"/>
                <w:szCs w:val="20"/>
                <w:lang w:val="it-IT"/>
              </w:rPr>
              <w:t>3,41</w:t>
            </w:r>
          </w:p>
        </w:tc>
      </w:tr>
      <w:tr>
        <w:trPr>
          <w:cantSplit/>
          <w:trPrChange w:id="2681" w:author="Author">
            <w:trPr>
              <w:cantSplit/>
              <w:trHeight w:val="331"/>
            </w:trPr>
          </w:trPrChange>
        </w:trPr>
        <w:tc>
          <w:tcPr>
            <w:tcW w:w="3055" w:type="dxa"/>
            <w:tcBorders>
              <w:top w:val="single" w:sz="4" w:space="0" w:color="auto"/>
              <w:left w:val="single" w:sz="4" w:space="0" w:color="auto"/>
              <w:bottom w:val="single" w:sz="4" w:space="0" w:color="auto"/>
              <w:right w:val="single" w:sz="4" w:space="0" w:color="auto"/>
            </w:tcBorders>
            <w:tcPrChange w:id="2682" w:author="Author">
              <w:tcPr>
                <w:tcW w:w="2835"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rPr>
                <w:rFonts w:ascii="Times New Roman" w:hAnsi="Times New Roman"/>
                <w:noProof/>
                <w:sz w:val="20"/>
                <w:szCs w:val="20"/>
                <w:lang w:val="it-IT"/>
              </w:rPr>
              <w:pPrChange w:id="2683" w:author="Author">
                <w:pPr>
                  <w:pStyle w:val="TextTi9"/>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mean</w:t>
            </w:r>
            <w:r>
              <w:rPr>
                <w:rFonts w:ascii="Times New Roman" w:hAnsi="Times New Roman"/>
                <w:noProof/>
                <w:sz w:val="20"/>
                <w:szCs w:val="20"/>
                <w:lang w:val="it-IT"/>
              </w:rPr>
              <w:t xml:space="preserve"> d’accumulo o AUC</w:t>
            </w:r>
            <w:r>
              <w:rPr>
                <w:rFonts w:ascii="Times New Roman" w:hAnsi="Times New Roman"/>
                <w:noProof/>
                <w:sz w:val="20"/>
                <w:szCs w:val="20"/>
                <w:vertAlign w:val="subscript"/>
                <w:lang w:val="it-IT"/>
              </w:rPr>
              <w:t>τ</w:t>
            </w:r>
            <w:r>
              <w:rPr>
                <w:rFonts w:ascii="Times New Roman" w:hAnsi="Times New Roman"/>
                <w:noProof/>
                <w:sz w:val="20"/>
                <w:szCs w:val="20"/>
                <w:lang w:val="it-IT"/>
              </w:rPr>
              <w:t>*</w:t>
            </w:r>
          </w:p>
        </w:tc>
        <w:tc>
          <w:tcPr>
            <w:tcW w:w="2757" w:type="dxa"/>
            <w:tcBorders>
              <w:top w:val="single" w:sz="4" w:space="0" w:color="auto"/>
              <w:left w:val="single" w:sz="4" w:space="0" w:color="auto"/>
              <w:bottom w:val="single" w:sz="4" w:space="0" w:color="auto"/>
              <w:right w:val="single" w:sz="4" w:space="0" w:color="auto"/>
            </w:tcBorders>
            <w:tcPrChange w:id="2684"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2685" w:author="Author">
                <w:pPr>
                  <w:pStyle w:val="TextTi9"/>
                  <w:spacing w:after="120"/>
                  <w:jc w:val="center"/>
                </w:pPr>
              </w:pPrChange>
            </w:pPr>
            <w:r>
              <w:rPr>
                <w:rFonts w:ascii="Times New Roman" w:hAnsi="Times New Roman"/>
                <w:noProof/>
                <w:sz w:val="20"/>
                <w:szCs w:val="20"/>
                <w:lang w:val="it-IT"/>
              </w:rPr>
              <w:t>2,01</w:t>
            </w:r>
          </w:p>
        </w:tc>
        <w:tc>
          <w:tcPr>
            <w:tcW w:w="2977" w:type="dxa"/>
            <w:tcBorders>
              <w:top w:val="single" w:sz="4" w:space="0" w:color="auto"/>
              <w:left w:val="single" w:sz="4" w:space="0" w:color="auto"/>
              <w:bottom w:val="single" w:sz="4" w:space="0" w:color="auto"/>
              <w:right w:val="single" w:sz="4" w:space="0" w:color="auto"/>
            </w:tcBorders>
            <w:tcPrChange w:id="2686"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2687" w:author="Author">
                <w:pPr>
                  <w:pStyle w:val="TextTi9"/>
                  <w:spacing w:after="120"/>
                  <w:jc w:val="center"/>
                </w:pPr>
              </w:pPrChange>
            </w:pPr>
            <w:r>
              <w:rPr>
                <w:rFonts w:ascii="Times New Roman" w:hAnsi="Times New Roman"/>
                <w:noProof/>
                <w:sz w:val="20"/>
                <w:szCs w:val="20"/>
                <w:lang w:val="it-IT"/>
              </w:rPr>
              <w:t>1,95</w:t>
            </w:r>
          </w:p>
        </w:tc>
      </w:tr>
    </w:tbl>
    <w:p>
      <w:pPr>
        <w:jc w:val="both"/>
        <w:rPr>
          <w:noProof/>
          <w:sz w:val="18"/>
          <w:szCs w:val="18"/>
          <w:lang w:val="it-IT" w:eastAsia="en-US"/>
        </w:rPr>
      </w:pPr>
      <w:r>
        <w:rPr>
          <w:noProof/>
          <w:sz w:val="18"/>
          <w:szCs w:val="18"/>
          <w:lang w:val="it-IT" w:eastAsia="en-US"/>
        </w:rPr>
        <w:t>*τ</w:t>
      </w:r>
      <w:del w:id="2688" w:author="Author">
        <w:r>
          <w:rPr>
            <w:noProof/>
            <w:sz w:val="18"/>
            <w:szCs w:val="18"/>
            <w:lang w:val="it-IT" w:eastAsia="en-US"/>
          </w:rPr>
          <w:delText xml:space="preserve"> </w:delText>
        </w:r>
      </w:del>
      <w:ins w:id="2689" w:author="Author">
        <w:r>
          <w:rPr>
            <w:noProof/>
            <w:sz w:val="18"/>
            <w:szCs w:val="18"/>
            <w:lang w:val="it-IT" w:eastAsia="en-US"/>
          </w:rPr>
          <w:t> </w:t>
        </w:r>
      </w:ins>
      <w:r>
        <w:rPr>
          <w:noProof/>
          <w:sz w:val="18"/>
          <w:szCs w:val="18"/>
          <w:lang w:val="it-IT" w:eastAsia="en-US"/>
        </w:rPr>
        <w:t>=</w:t>
      </w:r>
      <w:ins w:id="2690" w:author="Author">
        <w:r>
          <w:rPr>
            <w:noProof/>
            <w:sz w:val="18"/>
            <w:szCs w:val="18"/>
            <w:lang w:val="it-IT" w:eastAsia="en-US"/>
          </w:rPr>
          <w:t> </w:t>
        </w:r>
      </w:ins>
      <w:del w:id="2691" w:author="Author">
        <w:r>
          <w:rPr>
            <w:noProof/>
            <w:sz w:val="18"/>
            <w:szCs w:val="18"/>
            <w:lang w:val="it-IT" w:eastAsia="en-US"/>
          </w:rPr>
          <w:delText xml:space="preserve"> </w:delText>
        </w:r>
      </w:del>
      <w:r>
        <w:rPr>
          <w:noProof/>
          <w:sz w:val="18"/>
          <w:szCs w:val="18"/>
          <w:lang w:val="it-IT" w:eastAsia="en-US"/>
        </w:rPr>
        <w:t>2 settimane per i regimi endovena</w:t>
      </w:r>
    </w:p>
    <w:p>
      <w:pPr>
        <w:numPr>
          <w:ilvl w:val="12"/>
          <w:numId w:val="0"/>
        </w:numPr>
        <w:ind w:right="-2"/>
        <w:rPr>
          <w:noProof/>
          <w:szCs w:val="22"/>
          <w:lang w:val="it-IT"/>
        </w:rPr>
      </w:pPr>
    </w:p>
    <w:p>
      <w:pPr>
        <w:numPr>
          <w:ilvl w:val="12"/>
          <w:numId w:val="0"/>
        </w:numPr>
        <w:ind w:right="-2"/>
        <w:rPr>
          <w:noProof/>
          <w:szCs w:val="22"/>
          <w:lang w:val="it-IT"/>
        </w:rPr>
      </w:pPr>
      <w:r>
        <w:rPr>
          <w:iCs/>
          <w:noProof/>
          <w:szCs w:val="22"/>
          <w:lang w:val="it-IT"/>
        </w:rPr>
        <w:t>Dopo somministrazione endovenosa, il 90% circa dello stato stazionario è stato raggiunto entro la settimana 8 con entrambi i regimi da 12 mg/kg (peso corporeo &lt;</w:t>
      </w:r>
      <w:ins w:id="2692" w:author="Author">
        <w:r>
          <w:rPr>
            <w:iCs/>
            <w:noProof/>
            <w:szCs w:val="22"/>
            <w:lang w:val="it-IT"/>
          </w:rPr>
          <w:t> </w:t>
        </w:r>
      </w:ins>
      <w:del w:id="2693" w:author="Author">
        <w:r>
          <w:rPr>
            <w:iCs/>
            <w:noProof/>
            <w:szCs w:val="22"/>
            <w:lang w:val="it-IT"/>
          </w:rPr>
          <w:delText xml:space="preserve"> </w:delText>
        </w:r>
      </w:del>
      <w:r>
        <w:rPr>
          <w:iCs/>
          <w:noProof/>
          <w:szCs w:val="22"/>
          <w:lang w:val="it-IT"/>
        </w:rPr>
        <w:t>30</w:t>
      </w:r>
      <w:ins w:id="2694" w:author="Author">
        <w:r>
          <w:rPr>
            <w:iCs/>
            <w:noProof/>
            <w:szCs w:val="22"/>
            <w:lang w:val="it-IT"/>
          </w:rPr>
          <w:t> </w:t>
        </w:r>
      </w:ins>
      <w:del w:id="2695" w:author="Author">
        <w:r>
          <w:rPr>
            <w:iCs/>
            <w:noProof/>
            <w:szCs w:val="22"/>
            <w:lang w:val="it-IT"/>
          </w:rPr>
          <w:delText xml:space="preserve"> </w:delText>
        </w:r>
      </w:del>
      <w:r>
        <w:rPr>
          <w:iCs/>
          <w:noProof/>
          <w:szCs w:val="22"/>
          <w:lang w:val="it-IT"/>
        </w:rPr>
        <w:t>Kg) e 8 mg/kg Q2W (peso corporeo &gt;</w:t>
      </w:r>
      <w:ins w:id="2696" w:author="Author">
        <w:r>
          <w:rPr>
            <w:iCs/>
            <w:noProof/>
            <w:szCs w:val="22"/>
            <w:lang w:val="it-IT"/>
          </w:rPr>
          <w:t> </w:t>
        </w:r>
      </w:ins>
      <w:del w:id="2697" w:author="Author">
        <w:r>
          <w:rPr>
            <w:iCs/>
            <w:noProof/>
            <w:szCs w:val="22"/>
            <w:lang w:val="it-IT"/>
          </w:rPr>
          <w:delText xml:space="preserve"> </w:delText>
        </w:r>
      </w:del>
      <w:r>
        <w:rPr>
          <w:iCs/>
          <w:noProof/>
          <w:szCs w:val="22"/>
          <w:lang w:val="it-IT"/>
        </w:rPr>
        <w:t>30</w:t>
      </w:r>
      <w:ins w:id="2698" w:author="Author">
        <w:r>
          <w:rPr>
            <w:iCs/>
            <w:noProof/>
            <w:szCs w:val="22"/>
            <w:lang w:val="it-IT"/>
          </w:rPr>
          <w:t> </w:t>
        </w:r>
      </w:ins>
      <w:del w:id="2699" w:author="Author">
        <w:r>
          <w:rPr>
            <w:iCs/>
            <w:noProof/>
            <w:szCs w:val="22"/>
            <w:lang w:val="it-IT"/>
          </w:rPr>
          <w:delText xml:space="preserve"> </w:delText>
        </w:r>
      </w:del>
      <w:r>
        <w:rPr>
          <w:iCs/>
          <w:noProof/>
          <w:szCs w:val="22"/>
          <w:lang w:val="it-IT"/>
        </w:rPr>
        <w:t>Kg).</w:t>
      </w:r>
    </w:p>
    <w:p>
      <w:pPr>
        <w:numPr>
          <w:ilvl w:val="12"/>
          <w:numId w:val="0"/>
        </w:numPr>
        <w:tabs>
          <w:tab w:val="left" w:pos="180"/>
        </w:tabs>
        <w:ind w:right="-2"/>
        <w:rPr>
          <w:noProof/>
          <w:szCs w:val="22"/>
          <w:lang w:val="it-IT"/>
        </w:rPr>
      </w:pPr>
    </w:p>
    <w:p>
      <w:pPr>
        <w:numPr>
          <w:ilvl w:val="12"/>
          <w:numId w:val="0"/>
        </w:numPr>
        <w:tabs>
          <w:tab w:val="left" w:pos="180"/>
        </w:tabs>
        <w:ind w:right="-2"/>
        <w:rPr>
          <w:noProof/>
          <w:szCs w:val="22"/>
          <w:lang w:val="it-IT"/>
        </w:rPr>
      </w:pPr>
      <w:r>
        <w:rPr>
          <w:noProof/>
          <w:szCs w:val="22"/>
          <w:lang w:val="it-IT"/>
        </w:rPr>
        <w:t>Nei pazienti affetti da AIGs, il volume centrale di distribuzione era di 1,87 L ed il volume periferico di distribuzione era di 2,14 L, che determina un volume di distribuzione allo stato stazionario di 4,01 L. La clearance lineare stimata come un parametro nell’analisi di farmacocinetica di popolazione, era di 5,7 mL/h.</w:t>
      </w:r>
    </w:p>
    <w:p>
      <w:pPr>
        <w:numPr>
          <w:ilvl w:val="12"/>
          <w:numId w:val="0"/>
        </w:numPr>
        <w:tabs>
          <w:tab w:val="left" w:pos="180"/>
        </w:tabs>
        <w:ind w:right="-2"/>
        <w:rPr>
          <w:noProof/>
          <w:szCs w:val="22"/>
          <w:lang w:val="it-IT"/>
        </w:rPr>
      </w:pPr>
    </w:p>
    <w:p>
      <w:pPr>
        <w:numPr>
          <w:ilvl w:val="12"/>
          <w:numId w:val="0"/>
        </w:numPr>
        <w:tabs>
          <w:tab w:val="left" w:pos="180"/>
        </w:tabs>
        <w:ind w:right="-2"/>
        <w:rPr>
          <w:noProof/>
          <w:szCs w:val="22"/>
          <w:lang w:val="it-IT"/>
        </w:rPr>
      </w:pPr>
      <w:r>
        <w:rPr>
          <w:noProof/>
          <w:szCs w:val="22"/>
          <w:lang w:val="it-IT"/>
        </w:rPr>
        <w:lastRenderedPageBreak/>
        <w:t xml:space="preserve">L’emivita di tocilizumab si attesta fino a 16 giorni per i due gruppi di peso corporeo (8 mg/kg per peso corporeo </w:t>
      </w:r>
      <w:r>
        <w:rPr>
          <w:iCs/>
          <w:noProof/>
          <w:szCs w:val="22"/>
          <w:lang w:val="it-IT"/>
        </w:rPr>
        <w:t xml:space="preserve">≥ 30 kg o 12 mg/kg per peso corporeo &lt; 30 kg) </w:t>
      </w:r>
      <w:r>
        <w:rPr>
          <w:noProof/>
          <w:szCs w:val="22"/>
          <w:lang w:val="it-IT"/>
        </w:rPr>
        <w:t>alla settimana 12.</w:t>
      </w:r>
    </w:p>
    <w:p>
      <w:pPr>
        <w:numPr>
          <w:ilvl w:val="12"/>
          <w:numId w:val="0"/>
        </w:numPr>
        <w:tabs>
          <w:tab w:val="left" w:pos="180"/>
        </w:tabs>
        <w:ind w:right="-2"/>
        <w:rPr>
          <w:noProof/>
          <w:szCs w:val="22"/>
          <w:lang w:val="it-IT"/>
        </w:rPr>
      </w:pPr>
    </w:p>
    <w:p>
      <w:pPr>
        <w:keepNext/>
        <w:keepLines/>
        <w:tabs>
          <w:tab w:val="left" w:pos="180"/>
        </w:tabs>
        <w:ind w:left="567" w:hanging="567"/>
        <w:outlineLvl w:val="0"/>
        <w:rPr>
          <w:i/>
          <w:iCs/>
          <w:noProof/>
          <w:lang w:val="it-IT"/>
        </w:rPr>
      </w:pPr>
      <w:r>
        <w:rPr>
          <w:i/>
          <w:iCs/>
          <w:noProof/>
          <w:lang w:val="it-IT"/>
        </w:rPr>
        <w:t>Pazienti affetti da AIGp</w:t>
      </w:r>
    </w:p>
    <w:p>
      <w:pPr>
        <w:numPr>
          <w:ilvl w:val="12"/>
          <w:numId w:val="0"/>
        </w:numPr>
        <w:tabs>
          <w:tab w:val="left" w:pos="180"/>
        </w:tabs>
        <w:ind w:right="-2"/>
        <w:rPr>
          <w:noProof/>
          <w:lang w:val="it-IT"/>
        </w:rPr>
      </w:pPr>
      <w:r>
        <w:rPr>
          <w:noProof/>
          <w:lang w:val="it-IT"/>
        </w:rPr>
        <w:t xml:space="preserve">La farmacocinetica di tocilizumab nei pazienti affetti da AIGp è stata caratterizzata attraverso un’analisi di farmacocinetica di popolazione che ha incluso </w:t>
      </w:r>
      <w:r>
        <w:rPr>
          <w:noProof/>
          <w:lang w:val="it-IT" w:eastAsia="de-DE"/>
        </w:rPr>
        <w:t>237 pazienti trattati con 8 mg/kg</w:t>
      </w:r>
      <w:ins w:id="2700" w:author="Author">
        <w:r>
          <w:rPr>
            <w:noProof/>
            <w:lang w:val="it-IT" w:eastAsia="de-DE"/>
          </w:rPr>
          <w:t xml:space="preserve"> per via </w:t>
        </w:r>
      </w:ins>
      <w:r>
        <w:rPr>
          <w:noProof/>
          <w:lang w:val="it-IT" w:eastAsia="de-DE"/>
        </w:rPr>
        <w:t>endoven</w:t>
      </w:r>
      <w:ins w:id="2701" w:author="Author">
        <w:r>
          <w:rPr>
            <w:noProof/>
            <w:lang w:val="it-IT" w:eastAsia="de-DE"/>
          </w:rPr>
          <w:t>os</w:t>
        </w:r>
      </w:ins>
      <w:r>
        <w:rPr>
          <w:noProof/>
          <w:lang w:val="it-IT" w:eastAsia="de-DE"/>
        </w:rPr>
        <w:t xml:space="preserve">a ogni 4 settimane (pazienti di peso ≥ 30 kg), 10 mg/kg </w:t>
      </w:r>
      <w:ins w:id="2702" w:author="Author">
        <w:r>
          <w:rPr>
            <w:noProof/>
            <w:lang w:val="it-IT" w:eastAsia="de-DE"/>
          </w:rPr>
          <w:t xml:space="preserve">per via </w:t>
        </w:r>
      </w:ins>
      <w:r>
        <w:rPr>
          <w:noProof/>
          <w:lang w:val="it-IT" w:eastAsia="de-DE"/>
        </w:rPr>
        <w:t>endoven</w:t>
      </w:r>
      <w:ins w:id="2703" w:author="Author">
        <w:r>
          <w:rPr>
            <w:noProof/>
            <w:lang w:val="it-IT" w:eastAsia="de-DE"/>
          </w:rPr>
          <w:t>os</w:t>
        </w:r>
      </w:ins>
      <w:r>
        <w:rPr>
          <w:noProof/>
          <w:lang w:val="it-IT" w:eastAsia="de-DE"/>
        </w:rPr>
        <w:t xml:space="preserve">a ogni 4 settimane (pazienti di peso inferiore a 30 kg), 162 mg </w:t>
      </w:r>
      <w:ins w:id="2704" w:author="Author">
        <w:r>
          <w:rPr>
            <w:noProof/>
            <w:lang w:val="it-IT" w:eastAsia="de-DE"/>
          </w:rPr>
          <w:t xml:space="preserve">per via </w:t>
        </w:r>
      </w:ins>
      <w:r>
        <w:rPr>
          <w:noProof/>
          <w:lang w:val="it-IT" w:eastAsia="de-DE"/>
        </w:rPr>
        <w:t>sottocu</w:t>
      </w:r>
      <w:ins w:id="2705" w:author="Author">
        <w:r>
          <w:rPr>
            <w:noProof/>
            <w:lang w:val="it-IT" w:eastAsia="de-DE"/>
          </w:rPr>
          <w:t>tanea</w:t>
        </w:r>
      </w:ins>
      <w:del w:id="2706" w:author="Author">
        <w:r>
          <w:rPr>
            <w:noProof/>
            <w:lang w:val="it-IT" w:eastAsia="de-DE"/>
          </w:rPr>
          <w:delText>te</w:delText>
        </w:r>
      </w:del>
      <w:r>
        <w:rPr>
          <w:noProof/>
          <w:lang w:val="it-IT" w:eastAsia="de-DE"/>
        </w:rPr>
        <w:t xml:space="preserve"> ogni 2 settimane (pazienti di peso ≥</w:t>
      </w:r>
      <w:ins w:id="2707" w:author="Author">
        <w:r>
          <w:rPr>
            <w:noProof/>
            <w:lang w:val="it-IT" w:eastAsia="de-DE"/>
          </w:rPr>
          <w:t> </w:t>
        </w:r>
      </w:ins>
      <w:del w:id="2708" w:author="Author">
        <w:r>
          <w:rPr>
            <w:noProof/>
            <w:lang w:val="it-IT" w:eastAsia="de-DE"/>
          </w:rPr>
          <w:delText xml:space="preserve"> </w:delText>
        </w:r>
      </w:del>
      <w:r>
        <w:rPr>
          <w:noProof/>
          <w:lang w:val="it-IT" w:eastAsia="de-DE"/>
        </w:rPr>
        <w:t xml:space="preserve">30 kg) o 162 mg </w:t>
      </w:r>
      <w:ins w:id="2709" w:author="Author">
        <w:r>
          <w:rPr>
            <w:noProof/>
            <w:lang w:val="it-IT" w:eastAsia="de-DE"/>
          </w:rPr>
          <w:t xml:space="preserve">per via </w:t>
        </w:r>
      </w:ins>
      <w:r>
        <w:rPr>
          <w:noProof/>
          <w:lang w:val="it-IT" w:eastAsia="de-DE"/>
        </w:rPr>
        <w:t>sottocut</w:t>
      </w:r>
      <w:ins w:id="2710" w:author="Author">
        <w:r>
          <w:rPr>
            <w:noProof/>
            <w:lang w:val="it-IT" w:eastAsia="de-DE"/>
          </w:rPr>
          <w:t>anea</w:t>
        </w:r>
      </w:ins>
      <w:del w:id="2711" w:author="Author">
        <w:r>
          <w:rPr>
            <w:noProof/>
            <w:lang w:val="it-IT" w:eastAsia="de-DE"/>
          </w:rPr>
          <w:delText>e</w:delText>
        </w:r>
      </w:del>
      <w:r>
        <w:rPr>
          <w:noProof/>
          <w:lang w:val="it-IT" w:eastAsia="de-DE"/>
        </w:rPr>
        <w:t xml:space="preserve"> ogni 3 settimane (pazienti di peso inferiore a 30 kg)</w:t>
      </w:r>
      <w:r>
        <w:rPr>
          <w:noProof/>
          <w:lang w:val="it-IT"/>
        </w:rPr>
        <w:t>.</w:t>
      </w:r>
    </w:p>
    <w:p>
      <w:pPr>
        <w:numPr>
          <w:ilvl w:val="12"/>
          <w:numId w:val="0"/>
        </w:numPr>
        <w:tabs>
          <w:tab w:val="left" w:pos="180"/>
        </w:tabs>
        <w:ind w:right="-2"/>
        <w:rPr>
          <w:noProof/>
          <w:lang w:val="it-IT"/>
        </w:rPr>
      </w:pPr>
    </w:p>
    <w:p>
      <w:pPr>
        <w:keepNext/>
        <w:keepLines/>
        <w:numPr>
          <w:ilvl w:val="12"/>
          <w:numId w:val="0"/>
        </w:numPr>
        <w:ind w:right="-2"/>
        <w:rPr>
          <w:bCs/>
          <w:i/>
          <w:noProof/>
          <w:szCs w:val="22"/>
          <w:lang w:val="it-IT"/>
        </w:rPr>
      </w:pPr>
      <w:r>
        <w:rPr>
          <w:bCs/>
          <w:i/>
          <w:noProof/>
          <w:szCs w:val="22"/>
          <w:lang w:val="it-IT"/>
        </w:rPr>
        <w:t xml:space="preserve">Tabella 12. Parametri </w:t>
      </w:r>
      <w:ins w:id="2712" w:author="Author">
        <w:r>
          <w:rPr>
            <w:i/>
            <w:iCs/>
            <w:lang w:val="it-IT"/>
          </w:rPr>
          <w:t xml:space="preserve">farmacocinetici (PK) medi media ± DS  </w:t>
        </w:r>
      </w:ins>
      <w:r>
        <w:rPr>
          <w:bCs/>
          <w:i/>
          <w:noProof/>
          <w:szCs w:val="22"/>
          <w:lang w:val="it-IT"/>
        </w:rPr>
        <w:t>pre</w:t>
      </w:r>
      <w:ins w:id="2713" w:author="Author">
        <w:r>
          <w:rPr>
            <w:bCs/>
            <w:i/>
            <w:noProof/>
            <w:szCs w:val="22"/>
            <w:lang w:val="it-IT"/>
          </w:rPr>
          <w:t>detti</w:t>
        </w:r>
      </w:ins>
      <w:del w:id="2714" w:author="Author">
        <w:r>
          <w:rPr>
            <w:bCs/>
            <w:i/>
            <w:noProof/>
            <w:szCs w:val="22"/>
            <w:lang w:val="it-IT"/>
          </w:rPr>
          <w:delText>visti di PK</w:delText>
        </w:r>
      </w:del>
      <w:r>
        <w:rPr>
          <w:bCs/>
          <w:i/>
          <w:noProof/>
          <w:szCs w:val="22"/>
          <w:lang w:val="it-IT"/>
        </w:rPr>
        <w:t xml:space="preserve"> allo stato stazionario </w:t>
      </w:r>
      <w:del w:id="2715" w:author="Author">
        <w:r>
          <w:rPr>
            <w:bCs/>
            <w:i/>
            <w:noProof/>
            <w:szCs w:val="22"/>
            <w:lang w:val="it-IT"/>
          </w:rPr>
          <w:delText xml:space="preserve">relativi a media </w:delText>
        </w:r>
      </w:del>
      <w:ins w:id="2716" w:author="Author">
        <w:del w:id="2717" w:author="Author">
          <w:r>
            <w:rPr>
              <w:bCs/>
              <w:i/>
              <w:noProof/>
              <w:szCs w:val="22"/>
              <w:lang w:val="it-IT"/>
            </w:rPr>
            <w:delText> </w:delText>
          </w:r>
        </w:del>
      </w:ins>
      <w:del w:id="2718" w:author="Author">
        <w:r>
          <w:rPr>
            <w:bCs/>
            <w:i/>
            <w:noProof/>
            <w:szCs w:val="22"/>
            <w:lang w:val="it-IT"/>
          </w:rPr>
          <w:delText>±</w:delText>
        </w:r>
      </w:del>
      <w:ins w:id="2719" w:author="Author">
        <w:del w:id="2720" w:author="Author">
          <w:r>
            <w:rPr>
              <w:bCs/>
              <w:i/>
              <w:noProof/>
              <w:szCs w:val="22"/>
              <w:lang w:val="it-IT"/>
            </w:rPr>
            <w:delText> </w:delText>
          </w:r>
        </w:del>
      </w:ins>
      <w:del w:id="2721" w:author="Author">
        <w:r>
          <w:rPr>
            <w:bCs/>
            <w:i/>
            <w:noProof/>
            <w:szCs w:val="22"/>
            <w:lang w:val="it-IT"/>
          </w:rPr>
          <w:delText xml:space="preserve"> DS </w:delText>
        </w:r>
      </w:del>
      <w:r>
        <w:rPr>
          <w:bCs/>
          <w:i/>
          <w:noProof/>
          <w:szCs w:val="22"/>
          <w:lang w:val="it-IT"/>
        </w:rPr>
        <w:t xml:space="preserve">dopo somministrazione </w:t>
      </w:r>
      <w:del w:id="2722" w:author="Author">
        <w:r>
          <w:rPr>
            <w:bCs/>
            <w:i/>
            <w:noProof/>
            <w:szCs w:val="22"/>
            <w:lang w:val="it-IT"/>
          </w:rPr>
          <w:delText>e.v.</w:delText>
        </w:r>
      </w:del>
      <w:ins w:id="2723" w:author="Author">
        <w:r>
          <w:rPr>
            <w:bCs/>
            <w:i/>
            <w:noProof/>
            <w:szCs w:val="22"/>
            <w:lang w:val="it-IT"/>
          </w:rPr>
          <w:t>endovenosa</w:t>
        </w:r>
      </w:ins>
      <w:r>
        <w:rPr>
          <w:bCs/>
          <w:i/>
          <w:noProof/>
          <w:szCs w:val="22"/>
          <w:lang w:val="it-IT"/>
        </w:rPr>
        <w:t xml:space="preserve"> in soggetti affetti da AIGp</w:t>
      </w:r>
    </w:p>
    <w:p>
      <w:pPr>
        <w:keepNext/>
        <w:keepLines/>
        <w:numPr>
          <w:ilvl w:val="12"/>
          <w:numId w:val="0"/>
        </w:numPr>
        <w:ind w:right="-2"/>
        <w:rPr>
          <w:bCs/>
          <w:i/>
          <w:noProof/>
          <w:szCs w:val="22"/>
          <w:lang w:val="it-IT"/>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2724" w:author="Author">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055"/>
        <w:gridCol w:w="2867"/>
        <w:gridCol w:w="2867"/>
        <w:tblGridChange w:id="2725">
          <w:tblGrid>
            <w:gridCol w:w="2835"/>
            <w:gridCol w:w="2977"/>
            <w:gridCol w:w="2977"/>
          </w:tblGrid>
        </w:tblGridChange>
      </w:tblGrid>
      <w:tr>
        <w:trPr>
          <w:cantSplit/>
          <w:tblHeader/>
          <w:trPrChange w:id="2726" w:author="Author">
            <w:trPr>
              <w:cantSplit/>
              <w:trHeight w:val="452"/>
            </w:trPr>
          </w:trPrChange>
        </w:trPr>
        <w:tc>
          <w:tcPr>
            <w:tcW w:w="3055" w:type="dxa"/>
            <w:tcBorders>
              <w:top w:val="single" w:sz="4" w:space="0" w:color="auto"/>
              <w:left w:val="single" w:sz="4" w:space="0" w:color="auto"/>
              <w:bottom w:val="single" w:sz="4" w:space="0" w:color="auto"/>
              <w:right w:val="single" w:sz="4" w:space="0" w:color="auto"/>
            </w:tcBorders>
            <w:hideMark/>
            <w:tcPrChange w:id="2727"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2728" w:author="Author">
                <w:pPr>
                  <w:pStyle w:val="TextTi9"/>
                  <w:keepNext/>
                  <w:spacing w:after="120"/>
                </w:pPr>
              </w:pPrChange>
            </w:pPr>
            <w:r>
              <w:rPr>
                <w:rFonts w:ascii="Times New Roman" w:hAnsi="Times New Roman"/>
                <w:b/>
                <w:noProof/>
                <w:sz w:val="20"/>
                <w:szCs w:val="20"/>
                <w:lang w:val="it-IT"/>
              </w:rPr>
              <w:t>Parametro di PK di tocilizumab</w:t>
            </w:r>
          </w:p>
        </w:tc>
        <w:tc>
          <w:tcPr>
            <w:tcW w:w="2867" w:type="dxa"/>
            <w:tcBorders>
              <w:top w:val="single" w:sz="4" w:space="0" w:color="auto"/>
              <w:left w:val="single" w:sz="4" w:space="0" w:color="auto"/>
              <w:bottom w:val="single" w:sz="4" w:space="0" w:color="auto"/>
              <w:right w:val="single" w:sz="4" w:space="0" w:color="auto"/>
            </w:tcBorders>
            <w:hideMark/>
            <w:tcPrChange w:id="2729"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del w:id="2730" w:author="Author"/>
                <w:rFonts w:ascii="Times New Roman" w:hAnsi="Times New Roman"/>
                <w:b/>
                <w:noProof/>
                <w:sz w:val="20"/>
                <w:szCs w:val="20"/>
                <w:lang w:val="it-IT"/>
              </w:rPr>
              <w:pPrChange w:id="2731" w:author="Author">
                <w:pPr>
                  <w:pStyle w:val="TextTi9"/>
                  <w:keepNext/>
                  <w:keepLines/>
                  <w:spacing w:after="0"/>
                  <w:jc w:val="center"/>
                </w:pPr>
              </w:pPrChange>
            </w:pPr>
            <w:r>
              <w:rPr>
                <w:rFonts w:ascii="Times New Roman" w:hAnsi="Times New Roman"/>
                <w:b/>
                <w:noProof/>
                <w:sz w:val="20"/>
                <w:szCs w:val="20"/>
                <w:lang w:val="it-IT"/>
              </w:rPr>
              <w:t>8</w:t>
            </w:r>
            <w:del w:id="2732" w:author="Author">
              <w:r>
                <w:rPr>
                  <w:rFonts w:ascii="Times New Roman" w:hAnsi="Times New Roman"/>
                  <w:b/>
                  <w:noProof/>
                  <w:sz w:val="20"/>
                  <w:szCs w:val="20"/>
                  <w:lang w:val="it-IT"/>
                </w:rPr>
                <w:delText xml:space="preserve"> </w:delText>
              </w:r>
            </w:del>
            <w:ins w:id="2733" w:author="Author">
              <w:r>
                <w:rPr>
                  <w:rFonts w:ascii="Times New Roman" w:hAnsi="Times New Roman"/>
                  <w:b/>
                  <w:noProof/>
                  <w:sz w:val="20"/>
                  <w:szCs w:val="20"/>
                  <w:lang w:val="it-IT"/>
                </w:rPr>
                <w:t> </w:t>
              </w:r>
            </w:ins>
            <w:r>
              <w:rPr>
                <w:rFonts w:ascii="Times New Roman" w:hAnsi="Times New Roman"/>
                <w:b/>
                <w:noProof/>
                <w:sz w:val="20"/>
                <w:szCs w:val="20"/>
                <w:lang w:val="it-IT"/>
              </w:rPr>
              <w:t>mg/kg Q4W</w:t>
            </w:r>
            <w:ins w:id="2734" w:author="Author">
              <w:r>
                <w:rPr>
                  <w:rFonts w:ascii="Times New Roman" w:hAnsi="Times New Roman"/>
                  <w:b/>
                  <w:noProof/>
                  <w:sz w:val="20"/>
                  <w:szCs w:val="20"/>
                  <w:lang w:val="it-IT"/>
                </w:rPr>
                <w:t xml:space="preserve"> </w:t>
              </w:r>
            </w:ins>
          </w:p>
          <w:p>
            <w:pPr>
              <w:pStyle w:val="TextTi9"/>
              <w:keepNext/>
              <w:suppressAutoHyphens/>
              <w:spacing w:after="0"/>
              <w:jc w:val="center"/>
              <w:rPr>
                <w:rFonts w:ascii="Times New Roman" w:hAnsi="Times New Roman"/>
                <w:b/>
                <w:noProof/>
                <w:sz w:val="20"/>
                <w:szCs w:val="20"/>
                <w:lang w:val="it-IT"/>
              </w:rPr>
              <w:pPrChange w:id="2735" w:author="Author">
                <w:pPr>
                  <w:pStyle w:val="TextTi9"/>
                  <w:keepNext/>
                  <w:spacing w:after="120"/>
                  <w:jc w:val="center"/>
                </w:pPr>
              </w:pPrChange>
            </w:pPr>
            <w:r>
              <w:rPr>
                <w:rFonts w:ascii="Times New Roman" w:hAnsi="Times New Roman"/>
                <w:b/>
                <w:noProof/>
                <w:sz w:val="20"/>
                <w:szCs w:val="20"/>
                <w:lang w:val="it-IT"/>
              </w:rPr>
              <w:t>≥</w:t>
            </w:r>
            <w:del w:id="2736" w:author="Author">
              <w:r>
                <w:rPr>
                  <w:rFonts w:ascii="Times New Roman" w:hAnsi="Times New Roman"/>
                  <w:b/>
                  <w:noProof/>
                  <w:sz w:val="20"/>
                  <w:szCs w:val="20"/>
                  <w:lang w:val="it-IT"/>
                </w:rPr>
                <w:delText xml:space="preserve"> </w:delText>
              </w:r>
            </w:del>
            <w:ins w:id="2737" w:author="Author">
              <w:r>
                <w:rPr>
                  <w:rFonts w:ascii="Times New Roman" w:hAnsi="Times New Roman"/>
                  <w:b/>
                  <w:noProof/>
                  <w:sz w:val="20"/>
                  <w:szCs w:val="20"/>
                  <w:lang w:val="it-IT"/>
                </w:rPr>
                <w:t> </w:t>
              </w:r>
            </w:ins>
            <w:r>
              <w:rPr>
                <w:rFonts w:ascii="Times New Roman" w:hAnsi="Times New Roman"/>
                <w:b/>
                <w:noProof/>
                <w:sz w:val="20"/>
                <w:szCs w:val="20"/>
                <w:lang w:val="it-IT"/>
              </w:rPr>
              <w:t>30</w:t>
            </w:r>
            <w:del w:id="2738" w:author="Author">
              <w:r>
                <w:rPr>
                  <w:rFonts w:ascii="Times New Roman" w:hAnsi="Times New Roman"/>
                  <w:b/>
                  <w:noProof/>
                  <w:sz w:val="20"/>
                  <w:szCs w:val="20"/>
                  <w:lang w:val="it-IT"/>
                </w:rPr>
                <w:delText xml:space="preserve"> </w:delText>
              </w:r>
            </w:del>
            <w:ins w:id="2739" w:author="Author">
              <w:r>
                <w:rPr>
                  <w:rFonts w:ascii="Times New Roman" w:hAnsi="Times New Roman"/>
                  <w:b/>
                  <w:noProof/>
                  <w:sz w:val="20"/>
                  <w:szCs w:val="20"/>
                  <w:lang w:val="it-IT"/>
                </w:rPr>
                <w:t> </w:t>
              </w:r>
            </w:ins>
            <w:r>
              <w:rPr>
                <w:rFonts w:ascii="Times New Roman" w:hAnsi="Times New Roman"/>
                <w:b/>
                <w:noProof/>
                <w:sz w:val="20"/>
                <w:szCs w:val="20"/>
                <w:lang w:val="it-IT"/>
              </w:rPr>
              <w:t>kg</w:t>
            </w:r>
          </w:p>
        </w:tc>
        <w:tc>
          <w:tcPr>
            <w:tcW w:w="2867" w:type="dxa"/>
            <w:tcBorders>
              <w:top w:val="single" w:sz="4" w:space="0" w:color="auto"/>
              <w:left w:val="single" w:sz="4" w:space="0" w:color="auto"/>
              <w:bottom w:val="single" w:sz="4" w:space="0" w:color="auto"/>
              <w:right w:val="single" w:sz="4" w:space="0" w:color="auto"/>
            </w:tcBorders>
            <w:hideMark/>
            <w:tcPrChange w:id="2740"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del w:id="2741" w:author="Author"/>
                <w:rFonts w:ascii="Times New Roman" w:hAnsi="Times New Roman"/>
                <w:b/>
                <w:noProof/>
                <w:sz w:val="20"/>
                <w:szCs w:val="20"/>
                <w:lang w:val="it-IT"/>
              </w:rPr>
              <w:pPrChange w:id="2742" w:author="Author">
                <w:pPr>
                  <w:pStyle w:val="TextTi9"/>
                  <w:keepNext/>
                  <w:keepLines/>
                  <w:spacing w:after="0"/>
                  <w:jc w:val="center"/>
                </w:pPr>
              </w:pPrChange>
            </w:pPr>
            <w:r>
              <w:rPr>
                <w:rFonts w:ascii="Times New Roman" w:hAnsi="Times New Roman"/>
                <w:b/>
                <w:noProof/>
                <w:sz w:val="20"/>
                <w:szCs w:val="20"/>
                <w:lang w:val="it-IT"/>
              </w:rPr>
              <w:t>10 mg/kg Q4W</w:t>
            </w:r>
            <w:ins w:id="2743" w:author="Author">
              <w:r>
                <w:rPr>
                  <w:rFonts w:ascii="Times New Roman" w:hAnsi="Times New Roman"/>
                  <w:b/>
                  <w:noProof/>
                  <w:sz w:val="20"/>
                  <w:szCs w:val="20"/>
                  <w:lang w:val="it-IT"/>
                </w:rPr>
                <w:t xml:space="preserve"> </w:t>
              </w:r>
            </w:ins>
          </w:p>
          <w:p>
            <w:pPr>
              <w:pStyle w:val="TextTi9"/>
              <w:keepNext/>
              <w:suppressAutoHyphens/>
              <w:spacing w:after="0"/>
              <w:jc w:val="center"/>
              <w:rPr>
                <w:rFonts w:ascii="Times New Roman" w:hAnsi="Times New Roman"/>
                <w:b/>
                <w:noProof/>
                <w:sz w:val="20"/>
                <w:szCs w:val="20"/>
                <w:lang w:val="it-IT"/>
              </w:rPr>
              <w:pPrChange w:id="2744" w:author="Author">
                <w:pPr>
                  <w:pStyle w:val="TextTi9"/>
                  <w:keepNext/>
                  <w:spacing w:after="120"/>
                  <w:jc w:val="center"/>
                </w:pPr>
              </w:pPrChange>
            </w:pPr>
            <w:r>
              <w:rPr>
                <w:rFonts w:ascii="Times New Roman" w:hAnsi="Times New Roman"/>
                <w:b/>
                <w:noProof/>
                <w:sz w:val="20"/>
                <w:szCs w:val="20"/>
                <w:lang w:val="it-IT"/>
              </w:rPr>
              <w:t>&lt;</w:t>
            </w:r>
            <w:ins w:id="2745" w:author="Author">
              <w:r>
                <w:rPr>
                  <w:rFonts w:ascii="Times New Roman" w:hAnsi="Times New Roman"/>
                  <w:b/>
                  <w:noProof/>
                  <w:sz w:val="20"/>
                  <w:szCs w:val="20"/>
                  <w:lang w:val="it-IT"/>
                </w:rPr>
                <w:t> </w:t>
              </w:r>
            </w:ins>
            <w:del w:id="2746" w:author="Author">
              <w:r>
                <w:rPr>
                  <w:rFonts w:ascii="Times New Roman" w:hAnsi="Times New Roman"/>
                  <w:b/>
                  <w:noProof/>
                  <w:sz w:val="20"/>
                  <w:szCs w:val="20"/>
                  <w:lang w:val="it-IT"/>
                </w:rPr>
                <w:delText xml:space="preserve"> </w:delText>
              </w:r>
            </w:del>
            <w:r>
              <w:rPr>
                <w:rFonts w:ascii="Times New Roman" w:hAnsi="Times New Roman"/>
                <w:b/>
                <w:noProof/>
                <w:sz w:val="20"/>
                <w:szCs w:val="20"/>
                <w:lang w:val="it-IT"/>
              </w:rPr>
              <w:t>30</w:t>
            </w:r>
            <w:del w:id="2747" w:author="Author">
              <w:r>
                <w:rPr>
                  <w:rFonts w:ascii="Times New Roman" w:hAnsi="Times New Roman"/>
                  <w:b/>
                  <w:noProof/>
                  <w:sz w:val="20"/>
                  <w:szCs w:val="20"/>
                  <w:lang w:val="it-IT"/>
                </w:rPr>
                <w:delText xml:space="preserve"> </w:delText>
              </w:r>
            </w:del>
            <w:ins w:id="2748" w:author="Author">
              <w:r>
                <w:rPr>
                  <w:rFonts w:ascii="Times New Roman" w:hAnsi="Times New Roman"/>
                  <w:b/>
                  <w:noProof/>
                  <w:sz w:val="20"/>
                  <w:szCs w:val="20"/>
                  <w:lang w:val="it-IT"/>
                </w:rPr>
                <w:t> </w:t>
              </w:r>
            </w:ins>
            <w:r>
              <w:rPr>
                <w:rFonts w:ascii="Times New Roman" w:hAnsi="Times New Roman"/>
                <w:b/>
                <w:noProof/>
                <w:sz w:val="20"/>
                <w:szCs w:val="20"/>
                <w:lang w:val="it-IT"/>
              </w:rPr>
              <w:t>kg</w:t>
            </w:r>
          </w:p>
        </w:tc>
      </w:tr>
      <w:tr>
        <w:trPr>
          <w:cantSplit/>
          <w:trPrChange w:id="2749" w:author="Author">
            <w:trPr>
              <w:cantSplit/>
              <w:trHeight w:val="195"/>
            </w:trPr>
          </w:trPrChange>
        </w:trPr>
        <w:tc>
          <w:tcPr>
            <w:tcW w:w="3055" w:type="dxa"/>
            <w:tcBorders>
              <w:top w:val="single" w:sz="4" w:space="0" w:color="auto"/>
              <w:left w:val="single" w:sz="4" w:space="0" w:color="auto"/>
              <w:bottom w:val="single" w:sz="4" w:space="0" w:color="auto"/>
              <w:right w:val="single" w:sz="4" w:space="0" w:color="auto"/>
            </w:tcBorders>
            <w:hideMark/>
            <w:tcPrChange w:id="2750"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rPr>
                <w:rFonts w:ascii="Times New Roman" w:hAnsi="Times New Roman"/>
                <w:noProof/>
                <w:sz w:val="20"/>
                <w:szCs w:val="20"/>
                <w:lang w:val="it-IT"/>
              </w:rPr>
              <w:pPrChange w:id="2751" w:author="Author">
                <w:pPr>
                  <w:pStyle w:val="TextTi9"/>
                  <w:keepNext/>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max</w:t>
            </w:r>
            <w:r>
              <w:rPr>
                <w:rFonts w:ascii="Times New Roman" w:hAnsi="Times New Roman"/>
                <w:noProof/>
                <w:sz w:val="20"/>
                <w:szCs w:val="20"/>
                <w:lang w:val="it-IT"/>
              </w:rPr>
              <w:t xml:space="preserve"> (µg/mL)</w:t>
            </w:r>
          </w:p>
        </w:tc>
        <w:tc>
          <w:tcPr>
            <w:tcW w:w="2867" w:type="dxa"/>
            <w:tcBorders>
              <w:top w:val="single" w:sz="4" w:space="0" w:color="auto"/>
              <w:left w:val="single" w:sz="4" w:space="0" w:color="auto"/>
              <w:bottom w:val="single" w:sz="4" w:space="0" w:color="auto"/>
              <w:right w:val="single" w:sz="4" w:space="0" w:color="auto"/>
            </w:tcBorders>
            <w:hideMark/>
            <w:tcPrChange w:id="2752"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jc w:val="center"/>
              <w:rPr>
                <w:rFonts w:ascii="Times New Roman" w:eastAsia="SimSun" w:hAnsi="Times New Roman"/>
                <w:noProof/>
                <w:sz w:val="20"/>
                <w:szCs w:val="20"/>
                <w:lang w:val="it-IT"/>
                <w:rPrChange w:id="2753" w:author="Author">
                  <w:rPr>
                    <w:rFonts w:ascii="Times New Roman" w:eastAsia="SimSun" w:hAnsi="Times New Roman"/>
                    <w:sz w:val="20"/>
                    <w:szCs w:val="20"/>
                    <w:u w:val="single"/>
                    <w:lang w:val="it-IT"/>
                  </w:rPr>
                </w:rPrChange>
              </w:rPr>
              <w:pPrChange w:id="2754" w:author="Author">
                <w:pPr>
                  <w:pStyle w:val="TextTi9"/>
                  <w:keepNext/>
                  <w:spacing w:after="120"/>
                  <w:jc w:val="center"/>
                </w:pPr>
              </w:pPrChange>
            </w:pPr>
            <w:r>
              <w:rPr>
                <w:rFonts w:ascii="Times New Roman" w:eastAsia="SimSun" w:hAnsi="Times New Roman"/>
                <w:noProof/>
                <w:sz w:val="20"/>
                <w:szCs w:val="20"/>
                <w:lang w:val="it-IT"/>
                <w:rPrChange w:id="2755" w:author="Author">
                  <w:rPr>
                    <w:rFonts w:ascii="Times New Roman" w:eastAsia="SimSun" w:hAnsi="Times New Roman"/>
                    <w:sz w:val="20"/>
                    <w:szCs w:val="20"/>
                    <w:u w:val="single"/>
                    <w:lang w:val="it-IT"/>
                  </w:rPr>
                </w:rPrChange>
              </w:rPr>
              <w:t>183</w:t>
            </w:r>
            <w:del w:id="2756" w:author="Author">
              <w:r>
                <w:rPr>
                  <w:rFonts w:ascii="Times New Roman" w:eastAsia="SimSun" w:hAnsi="Times New Roman"/>
                  <w:noProof/>
                  <w:sz w:val="20"/>
                  <w:szCs w:val="20"/>
                  <w:lang w:val="it-IT"/>
                  <w:rPrChange w:id="2757" w:author="Author">
                    <w:rPr>
                      <w:rFonts w:ascii="Times New Roman" w:eastAsia="SimSun" w:hAnsi="Times New Roman"/>
                      <w:sz w:val="20"/>
                      <w:szCs w:val="20"/>
                      <w:u w:val="single"/>
                      <w:lang w:val="it-IT"/>
                    </w:rPr>
                  </w:rPrChange>
                </w:rPr>
                <w:delText xml:space="preserve"> </w:delText>
              </w:r>
            </w:del>
            <w:ins w:id="2758" w:author="Author">
              <w:r>
                <w:rPr>
                  <w:rFonts w:ascii="Times New Roman" w:eastAsia="SimSun" w:hAnsi="Times New Roman"/>
                  <w:noProof/>
                  <w:sz w:val="20"/>
                  <w:szCs w:val="20"/>
                  <w:lang w:val="it-IT"/>
                </w:rPr>
                <w:t> </w:t>
              </w:r>
            </w:ins>
            <w:r>
              <w:rPr>
                <w:rFonts w:ascii="Times New Roman" w:eastAsia="SimSun" w:hAnsi="Times New Roman"/>
                <w:noProof/>
                <w:sz w:val="20"/>
                <w:szCs w:val="20"/>
                <w:lang w:val="it-IT"/>
                <w:rPrChange w:id="2759" w:author="Author">
                  <w:rPr>
                    <w:rFonts w:ascii="Times New Roman" w:eastAsia="SimSun" w:hAnsi="Times New Roman"/>
                    <w:sz w:val="20"/>
                    <w:szCs w:val="20"/>
                    <w:u w:val="single"/>
                    <w:lang w:val="it-IT"/>
                  </w:rPr>
                </w:rPrChange>
              </w:rPr>
              <w:t>±</w:t>
            </w:r>
            <w:ins w:id="2760" w:author="Author">
              <w:r>
                <w:rPr>
                  <w:rFonts w:ascii="Times New Roman" w:eastAsia="SimSun" w:hAnsi="Times New Roman"/>
                  <w:noProof/>
                  <w:sz w:val="20"/>
                  <w:szCs w:val="20"/>
                  <w:lang w:val="it-IT"/>
                </w:rPr>
                <w:t> </w:t>
              </w:r>
            </w:ins>
            <w:del w:id="2761" w:author="Author">
              <w:r>
                <w:rPr>
                  <w:rFonts w:ascii="Times New Roman" w:eastAsia="SimSun" w:hAnsi="Times New Roman"/>
                  <w:noProof/>
                  <w:sz w:val="20"/>
                  <w:szCs w:val="20"/>
                  <w:lang w:val="it-IT"/>
                  <w:rPrChange w:id="2762" w:author="Author">
                    <w:rPr>
                      <w:rFonts w:ascii="Times New Roman" w:eastAsia="SimSun" w:hAnsi="Times New Roman"/>
                      <w:sz w:val="20"/>
                      <w:szCs w:val="20"/>
                      <w:u w:val="single"/>
                      <w:lang w:val="it-IT"/>
                    </w:rPr>
                  </w:rPrChange>
                </w:rPr>
                <w:delText xml:space="preserve"> </w:delText>
              </w:r>
            </w:del>
            <w:r>
              <w:rPr>
                <w:rFonts w:ascii="Times New Roman" w:eastAsia="SimSun" w:hAnsi="Times New Roman"/>
                <w:noProof/>
                <w:sz w:val="20"/>
                <w:szCs w:val="20"/>
                <w:lang w:val="it-IT"/>
                <w:rPrChange w:id="2763" w:author="Author">
                  <w:rPr>
                    <w:rFonts w:ascii="Times New Roman" w:eastAsia="SimSun" w:hAnsi="Times New Roman"/>
                    <w:sz w:val="20"/>
                    <w:szCs w:val="20"/>
                    <w:u w:val="single"/>
                    <w:lang w:val="it-IT"/>
                  </w:rPr>
                </w:rPrChange>
              </w:rPr>
              <w:t>42,3</w:t>
            </w:r>
          </w:p>
        </w:tc>
        <w:tc>
          <w:tcPr>
            <w:tcW w:w="2867" w:type="dxa"/>
            <w:tcBorders>
              <w:top w:val="single" w:sz="4" w:space="0" w:color="auto"/>
              <w:left w:val="single" w:sz="4" w:space="0" w:color="auto"/>
              <w:bottom w:val="single" w:sz="4" w:space="0" w:color="auto"/>
              <w:right w:val="single" w:sz="4" w:space="0" w:color="auto"/>
            </w:tcBorders>
            <w:hideMark/>
            <w:tcPrChange w:id="2764"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jc w:val="center"/>
              <w:rPr>
                <w:rFonts w:ascii="Times New Roman" w:eastAsia="SimSun" w:hAnsi="Times New Roman"/>
                <w:noProof/>
                <w:sz w:val="20"/>
                <w:szCs w:val="20"/>
                <w:lang w:val="it-IT"/>
                <w:rPrChange w:id="2765" w:author="Author">
                  <w:rPr>
                    <w:rFonts w:ascii="Times New Roman" w:eastAsia="SimSun" w:hAnsi="Times New Roman"/>
                    <w:sz w:val="20"/>
                    <w:szCs w:val="20"/>
                    <w:u w:val="single"/>
                    <w:lang w:val="it-IT"/>
                  </w:rPr>
                </w:rPrChange>
              </w:rPr>
              <w:pPrChange w:id="2766" w:author="Author">
                <w:pPr>
                  <w:pStyle w:val="TextTi9"/>
                  <w:keepNext/>
                  <w:spacing w:after="120"/>
                  <w:jc w:val="center"/>
                </w:pPr>
              </w:pPrChange>
            </w:pPr>
            <w:r>
              <w:rPr>
                <w:rFonts w:ascii="Times New Roman" w:eastAsia="SimSun" w:hAnsi="Times New Roman"/>
                <w:noProof/>
                <w:sz w:val="20"/>
                <w:szCs w:val="20"/>
                <w:lang w:val="it-IT"/>
                <w:rPrChange w:id="2767" w:author="Author">
                  <w:rPr>
                    <w:rFonts w:ascii="Times New Roman" w:eastAsia="SimSun" w:hAnsi="Times New Roman"/>
                    <w:sz w:val="20"/>
                    <w:szCs w:val="20"/>
                    <w:u w:val="single"/>
                    <w:lang w:val="it-IT"/>
                  </w:rPr>
                </w:rPrChange>
              </w:rPr>
              <w:t>168</w:t>
            </w:r>
            <w:del w:id="2768" w:author="Author">
              <w:r>
                <w:rPr>
                  <w:rFonts w:ascii="Times New Roman" w:eastAsia="SimSun" w:hAnsi="Times New Roman"/>
                  <w:noProof/>
                  <w:sz w:val="20"/>
                  <w:szCs w:val="20"/>
                  <w:lang w:val="it-IT"/>
                  <w:rPrChange w:id="2769" w:author="Author">
                    <w:rPr>
                      <w:rFonts w:ascii="Times New Roman" w:eastAsia="SimSun" w:hAnsi="Times New Roman"/>
                      <w:sz w:val="20"/>
                      <w:szCs w:val="20"/>
                      <w:u w:val="single"/>
                      <w:lang w:val="it-IT"/>
                    </w:rPr>
                  </w:rPrChange>
                </w:rPr>
                <w:delText xml:space="preserve"> </w:delText>
              </w:r>
            </w:del>
            <w:ins w:id="2770" w:author="Author">
              <w:r>
                <w:rPr>
                  <w:rFonts w:ascii="Times New Roman" w:eastAsia="SimSun" w:hAnsi="Times New Roman"/>
                  <w:noProof/>
                  <w:sz w:val="20"/>
                  <w:szCs w:val="20"/>
                  <w:lang w:val="it-IT"/>
                </w:rPr>
                <w:t> </w:t>
              </w:r>
            </w:ins>
            <w:r>
              <w:rPr>
                <w:rFonts w:ascii="Times New Roman" w:eastAsia="SimSun" w:hAnsi="Times New Roman"/>
                <w:noProof/>
                <w:sz w:val="20"/>
                <w:szCs w:val="20"/>
                <w:lang w:val="it-IT"/>
                <w:rPrChange w:id="2771" w:author="Author">
                  <w:rPr>
                    <w:rFonts w:ascii="Times New Roman" w:eastAsia="SimSun" w:hAnsi="Times New Roman"/>
                    <w:sz w:val="20"/>
                    <w:szCs w:val="20"/>
                    <w:u w:val="single"/>
                    <w:lang w:val="it-IT"/>
                  </w:rPr>
                </w:rPrChange>
              </w:rPr>
              <w:sym w:font="Symbol" w:char="F0B1"/>
            </w:r>
            <w:r>
              <w:rPr>
                <w:rFonts w:ascii="Times New Roman" w:eastAsia="SimSun" w:hAnsi="Times New Roman"/>
                <w:noProof/>
                <w:sz w:val="20"/>
                <w:szCs w:val="20"/>
                <w:lang w:val="it-IT"/>
                <w:rPrChange w:id="2772" w:author="Author">
                  <w:rPr>
                    <w:rFonts w:ascii="Times New Roman" w:eastAsia="SimSun" w:hAnsi="Times New Roman"/>
                    <w:sz w:val="20"/>
                    <w:szCs w:val="20"/>
                    <w:u w:val="single"/>
                    <w:lang w:val="it-IT"/>
                  </w:rPr>
                </w:rPrChange>
              </w:rPr>
              <w:t> 24,8</w:t>
            </w:r>
          </w:p>
        </w:tc>
      </w:tr>
      <w:tr>
        <w:trPr>
          <w:cantSplit/>
          <w:trPrChange w:id="2773" w:author="Author">
            <w:trPr>
              <w:cantSplit/>
              <w:trHeight w:val="195"/>
            </w:trPr>
          </w:trPrChange>
        </w:trPr>
        <w:tc>
          <w:tcPr>
            <w:tcW w:w="3055" w:type="dxa"/>
            <w:tcBorders>
              <w:top w:val="single" w:sz="4" w:space="0" w:color="auto"/>
              <w:left w:val="single" w:sz="4" w:space="0" w:color="auto"/>
              <w:bottom w:val="single" w:sz="4" w:space="0" w:color="auto"/>
              <w:right w:val="single" w:sz="4" w:space="0" w:color="auto"/>
            </w:tcBorders>
            <w:hideMark/>
            <w:tcPrChange w:id="2774"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rPr>
                <w:rFonts w:ascii="Times New Roman" w:hAnsi="Times New Roman"/>
                <w:noProof/>
                <w:sz w:val="20"/>
                <w:szCs w:val="20"/>
                <w:lang w:val="it-IT"/>
              </w:rPr>
              <w:pPrChange w:id="2775" w:author="Author">
                <w:pPr>
                  <w:pStyle w:val="TextTi9"/>
                  <w:keepNext/>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trough</w:t>
            </w:r>
            <w:r>
              <w:rPr>
                <w:rFonts w:ascii="Times New Roman" w:hAnsi="Times New Roman"/>
                <w:noProof/>
                <w:sz w:val="20"/>
                <w:szCs w:val="20"/>
                <w:lang w:val="it-IT"/>
              </w:rPr>
              <w:t xml:space="preserve"> (µg/mL)</w:t>
            </w:r>
          </w:p>
        </w:tc>
        <w:tc>
          <w:tcPr>
            <w:tcW w:w="2867" w:type="dxa"/>
            <w:tcBorders>
              <w:top w:val="single" w:sz="4" w:space="0" w:color="auto"/>
              <w:left w:val="single" w:sz="4" w:space="0" w:color="auto"/>
              <w:bottom w:val="single" w:sz="4" w:space="0" w:color="auto"/>
              <w:right w:val="single" w:sz="4" w:space="0" w:color="auto"/>
            </w:tcBorders>
            <w:hideMark/>
            <w:tcPrChange w:id="2776"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jc w:val="center"/>
              <w:rPr>
                <w:rFonts w:ascii="Times New Roman" w:eastAsia="SimSun" w:hAnsi="Times New Roman"/>
                <w:noProof/>
                <w:sz w:val="20"/>
                <w:szCs w:val="20"/>
                <w:lang w:val="it-IT"/>
                <w:rPrChange w:id="2777" w:author="Author">
                  <w:rPr>
                    <w:rFonts w:ascii="Times New Roman" w:eastAsia="SimSun" w:hAnsi="Times New Roman"/>
                    <w:sz w:val="20"/>
                    <w:szCs w:val="20"/>
                    <w:u w:val="single"/>
                    <w:lang w:val="it-IT"/>
                  </w:rPr>
                </w:rPrChange>
              </w:rPr>
              <w:pPrChange w:id="2778" w:author="Author">
                <w:pPr>
                  <w:pStyle w:val="TextTi9"/>
                  <w:keepNext/>
                  <w:spacing w:after="120"/>
                  <w:jc w:val="center"/>
                </w:pPr>
              </w:pPrChange>
            </w:pPr>
            <w:r>
              <w:rPr>
                <w:rFonts w:ascii="Times New Roman" w:eastAsia="SimSun" w:hAnsi="Times New Roman"/>
                <w:noProof/>
                <w:sz w:val="20"/>
                <w:szCs w:val="20"/>
                <w:lang w:val="it-IT"/>
                <w:rPrChange w:id="2779" w:author="Author">
                  <w:rPr>
                    <w:rFonts w:ascii="Times New Roman" w:eastAsia="SimSun" w:hAnsi="Times New Roman"/>
                    <w:sz w:val="20"/>
                    <w:szCs w:val="20"/>
                    <w:u w:val="single"/>
                    <w:lang w:val="it-IT"/>
                  </w:rPr>
                </w:rPrChange>
              </w:rPr>
              <w:t>6,55</w:t>
            </w:r>
            <w:del w:id="2780" w:author="Author">
              <w:r>
                <w:rPr>
                  <w:rFonts w:ascii="Times New Roman" w:eastAsia="SimSun" w:hAnsi="Times New Roman"/>
                  <w:noProof/>
                  <w:sz w:val="20"/>
                  <w:szCs w:val="20"/>
                  <w:lang w:val="it-IT"/>
                  <w:rPrChange w:id="2781" w:author="Author">
                    <w:rPr>
                      <w:rFonts w:ascii="Times New Roman" w:eastAsia="SimSun" w:hAnsi="Times New Roman"/>
                      <w:sz w:val="20"/>
                      <w:szCs w:val="20"/>
                      <w:u w:val="single"/>
                      <w:lang w:val="it-IT"/>
                    </w:rPr>
                  </w:rPrChange>
                </w:rPr>
                <w:delText xml:space="preserve"> </w:delText>
              </w:r>
            </w:del>
            <w:ins w:id="2782" w:author="Author">
              <w:r>
                <w:rPr>
                  <w:rFonts w:ascii="Times New Roman" w:eastAsia="SimSun" w:hAnsi="Times New Roman"/>
                  <w:noProof/>
                  <w:sz w:val="20"/>
                  <w:szCs w:val="20"/>
                  <w:lang w:val="it-IT"/>
                </w:rPr>
                <w:t> </w:t>
              </w:r>
            </w:ins>
            <w:r>
              <w:rPr>
                <w:rFonts w:ascii="Times New Roman" w:eastAsia="SimSun" w:hAnsi="Times New Roman"/>
                <w:noProof/>
                <w:sz w:val="20"/>
                <w:szCs w:val="20"/>
                <w:lang w:val="it-IT"/>
                <w:rPrChange w:id="2783" w:author="Author">
                  <w:rPr>
                    <w:rFonts w:ascii="Times New Roman" w:eastAsia="SimSun" w:hAnsi="Times New Roman"/>
                    <w:sz w:val="20"/>
                    <w:szCs w:val="20"/>
                    <w:u w:val="single"/>
                    <w:lang w:val="it-IT"/>
                  </w:rPr>
                </w:rPrChange>
              </w:rPr>
              <w:t>±</w:t>
            </w:r>
            <w:ins w:id="2784" w:author="Author">
              <w:r>
                <w:rPr>
                  <w:rFonts w:ascii="Times New Roman" w:eastAsia="SimSun" w:hAnsi="Times New Roman"/>
                  <w:noProof/>
                  <w:sz w:val="20"/>
                  <w:szCs w:val="20"/>
                  <w:lang w:val="it-IT"/>
                </w:rPr>
                <w:t> </w:t>
              </w:r>
            </w:ins>
            <w:del w:id="2785" w:author="Author">
              <w:r>
                <w:rPr>
                  <w:rFonts w:ascii="Times New Roman" w:eastAsia="SimSun" w:hAnsi="Times New Roman"/>
                  <w:noProof/>
                  <w:sz w:val="20"/>
                  <w:szCs w:val="20"/>
                  <w:lang w:val="it-IT"/>
                  <w:rPrChange w:id="2786" w:author="Author">
                    <w:rPr>
                      <w:rFonts w:ascii="Times New Roman" w:eastAsia="SimSun" w:hAnsi="Times New Roman"/>
                      <w:sz w:val="20"/>
                      <w:szCs w:val="20"/>
                      <w:u w:val="single"/>
                      <w:lang w:val="it-IT"/>
                    </w:rPr>
                  </w:rPrChange>
                </w:rPr>
                <w:delText xml:space="preserve"> </w:delText>
              </w:r>
            </w:del>
            <w:r>
              <w:rPr>
                <w:rFonts w:ascii="Times New Roman" w:eastAsia="SimSun" w:hAnsi="Times New Roman"/>
                <w:noProof/>
                <w:sz w:val="20"/>
                <w:szCs w:val="20"/>
                <w:lang w:val="it-IT"/>
                <w:rPrChange w:id="2787" w:author="Author">
                  <w:rPr>
                    <w:rFonts w:ascii="Times New Roman" w:eastAsia="SimSun" w:hAnsi="Times New Roman"/>
                    <w:sz w:val="20"/>
                    <w:szCs w:val="20"/>
                    <w:u w:val="single"/>
                    <w:lang w:val="it-IT"/>
                  </w:rPr>
                </w:rPrChange>
              </w:rPr>
              <w:t>7,93</w:t>
            </w:r>
          </w:p>
        </w:tc>
        <w:tc>
          <w:tcPr>
            <w:tcW w:w="2867" w:type="dxa"/>
            <w:tcBorders>
              <w:top w:val="single" w:sz="4" w:space="0" w:color="auto"/>
              <w:left w:val="single" w:sz="4" w:space="0" w:color="auto"/>
              <w:bottom w:val="single" w:sz="4" w:space="0" w:color="auto"/>
              <w:right w:val="single" w:sz="4" w:space="0" w:color="auto"/>
            </w:tcBorders>
            <w:hideMark/>
            <w:tcPrChange w:id="2788"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jc w:val="center"/>
              <w:rPr>
                <w:rFonts w:ascii="Times New Roman" w:eastAsia="SimSun" w:hAnsi="Times New Roman"/>
                <w:noProof/>
                <w:sz w:val="20"/>
                <w:szCs w:val="20"/>
                <w:lang w:val="it-IT"/>
                <w:rPrChange w:id="2789" w:author="Author">
                  <w:rPr>
                    <w:rFonts w:ascii="Times New Roman" w:eastAsia="SimSun" w:hAnsi="Times New Roman"/>
                    <w:sz w:val="20"/>
                    <w:szCs w:val="20"/>
                    <w:u w:val="single"/>
                    <w:lang w:val="it-IT"/>
                  </w:rPr>
                </w:rPrChange>
              </w:rPr>
              <w:pPrChange w:id="2790" w:author="Author">
                <w:pPr>
                  <w:pStyle w:val="TextTi9"/>
                  <w:keepNext/>
                  <w:spacing w:after="120"/>
                  <w:jc w:val="center"/>
                </w:pPr>
              </w:pPrChange>
            </w:pPr>
            <w:r>
              <w:rPr>
                <w:rFonts w:ascii="Times New Roman" w:eastAsia="SimSun" w:hAnsi="Times New Roman"/>
                <w:noProof/>
                <w:sz w:val="20"/>
                <w:szCs w:val="20"/>
                <w:lang w:val="it-IT"/>
                <w:rPrChange w:id="2791" w:author="Author">
                  <w:rPr>
                    <w:rFonts w:ascii="Times New Roman" w:eastAsia="SimSun" w:hAnsi="Times New Roman"/>
                    <w:sz w:val="20"/>
                    <w:szCs w:val="20"/>
                    <w:u w:val="single"/>
                    <w:lang w:val="it-IT"/>
                  </w:rPr>
                </w:rPrChange>
              </w:rPr>
              <w:t>1,47</w:t>
            </w:r>
            <w:del w:id="2792" w:author="Author">
              <w:r>
                <w:rPr>
                  <w:rFonts w:ascii="Times New Roman" w:eastAsia="SimSun" w:hAnsi="Times New Roman"/>
                  <w:noProof/>
                  <w:sz w:val="20"/>
                  <w:szCs w:val="20"/>
                  <w:lang w:val="it-IT"/>
                  <w:rPrChange w:id="2793" w:author="Author">
                    <w:rPr>
                      <w:rFonts w:ascii="Times New Roman" w:eastAsia="SimSun" w:hAnsi="Times New Roman"/>
                      <w:sz w:val="20"/>
                      <w:szCs w:val="20"/>
                      <w:u w:val="single"/>
                      <w:lang w:val="it-IT"/>
                    </w:rPr>
                  </w:rPrChange>
                </w:rPr>
                <w:delText xml:space="preserve"> </w:delText>
              </w:r>
            </w:del>
            <w:ins w:id="2794" w:author="Author">
              <w:r>
                <w:rPr>
                  <w:rFonts w:ascii="Times New Roman" w:eastAsia="SimSun" w:hAnsi="Times New Roman"/>
                  <w:noProof/>
                  <w:sz w:val="20"/>
                  <w:szCs w:val="20"/>
                  <w:lang w:val="it-IT"/>
                </w:rPr>
                <w:t> </w:t>
              </w:r>
            </w:ins>
            <w:r>
              <w:rPr>
                <w:rFonts w:ascii="Times New Roman" w:eastAsia="SimSun" w:hAnsi="Times New Roman"/>
                <w:noProof/>
                <w:sz w:val="20"/>
                <w:szCs w:val="20"/>
                <w:lang w:val="it-IT"/>
                <w:rPrChange w:id="2795" w:author="Author">
                  <w:rPr>
                    <w:rFonts w:ascii="Times New Roman" w:eastAsia="SimSun" w:hAnsi="Times New Roman"/>
                    <w:sz w:val="20"/>
                    <w:szCs w:val="20"/>
                    <w:u w:val="single"/>
                    <w:lang w:val="it-IT"/>
                  </w:rPr>
                </w:rPrChange>
              </w:rPr>
              <w:sym w:font="Symbol" w:char="F0B1"/>
            </w:r>
            <w:r>
              <w:rPr>
                <w:rFonts w:ascii="Times New Roman" w:eastAsia="SimSun" w:hAnsi="Times New Roman"/>
                <w:noProof/>
                <w:sz w:val="20"/>
                <w:szCs w:val="20"/>
                <w:lang w:val="it-IT"/>
                <w:rPrChange w:id="2796" w:author="Author">
                  <w:rPr>
                    <w:rFonts w:ascii="Times New Roman" w:eastAsia="SimSun" w:hAnsi="Times New Roman"/>
                    <w:sz w:val="20"/>
                    <w:szCs w:val="20"/>
                    <w:u w:val="single"/>
                    <w:lang w:val="it-IT"/>
                  </w:rPr>
                </w:rPrChange>
              </w:rPr>
              <w:t> 2,44</w:t>
            </w:r>
          </w:p>
        </w:tc>
      </w:tr>
      <w:tr>
        <w:trPr>
          <w:cantSplit/>
          <w:trPrChange w:id="2797" w:author="Author">
            <w:trPr>
              <w:cantSplit/>
              <w:trHeight w:val="324"/>
            </w:trPr>
          </w:trPrChange>
        </w:trPr>
        <w:tc>
          <w:tcPr>
            <w:tcW w:w="3055" w:type="dxa"/>
            <w:tcBorders>
              <w:top w:val="single" w:sz="4" w:space="0" w:color="auto"/>
              <w:left w:val="single" w:sz="4" w:space="0" w:color="auto"/>
              <w:bottom w:val="single" w:sz="4" w:space="0" w:color="auto"/>
              <w:right w:val="single" w:sz="4" w:space="0" w:color="auto"/>
            </w:tcBorders>
            <w:hideMark/>
            <w:tcPrChange w:id="2798"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rPr>
                <w:rFonts w:ascii="Times New Roman" w:hAnsi="Times New Roman"/>
                <w:noProof/>
                <w:sz w:val="20"/>
                <w:szCs w:val="20"/>
                <w:lang w:val="it-IT"/>
              </w:rPr>
              <w:pPrChange w:id="2799" w:author="Author">
                <w:pPr>
                  <w:pStyle w:val="TextTi9"/>
                  <w:keepNext/>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mean</w:t>
            </w:r>
            <w:r>
              <w:rPr>
                <w:rFonts w:ascii="Times New Roman" w:hAnsi="Times New Roman"/>
                <w:noProof/>
                <w:sz w:val="20"/>
                <w:szCs w:val="20"/>
                <w:lang w:val="it-IT"/>
              </w:rPr>
              <w:t xml:space="preserve"> (µg/mL)</w:t>
            </w:r>
          </w:p>
        </w:tc>
        <w:tc>
          <w:tcPr>
            <w:tcW w:w="2867" w:type="dxa"/>
            <w:tcBorders>
              <w:top w:val="single" w:sz="4" w:space="0" w:color="auto"/>
              <w:left w:val="single" w:sz="4" w:space="0" w:color="auto"/>
              <w:bottom w:val="single" w:sz="4" w:space="0" w:color="auto"/>
              <w:right w:val="single" w:sz="4" w:space="0" w:color="auto"/>
            </w:tcBorders>
            <w:hideMark/>
            <w:tcPrChange w:id="2800"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jc w:val="center"/>
              <w:rPr>
                <w:rFonts w:ascii="Times New Roman" w:eastAsia="SimSun" w:hAnsi="Times New Roman"/>
                <w:noProof/>
                <w:sz w:val="20"/>
                <w:szCs w:val="20"/>
                <w:lang w:val="it-IT"/>
                <w:rPrChange w:id="2801" w:author="Author">
                  <w:rPr>
                    <w:rFonts w:ascii="Times New Roman" w:eastAsia="SimSun" w:hAnsi="Times New Roman"/>
                    <w:sz w:val="20"/>
                    <w:szCs w:val="20"/>
                    <w:u w:val="single"/>
                    <w:lang w:val="it-IT"/>
                  </w:rPr>
                </w:rPrChange>
              </w:rPr>
              <w:pPrChange w:id="2802" w:author="Author">
                <w:pPr>
                  <w:pStyle w:val="TextTi9"/>
                  <w:keepNext/>
                  <w:spacing w:after="120"/>
                  <w:jc w:val="center"/>
                </w:pPr>
              </w:pPrChange>
            </w:pPr>
            <w:r>
              <w:rPr>
                <w:rFonts w:ascii="Times New Roman" w:eastAsia="SimSun" w:hAnsi="Times New Roman"/>
                <w:noProof/>
                <w:sz w:val="20"/>
                <w:szCs w:val="20"/>
                <w:lang w:val="it-IT"/>
                <w:rPrChange w:id="2803" w:author="Author">
                  <w:rPr>
                    <w:rFonts w:ascii="Times New Roman" w:eastAsia="SimSun" w:hAnsi="Times New Roman"/>
                    <w:sz w:val="20"/>
                    <w:szCs w:val="20"/>
                    <w:u w:val="single"/>
                    <w:lang w:val="it-IT"/>
                  </w:rPr>
                </w:rPrChange>
              </w:rPr>
              <w:t>42,2</w:t>
            </w:r>
            <w:del w:id="2804" w:author="Author">
              <w:r>
                <w:rPr>
                  <w:rFonts w:ascii="Times New Roman" w:eastAsia="SimSun" w:hAnsi="Times New Roman"/>
                  <w:noProof/>
                  <w:sz w:val="20"/>
                  <w:szCs w:val="20"/>
                  <w:lang w:val="it-IT"/>
                  <w:rPrChange w:id="2805" w:author="Author">
                    <w:rPr>
                      <w:rFonts w:ascii="Times New Roman" w:eastAsia="SimSun" w:hAnsi="Times New Roman"/>
                      <w:sz w:val="20"/>
                      <w:szCs w:val="20"/>
                      <w:u w:val="single"/>
                      <w:lang w:val="it-IT"/>
                    </w:rPr>
                  </w:rPrChange>
                </w:rPr>
                <w:delText xml:space="preserve"> </w:delText>
              </w:r>
            </w:del>
            <w:ins w:id="2806" w:author="Author">
              <w:r>
                <w:rPr>
                  <w:rFonts w:ascii="Times New Roman" w:eastAsia="SimSun" w:hAnsi="Times New Roman"/>
                  <w:noProof/>
                  <w:sz w:val="20"/>
                  <w:szCs w:val="20"/>
                  <w:lang w:val="it-IT"/>
                </w:rPr>
                <w:t> </w:t>
              </w:r>
            </w:ins>
            <w:r>
              <w:rPr>
                <w:rFonts w:ascii="Times New Roman" w:eastAsia="SimSun" w:hAnsi="Times New Roman"/>
                <w:noProof/>
                <w:sz w:val="20"/>
                <w:szCs w:val="20"/>
                <w:lang w:val="it-IT"/>
                <w:rPrChange w:id="2807" w:author="Author">
                  <w:rPr>
                    <w:rFonts w:ascii="Times New Roman" w:eastAsia="SimSun" w:hAnsi="Times New Roman"/>
                    <w:sz w:val="20"/>
                    <w:szCs w:val="20"/>
                    <w:u w:val="single"/>
                    <w:lang w:val="it-IT"/>
                  </w:rPr>
                </w:rPrChange>
              </w:rPr>
              <w:t>±</w:t>
            </w:r>
            <w:ins w:id="2808" w:author="Author">
              <w:r>
                <w:rPr>
                  <w:rFonts w:ascii="Times New Roman" w:eastAsia="SimSun" w:hAnsi="Times New Roman"/>
                  <w:noProof/>
                  <w:sz w:val="20"/>
                  <w:szCs w:val="20"/>
                  <w:lang w:val="it-IT"/>
                </w:rPr>
                <w:t> </w:t>
              </w:r>
            </w:ins>
            <w:del w:id="2809" w:author="Author">
              <w:r>
                <w:rPr>
                  <w:rFonts w:ascii="Times New Roman" w:eastAsia="SimSun" w:hAnsi="Times New Roman"/>
                  <w:noProof/>
                  <w:sz w:val="20"/>
                  <w:szCs w:val="20"/>
                  <w:lang w:val="it-IT"/>
                  <w:rPrChange w:id="2810" w:author="Author">
                    <w:rPr>
                      <w:rFonts w:ascii="Times New Roman" w:eastAsia="SimSun" w:hAnsi="Times New Roman"/>
                      <w:sz w:val="20"/>
                      <w:szCs w:val="20"/>
                      <w:u w:val="single"/>
                      <w:lang w:val="it-IT"/>
                    </w:rPr>
                  </w:rPrChange>
                </w:rPr>
                <w:delText xml:space="preserve"> </w:delText>
              </w:r>
            </w:del>
            <w:r>
              <w:rPr>
                <w:rFonts w:ascii="Times New Roman" w:eastAsia="SimSun" w:hAnsi="Times New Roman"/>
                <w:noProof/>
                <w:sz w:val="20"/>
                <w:szCs w:val="20"/>
                <w:lang w:val="it-IT"/>
                <w:rPrChange w:id="2811" w:author="Author">
                  <w:rPr>
                    <w:rFonts w:ascii="Times New Roman" w:eastAsia="SimSun" w:hAnsi="Times New Roman"/>
                    <w:sz w:val="20"/>
                    <w:szCs w:val="20"/>
                    <w:u w:val="single"/>
                    <w:lang w:val="it-IT"/>
                  </w:rPr>
                </w:rPrChange>
              </w:rPr>
              <w:t>13,4</w:t>
            </w:r>
          </w:p>
        </w:tc>
        <w:tc>
          <w:tcPr>
            <w:tcW w:w="2867" w:type="dxa"/>
            <w:tcBorders>
              <w:top w:val="single" w:sz="4" w:space="0" w:color="auto"/>
              <w:left w:val="single" w:sz="4" w:space="0" w:color="auto"/>
              <w:bottom w:val="single" w:sz="4" w:space="0" w:color="auto"/>
              <w:right w:val="single" w:sz="4" w:space="0" w:color="auto"/>
            </w:tcBorders>
            <w:hideMark/>
            <w:tcPrChange w:id="2812"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jc w:val="center"/>
              <w:rPr>
                <w:rFonts w:ascii="Times New Roman" w:eastAsia="SimSun" w:hAnsi="Times New Roman"/>
                <w:noProof/>
                <w:sz w:val="20"/>
                <w:szCs w:val="20"/>
                <w:lang w:val="it-IT"/>
                <w:rPrChange w:id="2813" w:author="Author">
                  <w:rPr>
                    <w:rFonts w:ascii="Times New Roman" w:eastAsia="SimSun" w:hAnsi="Times New Roman"/>
                    <w:sz w:val="20"/>
                    <w:szCs w:val="20"/>
                    <w:u w:val="single"/>
                    <w:lang w:val="it-IT"/>
                  </w:rPr>
                </w:rPrChange>
              </w:rPr>
              <w:pPrChange w:id="2814" w:author="Author">
                <w:pPr>
                  <w:pStyle w:val="TextTi9"/>
                  <w:keepNext/>
                  <w:spacing w:after="120"/>
                  <w:jc w:val="center"/>
                </w:pPr>
              </w:pPrChange>
            </w:pPr>
            <w:r>
              <w:rPr>
                <w:rFonts w:ascii="Times New Roman" w:eastAsia="SimSun" w:hAnsi="Times New Roman"/>
                <w:noProof/>
                <w:sz w:val="20"/>
                <w:szCs w:val="20"/>
                <w:lang w:val="it-IT"/>
                <w:rPrChange w:id="2815" w:author="Author">
                  <w:rPr>
                    <w:rFonts w:ascii="Times New Roman" w:eastAsia="SimSun" w:hAnsi="Times New Roman"/>
                    <w:sz w:val="20"/>
                    <w:szCs w:val="20"/>
                    <w:u w:val="single"/>
                    <w:lang w:val="it-IT"/>
                  </w:rPr>
                </w:rPrChange>
              </w:rPr>
              <w:t>31,6</w:t>
            </w:r>
            <w:del w:id="2816" w:author="Author">
              <w:r>
                <w:rPr>
                  <w:rFonts w:ascii="Times New Roman" w:eastAsia="SimSun" w:hAnsi="Times New Roman"/>
                  <w:noProof/>
                  <w:sz w:val="20"/>
                  <w:szCs w:val="20"/>
                  <w:lang w:val="it-IT"/>
                  <w:rPrChange w:id="2817" w:author="Author">
                    <w:rPr>
                      <w:rFonts w:ascii="Times New Roman" w:eastAsia="SimSun" w:hAnsi="Times New Roman"/>
                      <w:sz w:val="20"/>
                      <w:szCs w:val="20"/>
                      <w:u w:val="single"/>
                      <w:lang w:val="it-IT"/>
                    </w:rPr>
                  </w:rPrChange>
                </w:rPr>
                <w:delText xml:space="preserve"> </w:delText>
              </w:r>
            </w:del>
            <w:ins w:id="2818" w:author="Author">
              <w:r>
                <w:rPr>
                  <w:rFonts w:ascii="Times New Roman" w:eastAsia="SimSun" w:hAnsi="Times New Roman"/>
                  <w:noProof/>
                  <w:sz w:val="20"/>
                  <w:szCs w:val="20"/>
                  <w:lang w:val="it-IT"/>
                </w:rPr>
                <w:t> </w:t>
              </w:r>
            </w:ins>
            <w:r>
              <w:rPr>
                <w:rFonts w:ascii="Times New Roman" w:eastAsia="SimSun" w:hAnsi="Times New Roman"/>
                <w:noProof/>
                <w:sz w:val="20"/>
                <w:szCs w:val="20"/>
                <w:lang w:val="it-IT"/>
                <w:rPrChange w:id="2819" w:author="Author">
                  <w:rPr>
                    <w:rFonts w:ascii="Times New Roman" w:eastAsia="SimSun" w:hAnsi="Times New Roman"/>
                    <w:sz w:val="20"/>
                    <w:szCs w:val="20"/>
                    <w:u w:val="single"/>
                    <w:lang w:val="it-IT"/>
                  </w:rPr>
                </w:rPrChange>
              </w:rPr>
              <w:sym w:font="Symbol" w:char="F0B1"/>
            </w:r>
            <w:r>
              <w:rPr>
                <w:rFonts w:ascii="Times New Roman" w:eastAsia="SimSun" w:hAnsi="Times New Roman"/>
                <w:noProof/>
                <w:sz w:val="20"/>
                <w:szCs w:val="20"/>
                <w:lang w:val="it-IT"/>
                <w:rPrChange w:id="2820" w:author="Author">
                  <w:rPr>
                    <w:rFonts w:ascii="Times New Roman" w:eastAsia="SimSun" w:hAnsi="Times New Roman"/>
                    <w:sz w:val="20"/>
                    <w:szCs w:val="20"/>
                    <w:u w:val="single"/>
                    <w:lang w:val="it-IT"/>
                  </w:rPr>
                </w:rPrChange>
              </w:rPr>
              <w:t> 7,84</w:t>
            </w:r>
          </w:p>
        </w:tc>
      </w:tr>
      <w:tr>
        <w:trPr>
          <w:cantSplit/>
          <w:trPrChange w:id="2821" w:author="Author">
            <w:trPr>
              <w:cantSplit/>
              <w:trHeight w:val="324"/>
            </w:trPr>
          </w:trPrChange>
        </w:trPr>
        <w:tc>
          <w:tcPr>
            <w:tcW w:w="3055" w:type="dxa"/>
            <w:tcBorders>
              <w:top w:val="single" w:sz="4" w:space="0" w:color="auto"/>
              <w:left w:val="single" w:sz="4" w:space="0" w:color="auto"/>
              <w:bottom w:val="single" w:sz="4" w:space="0" w:color="auto"/>
              <w:right w:val="single" w:sz="4" w:space="0" w:color="auto"/>
            </w:tcBorders>
            <w:hideMark/>
            <w:tcPrChange w:id="2822"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rPr>
                <w:rFonts w:ascii="Times New Roman" w:hAnsi="Times New Roman"/>
                <w:noProof/>
                <w:sz w:val="20"/>
                <w:szCs w:val="20"/>
                <w:lang w:val="it-IT"/>
              </w:rPr>
              <w:pPrChange w:id="2823" w:author="Author">
                <w:pPr>
                  <w:pStyle w:val="TextTi9"/>
                  <w:keepNext/>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 xml:space="preserve">max </w:t>
            </w:r>
            <w:r>
              <w:rPr>
                <w:rFonts w:ascii="Times New Roman" w:hAnsi="Times New Roman"/>
                <w:noProof/>
                <w:sz w:val="20"/>
                <w:szCs w:val="20"/>
                <w:lang w:val="it-IT"/>
              </w:rPr>
              <w:t>d’accumulo</w:t>
            </w:r>
          </w:p>
        </w:tc>
        <w:tc>
          <w:tcPr>
            <w:tcW w:w="2867" w:type="dxa"/>
            <w:tcBorders>
              <w:top w:val="single" w:sz="4" w:space="0" w:color="auto"/>
              <w:left w:val="single" w:sz="4" w:space="0" w:color="auto"/>
              <w:bottom w:val="single" w:sz="4" w:space="0" w:color="auto"/>
              <w:right w:val="single" w:sz="4" w:space="0" w:color="auto"/>
            </w:tcBorders>
            <w:tcPrChange w:id="2824"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suppressAutoHyphens/>
              <w:spacing w:after="0"/>
              <w:jc w:val="center"/>
              <w:rPr>
                <w:rFonts w:ascii="Times New Roman" w:eastAsia="SimSun" w:hAnsi="Times New Roman"/>
                <w:noProof/>
                <w:sz w:val="20"/>
                <w:szCs w:val="20"/>
                <w:lang w:val="it-IT"/>
                <w:rPrChange w:id="2825" w:author="Author">
                  <w:rPr>
                    <w:rFonts w:ascii="Times New Roman" w:eastAsia="SimSun" w:hAnsi="Times New Roman"/>
                    <w:sz w:val="20"/>
                    <w:szCs w:val="20"/>
                    <w:u w:val="single"/>
                    <w:lang w:val="it-IT"/>
                  </w:rPr>
                </w:rPrChange>
              </w:rPr>
              <w:pPrChange w:id="2826" w:author="Author">
                <w:pPr>
                  <w:pStyle w:val="TextTi9"/>
                  <w:keepNext/>
                  <w:spacing w:after="120"/>
                  <w:jc w:val="center"/>
                </w:pPr>
              </w:pPrChange>
            </w:pPr>
            <w:r>
              <w:rPr>
                <w:rFonts w:ascii="Times New Roman" w:eastAsia="SimSun" w:hAnsi="Times New Roman"/>
                <w:noProof/>
                <w:sz w:val="20"/>
                <w:szCs w:val="20"/>
                <w:lang w:val="it-IT"/>
                <w:rPrChange w:id="2827" w:author="Author">
                  <w:rPr>
                    <w:rFonts w:ascii="Times New Roman" w:eastAsia="SimSun" w:hAnsi="Times New Roman"/>
                    <w:sz w:val="20"/>
                    <w:szCs w:val="20"/>
                    <w:u w:val="single"/>
                    <w:lang w:val="it-IT"/>
                  </w:rPr>
                </w:rPrChange>
              </w:rPr>
              <w:t>1,04</w:t>
            </w:r>
          </w:p>
        </w:tc>
        <w:tc>
          <w:tcPr>
            <w:tcW w:w="2867" w:type="dxa"/>
            <w:tcBorders>
              <w:top w:val="single" w:sz="4" w:space="0" w:color="auto"/>
              <w:left w:val="single" w:sz="4" w:space="0" w:color="auto"/>
              <w:bottom w:val="single" w:sz="4" w:space="0" w:color="auto"/>
              <w:right w:val="single" w:sz="4" w:space="0" w:color="auto"/>
            </w:tcBorders>
            <w:tcPrChange w:id="2828"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suppressAutoHyphens/>
              <w:spacing w:after="0"/>
              <w:jc w:val="center"/>
              <w:rPr>
                <w:rFonts w:ascii="Times New Roman" w:eastAsia="SimSun" w:hAnsi="Times New Roman"/>
                <w:noProof/>
                <w:sz w:val="20"/>
                <w:szCs w:val="20"/>
                <w:lang w:val="it-IT"/>
                <w:rPrChange w:id="2829" w:author="Author">
                  <w:rPr>
                    <w:rFonts w:ascii="Times New Roman" w:eastAsia="SimSun" w:hAnsi="Times New Roman"/>
                    <w:sz w:val="20"/>
                    <w:szCs w:val="20"/>
                    <w:u w:val="single"/>
                    <w:lang w:val="it-IT"/>
                  </w:rPr>
                </w:rPrChange>
              </w:rPr>
              <w:pPrChange w:id="2830" w:author="Author">
                <w:pPr>
                  <w:pStyle w:val="TextTi9"/>
                  <w:keepNext/>
                  <w:spacing w:after="120"/>
                  <w:jc w:val="center"/>
                </w:pPr>
              </w:pPrChange>
            </w:pPr>
            <w:r>
              <w:rPr>
                <w:rFonts w:ascii="Times New Roman" w:eastAsia="SimSun" w:hAnsi="Times New Roman"/>
                <w:noProof/>
                <w:sz w:val="20"/>
                <w:szCs w:val="20"/>
                <w:lang w:val="it-IT"/>
                <w:rPrChange w:id="2831" w:author="Author">
                  <w:rPr>
                    <w:rFonts w:ascii="Times New Roman" w:eastAsia="SimSun" w:hAnsi="Times New Roman"/>
                    <w:sz w:val="20"/>
                    <w:szCs w:val="20"/>
                    <w:u w:val="single"/>
                    <w:lang w:val="it-IT"/>
                  </w:rPr>
                </w:rPrChange>
              </w:rPr>
              <w:t>1,01</w:t>
            </w:r>
          </w:p>
        </w:tc>
      </w:tr>
      <w:tr>
        <w:trPr>
          <w:cantSplit/>
          <w:trPrChange w:id="2832" w:author="Author">
            <w:trPr>
              <w:cantSplit/>
              <w:trHeight w:val="331"/>
            </w:trPr>
          </w:trPrChange>
        </w:trPr>
        <w:tc>
          <w:tcPr>
            <w:tcW w:w="3055" w:type="dxa"/>
            <w:tcBorders>
              <w:top w:val="single" w:sz="4" w:space="0" w:color="auto"/>
              <w:left w:val="single" w:sz="4" w:space="0" w:color="auto"/>
              <w:bottom w:val="single" w:sz="4" w:space="0" w:color="auto"/>
              <w:right w:val="single" w:sz="4" w:space="0" w:color="auto"/>
            </w:tcBorders>
            <w:hideMark/>
            <w:tcPrChange w:id="2833"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suppressAutoHyphens/>
              <w:spacing w:after="0"/>
              <w:rPr>
                <w:rFonts w:ascii="Times New Roman" w:hAnsi="Times New Roman"/>
                <w:noProof/>
                <w:sz w:val="20"/>
                <w:szCs w:val="20"/>
                <w:lang w:val="it-IT"/>
              </w:rPr>
              <w:pPrChange w:id="2834" w:author="Author">
                <w:pPr>
                  <w:pStyle w:val="TextTi9"/>
                  <w:keepNext/>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 xml:space="preserve">trough </w:t>
            </w:r>
            <w:r>
              <w:rPr>
                <w:rFonts w:ascii="Times New Roman" w:hAnsi="Times New Roman"/>
                <w:noProof/>
                <w:sz w:val="20"/>
                <w:szCs w:val="20"/>
                <w:lang w:val="it-IT"/>
              </w:rPr>
              <w:t>d’accumulo</w:t>
            </w:r>
          </w:p>
        </w:tc>
        <w:tc>
          <w:tcPr>
            <w:tcW w:w="2867" w:type="dxa"/>
            <w:tcBorders>
              <w:top w:val="single" w:sz="4" w:space="0" w:color="auto"/>
              <w:left w:val="single" w:sz="4" w:space="0" w:color="auto"/>
              <w:bottom w:val="single" w:sz="4" w:space="0" w:color="auto"/>
              <w:right w:val="single" w:sz="4" w:space="0" w:color="auto"/>
            </w:tcBorders>
            <w:tcPrChange w:id="2835"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suppressAutoHyphens/>
              <w:spacing w:after="0"/>
              <w:jc w:val="center"/>
              <w:rPr>
                <w:rFonts w:ascii="Times New Roman" w:eastAsia="SimSun" w:hAnsi="Times New Roman"/>
                <w:noProof/>
                <w:sz w:val="20"/>
                <w:szCs w:val="20"/>
                <w:lang w:val="it-IT"/>
                <w:rPrChange w:id="2836" w:author="Author">
                  <w:rPr>
                    <w:rFonts w:ascii="Times New Roman" w:eastAsia="SimSun" w:hAnsi="Times New Roman"/>
                    <w:sz w:val="20"/>
                    <w:szCs w:val="20"/>
                    <w:u w:val="single"/>
                    <w:lang w:val="it-IT"/>
                  </w:rPr>
                </w:rPrChange>
              </w:rPr>
              <w:pPrChange w:id="2837" w:author="Author">
                <w:pPr>
                  <w:pStyle w:val="TextTi9"/>
                  <w:keepNext/>
                  <w:spacing w:after="120"/>
                  <w:jc w:val="center"/>
                </w:pPr>
              </w:pPrChange>
            </w:pPr>
            <w:r>
              <w:rPr>
                <w:rFonts w:ascii="Times New Roman" w:eastAsia="SimSun" w:hAnsi="Times New Roman"/>
                <w:noProof/>
                <w:sz w:val="20"/>
                <w:szCs w:val="20"/>
                <w:lang w:val="it-IT"/>
                <w:rPrChange w:id="2838" w:author="Author">
                  <w:rPr>
                    <w:rFonts w:ascii="Times New Roman" w:eastAsia="SimSun" w:hAnsi="Times New Roman"/>
                    <w:sz w:val="20"/>
                    <w:szCs w:val="20"/>
                    <w:u w:val="single"/>
                    <w:lang w:val="it-IT"/>
                  </w:rPr>
                </w:rPrChange>
              </w:rPr>
              <w:t>2,22</w:t>
            </w:r>
          </w:p>
        </w:tc>
        <w:tc>
          <w:tcPr>
            <w:tcW w:w="2867" w:type="dxa"/>
            <w:tcBorders>
              <w:top w:val="single" w:sz="4" w:space="0" w:color="auto"/>
              <w:left w:val="single" w:sz="4" w:space="0" w:color="auto"/>
              <w:bottom w:val="single" w:sz="4" w:space="0" w:color="auto"/>
              <w:right w:val="single" w:sz="4" w:space="0" w:color="auto"/>
            </w:tcBorders>
            <w:tcPrChange w:id="2839"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suppressAutoHyphens/>
              <w:spacing w:after="0"/>
              <w:jc w:val="center"/>
              <w:rPr>
                <w:rFonts w:ascii="Times New Roman" w:eastAsia="SimSun" w:hAnsi="Times New Roman"/>
                <w:noProof/>
                <w:sz w:val="20"/>
                <w:szCs w:val="20"/>
                <w:lang w:val="it-IT"/>
                <w:rPrChange w:id="2840" w:author="Author">
                  <w:rPr>
                    <w:rFonts w:ascii="Times New Roman" w:eastAsia="SimSun" w:hAnsi="Times New Roman"/>
                    <w:sz w:val="20"/>
                    <w:szCs w:val="20"/>
                    <w:u w:val="single"/>
                    <w:lang w:val="it-IT"/>
                  </w:rPr>
                </w:rPrChange>
              </w:rPr>
              <w:pPrChange w:id="2841" w:author="Author">
                <w:pPr>
                  <w:pStyle w:val="TextTi9"/>
                  <w:keepNext/>
                  <w:spacing w:after="120"/>
                  <w:jc w:val="center"/>
                </w:pPr>
              </w:pPrChange>
            </w:pPr>
            <w:r>
              <w:rPr>
                <w:rFonts w:ascii="Times New Roman" w:eastAsia="SimSun" w:hAnsi="Times New Roman"/>
                <w:noProof/>
                <w:sz w:val="20"/>
                <w:szCs w:val="20"/>
                <w:lang w:val="it-IT"/>
                <w:rPrChange w:id="2842" w:author="Author">
                  <w:rPr>
                    <w:rFonts w:ascii="Times New Roman" w:eastAsia="SimSun" w:hAnsi="Times New Roman"/>
                    <w:sz w:val="20"/>
                    <w:szCs w:val="20"/>
                    <w:u w:val="single"/>
                    <w:lang w:val="it-IT"/>
                  </w:rPr>
                </w:rPrChange>
              </w:rPr>
              <w:t>1,43</w:t>
            </w:r>
          </w:p>
        </w:tc>
      </w:tr>
      <w:tr>
        <w:trPr>
          <w:cantSplit/>
          <w:trPrChange w:id="2843" w:author="Author">
            <w:trPr>
              <w:cantSplit/>
              <w:trHeight w:val="331"/>
            </w:trPr>
          </w:trPrChange>
        </w:trPr>
        <w:tc>
          <w:tcPr>
            <w:tcW w:w="3055" w:type="dxa"/>
            <w:tcBorders>
              <w:top w:val="single" w:sz="4" w:space="0" w:color="auto"/>
              <w:left w:val="single" w:sz="4" w:space="0" w:color="auto"/>
              <w:bottom w:val="single" w:sz="4" w:space="0" w:color="auto"/>
              <w:right w:val="single" w:sz="4" w:space="0" w:color="auto"/>
            </w:tcBorders>
            <w:tcPrChange w:id="2844" w:author="Author">
              <w:tcPr>
                <w:tcW w:w="2835"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rPr>
                <w:rFonts w:ascii="Times New Roman" w:hAnsi="Times New Roman"/>
                <w:noProof/>
                <w:sz w:val="20"/>
                <w:szCs w:val="20"/>
                <w:lang w:val="it-IT"/>
              </w:rPr>
              <w:pPrChange w:id="2845" w:author="Author">
                <w:pPr>
                  <w:pStyle w:val="TextTi9"/>
                  <w:keepNext/>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mean</w:t>
            </w:r>
            <w:r>
              <w:rPr>
                <w:rFonts w:ascii="Times New Roman" w:hAnsi="Times New Roman"/>
                <w:noProof/>
                <w:sz w:val="20"/>
                <w:szCs w:val="20"/>
                <w:lang w:val="it-IT"/>
              </w:rPr>
              <w:t xml:space="preserve"> d’accumulo o AUC</w:t>
            </w:r>
            <w:r>
              <w:rPr>
                <w:rFonts w:ascii="Times New Roman" w:hAnsi="Times New Roman"/>
                <w:noProof/>
                <w:sz w:val="20"/>
                <w:szCs w:val="20"/>
                <w:vertAlign w:val="subscript"/>
                <w:lang w:val="it-IT"/>
              </w:rPr>
              <w:t>τ</w:t>
            </w:r>
            <w:r>
              <w:rPr>
                <w:rFonts w:ascii="Times New Roman" w:hAnsi="Times New Roman"/>
                <w:noProof/>
                <w:sz w:val="20"/>
                <w:szCs w:val="20"/>
                <w:lang w:val="it-IT"/>
              </w:rPr>
              <w:t>*</w:t>
            </w:r>
          </w:p>
        </w:tc>
        <w:tc>
          <w:tcPr>
            <w:tcW w:w="2867" w:type="dxa"/>
            <w:tcBorders>
              <w:top w:val="single" w:sz="4" w:space="0" w:color="auto"/>
              <w:left w:val="single" w:sz="4" w:space="0" w:color="auto"/>
              <w:bottom w:val="single" w:sz="4" w:space="0" w:color="auto"/>
              <w:right w:val="single" w:sz="4" w:space="0" w:color="auto"/>
            </w:tcBorders>
            <w:tcPrChange w:id="2846"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eastAsia="SimSun" w:hAnsi="Times New Roman"/>
                <w:noProof/>
                <w:sz w:val="20"/>
                <w:szCs w:val="20"/>
                <w:lang w:val="it-IT"/>
                <w:rPrChange w:id="2847" w:author="Author">
                  <w:rPr>
                    <w:rFonts w:ascii="Times New Roman" w:eastAsia="SimSun" w:hAnsi="Times New Roman"/>
                    <w:sz w:val="20"/>
                    <w:szCs w:val="20"/>
                    <w:u w:val="single"/>
                    <w:lang w:val="it-IT"/>
                  </w:rPr>
                </w:rPrChange>
              </w:rPr>
              <w:pPrChange w:id="2848" w:author="Author">
                <w:pPr>
                  <w:pStyle w:val="TextTi9"/>
                  <w:keepNext/>
                  <w:spacing w:after="120"/>
                  <w:jc w:val="center"/>
                </w:pPr>
              </w:pPrChange>
            </w:pPr>
            <w:r>
              <w:rPr>
                <w:rFonts w:ascii="Times New Roman" w:eastAsia="SimSun" w:hAnsi="Times New Roman"/>
                <w:noProof/>
                <w:sz w:val="20"/>
                <w:szCs w:val="20"/>
                <w:lang w:val="it-IT"/>
                <w:rPrChange w:id="2849" w:author="Author">
                  <w:rPr>
                    <w:rFonts w:ascii="Times New Roman" w:eastAsia="SimSun" w:hAnsi="Times New Roman"/>
                    <w:sz w:val="20"/>
                    <w:szCs w:val="20"/>
                    <w:u w:val="single"/>
                    <w:lang w:val="it-IT"/>
                  </w:rPr>
                </w:rPrChange>
              </w:rPr>
              <w:t>1,16</w:t>
            </w:r>
          </w:p>
        </w:tc>
        <w:tc>
          <w:tcPr>
            <w:tcW w:w="2867" w:type="dxa"/>
            <w:tcBorders>
              <w:top w:val="single" w:sz="4" w:space="0" w:color="auto"/>
              <w:left w:val="single" w:sz="4" w:space="0" w:color="auto"/>
              <w:bottom w:val="single" w:sz="4" w:space="0" w:color="auto"/>
              <w:right w:val="single" w:sz="4" w:space="0" w:color="auto"/>
            </w:tcBorders>
            <w:tcPrChange w:id="2850"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eastAsia="SimSun" w:hAnsi="Times New Roman"/>
                <w:noProof/>
                <w:sz w:val="20"/>
                <w:szCs w:val="20"/>
                <w:lang w:val="it-IT"/>
                <w:rPrChange w:id="2851" w:author="Author">
                  <w:rPr>
                    <w:rFonts w:ascii="Times New Roman" w:eastAsia="SimSun" w:hAnsi="Times New Roman"/>
                    <w:sz w:val="20"/>
                    <w:szCs w:val="20"/>
                    <w:u w:val="single"/>
                    <w:lang w:val="it-IT"/>
                  </w:rPr>
                </w:rPrChange>
              </w:rPr>
              <w:pPrChange w:id="2852" w:author="Author">
                <w:pPr>
                  <w:pStyle w:val="TextTi9"/>
                  <w:keepNext/>
                  <w:spacing w:after="120"/>
                  <w:jc w:val="center"/>
                </w:pPr>
              </w:pPrChange>
            </w:pPr>
            <w:r>
              <w:rPr>
                <w:rFonts w:ascii="Times New Roman" w:eastAsia="SimSun" w:hAnsi="Times New Roman"/>
                <w:noProof/>
                <w:sz w:val="20"/>
                <w:szCs w:val="20"/>
                <w:lang w:val="it-IT"/>
                <w:rPrChange w:id="2853" w:author="Author">
                  <w:rPr>
                    <w:rFonts w:ascii="Times New Roman" w:eastAsia="SimSun" w:hAnsi="Times New Roman"/>
                    <w:sz w:val="20"/>
                    <w:szCs w:val="20"/>
                    <w:u w:val="single"/>
                    <w:lang w:val="it-IT"/>
                  </w:rPr>
                </w:rPrChange>
              </w:rPr>
              <w:t>1,05</w:t>
            </w:r>
          </w:p>
        </w:tc>
      </w:tr>
    </w:tbl>
    <w:p>
      <w:pPr>
        <w:jc w:val="both"/>
        <w:rPr>
          <w:noProof/>
          <w:sz w:val="18"/>
          <w:szCs w:val="18"/>
          <w:lang w:val="it-IT" w:eastAsia="en-US"/>
        </w:rPr>
      </w:pPr>
      <w:r>
        <w:rPr>
          <w:noProof/>
          <w:sz w:val="18"/>
          <w:szCs w:val="18"/>
          <w:lang w:val="it-IT" w:eastAsia="en-US"/>
        </w:rPr>
        <w:t>*τ</w:t>
      </w:r>
      <w:del w:id="2854" w:author="Author">
        <w:r>
          <w:rPr>
            <w:noProof/>
            <w:sz w:val="18"/>
            <w:szCs w:val="18"/>
            <w:lang w:val="it-IT" w:eastAsia="en-US"/>
          </w:rPr>
          <w:delText xml:space="preserve"> </w:delText>
        </w:r>
      </w:del>
      <w:ins w:id="2855" w:author="Author">
        <w:r>
          <w:rPr>
            <w:noProof/>
            <w:sz w:val="18"/>
            <w:szCs w:val="18"/>
            <w:lang w:val="it-IT" w:eastAsia="en-US"/>
          </w:rPr>
          <w:t> </w:t>
        </w:r>
      </w:ins>
      <w:r>
        <w:rPr>
          <w:noProof/>
          <w:sz w:val="18"/>
          <w:szCs w:val="18"/>
          <w:lang w:val="it-IT" w:eastAsia="en-US"/>
        </w:rPr>
        <w:t>=</w:t>
      </w:r>
      <w:ins w:id="2856" w:author="Author">
        <w:r>
          <w:rPr>
            <w:noProof/>
            <w:sz w:val="18"/>
            <w:szCs w:val="18"/>
            <w:lang w:val="it-IT" w:eastAsia="en-US"/>
          </w:rPr>
          <w:t> </w:t>
        </w:r>
      </w:ins>
      <w:del w:id="2857" w:author="Author">
        <w:r>
          <w:rPr>
            <w:noProof/>
            <w:sz w:val="18"/>
            <w:szCs w:val="18"/>
            <w:lang w:val="it-IT" w:eastAsia="en-US"/>
          </w:rPr>
          <w:delText xml:space="preserve"> </w:delText>
        </w:r>
      </w:del>
      <w:r>
        <w:rPr>
          <w:noProof/>
          <w:sz w:val="18"/>
          <w:szCs w:val="18"/>
          <w:lang w:val="it-IT" w:eastAsia="en-US"/>
        </w:rPr>
        <w:t>4 settimane per i regimi endovena</w:t>
      </w:r>
    </w:p>
    <w:p>
      <w:pPr>
        <w:numPr>
          <w:ilvl w:val="12"/>
          <w:numId w:val="0"/>
        </w:numPr>
        <w:ind w:right="-2"/>
        <w:rPr>
          <w:noProof/>
          <w:szCs w:val="22"/>
          <w:lang w:val="it-IT"/>
        </w:rPr>
      </w:pPr>
    </w:p>
    <w:p>
      <w:pPr>
        <w:numPr>
          <w:ilvl w:val="12"/>
          <w:numId w:val="0"/>
        </w:numPr>
        <w:tabs>
          <w:tab w:val="left" w:pos="180"/>
        </w:tabs>
        <w:ind w:right="-2"/>
        <w:rPr>
          <w:noProof/>
          <w:lang w:val="it-IT"/>
        </w:rPr>
      </w:pPr>
      <w:r>
        <w:rPr>
          <w:iCs/>
          <w:noProof/>
          <w:szCs w:val="22"/>
          <w:lang w:val="it-IT"/>
        </w:rPr>
        <w:t>Dopo somministrazione endoven</w:t>
      </w:r>
      <w:ins w:id="2858" w:author="Author">
        <w:r>
          <w:rPr>
            <w:iCs/>
            <w:noProof/>
            <w:szCs w:val="22"/>
            <w:lang w:val="it-IT"/>
          </w:rPr>
          <w:t>osa</w:t>
        </w:r>
      </w:ins>
      <w:del w:id="2859" w:author="Author">
        <w:r>
          <w:rPr>
            <w:iCs/>
            <w:noProof/>
            <w:szCs w:val="22"/>
            <w:lang w:val="it-IT"/>
          </w:rPr>
          <w:delText>a</w:delText>
        </w:r>
      </w:del>
      <w:r>
        <w:rPr>
          <w:iCs/>
          <w:noProof/>
          <w:szCs w:val="22"/>
          <w:lang w:val="it-IT"/>
        </w:rPr>
        <w:t>, il 90% circa dello stato stazionario è stato raggiunto entro la settimana 12 con la dose da 10 mg/kg (peso corporeo &lt;</w:t>
      </w:r>
      <w:ins w:id="2860" w:author="Author">
        <w:r>
          <w:rPr>
            <w:iCs/>
            <w:noProof/>
            <w:szCs w:val="22"/>
            <w:lang w:val="it-IT"/>
          </w:rPr>
          <w:t> </w:t>
        </w:r>
      </w:ins>
      <w:r>
        <w:rPr>
          <w:iCs/>
          <w:noProof/>
          <w:szCs w:val="22"/>
          <w:lang w:val="it-IT"/>
        </w:rPr>
        <w:t>30</w:t>
      </w:r>
      <w:ins w:id="2861" w:author="Author">
        <w:r>
          <w:rPr>
            <w:iCs/>
            <w:noProof/>
            <w:szCs w:val="22"/>
            <w:lang w:val="it-IT"/>
          </w:rPr>
          <w:t> </w:t>
        </w:r>
      </w:ins>
      <w:del w:id="2862" w:author="Author">
        <w:r>
          <w:rPr>
            <w:iCs/>
            <w:noProof/>
            <w:szCs w:val="22"/>
            <w:lang w:val="it-IT"/>
          </w:rPr>
          <w:delText xml:space="preserve"> </w:delText>
        </w:r>
      </w:del>
      <w:r>
        <w:rPr>
          <w:iCs/>
          <w:noProof/>
          <w:szCs w:val="22"/>
          <w:lang w:val="it-IT"/>
        </w:rPr>
        <w:t>kg) ed entro la settimana 16 con la dose da 8 mg/kg (peso corporeo ≥ 30 kg).</w:t>
      </w:r>
    </w:p>
    <w:p>
      <w:pPr>
        <w:numPr>
          <w:ilvl w:val="12"/>
          <w:numId w:val="0"/>
        </w:numPr>
        <w:tabs>
          <w:tab w:val="left" w:pos="180"/>
        </w:tabs>
        <w:ind w:right="-2"/>
        <w:rPr>
          <w:noProof/>
          <w:szCs w:val="22"/>
          <w:lang w:val="it-IT"/>
        </w:rPr>
      </w:pPr>
    </w:p>
    <w:p>
      <w:pPr>
        <w:numPr>
          <w:ilvl w:val="12"/>
          <w:numId w:val="0"/>
        </w:numPr>
        <w:tabs>
          <w:tab w:val="left" w:pos="180"/>
        </w:tabs>
        <w:ind w:right="-2"/>
        <w:rPr>
          <w:noProof/>
          <w:szCs w:val="22"/>
          <w:lang w:val="it-IT"/>
        </w:rPr>
      </w:pPr>
      <w:r>
        <w:rPr>
          <w:noProof/>
          <w:szCs w:val="22"/>
          <w:lang w:val="it-IT"/>
        </w:rPr>
        <w:t xml:space="preserve">L’emivita di tocilizumab in pazienti affetti da AIGp si attesta fino a 16 giorni per i due gruppi di peso corporeo (8 mg/kg per peso corporeo </w:t>
      </w:r>
      <w:r>
        <w:rPr>
          <w:iCs/>
          <w:noProof/>
          <w:szCs w:val="22"/>
          <w:lang w:val="it-IT"/>
        </w:rPr>
        <w:t>≥ 30</w:t>
      </w:r>
      <w:ins w:id="2863" w:author="Author">
        <w:r>
          <w:rPr>
            <w:iCs/>
            <w:noProof/>
            <w:szCs w:val="22"/>
            <w:lang w:val="it-IT"/>
          </w:rPr>
          <w:t> </w:t>
        </w:r>
      </w:ins>
      <w:del w:id="2864" w:author="Author">
        <w:r>
          <w:rPr>
            <w:iCs/>
            <w:noProof/>
            <w:szCs w:val="22"/>
            <w:lang w:val="it-IT"/>
          </w:rPr>
          <w:delText xml:space="preserve"> </w:delText>
        </w:r>
      </w:del>
      <w:r>
        <w:rPr>
          <w:iCs/>
          <w:noProof/>
          <w:szCs w:val="22"/>
          <w:lang w:val="it-IT"/>
        </w:rPr>
        <w:t>kg o 10 mg/kg per peso corporeo &lt;</w:t>
      </w:r>
      <w:ins w:id="2865" w:author="Author">
        <w:r>
          <w:rPr>
            <w:iCs/>
            <w:noProof/>
            <w:szCs w:val="22"/>
            <w:lang w:val="it-IT"/>
          </w:rPr>
          <w:t> </w:t>
        </w:r>
      </w:ins>
      <w:r>
        <w:rPr>
          <w:iCs/>
          <w:noProof/>
          <w:szCs w:val="22"/>
          <w:lang w:val="it-IT"/>
        </w:rPr>
        <w:t xml:space="preserve">30 kg) </w:t>
      </w:r>
      <w:r>
        <w:rPr>
          <w:noProof/>
          <w:szCs w:val="22"/>
          <w:lang w:val="it-IT"/>
        </w:rPr>
        <w:t>durante un intervallo di somministrazione allo stato stazionario.</w:t>
      </w:r>
    </w:p>
    <w:p>
      <w:pPr>
        <w:numPr>
          <w:ilvl w:val="12"/>
          <w:numId w:val="0"/>
        </w:numPr>
        <w:tabs>
          <w:tab w:val="left" w:pos="180"/>
        </w:tabs>
        <w:ind w:right="-2"/>
        <w:rPr>
          <w:i/>
          <w:noProof/>
          <w:szCs w:val="22"/>
          <w:lang w:val="it-IT"/>
        </w:rPr>
      </w:pPr>
    </w:p>
    <w:p>
      <w:pPr>
        <w:keepNext/>
        <w:keepLines/>
        <w:tabs>
          <w:tab w:val="left" w:pos="180"/>
        </w:tabs>
        <w:ind w:left="567" w:hanging="567"/>
        <w:outlineLvl w:val="0"/>
        <w:rPr>
          <w:noProof/>
          <w:szCs w:val="22"/>
          <w:lang w:val="it-IT"/>
        </w:rPr>
      </w:pPr>
      <w:r>
        <w:rPr>
          <w:b/>
          <w:noProof/>
          <w:szCs w:val="22"/>
          <w:lang w:val="it-IT"/>
        </w:rPr>
        <w:t>5.3</w:t>
      </w:r>
      <w:r>
        <w:rPr>
          <w:b/>
          <w:noProof/>
          <w:szCs w:val="22"/>
          <w:lang w:val="it-IT"/>
        </w:rPr>
        <w:tab/>
        <w:t>Dati preclinici di sicurezza</w:t>
      </w:r>
    </w:p>
    <w:p>
      <w:pPr>
        <w:keepNext/>
        <w:keepLines/>
        <w:tabs>
          <w:tab w:val="left" w:pos="180"/>
        </w:tabs>
        <w:rPr>
          <w:noProof/>
          <w:szCs w:val="22"/>
          <w:lang w:val="it-IT"/>
        </w:rPr>
      </w:pPr>
    </w:p>
    <w:p>
      <w:pPr>
        <w:keepNext/>
        <w:keepLines/>
        <w:tabs>
          <w:tab w:val="left" w:pos="180"/>
        </w:tabs>
        <w:rPr>
          <w:noProof/>
          <w:szCs w:val="22"/>
          <w:lang w:val="it-IT"/>
        </w:rPr>
      </w:pPr>
      <w:r>
        <w:rPr>
          <w:noProof/>
          <w:szCs w:val="22"/>
          <w:lang w:val="it-IT"/>
        </w:rPr>
        <w:t xml:space="preserve">I dati non-clinici non rivelano rischi particolari per l’uomo sulla base di studi convenzionali di </w:t>
      </w:r>
      <w:r>
        <w:rPr>
          <w:iCs/>
          <w:noProof/>
          <w:szCs w:val="22"/>
          <w:lang w:val="it-IT"/>
        </w:rPr>
        <w:t>sicurezza farmacologica</w:t>
      </w:r>
      <w:r>
        <w:rPr>
          <w:noProof/>
          <w:szCs w:val="22"/>
          <w:lang w:val="it-IT"/>
        </w:rPr>
        <w:t>, tossicità a dosi ripetute e genotossicità.</w:t>
      </w:r>
    </w:p>
    <w:p>
      <w:pPr>
        <w:tabs>
          <w:tab w:val="left" w:pos="180"/>
        </w:tabs>
        <w:rPr>
          <w:b/>
          <w:noProof/>
          <w:szCs w:val="22"/>
          <w:lang w:val="it-IT"/>
        </w:rPr>
      </w:pPr>
    </w:p>
    <w:p>
      <w:pPr>
        <w:tabs>
          <w:tab w:val="left" w:pos="180"/>
        </w:tabs>
        <w:rPr>
          <w:noProof/>
          <w:szCs w:val="22"/>
          <w:lang w:val="it-IT"/>
        </w:rPr>
      </w:pPr>
      <w:r>
        <w:rPr>
          <w:noProof/>
          <w:szCs w:val="22"/>
          <w:lang w:val="it-IT"/>
        </w:rPr>
        <w:t xml:space="preserve">Non sono stati effettuati studi </w:t>
      </w:r>
      <w:ins w:id="2866" w:author="Author">
        <w:del w:id="2867" w:author="Author">
          <w:r>
            <w:rPr>
              <w:noProof/>
              <w:szCs w:val="22"/>
              <w:lang w:val="it-IT"/>
            </w:rPr>
            <w:delText xml:space="preserve">clinici </w:delText>
          </w:r>
        </w:del>
      </w:ins>
      <w:r>
        <w:rPr>
          <w:noProof/>
          <w:szCs w:val="22"/>
          <w:lang w:val="it-IT"/>
        </w:rPr>
        <w:t>di carcinogenicità con tocilizumab in quanto non si ritiene che gli anticorpi monoclonali IgG1 abbiano un potenziale carcinogenico intrinseco.</w:t>
      </w:r>
    </w:p>
    <w:p>
      <w:pPr>
        <w:tabs>
          <w:tab w:val="left" w:pos="180"/>
        </w:tabs>
        <w:rPr>
          <w:noProof/>
          <w:szCs w:val="22"/>
          <w:lang w:val="it-IT"/>
        </w:rPr>
      </w:pPr>
    </w:p>
    <w:p>
      <w:pPr>
        <w:tabs>
          <w:tab w:val="left" w:pos="180"/>
        </w:tabs>
        <w:rPr>
          <w:noProof/>
          <w:szCs w:val="22"/>
          <w:lang w:val="it-IT"/>
        </w:rPr>
      </w:pPr>
      <w:r>
        <w:rPr>
          <w:noProof/>
          <w:szCs w:val="22"/>
          <w:lang w:val="it-IT"/>
        </w:rPr>
        <w:t>I dati non-clinici disponibili hanno dimostrato l’effetto di IL-6 sulla progressione tumorale e sulla resistenza all’apoptosi di diverse tipologie tumorali. Questi dati non suggeriscono un rischio rilevante per l'instaurarsi e il progredire di una neoplasia nel corso della terapia con tocilizumab. Inoltre, non sono state osservate lesioni proliferative in uno studio di tossicità cronica della durata di 6 mesi effettuato nelle scimmie cynomolgus o su topi privi di IL-6.</w:t>
      </w:r>
    </w:p>
    <w:p>
      <w:pPr>
        <w:tabs>
          <w:tab w:val="left" w:pos="180"/>
        </w:tabs>
        <w:rPr>
          <w:noProof/>
          <w:szCs w:val="22"/>
          <w:lang w:val="it-IT"/>
        </w:rPr>
      </w:pPr>
    </w:p>
    <w:p>
      <w:pPr>
        <w:tabs>
          <w:tab w:val="left" w:pos="180"/>
        </w:tabs>
        <w:rPr>
          <w:noProof/>
          <w:szCs w:val="22"/>
          <w:lang w:val="it-IT"/>
        </w:rPr>
      </w:pPr>
      <w:r>
        <w:rPr>
          <w:noProof/>
          <w:szCs w:val="22"/>
          <w:lang w:val="it-IT"/>
        </w:rPr>
        <w:t xml:space="preserve">I dati non-clinici disponibili non indicano un effetto sulla fertilità del trattamento con tocilizumab. Non sono stati osservati effetti sugli organi attivi del sistema endocrino o dell’apparato riproduttivo in uno studio </w:t>
      </w:r>
      <w:ins w:id="2868" w:author="Author">
        <w:del w:id="2869" w:author="Author">
          <w:r>
            <w:rPr>
              <w:noProof/>
              <w:szCs w:val="22"/>
              <w:lang w:val="it-IT"/>
            </w:rPr>
            <w:delText xml:space="preserve">pre-clinico </w:delText>
          </w:r>
        </w:del>
      </w:ins>
      <w:del w:id="2870" w:author="Author">
        <w:r>
          <w:rPr>
            <w:noProof/>
            <w:szCs w:val="22"/>
            <w:lang w:val="it-IT"/>
          </w:rPr>
          <w:delText>di</w:delText>
        </w:r>
      </w:del>
      <w:ins w:id="2871" w:author="Author">
        <w:del w:id="2872" w:author="Author">
          <w:r>
            <w:rPr>
              <w:noProof/>
              <w:szCs w:val="22"/>
              <w:lang w:val="it-IT"/>
            </w:rPr>
            <w:delText>sulla</w:delText>
          </w:r>
        </w:del>
        <w:r>
          <w:rPr>
            <w:noProof/>
            <w:szCs w:val="22"/>
            <w:lang w:val="it-IT"/>
          </w:rPr>
          <w:t>di</w:t>
        </w:r>
      </w:ins>
      <w:r>
        <w:rPr>
          <w:noProof/>
          <w:szCs w:val="22"/>
          <w:lang w:val="it-IT"/>
        </w:rPr>
        <w:t xml:space="preserve"> tossicità cronica effettuato su scimmie cynomolgus e le potenzialità riproduttive non sono state alterate in topi privi di IL-6. Tocilizumab somministrato a scimmie cynomolgus nella prima fase della gestazione non ha dimostrato di determinare alcun effetto nocivo diretto o indiretto sulla gravidanza o sullo sviluppo embrio-fetale. Con un’esposizione sistemica elevata (&gt; 100 volte l’esposizione nell’uomo) è stato tuttavia registrato un lieve incremento del tasso di aborto/morte embrio-fetale nel gruppo trattato con la dose elevata di 50 mg/kg/die rispetto ai gruppi placebo e a basse dosi. Sebbene IL-6 non sembri rappresentare una citochina fondamentale per la crescita fetale o per il controllo immunologico dell’interfaccia materno-fetale, non può essere esclusa una correlazione tra questo risultato e tocilizumab.</w:t>
      </w:r>
    </w:p>
    <w:p>
      <w:pPr>
        <w:tabs>
          <w:tab w:val="left" w:pos="180"/>
        </w:tabs>
        <w:rPr>
          <w:noProof/>
          <w:szCs w:val="22"/>
          <w:lang w:val="it-IT"/>
        </w:rPr>
      </w:pPr>
    </w:p>
    <w:p>
      <w:pPr>
        <w:tabs>
          <w:tab w:val="left" w:pos="180"/>
        </w:tabs>
        <w:rPr>
          <w:noProof/>
          <w:szCs w:val="22"/>
          <w:lang w:val="it-IT"/>
        </w:rPr>
      </w:pPr>
      <w:r>
        <w:rPr>
          <w:noProof/>
          <w:lang w:val="it-IT"/>
        </w:rPr>
        <w:lastRenderedPageBreak/>
        <w:t>Il trattamento con un analogo murino non ha comportato effetti tossici nei topi giovani. In particolare, non è stata osservata alcuna compromissione della crescita scheletrica, della funzione immunitaria e della maturazione sessuale.</w:t>
      </w:r>
    </w:p>
    <w:p>
      <w:pPr>
        <w:tabs>
          <w:tab w:val="left" w:pos="180"/>
        </w:tabs>
        <w:rPr>
          <w:noProof/>
          <w:szCs w:val="22"/>
          <w:lang w:val="it-IT"/>
        </w:rPr>
      </w:pPr>
    </w:p>
    <w:p>
      <w:pPr>
        <w:tabs>
          <w:tab w:val="left" w:pos="180"/>
        </w:tabs>
        <w:rPr>
          <w:noProof/>
          <w:szCs w:val="22"/>
          <w:lang w:val="it-IT"/>
        </w:rPr>
      </w:pPr>
    </w:p>
    <w:p>
      <w:pPr>
        <w:keepNext/>
        <w:tabs>
          <w:tab w:val="left" w:pos="180"/>
        </w:tabs>
        <w:ind w:left="562" w:hanging="562"/>
        <w:rPr>
          <w:b/>
          <w:noProof/>
          <w:szCs w:val="22"/>
          <w:lang w:val="it-IT"/>
        </w:rPr>
      </w:pPr>
      <w:r>
        <w:rPr>
          <w:b/>
          <w:noProof/>
          <w:szCs w:val="22"/>
          <w:lang w:val="it-IT"/>
        </w:rPr>
        <w:t>6.</w:t>
      </w:r>
      <w:r>
        <w:rPr>
          <w:b/>
          <w:noProof/>
          <w:szCs w:val="22"/>
          <w:lang w:val="it-IT"/>
        </w:rPr>
        <w:tab/>
      </w:r>
      <w:r>
        <w:rPr>
          <w:b/>
          <w:noProof/>
          <w:szCs w:val="22"/>
          <w:lang w:val="it-IT"/>
        </w:rPr>
        <w:tab/>
        <w:t>INFORMAZIONI FARMACEUTICHE</w:t>
      </w:r>
    </w:p>
    <w:p>
      <w:pPr>
        <w:keepNext/>
        <w:tabs>
          <w:tab w:val="left" w:pos="180"/>
        </w:tabs>
        <w:rPr>
          <w:noProof/>
          <w:szCs w:val="22"/>
          <w:lang w:val="it-IT"/>
        </w:rPr>
      </w:pPr>
    </w:p>
    <w:p>
      <w:pPr>
        <w:keepNext/>
        <w:tabs>
          <w:tab w:val="left" w:pos="180"/>
        </w:tabs>
        <w:ind w:left="567" w:hanging="567"/>
        <w:outlineLvl w:val="0"/>
        <w:rPr>
          <w:b/>
          <w:noProof/>
          <w:szCs w:val="22"/>
          <w:lang w:val="it-IT"/>
        </w:rPr>
      </w:pPr>
      <w:r>
        <w:rPr>
          <w:b/>
          <w:noProof/>
          <w:szCs w:val="22"/>
          <w:lang w:val="it-IT"/>
        </w:rPr>
        <w:t>6.1</w:t>
      </w:r>
      <w:r>
        <w:rPr>
          <w:b/>
          <w:noProof/>
          <w:szCs w:val="22"/>
          <w:lang w:val="it-IT"/>
        </w:rPr>
        <w:tab/>
        <w:t>Elenco degli eccipienti</w:t>
      </w:r>
    </w:p>
    <w:p>
      <w:pPr>
        <w:keepNext/>
        <w:tabs>
          <w:tab w:val="left" w:pos="180"/>
        </w:tabs>
        <w:ind w:left="567" w:hanging="567"/>
        <w:outlineLvl w:val="0"/>
        <w:rPr>
          <w:b/>
          <w:noProof/>
          <w:szCs w:val="22"/>
          <w:lang w:val="it-IT"/>
        </w:rPr>
      </w:pPr>
    </w:p>
    <w:p>
      <w:pPr>
        <w:tabs>
          <w:tab w:val="left" w:pos="180"/>
        </w:tabs>
        <w:ind w:left="567" w:hanging="567"/>
        <w:outlineLvl w:val="0"/>
        <w:rPr>
          <w:noProof/>
          <w:szCs w:val="22"/>
          <w:lang w:val="it-IT"/>
        </w:rPr>
      </w:pPr>
      <w:r>
        <w:rPr>
          <w:noProof/>
          <w:szCs w:val="22"/>
          <w:lang w:val="it-IT"/>
        </w:rPr>
        <w:t>Saccarosio</w:t>
      </w:r>
    </w:p>
    <w:p>
      <w:pPr>
        <w:tabs>
          <w:tab w:val="left" w:pos="180"/>
        </w:tabs>
        <w:ind w:left="567" w:hanging="567"/>
        <w:outlineLvl w:val="0"/>
        <w:rPr>
          <w:b/>
          <w:noProof/>
          <w:szCs w:val="22"/>
          <w:lang w:val="it-IT"/>
        </w:rPr>
      </w:pPr>
      <w:r>
        <w:rPr>
          <w:noProof/>
          <w:szCs w:val="22"/>
          <w:lang w:val="it-IT"/>
        </w:rPr>
        <w:t>Polisorbato 80 (E</w:t>
      </w:r>
      <w:ins w:id="2873" w:author="Author">
        <w:r>
          <w:rPr>
            <w:noProof/>
            <w:szCs w:val="22"/>
            <w:lang w:val="it-IT"/>
          </w:rPr>
          <w:t> </w:t>
        </w:r>
      </w:ins>
      <w:del w:id="2874" w:author="Author">
        <w:r>
          <w:rPr>
            <w:noProof/>
            <w:szCs w:val="22"/>
            <w:lang w:val="it-IT"/>
          </w:rPr>
          <w:delText xml:space="preserve"> </w:delText>
        </w:r>
      </w:del>
      <w:r>
        <w:rPr>
          <w:noProof/>
          <w:szCs w:val="22"/>
          <w:lang w:val="it-IT"/>
        </w:rPr>
        <w:t>433)</w:t>
      </w:r>
    </w:p>
    <w:p>
      <w:pPr>
        <w:tabs>
          <w:tab w:val="left" w:pos="180"/>
        </w:tabs>
        <w:ind w:left="567" w:hanging="567"/>
        <w:outlineLvl w:val="0"/>
        <w:rPr>
          <w:bCs/>
          <w:noProof/>
          <w:szCs w:val="22"/>
          <w:lang w:val="it-IT"/>
        </w:rPr>
      </w:pPr>
      <w:ins w:id="2875" w:author="Author">
        <w:r>
          <w:rPr>
            <w:bCs/>
            <w:noProof/>
            <w:szCs w:val="22"/>
            <w:lang w:val="it-IT"/>
          </w:rPr>
          <w:t xml:space="preserve">Sodio fosfato dibasico dodecaidrato </w:t>
        </w:r>
      </w:ins>
      <w:del w:id="2876" w:author="Author">
        <w:r>
          <w:rPr>
            <w:bCs/>
            <w:noProof/>
            <w:szCs w:val="22"/>
            <w:lang w:val="it-IT"/>
          </w:rPr>
          <w:delText xml:space="preserve">Fosfato disodico dodecaidrato </w:delText>
        </w:r>
      </w:del>
      <w:r>
        <w:rPr>
          <w:bCs/>
          <w:noProof/>
          <w:szCs w:val="22"/>
          <w:lang w:val="it-IT"/>
        </w:rPr>
        <w:t>(per aggiustamenti del pH)</w:t>
      </w:r>
    </w:p>
    <w:p>
      <w:pPr>
        <w:tabs>
          <w:tab w:val="left" w:pos="180"/>
        </w:tabs>
        <w:ind w:left="567" w:hanging="567"/>
        <w:outlineLvl w:val="0"/>
        <w:rPr>
          <w:bCs/>
          <w:noProof/>
          <w:szCs w:val="22"/>
          <w:lang w:val="it-IT"/>
        </w:rPr>
      </w:pPr>
      <w:r>
        <w:rPr>
          <w:bCs/>
          <w:noProof/>
          <w:szCs w:val="22"/>
          <w:lang w:val="it-IT"/>
        </w:rPr>
        <w:t xml:space="preserve">Sodio </w:t>
      </w:r>
      <w:del w:id="2877" w:author="Author">
        <w:r>
          <w:rPr>
            <w:bCs/>
            <w:noProof/>
            <w:szCs w:val="22"/>
            <w:lang w:val="it-IT"/>
          </w:rPr>
          <w:delText xml:space="preserve">diidrogeno </w:delText>
        </w:r>
      </w:del>
      <w:r>
        <w:rPr>
          <w:bCs/>
          <w:noProof/>
          <w:szCs w:val="22"/>
          <w:lang w:val="it-IT"/>
        </w:rPr>
        <w:t xml:space="preserve">fosfato </w:t>
      </w:r>
      <w:ins w:id="2878" w:author="Author">
        <w:r>
          <w:rPr>
            <w:bCs/>
            <w:noProof/>
            <w:szCs w:val="22"/>
            <w:lang w:val="it-IT"/>
          </w:rPr>
          <w:t xml:space="preserve">monobasico </w:t>
        </w:r>
      </w:ins>
      <w:r>
        <w:rPr>
          <w:bCs/>
          <w:noProof/>
          <w:szCs w:val="22"/>
          <w:lang w:val="it-IT"/>
        </w:rPr>
        <w:t>diidrato (per aggiustamenti del pH)</w:t>
      </w:r>
    </w:p>
    <w:p>
      <w:pPr>
        <w:tabs>
          <w:tab w:val="left" w:pos="180"/>
        </w:tabs>
        <w:ind w:left="567" w:hanging="567"/>
        <w:outlineLvl w:val="0"/>
        <w:rPr>
          <w:bCs/>
          <w:noProof/>
          <w:szCs w:val="22"/>
          <w:lang w:val="it-IT"/>
        </w:rPr>
      </w:pPr>
      <w:r>
        <w:rPr>
          <w:bCs/>
          <w:noProof/>
          <w:szCs w:val="22"/>
          <w:lang w:val="it-IT"/>
        </w:rPr>
        <w:t>Acqua per preparazioni iniettabili</w:t>
      </w:r>
    </w:p>
    <w:p>
      <w:pPr>
        <w:tabs>
          <w:tab w:val="left" w:pos="180"/>
        </w:tabs>
        <w:rPr>
          <w:b/>
          <w:i/>
          <w:noProof/>
          <w:szCs w:val="22"/>
          <w:lang w:val="it-IT"/>
        </w:rPr>
      </w:pPr>
    </w:p>
    <w:p>
      <w:pPr>
        <w:keepNext/>
        <w:keepLines/>
        <w:tabs>
          <w:tab w:val="left" w:pos="180"/>
        </w:tabs>
        <w:ind w:left="567" w:hanging="567"/>
        <w:outlineLvl w:val="0"/>
        <w:rPr>
          <w:b/>
          <w:noProof/>
          <w:szCs w:val="22"/>
          <w:lang w:val="it-IT"/>
        </w:rPr>
      </w:pPr>
      <w:r>
        <w:rPr>
          <w:b/>
          <w:noProof/>
          <w:szCs w:val="22"/>
          <w:lang w:val="it-IT"/>
        </w:rPr>
        <w:t>6.2</w:t>
      </w:r>
      <w:r>
        <w:rPr>
          <w:b/>
          <w:noProof/>
          <w:szCs w:val="22"/>
          <w:lang w:val="it-IT"/>
        </w:rPr>
        <w:tab/>
        <w:t>Incompatibilità</w:t>
      </w:r>
    </w:p>
    <w:p>
      <w:pPr>
        <w:keepNext/>
        <w:keepLines/>
        <w:tabs>
          <w:tab w:val="left" w:pos="180"/>
        </w:tabs>
        <w:rPr>
          <w:noProof/>
          <w:szCs w:val="22"/>
          <w:lang w:val="it-IT"/>
        </w:rPr>
      </w:pPr>
    </w:p>
    <w:p>
      <w:pPr>
        <w:keepNext/>
        <w:keepLines/>
        <w:tabs>
          <w:tab w:val="left" w:pos="180"/>
        </w:tabs>
        <w:rPr>
          <w:b/>
          <w:noProof/>
          <w:szCs w:val="22"/>
          <w:lang w:val="it-IT"/>
        </w:rPr>
      </w:pPr>
      <w:r>
        <w:rPr>
          <w:noProof/>
          <w:szCs w:val="22"/>
          <w:lang w:val="it-IT"/>
        </w:rPr>
        <w:t>Questo medicinale non deve essere miscelato con altri prodotti ad eccezione di quelli menzionati nel paragrafo 6.6.</w:t>
      </w:r>
    </w:p>
    <w:p>
      <w:pPr>
        <w:keepNext/>
        <w:keepLines/>
        <w:tabs>
          <w:tab w:val="left" w:pos="180"/>
        </w:tabs>
        <w:ind w:left="567" w:hanging="567"/>
        <w:outlineLvl w:val="0"/>
        <w:rPr>
          <w:noProof/>
          <w:szCs w:val="22"/>
          <w:lang w:val="it-IT"/>
        </w:rPr>
      </w:pPr>
    </w:p>
    <w:p>
      <w:pPr>
        <w:keepNext/>
        <w:keepLines/>
        <w:tabs>
          <w:tab w:val="left" w:pos="180"/>
        </w:tabs>
        <w:ind w:left="567" w:hanging="567"/>
        <w:outlineLvl w:val="0"/>
        <w:rPr>
          <w:noProof/>
          <w:szCs w:val="22"/>
          <w:lang w:val="it-IT"/>
        </w:rPr>
      </w:pPr>
      <w:r>
        <w:rPr>
          <w:b/>
          <w:noProof/>
          <w:szCs w:val="22"/>
          <w:lang w:val="it-IT"/>
        </w:rPr>
        <w:t>6.3</w:t>
      </w:r>
      <w:r>
        <w:rPr>
          <w:b/>
          <w:noProof/>
          <w:szCs w:val="22"/>
          <w:lang w:val="it-IT"/>
        </w:rPr>
        <w:tab/>
        <w:t>Periodo di validità</w:t>
      </w:r>
    </w:p>
    <w:p>
      <w:pPr>
        <w:keepNext/>
        <w:keepLines/>
        <w:tabs>
          <w:tab w:val="left" w:pos="180"/>
        </w:tabs>
        <w:rPr>
          <w:noProof/>
          <w:szCs w:val="22"/>
          <w:lang w:val="it-IT"/>
        </w:rPr>
      </w:pPr>
    </w:p>
    <w:p>
      <w:pPr>
        <w:keepNext/>
        <w:keepLines/>
        <w:tabs>
          <w:tab w:val="left" w:pos="180"/>
        </w:tabs>
        <w:rPr>
          <w:del w:id="2879" w:author="Author"/>
          <w:noProof/>
          <w:szCs w:val="22"/>
          <w:lang w:val="it-IT"/>
        </w:rPr>
      </w:pPr>
      <w:r>
        <w:rPr>
          <w:iCs/>
          <w:noProof/>
          <w:szCs w:val="22"/>
          <w:u w:val="single"/>
          <w:lang w:val="it-IT"/>
        </w:rPr>
        <w:t>Flaconcino integro</w:t>
      </w:r>
    </w:p>
    <w:p>
      <w:pPr>
        <w:keepNext/>
        <w:keepLines/>
        <w:tabs>
          <w:tab w:val="left" w:pos="180"/>
        </w:tabs>
        <w:rPr>
          <w:noProof/>
          <w:szCs w:val="22"/>
          <w:lang w:val="it-IT"/>
        </w:rPr>
      </w:pPr>
    </w:p>
    <w:p>
      <w:pPr>
        <w:keepNext/>
        <w:keepLines/>
        <w:tabs>
          <w:tab w:val="left" w:pos="180"/>
        </w:tabs>
        <w:rPr>
          <w:noProof/>
          <w:szCs w:val="22"/>
          <w:lang w:val="it-IT"/>
        </w:rPr>
      </w:pPr>
      <w:del w:id="2880" w:author="Author">
        <w:r>
          <w:rPr>
            <w:noProof/>
            <w:szCs w:val="22"/>
            <w:lang w:val="it-IT"/>
          </w:rPr>
          <w:delText xml:space="preserve"> </w:delText>
        </w:r>
      </w:del>
      <w:r>
        <w:rPr>
          <w:noProof/>
          <w:szCs w:val="22"/>
          <w:lang w:val="it-IT"/>
        </w:rPr>
        <w:t>3 anni</w:t>
      </w:r>
    </w:p>
    <w:p>
      <w:pPr>
        <w:tabs>
          <w:tab w:val="left" w:pos="180"/>
        </w:tabs>
        <w:rPr>
          <w:noProof/>
          <w:szCs w:val="22"/>
          <w:lang w:val="it-IT"/>
        </w:rPr>
        <w:pPrChange w:id="2881" w:author="Author">
          <w:pPr>
            <w:keepNext/>
            <w:keepLines/>
            <w:tabs>
              <w:tab w:val="left" w:pos="180"/>
            </w:tabs>
          </w:pPr>
        </w:pPrChange>
      </w:pPr>
    </w:p>
    <w:p>
      <w:pPr>
        <w:keepNext/>
        <w:keepLines/>
        <w:tabs>
          <w:tab w:val="left" w:pos="180"/>
        </w:tabs>
        <w:rPr>
          <w:del w:id="2882" w:author="Author"/>
          <w:iCs/>
          <w:noProof/>
          <w:szCs w:val="22"/>
          <w:u w:val="single"/>
          <w:lang w:val="it-IT"/>
        </w:rPr>
      </w:pPr>
      <w:r>
        <w:rPr>
          <w:iCs/>
          <w:noProof/>
          <w:szCs w:val="22"/>
          <w:u w:val="single"/>
          <w:lang w:val="it-IT"/>
        </w:rPr>
        <w:t>Prodotto diluito</w:t>
      </w:r>
    </w:p>
    <w:p>
      <w:pPr>
        <w:keepNext/>
        <w:keepLines/>
        <w:tabs>
          <w:tab w:val="left" w:pos="180"/>
        </w:tabs>
        <w:rPr>
          <w:iCs/>
          <w:noProof/>
          <w:szCs w:val="22"/>
          <w:u w:val="single"/>
          <w:lang w:val="it-IT"/>
        </w:rPr>
      </w:pPr>
    </w:p>
    <w:p>
      <w:pPr>
        <w:keepNext/>
        <w:keepLines/>
        <w:tabs>
          <w:tab w:val="left" w:pos="180"/>
        </w:tabs>
        <w:rPr>
          <w:ins w:id="2883" w:author="Author"/>
          <w:noProof/>
          <w:szCs w:val="22"/>
          <w:lang w:val="it-IT"/>
        </w:rPr>
      </w:pPr>
      <w:r>
        <w:rPr>
          <w:noProof/>
          <w:szCs w:val="22"/>
          <w:lang w:val="it-IT"/>
        </w:rPr>
        <w:t xml:space="preserve">Dopo diluizione, la soluzione per infusione preparata si mantiene stabile dal punto di vista fisico e chimico in soluzione iniettabile di </w:t>
      </w:r>
      <w:ins w:id="2884" w:author="Author">
        <w:r>
          <w:rPr>
            <w:noProof/>
            <w:szCs w:val="22"/>
            <w:lang w:val="it-IT"/>
          </w:rPr>
          <w:t xml:space="preserve">sodio </w:t>
        </w:r>
      </w:ins>
      <w:r>
        <w:rPr>
          <w:noProof/>
          <w:szCs w:val="22"/>
          <w:lang w:val="it-IT"/>
        </w:rPr>
        <w:t xml:space="preserve">cloruro </w:t>
      </w:r>
      <w:del w:id="2885" w:author="Author">
        <w:r>
          <w:rPr>
            <w:noProof/>
            <w:szCs w:val="22"/>
            <w:lang w:val="it-IT"/>
          </w:rPr>
          <w:delText xml:space="preserve">di sodio </w:delText>
        </w:r>
      </w:del>
      <w:r>
        <w:rPr>
          <w:noProof/>
          <w:szCs w:val="22"/>
          <w:lang w:val="it-IT"/>
        </w:rPr>
        <w:t>9 mg/mL (0,9%). Può essere conservata per 24 ore a 30°C e fino a 2 settimane frigorifero a 2°C–8°C.</w:t>
      </w:r>
    </w:p>
    <w:p>
      <w:pPr>
        <w:keepNext/>
        <w:keepLines/>
        <w:tabs>
          <w:tab w:val="left" w:pos="180"/>
        </w:tabs>
        <w:rPr>
          <w:noProof/>
          <w:szCs w:val="22"/>
          <w:lang w:val="it-IT"/>
        </w:rPr>
      </w:pPr>
    </w:p>
    <w:p>
      <w:pPr>
        <w:tabs>
          <w:tab w:val="left" w:pos="180"/>
        </w:tabs>
        <w:rPr>
          <w:noProof/>
          <w:szCs w:val="22"/>
          <w:lang w:val="it-IT"/>
        </w:rPr>
      </w:pPr>
      <w:r>
        <w:rPr>
          <w:noProof/>
          <w:szCs w:val="22"/>
          <w:lang w:val="it-IT"/>
        </w:rPr>
        <w:t>Da un punto di vista microbiologico, la soluzione per infusione preparata deve essere utilizzata immediatamente. Nel caso in cui l'utilizzo non fosse immediato, l’utente è responsabile dei tempi e delle condizioni di conservazione prima dell’uso, generalmente non più di 24 ore a temperatura compresa tra 2°C e 8°C, a meno che la diluizione sia avvenuta in condizioni asettiche controllate e convalidate.</w:t>
      </w:r>
    </w:p>
    <w:p>
      <w:pPr>
        <w:tabs>
          <w:tab w:val="left" w:pos="180"/>
        </w:tabs>
        <w:rPr>
          <w:noProof/>
          <w:szCs w:val="22"/>
          <w:lang w:val="it-IT"/>
        </w:rPr>
      </w:pPr>
    </w:p>
    <w:p>
      <w:pPr>
        <w:tabs>
          <w:tab w:val="left" w:pos="180"/>
        </w:tabs>
        <w:ind w:left="567" w:hanging="567"/>
        <w:outlineLvl w:val="0"/>
        <w:rPr>
          <w:b/>
          <w:noProof/>
          <w:szCs w:val="22"/>
          <w:lang w:val="it-IT"/>
        </w:rPr>
      </w:pPr>
      <w:r>
        <w:rPr>
          <w:b/>
          <w:noProof/>
          <w:szCs w:val="22"/>
          <w:lang w:val="it-IT"/>
        </w:rPr>
        <w:t>6.4</w:t>
      </w:r>
      <w:r>
        <w:rPr>
          <w:b/>
          <w:noProof/>
          <w:szCs w:val="22"/>
          <w:lang w:val="it-IT"/>
        </w:rPr>
        <w:tab/>
        <w:t>Precauzioni particolari per la conservazione</w:t>
      </w:r>
    </w:p>
    <w:p>
      <w:pPr>
        <w:tabs>
          <w:tab w:val="left" w:pos="180"/>
        </w:tabs>
        <w:ind w:left="567" w:hanging="567"/>
        <w:outlineLvl w:val="0"/>
        <w:rPr>
          <w:noProof/>
          <w:szCs w:val="22"/>
          <w:lang w:val="it-IT"/>
        </w:rPr>
      </w:pPr>
    </w:p>
    <w:p>
      <w:pPr>
        <w:tabs>
          <w:tab w:val="left" w:pos="180"/>
        </w:tabs>
        <w:rPr>
          <w:noProof/>
          <w:szCs w:val="22"/>
          <w:lang w:val="it-IT"/>
        </w:rPr>
      </w:pPr>
      <w:r>
        <w:rPr>
          <w:noProof/>
          <w:szCs w:val="22"/>
          <w:lang w:val="it-IT"/>
        </w:rPr>
        <w:t xml:space="preserve">Conservare i flaconcini in frigorifero (2°C - 8°C). Non congelare. </w:t>
      </w:r>
    </w:p>
    <w:p>
      <w:pPr>
        <w:tabs>
          <w:tab w:val="left" w:pos="180"/>
        </w:tabs>
        <w:rPr>
          <w:noProof/>
          <w:szCs w:val="22"/>
          <w:lang w:val="it-IT"/>
        </w:rPr>
      </w:pPr>
    </w:p>
    <w:p>
      <w:pPr>
        <w:tabs>
          <w:tab w:val="left" w:pos="180"/>
        </w:tabs>
        <w:rPr>
          <w:noProof/>
          <w:szCs w:val="22"/>
          <w:lang w:val="it-IT"/>
        </w:rPr>
      </w:pPr>
      <w:r>
        <w:rPr>
          <w:noProof/>
          <w:szCs w:val="22"/>
          <w:lang w:val="it-IT"/>
        </w:rPr>
        <w:t>Tenere il(i) flaconcino(i) nell’imballaggio esterno per proteggere il medicinale dalla luce.</w:t>
      </w:r>
    </w:p>
    <w:p>
      <w:pPr>
        <w:tabs>
          <w:tab w:val="left" w:pos="180"/>
        </w:tabs>
        <w:ind w:left="567" w:hanging="567"/>
        <w:outlineLvl w:val="0"/>
        <w:rPr>
          <w:noProof/>
          <w:szCs w:val="22"/>
          <w:lang w:val="it-IT"/>
        </w:rPr>
      </w:pPr>
    </w:p>
    <w:p>
      <w:pPr>
        <w:tabs>
          <w:tab w:val="left" w:pos="180"/>
        </w:tabs>
        <w:outlineLvl w:val="0"/>
        <w:rPr>
          <w:noProof/>
          <w:lang w:val="it-IT"/>
        </w:rPr>
      </w:pPr>
      <w:r>
        <w:rPr>
          <w:noProof/>
          <w:lang w:val="it-IT"/>
        </w:rPr>
        <w:t>Per le condizioni di conservazione dopo la diluzione del medicinale, vedere paragrafo 6.3.</w:t>
      </w:r>
    </w:p>
    <w:p>
      <w:pPr>
        <w:tabs>
          <w:tab w:val="left" w:pos="180"/>
        </w:tabs>
        <w:rPr>
          <w:noProof/>
          <w:lang w:val="it-IT"/>
        </w:rPr>
      </w:pPr>
    </w:p>
    <w:p>
      <w:pPr>
        <w:tabs>
          <w:tab w:val="left" w:pos="180"/>
        </w:tabs>
        <w:ind w:left="567" w:hanging="567"/>
        <w:outlineLvl w:val="0"/>
        <w:rPr>
          <w:b/>
          <w:noProof/>
          <w:lang w:val="it-IT"/>
        </w:rPr>
      </w:pPr>
      <w:r>
        <w:rPr>
          <w:b/>
          <w:noProof/>
          <w:lang w:val="it-IT"/>
        </w:rPr>
        <w:t>6.5</w:t>
      </w:r>
      <w:r>
        <w:rPr>
          <w:b/>
          <w:noProof/>
          <w:lang w:val="it-IT"/>
        </w:rPr>
        <w:tab/>
        <w:t>Natura e contenuto del contenitore</w:t>
      </w:r>
    </w:p>
    <w:p>
      <w:pPr>
        <w:tabs>
          <w:tab w:val="left" w:pos="180"/>
        </w:tabs>
        <w:rPr>
          <w:noProof/>
          <w:lang w:val="it-IT"/>
        </w:rPr>
      </w:pPr>
    </w:p>
    <w:p>
      <w:pPr>
        <w:tabs>
          <w:tab w:val="left" w:pos="180"/>
        </w:tabs>
        <w:rPr>
          <w:noProof/>
          <w:lang w:val="it-IT"/>
        </w:rPr>
      </w:pPr>
      <w:r>
        <w:rPr>
          <w:noProof/>
          <w:lang w:val="it-IT"/>
        </w:rPr>
        <w:t>RoActemra è fornito in un flaconcino (vetro di tipo I) con tappo (gomma butilica) contenente 4 mL, 10 mL o 20 mL di concentrato. Confezioni da 1 e 4 flaconcini.</w:t>
      </w:r>
    </w:p>
    <w:p>
      <w:pPr>
        <w:tabs>
          <w:tab w:val="left" w:pos="180"/>
        </w:tabs>
        <w:rPr>
          <w:noProof/>
          <w:lang w:val="it-IT"/>
        </w:rPr>
      </w:pPr>
    </w:p>
    <w:p>
      <w:pPr>
        <w:tabs>
          <w:tab w:val="left" w:pos="180"/>
        </w:tabs>
        <w:rPr>
          <w:noProof/>
          <w:lang w:val="it-IT"/>
        </w:rPr>
      </w:pPr>
      <w:r>
        <w:rPr>
          <w:noProof/>
          <w:lang w:val="it-IT"/>
        </w:rPr>
        <w:t>È possibile che non tutte le confezioni siano commercializzate.</w:t>
      </w:r>
    </w:p>
    <w:p>
      <w:pPr>
        <w:tabs>
          <w:tab w:val="left" w:pos="180"/>
        </w:tabs>
        <w:ind w:left="567" w:hanging="567"/>
        <w:outlineLvl w:val="0"/>
        <w:rPr>
          <w:b/>
          <w:noProof/>
          <w:lang w:val="it-IT"/>
        </w:rPr>
      </w:pPr>
    </w:p>
    <w:p>
      <w:pPr>
        <w:keepNext/>
        <w:keepLines/>
        <w:tabs>
          <w:tab w:val="left" w:pos="180"/>
        </w:tabs>
        <w:ind w:left="567" w:hanging="567"/>
        <w:outlineLvl w:val="0"/>
        <w:rPr>
          <w:noProof/>
          <w:lang w:val="it-IT"/>
        </w:rPr>
        <w:pPrChange w:id="2886" w:author="Author">
          <w:pPr>
            <w:tabs>
              <w:tab w:val="left" w:pos="180"/>
            </w:tabs>
            <w:ind w:left="567" w:hanging="567"/>
            <w:outlineLvl w:val="0"/>
          </w:pPr>
        </w:pPrChange>
      </w:pPr>
      <w:r>
        <w:rPr>
          <w:b/>
          <w:noProof/>
          <w:lang w:val="it-IT"/>
        </w:rPr>
        <w:t>6.6</w:t>
      </w:r>
      <w:r>
        <w:rPr>
          <w:b/>
          <w:noProof/>
          <w:lang w:val="it-IT"/>
        </w:rPr>
        <w:tab/>
        <w:t>Precauzioni particolari per lo smaltimento e la manipolazione</w:t>
      </w:r>
    </w:p>
    <w:p>
      <w:pPr>
        <w:keepNext/>
        <w:keepLines/>
        <w:tabs>
          <w:tab w:val="left" w:pos="180"/>
        </w:tabs>
        <w:rPr>
          <w:noProof/>
          <w:lang w:val="it-IT"/>
        </w:rPr>
        <w:pPrChange w:id="2887" w:author="Author">
          <w:pPr>
            <w:tabs>
              <w:tab w:val="left" w:pos="180"/>
            </w:tabs>
          </w:pPr>
        </w:pPrChange>
      </w:pPr>
    </w:p>
    <w:p>
      <w:pPr>
        <w:keepNext/>
        <w:keepLines/>
        <w:tabs>
          <w:tab w:val="left" w:pos="180"/>
        </w:tabs>
        <w:rPr>
          <w:noProof/>
          <w:u w:val="single"/>
          <w:lang w:val="it-IT"/>
        </w:rPr>
        <w:pPrChange w:id="2888" w:author="Author">
          <w:pPr>
            <w:tabs>
              <w:tab w:val="left" w:pos="180"/>
            </w:tabs>
          </w:pPr>
        </w:pPrChange>
      </w:pPr>
      <w:r>
        <w:rPr>
          <w:noProof/>
          <w:u w:val="single"/>
          <w:lang w:val="it-IT"/>
        </w:rPr>
        <w:t>Istruzioni per la diluizione prima della somministrazione</w:t>
      </w:r>
    </w:p>
    <w:p>
      <w:pPr>
        <w:tabs>
          <w:tab w:val="left" w:pos="180"/>
        </w:tabs>
        <w:rPr>
          <w:noProof/>
          <w:lang w:val="it-IT"/>
        </w:rPr>
      </w:pPr>
      <w:r>
        <w:rPr>
          <w:noProof/>
          <w:lang w:val="it-IT"/>
        </w:rPr>
        <w:t xml:space="preserve">I medicinali da somministrare per via parenterale devono essere sottoposti a un esame visivo prima della somministrazione, onde escludere la presenza di </w:t>
      </w:r>
      <w:del w:id="2889" w:author="Author">
        <w:r>
          <w:rPr>
            <w:noProof/>
            <w:lang w:val="it-IT"/>
          </w:rPr>
          <w:delText>sostanza particellata</w:delText>
        </w:r>
      </w:del>
      <w:ins w:id="2890" w:author="Author">
        <w:r>
          <w:rPr>
            <w:noProof/>
            <w:lang w:val="it-IT"/>
          </w:rPr>
          <w:t>particolato</w:t>
        </w:r>
      </w:ins>
      <w:r>
        <w:rPr>
          <w:noProof/>
          <w:lang w:val="it-IT"/>
        </w:rPr>
        <w:t xml:space="preserve"> o segni di </w:t>
      </w:r>
      <w:del w:id="2891" w:author="Author">
        <w:r>
          <w:rPr>
            <w:noProof/>
            <w:lang w:val="it-IT"/>
          </w:rPr>
          <w:delText xml:space="preserve">alterazione </w:delText>
        </w:r>
      </w:del>
      <w:ins w:id="2892" w:author="Author">
        <w:r>
          <w:rPr>
            <w:noProof/>
            <w:lang w:val="it-IT"/>
          </w:rPr>
          <w:t xml:space="preserve">cambiamento </w:t>
        </w:r>
      </w:ins>
      <w:r>
        <w:rPr>
          <w:noProof/>
          <w:lang w:val="it-IT"/>
        </w:rPr>
        <w:t xml:space="preserve">del colore. </w:t>
      </w:r>
      <w:del w:id="2893" w:author="Author">
        <w:r>
          <w:rPr>
            <w:noProof/>
            <w:lang w:val="it-IT"/>
          </w:rPr>
          <w:lastRenderedPageBreak/>
          <w:delText>Si d</w:delText>
        </w:r>
      </w:del>
      <w:ins w:id="2894" w:author="Author">
        <w:r>
          <w:rPr>
            <w:noProof/>
            <w:lang w:val="it-IT"/>
          </w:rPr>
          <w:t>D</w:t>
        </w:r>
      </w:ins>
      <w:r>
        <w:rPr>
          <w:noProof/>
          <w:lang w:val="it-IT"/>
        </w:rPr>
        <w:t xml:space="preserve">evono </w:t>
      </w:r>
      <w:ins w:id="2895" w:author="Author">
        <w:r>
          <w:rPr>
            <w:noProof/>
            <w:lang w:val="it-IT"/>
          </w:rPr>
          <w:t xml:space="preserve">essere </w:t>
        </w:r>
      </w:ins>
      <w:r>
        <w:rPr>
          <w:noProof/>
          <w:lang w:val="it-IT"/>
        </w:rPr>
        <w:t>dilui</w:t>
      </w:r>
      <w:ins w:id="2896" w:author="Author">
        <w:r>
          <w:rPr>
            <w:noProof/>
            <w:lang w:val="it-IT"/>
          </w:rPr>
          <w:t>t</w:t>
        </w:r>
      </w:ins>
      <w:del w:id="2897" w:author="Author">
        <w:r>
          <w:rPr>
            <w:noProof/>
            <w:lang w:val="it-IT"/>
          </w:rPr>
          <w:delText>r</w:delText>
        </w:r>
      </w:del>
      <w:r>
        <w:rPr>
          <w:noProof/>
          <w:lang w:val="it-IT"/>
        </w:rPr>
        <w:t xml:space="preserve">e solo le soluzioni </w:t>
      </w:r>
      <w:del w:id="2898" w:author="Author">
        <w:r>
          <w:rPr>
            <w:noProof/>
            <w:lang w:val="it-IT"/>
          </w:rPr>
          <w:delText xml:space="preserve">di </w:delText>
        </w:r>
      </w:del>
      <w:ins w:id="2899" w:author="Author">
        <w:r>
          <w:rPr>
            <w:noProof/>
            <w:lang w:val="it-IT"/>
          </w:rPr>
          <w:t xml:space="preserve">con </w:t>
        </w:r>
      </w:ins>
      <w:r>
        <w:rPr>
          <w:noProof/>
          <w:lang w:val="it-IT"/>
        </w:rPr>
        <w:t>aspetto da limpido a opalescente, da incolore a giallo chiaro, prive di particelle visibili. Usare un ago e una siringa sterili per preparare il prodotto.</w:t>
      </w:r>
    </w:p>
    <w:p>
      <w:pPr>
        <w:keepNext/>
        <w:keepLines/>
        <w:tabs>
          <w:tab w:val="left" w:pos="180"/>
        </w:tabs>
        <w:rPr>
          <w:noProof/>
          <w:lang w:val="it-IT"/>
        </w:rPr>
      </w:pPr>
    </w:p>
    <w:p>
      <w:pPr>
        <w:keepNext/>
        <w:tabs>
          <w:tab w:val="left" w:pos="180"/>
        </w:tabs>
        <w:rPr>
          <w:i/>
          <w:iCs/>
          <w:noProof/>
          <w:lang w:val="it-IT"/>
          <w:rPrChange w:id="2900" w:author="Author">
            <w:rPr>
              <w:u w:val="single"/>
              <w:lang w:val="it-IT"/>
            </w:rPr>
          </w:rPrChange>
        </w:rPr>
      </w:pPr>
      <w:r>
        <w:rPr>
          <w:i/>
          <w:iCs/>
          <w:noProof/>
          <w:lang w:val="it-IT"/>
          <w:rPrChange w:id="2901" w:author="Author">
            <w:rPr>
              <w:u w:val="single"/>
              <w:lang w:val="it-IT"/>
            </w:rPr>
          </w:rPrChange>
        </w:rPr>
        <w:t>Pazienti adulti affetti da AR, CRS (≥ 30 kg) e COVID-19</w:t>
      </w:r>
    </w:p>
    <w:p>
      <w:pPr>
        <w:tabs>
          <w:tab w:val="left" w:pos="180"/>
        </w:tabs>
        <w:rPr>
          <w:noProof/>
          <w:lang w:val="it-IT"/>
        </w:rPr>
      </w:pPr>
      <w:r>
        <w:rPr>
          <w:noProof/>
          <w:lang w:val="it-IT"/>
        </w:rPr>
        <w:t xml:space="preserve">In condizioni asettiche, prelevare un volume di soluzione iniettabile sterile, non pirogenica, di </w:t>
      </w:r>
      <w:ins w:id="2902" w:author="Author">
        <w:r>
          <w:rPr>
            <w:noProof/>
            <w:lang w:val="it-IT"/>
          </w:rPr>
          <w:t xml:space="preserve">sodio </w:t>
        </w:r>
      </w:ins>
      <w:r>
        <w:rPr>
          <w:noProof/>
          <w:lang w:val="it-IT"/>
        </w:rPr>
        <w:t xml:space="preserve">cloruro </w:t>
      </w:r>
    </w:p>
    <w:p>
      <w:pPr>
        <w:tabs>
          <w:tab w:val="left" w:pos="180"/>
        </w:tabs>
        <w:rPr>
          <w:noProof/>
          <w:lang w:val="it-IT"/>
        </w:rPr>
      </w:pPr>
      <w:del w:id="2903" w:author="Author">
        <w:r>
          <w:rPr>
            <w:noProof/>
            <w:lang w:val="it-IT"/>
          </w:rPr>
          <w:delText xml:space="preserve">di sodio </w:delText>
        </w:r>
      </w:del>
      <w:r>
        <w:rPr>
          <w:noProof/>
          <w:lang w:val="it-IT"/>
        </w:rPr>
        <w:t>9 mg/mL (0,9%) da una sacca per infusione da 100 mL pari al volume di concentrato necessario alla dose del paziente. La quantità necessaria di concentrato (0,4 mL/kg) deve essere prelevata dal flaconcino e immessa nella sacca per infusione da 100 mL. Il volume finale deve essere di 100 mL. Per miscelare la soluzione, capovolgere delicatamente la sacca per infusione per evitare la formazione di schiuma.</w:t>
      </w:r>
    </w:p>
    <w:p>
      <w:pPr>
        <w:tabs>
          <w:tab w:val="left" w:pos="180"/>
        </w:tabs>
        <w:rPr>
          <w:noProof/>
          <w:lang w:val="it-IT"/>
        </w:rPr>
      </w:pPr>
    </w:p>
    <w:p>
      <w:pPr>
        <w:keepNext/>
        <w:keepLines/>
        <w:tabs>
          <w:tab w:val="left" w:pos="180"/>
        </w:tabs>
        <w:rPr>
          <w:del w:id="2904" w:author="Author"/>
          <w:i/>
          <w:iCs/>
          <w:noProof/>
          <w:lang w:val="it-IT"/>
        </w:rPr>
        <w:pPrChange w:id="2905" w:author="Author">
          <w:pPr>
            <w:tabs>
              <w:tab w:val="left" w:pos="180"/>
            </w:tabs>
          </w:pPr>
        </w:pPrChange>
      </w:pPr>
      <w:r>
        <w:rPr>
          <w:i/>
          <w:iCs/>
          <w:noProof/>
          <w:lang w:val="it-IT"/>
        </w:rPr>
        <w:t>Popolazione pediatrica</w:t>
      </w:r>
    </w:p>
    <w:p>
      <w:pPr>
        <w:keepNext/>
        <w:keepLines/>
        <w:tabs>
          <w:tab w:val="left" w:pos="180"/>
        </w:tabs>
        <w:rPr>
          <w:noProof/>
          <w:u w:val="single"/>
          <w:lang w:val="it-IT"/>
        </w:rPr>
        <w:pPrChange w:id="2906" w:author="Author">
          <w:pPr>
            <w:tabs>
              <w:tab w:val="left" w:pos="180"/>
            </w:tabs>
          </w:pPr>
        </w:pPrChange>
      </w:pPr>
    </w:p>
    <w:p>
      <w:pPr>
        <w:keepNext/>
        <w:keepLines/>
        <w:tabs>
          <w:tab w:val="left" w:pos="180"/>
        </w:tabs>
        <w:rPr>
          <w:noProof/>
          <w:u w:val="single"/>
          <w:lang w:val="it-IT"/>
        </w:rPr>
        <w:pPrChange w:id="2907" w:author="Author">
          <w:pPr>
            <w:tabs>
              <w:tab w:val="left" w:pos="180"/>
            </w:tabs>
          </w:pPr>
        </w:pPrChange>
      </w:pPr>
      <w:r>
        <w:rPr>
          <w:noProof/>
          <w:u w:val="single"/>
          <w:lang w:val="it-IT"/>
        </w:rPr>
        <w:t>Pazienti affetti da AIGs, AIGp e CRS di peso ≥ 30 kg</w:t>
      </w:r>
    </w:p>
    <w:p>
      <w:pPr>
        <w:tabs>
          <w:tab w:val="left" w:pos="180"/>
        </w:tabs>
        <w:rPr>
          <w:noProof/>
          <w:lang w:val="it-IT"/>
        </w:rPr>
      </w:pPr>
      <w:r>
        <w:rPr>
          <w:noProof/>
          <w:lang w:val="it-IT"/>
        </w:rPr>
        <w:t xml:space="preserve">In condizioni asettiche, prelevare un volume di soluzione iniettabile sterile, non pirogenica, di </w:t>
      </w:r>
      <w:ins w:id="2908" w:author="Author">
        <w:r>
          <w:rPr>
            <w:noProof/>
            <w:lang w:val="it-IT"/>
          </w:rPr>
          <w:t xml:space="preserve">sodio </w:t>
        </w:r>
      </w:ins>
      <w:r>
        <w:rPr>
          <w:noProof/>
          <w:lang w:val="it-IT"/>
        </w:rPr>
        <w:t>cloruro di sodio 9 mg/mL (0,9%) da una sacca per infusione da 100 mL pari al volume di concentrato necessario alla dose del paziente. La quantità necessaria di concentrato (</w:t>
      </w:r>
      <w:r>
        <w:rPr>
          <w:b/>
          <w:noProof/>
          <w:lang w:val="it-IT"/>
        </w:rPr>
        <w:t>0,4 mL/kg</w:t>
      </w:r>
      <w:r>
        <w:rPr>
          <w:noProof/>
          <w:lang w:val="it-IT"/>
        </w:rPr>
        <w:t>) deve essere prelevata dal flaconcino e immessa nella sacca per infusione da 100 mL. Il volume finale deve essere di 100 mL. Per miscelare la soluzione, capovolgere delicatamente la sacca per infusione per evitare la formazione di schiuma.</w:t>
      </w:r>
    </w:p>
    <w:p>
      <w:pPr>
        <w:keepNext/>
        <w:keepLines/>
        <w:tabs>
          <w:tab w:val="left" w:pos="180"/>
        </w:tabs>
        <w:rPr>
          <w:noProof/>
          <w:lang w:val="it-IT"/>
        </w:rPr>
      </w:pPr>
    </w:p>
    <w:p>
      <w:pPr>
        <w:tabs>
          <w:tab w:val="left" w:pos="180"/>
        </w:tabs>
        <w:rPr>
          <w:i/>
          <w:iCs/>
          <w:noProof/>
          <w:u w:val="single"/>
          <w:lang w:val="it-IT"/>
          <w:rPrChange w:id="2909" w:author="Author">
            <w:rPr>
              <w:u w:val="single"/>
              <w:lang w:val="it-IT"/>
            </w:rPr>
          </w:rPrChange>
        </w:rPr>
      </w:pPr>
      <w:r>
        <w:rPr>
          <w:i/>
          <w:iCs/>
          <w:noProof/>
          <w:u w:val="single"/>
          <w:lang w:val="it-IT"/>
          <w:rPrChange w:id="2910" w:author="Author">
            <w:rPr>
              <w:u w:val="single"/>
              <w:lang w:val="it-IT"/>
            </w:rPr>
          </w:rPrChange>
        </w:rPr>
        <w:t>Pazienti affetti da AIGs e CRS di peso &lt;</w:t>
      </w:r>
      <w:ins w:id="2911" w:author="Author">
        <w:r>
          <w:rPr>
            <w:i/>
            <w:iCs/>
            <w:noProof/>
            <w:u w:val="single"/>
            <w:lang w:val="it-IT"/>
          </w:rPr>
          <w:t xml:space="preserve"> </w:t>
        </w:r>
      </w:ins>
      <w:r>
        <w:rPr>
          <w:i/>
          <w:iCs/>
          <w:noProof/>
          <w:u w:val="single"/>
          <w:lang w:val="it-IT"/>
          <w:rPrChange w:id="2912" w:author="Author">
            <w:rPr>
              <w:u w:val="single"/>
              <w:lang w:val="it-IT"/>
            </w:rPr>
          </w:rPrChange>
        </w:rPr>
        <w:t>30 kg</w:t>
      </w:r>
    </w:p>
    <w:p>
      <w:pPr>
        <w:tabs>
          <w:tab w:val="left" w:pos="180"/>
        </w:tabs>
        <w:rPr>
          <w:noProof/>
          <w:lang w:val="it-IT"/>
        </w:rPr>
      </w:pPr>
      <w:r>
        <w:rPr>
          <w:noProof/>
          <w:lang w:val="it-IT"/>
        </w:rPr>
        <w:t xml:space="preserve">In condizioni asettiche, prelevare un volume di soluzione iniettabile sterile, non pirogenica, di </w:t>
      </w:r>
      <w:ins w:id="2913" w:author="Author">
        <w:r>
          <w:rPr>
            <w:noProof/>
            <w:lang w:val="it-IT"/>
          </w:rPr>
          <w:t xml:space="preserve">sodio </w:t>
        </w:r>
      </w:ins>
      <w:r>
        <w:rPr>
          <w:noProof/>
          <w:lang w:val="it-IT"/>
        </w:rPr>
        <w:t xml:space="preserve">cloruro </w:t>
      </w:r>
      <w:del w:id="2914" w:author="Author">
        <w:r>
          <w:rPr>
            <w:noProof/>
            <w:lang w:val="it-IT"/>
          </w:rPr>
          <w:delText xml:space="preserve">di sodio </w:delText>
        </w:r>
      </w:del>
      <w:r>
        <w:rPr>
          <w:noProof/>
          <w:lang w:val="it-IT"/>
        </w:rPr>
        <w:t>9 mg/mL (0</w:t>
      </w:r>
      <w:del w:id="2915" w:author="Author">
        <w:r>
          <w:rPr>
            <w:noProof/>
            <w:lang w:val="it-IT"/>
          </w:rPr>
          <w:delText>.</w:delText>
        </w:r>
      </w:del>
      <w:ins w:id="2916" w:author="Author">
        <w:r>
          <w:rPr>
            <w:noProof/>
            <w:lang w:val="it-IT"/>
          </w:rPr>
          <w:t>,</w:t>
        </w:r>
      </w:ins>
      <w:r>
        <w:rPr>
          <w:noProof/>
          <w:lang w:val="it-IT"/>
        </w:rPr>
        <w:t>9%) da una sacca per infusione da 50 mL pari al volume di concentrato necessario alla dose del paziente. La quantità necessaria di concentrato (</w:t>
      </w:r>
      <w:r>
        <w:rPr>
          <w:b/>
          <w:noProof/>
          <w:lang w:val="it-IT"/>
        </w:rPr>
        <w:t>0,6 mL/kg</w:t>
      </w:r>
      <w:r>
        <w:rPr>
          <w:noProof/>
          <w:lang w:val="it-IT"/>
        </w:rPr>
        <w:t>) deve essere prelevata dal flaconcino e immessa nella sacca per infusione da 50 mL. Il volume finale deve essere di 50 mL. Per miscelare la soluzione, capovolgere delicatamente la sacca per infusione per evitare la formazione di schiuma.</w:t>
      </w:r>
    </w:p>
    <w:p>
      <w:pPr>
        <w:tabs>
          <w:tab w:val="left" w:pos="180"/>
        </w:tabs>
        <w:rPr>
          <w:noProof/>
          <w:lang w:val="it-IT"/>
        </w:rPr>
      </w:pPr>
    </w:p>
    <w:p>
      <w:pPr>
        <w:tabs>
          <w:tab w:val="left" w:pos="180"/>
        </w:tabs>
        <w:rPr>
          <w:i/>
          <w:iCs/>
          <w:noProof/>
          <w:u w:val="single"/>
          <w:lang w:val="it-IT"/>
          <w:rPrChange w:id="2917" w:author="Author">
            <w:rPr>
              <w:u w:val="single"/>
              <w:lang w:val="it-IT"/>
            </w:rPr>
          </w:rPrChange>
        </w:rPr>
      </w:pPr>
      <w:r>
        <w:rPr>
          <w:i/>
          <w:iCs/>
          <w:noProof/>
          <w:u w:val="single"/>
          <w:lang w:val="it-IT"/>
          <w:rPrChange w:id="2918" w:author="Author">
            <w:rPr>
              <w:u w:val="single"/>
              <w:lang w:val="it-IT"/>
            </w:rPr>
          </w:rPrChange>
        </w:rPr>
        <w:t>Pazienti affetti da AIGp di peso &lt;30 kg</w:t>
      </w:r>
    </w:p>
    <w:p>
      <w:pPr>
        <w:tabs>
          <w:tab w:val="left" w:pos="180"/>
        </w:tabs>
        <w:rPr>
          <w:noProof/>
          <w:lang w:val="it-IT"/>
        </w:rPr>
      </w:pPr>
      <w:r>
        <w:rPr>
          <w:noProof/>
          <w:lang w:val="it-IT"/>
        </w:rPr>
        <w:t xml:space="preserve">In condizioni asettiche, prelevare un volume di soluzione iniettabile sterile, non pirogenica, di </w:t>
      </w:r>
      <w:ins w:id="2919" w:author="Author">
        <w:r>
          <w:rPr>
            <w:noProof/>
            <w:lang w:val="it-IT"/>
          </w:rPr>
          <w:t xml:space="preserve">sodio </w:t>
        </w:r>
      </w:ins>
      <w:r>
        <w:rPr>
          <w:noProof/>
          <w:lang w:val="it-IT"/>
        </w:rPr>
        <w:t xml:space="preserve">cloruro </w:t>
      </w:r>
      <w:del w:id="2920" w:author="Author">
        <w:r>
          <w:rPr>
            <w:noProof/>
            <w:lang w:val="it-IT"/>
          </w:rPr>
          <w:delText xml:space="preserve">di sodio </w:delText>
        </w:r>
      </w:del>
      <w:r>
        <w:rPr>
          <w:noProof/>
          <w:lang w:val="it-IT"/>
        </w:rPr>
        <w:t xml:space="preserve">9 mg/mL (0,9%) da una sacca per infusione da 50 mL pari al volume di concentrato necessario al dosaggio del paziente. La quantità necessaria di concentrato </w:t>
      </w:r>
      <w:r>
        <w:rPr>
          <w:b/>
          <w:noProof/>
          <w:lang w:val="it-IT"/>
        </w:rPr>
        <w:t xml:space="preserve">(0,5 mL/kg) </w:t>
      </w:r>
      <w:r>
        <w:rPr>
          <w:noProof/>
          <w:lang w:val="it-IT"/>
        </w:rPr>
        <w:t>deve essere prelevata dal flaconcino e immessa nella sacca da infusione da 50 mL. Il volume finale deve essere di 50 mL. Per miscelare la soluzione, capovolgere delicatamente la sacca per infusione per evitare la formazione di schiuma.</w:t>
      </w:r>
    </w:p>
    <w:p>
      <w:pPr>
        <w:tabs>
          <w:tab w:val="left" w:pos="180"/>
        </w:tabs>
        <w:rPr>
          <w:noProof/>
          <w:lang w:val="it-IT"/>
        </w:rPr>
      </w:pPr>
    </w:p>
    <w:p>
      <w:pPr>
        <w:tabs>
          <w:tab w:val="left" w:pos="180"/>
        </w:tabs>
        <w:rPr>
          <w:noProof/>
          <w:lang w:val="it-IT"/>
        </w:rPr>
      </w:pPr>
      <w:bookmarkStart w:id="2921" w:name="_Hlk223625158"/>
      <w:r>
        <w:rPr>
          <w:noProof/>
          <w:lang w:val="it-IT"/>
        </w:rPr>
        <w:t xml:space="preserve">Quando viene diluito con la soluzione iniettabile di </w:t>
      </w:r>
      <w:ins w:id="2922" w:author="Author">
        <w:r>
          <w:rPr>
            <w:noProof/>
            <w:lang w:val="it-IT"/>
          </w:rPr>
          <w:t xml:space="preserve">sodio </w:t>
        </w:r>
      </w:ins>
      <w:r>
        <w:rPr>
          <w:noProof/>
          <w:lang w:val="it-IT"/>
        </w:rPr>
        <w:t xml:space="preserve">cloruro </w:t>
      </w:r>
      <w:del w:id="2923" w:author="Author">
        <w:r>
          <w:rPr>
            <w:noProof/>
            <w:lang w:val="it-IT"/>
          </w:rPr>
          <w:delText xml:space="preserve">di sodio </w:delText>
        </w:r>
      </w:del>
      <w:r>
        <w:rPr>
          <w:noProof/>
          <w:lang w:val="it-IT"/>
        </w:rPr>
        <w:t>9 mg/mL (0,9%), RoActemra è compatibile con sacche per infusione endovenosa composte da polivinilcloruro (PVC), polietilene (PE), polipropilene (PP).</w:t>
      </w:r>
    </w:p>
    <w:bookmarkEnd w:id="2921"/>
    <w:p>
      <w:pPr>
        <w:tabs>
          <w:tab w:val="left" w:pos="180"/>
        </w:tabs>
        <w:rPr>
          <w:noProof/>
          <w:lang w:val="it-IT"/>
        </w:rPr>
      </w:pPr>
    </w:p>
    <w:p>
      <w:pPr>
        <w:tabs>
          <w:tab w:val="left" w:pos="180"/>
        </w:tabs>
        <w:rPr>
          <w:noProof/>
          <w:lang w:val="it-IT"/>
        </w:rPr>
      </w:pPr>
      <w:r>
        <w:rPr>
          <w:noProof/>
          <w:lang w:val="it-IT"/>
        </w:rPr>
        <w:t>RoActemra è monouso.</w:t>
      </w:r>
    </w:p>
    <w:p>
      <w:pPr>
        <w:tabs>
          <w:tab w:val="left" w:pos="180"/>
        </w:tabs>
        <w:rPr>
          <w:noProof/>
          <w:lang w:val="it-IT"/>
        </w:rPr>
      </w:pPr>
      <w:r>
        <w:rPr>
          <w:noProof/>
          <w:lang w:val="it-IT"/>
        </w:rPr>
        <w:t>Il medicinale non utilizzato ed i rifiuti derivati da tale medicinale devono essere smaltiti in conformità alla normativa locale vigente.</w:t>
      </w:r>
    </w:p>
    <w:p>
      <w:pPr>
        <w:tabs>
          <w:tab w:val="left" w:pos="180"/>
        </w:tabs>
        <w:rPr>
          <w:noProof/>
          <w:lang w:val="it-IT"/>
        </w:rPr>
      </w:pPr>
    </w:p>
    <w:p>
      <w:pPr>
        <w:tabs>
          <w:tab w:val="left" w:pos="180"/>
        </w:tabs>
        <w:rPr>
          <w:noProof/>
          <w:lang w:val="it-IT"/>
        </w:rPr>
      </w:pPr>
    </w:p>
    <w:p>
      <w:pPr>
        <w:keepNext/>
        <w:keepLines/>
        <w:tabs>
          <w:tab w:val="left" w:pos="180"/>
        </w:tabs>
        <w:ind w:left="567" w:hanging="567"/>
        <w:rPr>
          <w:noProof/>
          <w:lang w:val="it-IT"/>
        </w:rPr>
        <w:pPrChange w:id="2924" w:author="Author">
          <w:pPr>
            <w:tabs>
              <w:tab w:val="left" w:pos="180"/>
            </w:tabs>
            <w:ind w:left="567" w:hanging="567"/>
          </w:pPr>
        </w:pPrChange>
      </w:pPr>
      <w:r>
        <w:rPr>
          <w:b/>
          <w:noProof/>
          <w:lang w:val="it-IT"/>
        </w:rPr>
        <w:t>7.</w:t>
      </w:r>
      <w:r>
        <w:rPr>
          <w:b/>
          <w:noProof/>
          <w:lang w:val="it-IT"/>
        </w:rPr>
        <w:tab/>
      </w:r>
      <w:r>
        <w:rPr>
          <w:b/>
          <w:noProof/>
          <w:lang w:val="it-IT"/>
        </w:rPr>
        <w:tab/>
        <w:t>TITOLARE DELL'AUTORIZZAZIONE ALL'IMMISSIONE IN COMMERCIO</w:t>
      </w:r>
    </w:p>
    <w:p>
      <w:pPr>
        <w:keepNext/>
        <w:keepLines/>
        <w:tabs>
          <w:tab w:val="left" w:pos="180"/>
        </w:tabs>
        <w:rPr>
          <w:noProof/>
          <w:lang w:val="it-IT"/>
        </w:rPr>
        <w:pPrChange w:id="2925" w:author="Author">
          <w:pPr>
            <w:tabs>
              <w:tab w:val="left" w:pos="180"/>
            </w:tabs>
          </w:pPr>
        </w:pPrChange>
      </w:pPr>
    </w:p>
    <w:p>
      <w:pPr>
        <w:keepNext/>
        <w:keepLines/>
        <w:rPr>
          <w:noProof/>
          <w:lang w:val="it-IT"/>
        </w:rPr>
        <w:pPrChange w:id="2926" w:author="Author">
          <w:pPr/>
        </w:pPrChange>
      </w:pPr>
      <w:r>
        <w:rPr>
          <w:noProof/>
          <w:lang w:val="it-IT"/>
        </w:rPr>
        <w:t xml:space="preserve">Roche Registration GmbH </w:t>
      </w:r>
    </w:p>
    <w:p>
      <w:pPr>
        <w:keepNext/>
        <w:keepLines/>
        <w:rPr>
          <w:noProof/>
          <w:lang w:val="it-IT"/>
        </w:rPr>
        <w:pPrChange w:id="2927" w:author="Author">
          <w:pPr/>
        </w:pPrChange>
      </w:pPr>
      <w:r>
        <w:rPr>
          <w:noProof/>
          <w:lang w:val="it-IT"/>
        </w:rPr>
        <w:t>Emil-Barell-Strasse 1</w:t>
      </w:r>
    </w:p>
    <w:p>
      <w:pPr>
        <w:keepNext/>
        <w:keepLines/>
        <w:rPr>
          <w:noProof/>
          <w:lang w:val="it-IT"/>
        </w:rPr>
        <w:pPrChange w:id="2928" w:author="Author">
          <w:pPr/>
        </w:pPrChange>
      </w:pPr>
      <w:r>
        <w:rPr>
          <w:noProof/>
          <w:lang w:val="it-IT"/>
        </w:rPr>
        <w:t>79639 Grenzach-Wyhlen</w:t>
      </w:r>
    </w:p>
    <w:p>
      <w:pPr>
        <w:rPr>
          <w:noProof/>
          <w:lang w:val="it-IT"/>
        </w:rPr>
      </w:pPr>
      <w:r>
        <w:rPr>
          <w:noProof/>
          <w:lang w:val="it-IT"/>
        </w:rPr>
        <w:t>Germania</w:t>
      </w:r>
    </w:p>
    <w:p>
      <w:pPr>
        <w:tabs>
          <w:tab w:val="left" w:pos="180"/>
        </w:tabs>
        <w:rPr>
          <w:noProof/>
          <w:lang w:val="it-IT"/>
        </w:rPr>
      </w:pPr>
    </w:p>
    <w:p>
      <w:pPr>
        <w:tabs>
          <w:tab w:val="left" w:pos="180"/>
        </w:tabs>
        <w:rPr>
          <w:noProof/>
          <w:lang w:val="it-IT"/>
        </w:rPr>
      </w:pPr>
    </w:p>
    <w:p>
      <w:pPr>
        <w:keepNext/>
        <w:keepLines/>
        <w:tabs>
          <w:tab w:val="left" w:pos="180"/>
        </w:tabs>
        <w:ind w:left="567" w:hanging="567"/>
        <w:rPr>
          <w:b/>
          <w:noProof/>
          <w:lang w:val="it-IT"/>
        </w:rPr>
      </w:pPr>
      <w:r>
        <w:rPr>
          <w:b/>
          <w:noProof/>
          <w:lang w:val="it-IT"/>
        </w:rPr>
        <w:lastRenderedPageBreak/>
        <w:t>8.</w:t>
      </w:r>
      <w:r>
        <w:rPr>
          <w:b/>
          <w:noProof/>
          <w:lang w:val="it-IT"/>
        </w:rPr>
        <w:tab/>
      </w:r>
      <w:r>
        <w:rPr>
          <w:b/>
          <w:noProof/>
          <w:lang w:val="it-IT"/>
        </w:rPr>
        <w:tab/>
        <w:t>NUMER</w:t>
      </w:r>
      <w:del w:id="2929" w:author="Author">
        <w:r>
          <w:rPr>
            <w:b/>
            <w:noProof/>
            <w:lang w:val="it-IT"/>
          </w:rPr>
          <w:delText>O(</w:delText>
        </w:r>
      </w:del>
      <w:r>
        <w:rPr>
          <w:b/>
          <w:noProof/>
          <w:lang w:val="it-IT"/>
        </w:rPr>
        <w:t>I</w:t>
      </w:r>
      <w:del w:id="2930" w:author="Author">
        <w:r>
          <w:rPr>
            <w:b/>
            <w:noProof/>
            <w:lang w:val="it-IT"/>
          </w:rPr>
          <w:delText>)</w:delText>
        </w:r>
      </w:del>
      <w:r>
        <w:rPr>
          <w:b/>
          <w:noProof/>
          <w:lang w:val="it-IT"/>
        </w:rPr>
        <w:t xml:space="preserve"> DELL’AUTORIZZAZIONE ALL’IMMISSIONE IN COMMERCIO </w:t>
      </w:r>
    </w:p>
    <w:p>
      <w:pPr>
        <w:keepNext/>
        <w:keepLines/>
        <w:tabs>
          <w:tab w:val="left" w:pos="180"/>
        </w:tabs>
        <w:rPr>
          <w:noProof/>
          <w:lang w:val="it-IT"/>
        </w:rPr>
      </w:pPr>
    </w:p>
    <w:p>
      <w:pPr>
        <w:keepNext/>
        <w:keepLines/>
        <w:tabs>
          <w:tab w:val="left" w:pos="180"/>
        </w:tabs>
        <w:rPr>
          <w:noProof/>
          <w:lang w:val="pt-BR"/>
          <w:rPrChange w:id="2931" w:author="Author">
            <w:rPr>
              <w:noProof/>
              <w:lang w:val="it-IT"/>
            </w:rPr>
          </w:rPrChange>
        </w:rPr>
      </w:pPr>
      <w:r>
        <w:rPr>
          <w:noProof/>
          <w:lang w:val="pt-BR"/>
          <w:rPrChange w:id="2932" w:author="Author">
            <w:rPr>
              <w:noProof/>
              <w:lang w:val="it-IT"/>
            </w:rPr>
          </w:rPrChange>
        </w:rPr>
        <w:t>EU/1/08/492/001</w:t>
      </w:r>
    </w:p>
    <w:p>
      <w:pPr>
        <w:keepNext/>
        <w:keepLines/>
        <w:tabs>
          <w:tab w:val="left" w:pos="180"/>
        </w:tabs>
        <w:rPr>
          <w:noProof/>
          <w:lang w:val="pt-BR"/>
          <w:rPrChange w:id="2933" w:author="Author">
            <w:rPr>
              <w:noProof/>
              <w:lang w:val="it-IT"/>
            </w:rPr>
          </w:rPrChange>
        </w:rPr>
      </w:pPr>
      <w:r>
        <w:rPr>
          <w:noProof/>
          <w:lang w:val="pt-BR"/>
          <w:rPrChange w:id="2934" w:author="Author">
            <w:rPr>
              <w:noProof/>
              <w:lang w:val="it-IT"/>
            </w:rPr>
          </w:rPrChange>
        </w:rPr>
        <w:t>EU/1/08/492/002</w:t>
      </w:r>
    </w:p>
    <w:p>
      <w:pPr>
        <w:keepNext/>
        <w:keepLines/>
        <w:tabs>
          <w:tab w:val="left" w:pos="180"/>
        </w:tabs>
        <w:rPr>
          <w:noProof/>
          <w:lang w:val="pt-BR"/>
          <w:rPrChange w:id="2935" w:author="Author">
            <w:rPr>
              <w:noProof/>
              <w:lang w:val="it-IT"/>
            </w:rPr>
          </w:rPrChange>
        </w:rPr>
      </w:pPr>
      <w:r>
        <w:rPr>
          <w:noProof/>
          <w:lang w:val="pt-BR"/>
          <w:rPrChange w:id="2936" w:author="Author">
            <w:rPr>
              <w:noProof/>
              <w:lang w:val="it-IT"/>
            </w:rPr>
          </w:rPrChange>
        </w:rPr>
        <w:t>EU/1/08/492/003</w:t>
      </w:r>
    </w:p>
    <w:p>
      <w:pPr>
        <w:keepNext/>
        <w:keepLines/>
        <w:tabs>
          <w:tab w:val="left" w:pos="180"/>
        </w:tabs>
        <w:rPr>
          <w:noProof/>
          <w:lang w:val="pt-BR"/>
          <w:rPrChange w:id="2937" w:author="Author">
            <w:rPr>
              <w:noProof/>
              <w:lang w:val="it-IT"/>
            </w:rPr>
          </w:rPrChange>
        </w:rPr>
      </w:pPr>
      <w:r>
        <w:rPr>
          <w:noProof/>
          <w:lang w:val="pt-BR"/>
          <w:rPrChange w:id="2938" w:author="Author">
            <w:rPr>
              <w:noProof/>
              <w:lang w:val="it-IT"/>
            </w:rPr>
          </w:rPrChange>
        </w:rPr>
        <w:t>EU/1/08/492/004</w:t>
      </w:r>
    </w:p>
    <w:p>
      <w:pPr>
        <w:tabs>
          <w:tab w:val="left" w:pos="180"/>
        </w:tabs>
        <w:rPr>
          <w:noProof/>
          <w:lang w:val="pt-BR"/>
          <w:rPrChange w:id="2939" w:author="Author">
            <w:rPr>
              <w:noProof/>
              <w:lang w:val="it-IT"/>
            </w:rPr>
          </w:rPrChange>
        </w:rPr>
      </w:pPr>
      <w:r>
        <w:rPr>
          <w:noProof/>
          <w:lang w:val="pt-BR"/>
          <w:rPrChange w:id="2940" w:author="Author">
            <w:rPr>
              <w:noProof/>
              <w:lang w:val="it-IT"/>
            </w:rPr>
          </w:rPrChange>
        </w:rPr>
        <w:t>EU/1/08/492/005</w:t>
      </w:r>
    </w:p>
    <w:p>
      <w:pPr>
        <w:tabs>
          <w:tab w:val="left" w:pos="180"/>
        </w:tabs>
        <w:rPr>
          <w:noProof/>
          <w:lang w:val="it-IT"/>
        </w:rPr>
      </w:pPr>
      <w:r>
        <w:rPr>
          <w:noProof/>
          <w:lang w:val="it-IT"/>
        </w:rPr>
        <w:t>EU/1/08/492/006</w:t>
      </w:r>
    </w:p>
    <w:p>
      <w:pPr>
        <w:tabs>
          <w:tab w:val="left" w:pos="180"/>
        </w:tabs>
        <w:rPr>
          <w:noProof/>
          <w:lang w:val="it-IT"/>
        </w:rPr>
      </w:pPr>
    </w:p>
    <w:p>
      <w:pPr>
        <w:tabs>
          <w:tab w:val="left" w:pos="180"/>
        </w:tabs>
        <w:rPr>
          <w:noProof/>
          <w:lang w:val="it-IT"/>
        </w:rPr>
      </w:pPr>
    </w:p>
    <w:p>
      <w:pPr>
        <w:tabs>
          <w:tab w:val="left" w:pos="180"/>
        </w:tabs>
        <w:ind w:left="562" w:hanging="562"/>
        <w:rPr>
          <w:b/>
          <w:noProof/>
          <w:lang w:val="it-IT"/>
        </w:rPr>
      </w:pPr>
      <w:r>
        <w:rPr>
          <w:b/>
          <w:noProof/>
          <w:lang w:val="it-IT"/>
        </w:rPr>
        <w:t>9.</w:t>
      </w:r>
      <w:r>
        <w:rPr>
          <w:b/>
          <w:noProof/>
          <w:lang w:val="it-IT"/>
        </w:rPr>
        <w:tab/>
      </w:r>
      <w:r>
        <w:rPr>
          <w:b/>
          <w:noProof/>
          <w:lang w:val="it-IT"/>
        </w:rPr>
        <w:tab/>
        <w:t xml:space="preserve">DATA DELLA PRIMA AUTORIZZAZIONE/DATA DELL’ULTIMO RINNOVO </w:t>
      </w:r>
    </w:p>
    <w:p>
      <w:pPr>
        <w:tabs>
          <w:tab w:val="left" w:pos="180"/>
        </w:tabs>
        <w:rPr>
          <w:noProof/>
          <w:lang w:val="it-IT"/>
        </w:rPr>
      </w:pPr>
    </w:p>
    <w:p>
      <w:pPr>
        <w:tabs>
          <w:tab w:val="left" w:pos="180"/>
        </w:tabs>
        <w:rPr>
          <w:noProof/>
          <w:szCs w:val="22"/>
          <w:lang w:val="it-IT"/>
        </w:rPr>
      </w:pPr>
      <w:r>
        <w:rPr>
          <w:noProof/>
          <w:szCs w:val="22"/>
          <w:lang w:val="it-IT"/>
        </w:rPr>
        <w:t>Data della prima autorizzazione: 16 gennaio 2009</w:t>
      </w:r>
    </w:p>
    <w:p>
      <w:pPr>
        <w:rPr>
          <w:noProof/>
          <w:szCs w:val="22"/>
          <w:lang w:val="it-IT"/>
        </w:rPr>
      </w:pPr>
      <w:r>
        <w:rPr>
          <w:noProof/>
          <w:szCs w:val="22"/>
          <w:lang w:val="it-IT"/>
        </w:rPr>
        <w:t>Data del rinnovo più recente: 25 settembre 2013</w:t>
      </w:r>
    </w:p>
    <w:p>
      <w:pPr>
        <w:tabs>
          <w:tab w:val="left" w:pos="180"/>
        </w:tabs>
        <w:rPr>
          <w:noProof/>
          <w:lang w:val="it-IT"/>
        </w:rPr>
      </w:pPr>
    </w:p>
    <w:p>
      <w:pPr>
        <w:tabs>
          <w:tab w:val="left" w:pos="180"/>
        </w:tabs>
        <w:rPr>
          <w:noProof/>
          <w:lang w:val="it-IT"/>
        </w:rPr>
      </w:pPr>
    </w:p>
    <w:p>
      <w:pPr>
        <w:keepNext/>
        <w:keepLines/>
        <w:tabs>
          <w:tab w:val="left" w:pos="180"/>
        </w:tabs>
        <w:ind w:left="562" w:hanging="562"/>
        <w:rPr>
          <w:b/>
          <w:noProof/>
          <w:lang w:val="it-IT"/>
        </w:rPr>
      </w:pPr>
      <w:r>
        <w:rPr>
          <w:b/>
          <w:noProof/>
          <w:lang w:val="it-IT"/>
        </w:rPr>
        <w:t>10.</w:t>
      </w:r>
      <w:r>
        <w:rPr>
          <w:b/>
          <w:noProof/>
          <w:lang w:val="it-IT"/>
        </w:rPr>
        <w:tab/>
        <w:t>DATA DI REVISIONE DEL TESTO</w:t>
      </w:r>
    </w:p>
    <w:p>
      <w:pPr>
        <w:keepNext/>
        <w:keepLines/>
        <w:tabs>
          <w:tab w:val="left" w:pos="180"/>
        </w:tabs>
        <w:rPr>
          <w:noProof/>
          <w:lang w:val="it-IT"/>
        </w:rPr>
      </w:pPr>
    </w:p>
    <w:p>
      <w:pPr>
        <w:keepNext/>
        <w:keepLines/>
        <w:numPr>
          <w:ilvl w:val="12"/>
          <w:numId w:val="0"/>
        </w:numPr>
        <w:tabs>
          <w:tab w:val="left" w:pos="180"/>
        </w:tabs>
        <w:rPr>
          <w:noProof/>
          <w:lang w:val="it-IT"/>
        </w:rPr>
      </w:pPr>
      <w:bookmarkStart w:id="2941" w:name="_Hlt98560650"/>
      <w:bookmarkStart w:id="2942" w:name="_Hlt98560651"/>
      <w:bookmarkStart w:id="2943" w:name="_Hlt145757343"/>
      <w:bookmarkStart w:id="2944" w:name="_Hlt145757344"/>
      <w:bookmarkStart w:id="2945" w:name="_Hlt145757384"/>
      <w:r>
        <w:rPr>
          <w:noProof/>
          <w:lang w:val="it-IT"/>
        </w:rPr>
        <w:t xml:space="preserve">Informazioni più dettagliate su questo medicinale sono disponibili sul sito web della Agenzia Europea dei Medicinali </w:t>
      </w:r>
      <w:ins w:id="2946" w:author="Author">
        <w:r>
          <w:rPr>
            <w:noProof/>
            <w:lang w:val="it-IT"/>
          </w:rPr>
          <w:fldChar w:fldCharType="begin"/>
        </w:r>
        <w:r>
          <w:rPr>
            <w:noProof/>
            <w:lang w:val="it-IT"/>
          </w:rPr>
          <w:instrText xml:space="preserve"> HYPERLINK "</w:instrText>
        </w:r>
      </w:ins>
      <w:r>
        <w:rPr>
          <w:lang w:val="es-ES"/>
          <w:rPrChange w:id="2947" w:author="TCS" w:date="2026-03-20T12:47:00Z">
            <w:rPr>
              <w:rStyle w:val="Hyperlink"/>
              <w:noProof/>
              <w:lang w:val="it-IT"/>
            </w:rPr>
          </w:rPrChange>
        </w:rPr>
        <w:instrText>http</w:instrText>
      </w:r>
      <w:ins w:id="2948" w:author="Author">
        <w:r>
          <w:rPr>
            <w:lang w:val="es-ES"/>
            <w:rPrChange w:id="2949" w:author="TCS" w:date="2026-03-20T12:47:00Z">
              <w:rPr>
                <w:rStyle w:val="Hyperlink"/>
                <w:noProof/>
                <w:lang w:val="it-IT"/>
              </w:rPr>
            </w:rPrChange>
          </w:rPr>
          <w:instrText>s</w:instrText>
        </w:r>
      </w:ins>
      <w:r>
        <w:rPr>
          <w:lang w:val="es-ES"/>
          <w:rPrChange w:id="2950" w:author="TCS" w:date="2026-03-20T12:47:00Z">
            <w:rPr>
              <w:rStyle w:val="Hyperlink"/>
              <w:noProof/>
              <w:lang w:val="it-IT"/>
            </w:rPr>
          </w:rPrChange>
        </w:rPr>
        <w:instrText>://www.ema.europa.eu</w:instrText>
      </w:r>
      <w:ins w:id="2951" w:author="Author">
        <w:r>
          <w:rPr>
            <w:noProof/>
            <w:lang w:val="it-IT"/>
          </w:rPr>
          <w:instrText xml:space="preserve">" </w:instrText>
        </w:r>
        <w:r>
          <w:rPr>
            <w:noProof/>
            <w:lang w:val="it-IT"/>
          </w:rPr>
          <w:fldChar w:fldCharType="separate"/>
        </w:r>
      </w:ins>
      <w:r>
        <w:rPr>
          <w:rStyle w:val="Hyperlink"/>
          <w:noProof/>
          <w:lang w:val="it-IT"/>
        </w:rPr>
        <w:t>http</w:t>
      </w:r>
      <w:ins w:id="2952" w:author="Author">
        <w:r>
          <w:rPr>
            <w:rStyle w:val="Hyperlink"/>
            <w:noProof/>
            <w:lang w:val="it-IT"/>
          </w:rPr>
          <w:t>s</w:t>
        </w:r>
      </w:ins>
      <w:r>
        <w:rPr>
          <w:rStyle w:val="Hyperlink"/>
          <w:noProof/>
          <w:lang w:val="it-IT"/>
        </w:rPr>
        <w:t>://www.ema.europa.eu</w:t>
      </w:r>
      <w:ins w:id="2953" w:author="Author">
        <w:r>
          <w:rPr>
            <w:noProof/>
            <w:lang w:val="it-IT"/>
          </w:rPr>
          <w:fldChar w:fldCharType="end"/>
        </w:r>
      </w:ins>
      <w:r>
        <w:rPr>
          <w:noProof/>
          <w:lang w:val="it-IT"/>
        </w:rPr>
        <w:t>.</w:t>
      </w:r>
    </w:p>
    <w:bookmarkEnd w:id="2941"/>
    <w:bookmarkEnd w:id="2942"/>
    <w:bookmarkEnd w:id="2943"/>
    <w:bookmarkEnd w:id="2944"/>
    <w:bookmarkEnd w:id="2945"/>
    <w:p>
      <w:pPr>
        <w:tabs>
          <w:tab w:val="left" w:pos="180"/>
        </w:tabs>
        <w:rPr>
          <w:b/>
          <w:noProof/>
          <w:lang w:val="it-IT"/>
        </w:rPr>
      </w:pPr>
    </w:p>
    <w:p>
      <w:pPr>
        <w:tabs>
          <w:tab w:val="left" w:pos="180"/>
        </w:tabs>
        <w:ind w:left="567" w:hanging="567"/>
        <w:rPr>
          <w:noProof/>
          <w:lang w:val="it-IT"/>
        </w:rPr>
      </w:pPr>
      <w:r>
        <w:rPr>
          <w:noProof/>
          <w:lang w:val="it-IT"/>
        </w:rPr>
        <w:br w:type="page"/>
      </w:r>
      <w:r>
        <w:rPr>
          <w:b/>
          <w:noProof/>
          <w:lang w:val="it-IT"/>
        </w:rPr>
        <w:lastRenderedPageBreak/>
        <w:t>1.</w:t>
      </w:r>
      <w:r>
        <w:rPr>
          <w:b/>
          <w:noProof/>
          <w:lang w:val="it-IT"/>
        </w:rPr>
        <w:tab/>
      </w:r>
      <w:r>
        <w:rPr>
          <w:noProof/>
          <w:lang w:val="it-IT"/>
        </w:rPr>
        <w:tab/>
      </w:r>
      <w:r>
        <w:rPr>
          <w:b/>
          <w:noProof/>
          <w:lang w:val="it-IT"/>
        </w:rPr>
        <w:t>DENOMINAZIONE DEL MEDICINALE</w:t>
      </w:r>
    </w:p>
    <w:p>
      <w:pPr>
        <w:tabs>
          <w:tab w:val="left" w:pos="180"/>
        </w:tabs>
        <w:rPr>
          <w:iCs/>
          <w:noProof/>
          <w:lang w:val="it-IT"/>
        </w:rPr>
      </w:pPr>
    </w:p>
    <w:p>
      <w:pPr>
        <w:tabs>
          <w:tab w:val="left" w:pos="180"/>
        </w:tabs>
        <w:rPr>
          <w:iCs/>
          <w:noProof/>
          <w:lang w:val="it-IT"/>
        </w:rPr>
      </w:pPr>
      <w:r>
        <w:rPr>
          <w:iCs/>
          <w:noProof/>
          <w:lang w:val="it-IT"/>
        </w:rPr>
        <w:t>RoActemra 162 mg soluzione iniettabile in siringa preriempita.</w:t>
      </w:r>
    </w:p>
    <w:p>
      <w:pPr>
        <w:widowControl w:val="0"/>
        <w:tabs>
          <w:tab w:val="left" w:pos="180"/>
        </w:tabs>
        <w:rPr>
          <w:bCs/>
          <w:noProof/>
          <w:lang w:val="it-IT"/>
        </w:rPr>
      </w:pPr>
    </w:p>
    <w:p>
      <w:pPr>
        <w:widowControl w:val="0"/>
        <w:tabs>
          <w:tab w:val="left" w:pos="180"/>
        </w:tabs>
        <w:rPr>
          <w:bCs/>
          <w:noProof/>
          <w:lang w:val="it-IT"/>
        </w:rPr>
      </w:pPr>
    </w:p>
    <w:p>
      <w:pPr>
        <w:widowControl w:val="0"/>
        <w:tabs>
          <w:tab w:val="left" w:pos="180"/>
        </w:tabs>
        <w:ind w:left="567" w:hanging="567"/>
        <w:rPr>
          <w:noProof/>
          <w:lang w:val="it-IT"/>
        </w:rPr>
      </w:pPr>
      <w:r>
        <w:rPr>
          <w:b/>
          <w:noProof/>
          <w:lang w:val="it-IT"/>
        </w:rPr>
        <w:t>2.</w:t>
      </w:r>
      <w:r>
        <w:rPr>
          <w:noProof/>
          <w:lang w:val="it-IT"/>
        </w:rPr>
        <w:tab/>
      </w:r>
      <w:r>
        <w:rPr>
          <w:noProof/>
          <w:lang w:val="it-IT"/>
        </w:rPr>
        <w:tab/>
      </w:r>
      <w:r>
        <w:rPr>
          <w:b/>
          <w:noProof/>
          <w:lang w:val="it-IT"/>
        </w:rPr>
        <w:t>COMPOSIZIONE QUALITATIVA E QUANTITATIVA</w:t>
      </w:r>
    </w:p>
    <w:p>
      <w:pPr>
        <w:tabs>
          <w:tab w:val="left" w:pos="180"/>
        </w:tabs>
        <w:rPr>
          <w:noProof/>
          <w:lang w:val="it-IT"/>
        </w:rPr>
      </w:pPr>
    </w:p>
    <w:p>
      <w:pPr>
        <w:tabs>
          <w:tab w:val="left" w:pos="180"/>
        </w:tabs>
        <w:rPr>
          <w:noProof/>
          <w:lang w:val="it-IT"/>
        </w:rPr>
      </w:pPr>
      <w:r>
        <w:rPr>
          <w:noProof/>
          <w:lang w:val="it-IT"/>
        </w:rPr>
        <w:t>Ciascuna siringa preriempita contiene 162 mg di tocilizumab in 0,9 mL.</w:t>
      </w:r>
    </w:p>
    <w:p>
      <w:pPr>
        <w:widowControl w:val="0"/>
        <w:tabs>
          <w:tab w:val="left" w:pos="180"/>
        </w:tabs>
        <w:ind w:left="567" w:hanging="567"/>
        <w:rPr>
          <w:b/>
          <w:bCs/>
          <w:noProof/>
          <w:szCs w:val="22"/>
          <w:lang w:val="it-IT"/>
        </w:rPr>
      </w:pPr>
    </w:p>
    <w:p>
      <w:pPr>
        <w:tabs>
          <w:tab w:val="left" w:pos="180"/>
        </w:tabs>
        <w:autoSpaceDE w:val="0"/>
        <w:autoSpaceDN w:val="0"/>
        <w:adjustRightInd w:val="0"/>
        <w:rPr>
          <w:noProof/>
          <w:szCs w:val="22"/>
          <w:lang w:val="it-IT"/>
        </w:rPr>
      </w:pPr>
      <w:r>
        <w:rPr>
          <w:noProof/>
          <w:szCs w:val="22"/>
          <w:lang w:val="it-IT"/>
        </w:rPr>
        <w:t xml:space="preserve">Tocilizumab è un anticorpo monoclonale umanizzato ricombinante, appartenente alla sottoclasse di immunoglobuline G1 (IgG1) </w:t>
      </w:r>
    </w:p>
    <w:p>
      <w:pPr>
        <w:tabs>
          <w:tab w:val="left" w:pos="180"/>
        </w:tabs>
        <w:rPr>
          <w:noProof/>
          <w:lang w:val="it-IT"/>
        </w:rPr>
      </w:pPr>
    </w:p>
    <w:p>
      <w:pPr>
        <w:tabs>
          <w:tab w:val="left" w:pos="180"/>
        </w:tabs>
        <w:rPr>
          <w:noProof/>
          <w:u w:val="single"/>
          <w:lang w:val="it-IT"/>
          <w:rPrChange w:id="2954" w:author="Author">
            <w:rPr>
              <w:lang w:val="it-IT"/>
            </w:rPr>
          </w:rPrChange>
        </w:rPr>
      </w:pPr>
      <w:r>
        <w:rPr>
          <w:noProof/>
          <w:u w:val="single"/>
          <w:lang w:val="it-IT"/>
          <w:rPrChange w:id="2955" w:author="Author">
            <w:rPr>
              <w:lang w:val="it-IT"/>
            </w:rPr>
          </w:rPrChange>
        </w:rPr>
        <w:t>Eccipienti con effetto noto</w:t>
      </w:r>
    </w:p>
    <w:p>
      <w:pPr>
        <w:tabs>
          <w:tab w:val="left" w:pos="180"/>
        </w:tabs>
        <w:rPr>
          <w:noProof/>
          <w:lang w:val="it-IT"/>
        </w:rPr>
      </w:pPr>
      <w:r>
        <w:rPr>
          <w:noProof/>
          <w:lang w:val="it-IT"/>
        </w:rPr>
        <w:t>Ogni siringa da 162</w:t>
      </w:r>
      <w:ins w:id="2956" w:author="Author">
        <w:r>
          <w:rPr>
            <w:noProof/>
            <w:lang w:val="it-IT"/>
          </w:rPr>
          <w:t xml:space="preserve"> </w:t>
        </w:r>
      </w:ins>
      <w:r>
        <w:rPr>
          <w:noProof/>
          <w:lang w:val="it-IT"/>
        </w:rPr>
        <w:t>mg/0</w:t>
      </w:r>
      <w:ins w:id="2957" w:author="Author">
        <w:r>
          <w:rPr>
            <w:noProof/>
            <w:lang w:val="it-IT"/>
          </w:rPr>
          <w:t>,</w:t>
        </w:r>
      </w:ins>
      <w:del w:id="2958" w:author="Author">
        <w:r>
          <w:rPr>
            <w:noProof/>
            <w:lang w:val="it-IT"/>
          </w:rPr>
          <w:delText>.</w:delText>
        </w:r>
      </w:del>
      <w:r>
        <w:rPr>
          <w:noProof/>
          <w:lang w:val="it-IT"/>
        </w:rPr>
        <w:t>9</w:t>
      </w:r>
      <w:ins w:id="2959" w:author="Author">
        <w:r>
          <w:rPr>
            <w:noProof/>
            <w:lang w:val="it-IT"/>
          </w:rPr>
          <w:t xml:space="preserve"> </w:t>
        </w:r>
      </w:ins>
      <w:r>
        <w:rPr>
          <w:noProof/>
          <w:lang w:val="it-IT"/>
        </w:rPr>
        <w:t xml:space="preserve">mL </w:t>
      </w:r>
      <w:del w:id="2960" w:author="Author">
        <w:r>
          <w:rPr>
            <w:noProof/>
            <w:lang w:val="it-IT"/>
          </w:rPr>
          <w:delText xml:space="preserve">continete </w:delText>
        </w:r>
      </w:del>
      <w:ins w:id="2961" w:author="Author">
        <w:r>
          <w:rPr>
            <w:noProof/>
            <w:lang w:val="it-IT"/>
          </w:rPr>
          <w:t xml:space="preserve">contiene </w:t>
        </w:r>
      </w:ins>
      <w:r>
        <w:rPr>
          <w:noProof/>
          <w:lang w:val="it-IT"/>
        </w:rPr>
        <w:t>0</w:t>
      </w:r>
      <w:ins w:id="2962" w:author="Author">
        <w:r>
          <w:rPr>
            <w:noProof/>
            <w:lang w:val="it-IT"/>
          </w:rPr>
          <w:t>,</w:t>
        </w:r>
      </w:ins>
      <w:del w:id="2963" w:author="Author">
        <w:r>
          <w:rPr>
            <w:noProof/>
            <w:lang w:val="it-IT"/>
          </w:rPr>
          <w:delText>.</w:delText>
        </w:r>
      </w:del>
      <w:r>
        <w:rPr>
          <w:noProof/>
          <w:lang w:val="it-IT"/>
        </w:rPr>
        <w:t>18 mg (0,2</w:t>
      </w:r>
      <w:ins w:id="2964" w:author="Author">
        <w:r>
          <w:rPr>
            <w:noProof/>
            <w:lang w:val="it-IT"/>
          </w:rPr>
          <w:t xml:space="preserve"> </w:t>
        </w:r>
      </w:ins>
      <w:r>
        <w:rPr>
          <w:noProof/>
          <w:lang w:val="it-IT"/>
        </w:rPr>
        <w:t>mg/dL) di polisorbato 80.</w:t>
      </w:r>
    </w:p>
    <w:p>
      <w:pPr>
        <w:tabs>
          <w:tab w:val="left" w:pos="180"/>
        </w:tabs>
        <w:rPr>
          <w:noProof/>
          <w:lang w:val="it-IT"/>
        </w:rPr>
      </w:pPr>
    </w:p>
    <w:p>
      <w:pPr>
        <w:tabs>
          <w:tab w:val="left" w:pos="180"/>
        </w:tabs>
        <w:rPr>
          <w:noProof/>
          <w:lang w:val="it-IT"/>
        </w:rPr>
      </w:pPr>
      <w:r>
        <w:rPr>
          <w:noProof/>
          <w:lang w:val="it-IT"/>
        </w:rPr>
        <w:t>Per l’elenco completo degli eccipienti, vedere paragrafo 6.1.</w:t>
      </w:r>
    </w:p>
    <w:p>
      <w:pPr>
        <w:tabs>
          <w:tab w:val="left" w:pos="180"/>
        </w:tabs>
        <w:rPr>
          <w:noProof/>
          <w:lang w:val="it-IT"/>
        </w:rPr>
      </w:pPr>
    </w:p>
    <w:p>
      <w:pPr>
        <w:tabs>
          <w:tab w:val="left" w:pos="180"/>
        </w:tabs>
        <w:rPr>
          <w:noProof/>
          <w:lang w:val="it-IT"/>
        </w:rPr>
      </w:pPr>
    </w:p>
    <w:p>
      <w:pPr>
        <w:tabs>
          <w:tab w:val="left" w:pos="180"/>
        </w:tabs>
        <w:ind w:left="567" w:hanging="567"/>
        <w:rPr>
          <w:caps/>
          <w:noProof/>
          <w:lang w:val="it-IT"/>
        </w:rPr>
      </w:pPr>
      <w:r>
        <w:rPr>
          <w:b/>
          <w:noProof/>
          <w:lang w:val="it-IT"/>
        </w:rPr>
        <w:t>3.</w:t>
      </w:r>
      <w:r>
        <w:rPr>
          <w:noProof/>
          <w:lang w:val="it-IT"/>
        </w:rPr>
        <w:tab/>
      </w:r>
      <w:r>
        <w:rPr>
          <w:noProof/>
          <w:lang w:val="it-IT"/>
        </w:rPr>
        <w:tab/>
      </w:r>
      <w:r>
        <w:rPr>
          <w:b/>
          <w:noProof/>
          <w:lang w:val="it-IT"/>
        </w:rPr>
        <w:t>FORMA FARMACEUTICA</w:t>
      </w:r>
    </w:p>
    <w:p>
      <w:pPr>
        <w:tabs>
          <w:tab w:val="left" w:pos="180"/>
        </w:tabs>
        <w:rPr>
          <w:noProof/>
          <w:lang w:val="it-IT"/>
        </w:rPr>
      </w:pPr>
    </w:p>
    <w:p>
      <w:pPr>
        <w:tabs>
          <w:tab w:val="left" w:pos="180"/>
        </w:tabs>
        <w:rPr>
          <w:noProof/>
          <w:lang w:val="it-IT"/>
        </w:rPr>
      </w:pPr>
      <w:r>
        <w:rPr>
          <w:noProof/>
          <w:lang w:val="it-IT"/>
        </w:rPr>
        <w:t xml:space="preserve">Soluzione iniettabile. </w:t>
      </w:r>
    </w:p>
    <w:p>
      <w:pPr>
        <w:tabs>
          <w:tab w:val="left" w:pos="180"/>
        </w:tabs>
        <w:rPr>
          <w:noProof/>
          <w:lang w:val="it-IT"/>
        </w:rPr>
      </w:pPr>
    </w:p>
    <w:p>
      <w:pPr>
        <w:tabs>
          <w:tab w:val="left" w:pos="180"/>
        </w:tabs>
        <w:rPr>
          <w:noProof/>
          <w:szCs w:val="22"/>
          <w:lang w:val="it-IT"/>
        </w:rPr>
      </w:pPr>
      <w:r>
        <w:rPr>
          <w:noProof/>
          <w:lang w:val="it-IT"/>
        </w:rPr>
        <w:t>Soluzione da trasparente a leggermente giallastra con un pH di 5,5</w:t>
      </w:r>
      <w:ins w:id="2965" w:author="Author">
        <w:r>
          <w:rPr>
            <w:noProof/>
            <w:lang w:val="it-IT"/>
          </w:rPr>
          <w:t xml:space="preserve"> </w:t>
        </w:r>
      </w:ins>
      <w:r>
        <w:rPr>
          <w:noProof/>
          <w:lang w:val="it-IT"/>
        </w:rPr>
        <w:t>-</w:t>
      </w:r>
      <w:ins w:id="2966" w:author="Author">
        <w:r>
          <w:rPr>
            <w:noProof/>
            <w:lang w:val="it-IT"/>
          </w:rPr>
          <w:t xml:space="preserve"> </w:t>
        </w:r>
      </w:ins>
      <w:r>
        <w:rPr>
          <w:noProof/>
          <w:lang w:val="it-IT"/>
        </w:rPr>
        <w:t>6,5 e una osmolalità di 200</w:t>
      </w:r>
      <w:ins w:id="2967" w:author="Author">
        <w:r>
          <w:rPr>
            <w:noProof/>
            <w:lang w:val="it-IT"/>
          </w:rPr>
          <w:t xml:space="preserve"> </w:t>
        </w:r>
        <w:del w:id="2968" w:author="Author">
          <w:r>
            <w:rPr>
              <w:noProof/>
              <w:lang w:val="it-IT"/>
            </w:rPr>
            <w:delText xml:space="preserve"> </w:delText>
          </w:r>
        </w:del>
      </w:ins>
      <w:r>
        <w:rPr>
          <w:noProof/>
          <w:lang w:val="it-IT"/>
        </w:rPr>
        <w:t>-</w:t>
      </w:r>
      <w:ins w:id="2969" w:author="Author">
        <w:r>
          <w:rPr>
            <w:noProof/>
            <w:lang w:val="it-IT"/>
          </w:rPr>
          <w:t xml:space="preserve"> </w:t>
        </w:r>
      </w:ins>
      <w:r>
        <w:rPr>
          <w:noProof/>
          <w:lang w:val="it-IT"/>
        </w:rPr>
        <w:t>372 mOsm/kg.</w:t>
      </w:r>
    </w:p>
    <w:p>
      <w:pPr>
        <w:tabs>
          <w:tab w:val="left" w:pos="180"/>
        </w:tabs>
        <w:rPr>
          <w:noProof/>
          <w:lang w:val="it-IT"/>
        </w:rPr>
      </w:pPr>
    </w:p>
    <w:p>
      <w:pPr>
        <w:tabs>
          <w:tab w:val="left" w:pos="180"/>
        </w:tabs>
        <w:rPr>
          <w:noProof/>
          <w:lang w:val="it-IT"/>
        </w:rPr>
      </w:pPr>
    </w:p>
    <w:p>
      <w:pPr>
        <w:tabs>
          <w:tab w:val="left" w:pos="180"/>
        </w:tabs>
        <w:ind w:left="567" w:hanging="567"/>
        <w:rPr>
          <w:caps/>
          <w:noProof/>
          <w:lang w:val="it-IT"/>
        </w:rPr>
      </w:pPr>
      <w:r>
        <w:rPr>
          <w:b/>
          <w:caps/>
          <w:noProof/>
          <w:lang w:val="it-IT"/>
        </w:rPr>
        <w:t>4.</w:t>
      </w:r>
      <w:r>
        <w:rPr>
          <w:noProof/>
          <w:lang w:val="it-IT"/>
        </w:rPr>
        <w:tab/>
      </w:r>
      <w:r>
        <w:rPr>
          <w:noProof/>
          <w:lang w:val="it-IT"/>
        </w:rPr>
        <w:tab/>
      </w:r>
      <w:r>
        <w:rPr>
          <w:b/>
          <w:caps/>
          <w:noProof/>
          <w:lang w:val="it-IT"/>
        </w:rPr>
        <w:t>Informazioni cliniche</w:t>
      </w:r>
    </w:p>
    <w:p>
      <w:pPr>
        <w:tabs>
          <w:tab w:val="left" w:pos="180"/>
        </w:tabs>
        <w:rPr>
          <w:noProof/>
          <w:lang w:val="it-IT"/>
        </w:rPr>
      </w:pPr>
    </w:p>
    <w:p>
      <w:pPr>
        <w:tabs>
          <w:tab w:val="left" w:pos="180"/>
        </w:tabs>
        <w:ind w:left="567" w:hanging="567"/>
        <w:outlineLvl w:val="0"/>
        <w:rPr>
          <w:noProof/>
          <w:lang w:val="it-IT"/>
        </w:rPr>
      </w:pPr>
      <w:r>
        <w:rPr>
          <w:b/>
          <w:noProof/>
          <w:lang w:val="it-IT"/>
        </w:rPr>
        <w:t>4.1</w:t>
      </w:r>
      <w:r>
        <w:rPr>
          <w:noProof/>
          <w:lang w:val="it-IT"/>
        </w:rPr>
        <w:tab/>
      </w:r>
      <w:r>
        <w:rPr>
          <w:b/>
          <w:noProof/>
          <w:lang w:val="it-IT"/>
        </w:rPr>
        <w:t>Indicazioni terapeutiche</w:t>
      </w:r>
    </w:p>
    <w:p>
      <w:pPr>
        <w:tabs>
          <w:tab w:val="left" w:pos="180"/>
        </w:tabs>
        <w:rPr>
          <w:noProof/>
          <w:lang w:val="it-IT"/>
        </w:rPr>
      </w:pPr>
    </w:p>
    <w:p>
      <w:pPr>
        <w:tabs>
          <w:tab w:val="left" w:pos="180"/>
        </w:tabs>
        <w:rPr>
          <w:del w:id="2970" w:author="Author"/>
          <w:noProof/>
          <w:u w:val="single"/>
          <w:lang w:val="it-IT"/>
        </w:rPr>
      </w:pPr>
      <w:r>
        <w:rPr>
          <w:noProof/>
          <w:u w:val="single"/>
          <w:lang w:val="it-IT"/>
        </w:rPr>
        <w:t>Artrite reumatoide (AR)</w:t>
      </w:r>
    </w:p>
    <w:p>
      <w:pPr>
        <w:tabs>
          <w:tab w:val="left" w:pos="180"/>
        </w:tabs>
        <w:rPr>
          <w:noProof/>
          <w:lang w:val="it-IT"/>
        </w:rPr>
      </w:pPr>
    </w:p>
    <w:p>
      <w:pPr>
        <w:tabs>
          <w:tab w:val="left" w:pos="180"/>
        </w:tabs>
        <w:rPr>
          <w:noProof/>
          <w:lang w:val="it-IT"/>
        </w:rPr>
      </w:pPr>
      <w:r>
        <w:rPr>
          <w:noProof/>
          <w:lang w:val="it-IT"/>
        </w:rPr>
        <w:t>RoActemra in associazione con metotre</w:t>
      </w:r>
      <w:ins w:id="2971" w:author="Author">
        <w:r>
          <w:rPr>
            <w:noProof/>
            <w:lang w:val="it-IT"/>
          </w:rPr>
          <w:t>x</w:t>
        </w:r>
      </w:ins>
      <w:del w:id="2972" w:author="Author">
        <w:r>
          <w:rPr>
            <w:noProof/>
            <w:lang w:val="it-IT"/>
          </w:rPr>
          <w:delText>ss</w:delText>
        </w:r>
      </w:del>
      <w:r>
        <w:rPr>
          <w:noProof/>
          <w:lang w:val="it-IT"/>
        </w:rPr>
        <w:t xml:space="preserve">ato (MTX) è indicato per </w:t>
      </w:r>
    </w:p>
    <w:p>
      <w:pPr>
        <w:tabs>
          <w:tab w:val="left" w:pos="180"/>
        </w:tabs>
        <w:rPr>
          <w:noProof/>
          <w:lang w:val="it-IT"/>
        </w:rPr>
      </w:pPr>
    </w:p>
    <w:p>
      <w:pPr>
        <w:ind w:left="567" w:hanging="567"/>
        <w:rPr>
          <w:noProof/>
          <w:lang w:val="it-IT"/>
        </w:rPr>
        <w:pPrChange w:id="2973" w:author="Author">
          <w:pPr>
            <w:tabs>
              <w:tab w:val="left" w:pos="180"/>
            </w:tabs>
            <w:ind w:left="851" w:hanging="284"/>
          </w:pPr>
        </w:pPrChange>
      </w:pPr>
      <w:r>
        <w:rPr>
          <w:noProof/>
          <w:szCs w:val="22"/>
          <w:lang w:val="it-IT"/>
        </w:rPr>
        <w:sym w:font="Symbol" w:char="F0B7"/>
      </w:r>
      <w:r>
        <w:rPr>
          <w:noProof/>
          <w:szCs w:val="22"/>
          <w:lang w:val="it-IT"/>
        </w:rPr>
        <w:tab/>
      </w:r>
      <w:r>
        <w:rPr>
          <w:noProof/>
          <w:lang w:val="it-IT"/>
        </w:rPr>
        <w:t xml:space="preserve">il trattamento dell’AR </w:t>
      </w:r>
      <w:del w:id="2974" w:author="Author">
        <w:r>
          <w:rPr>
            <w:noProof/>
            <w:lang w:val="it-IT"/>
          </w:rPr>
          <w:delText>grave</w:delText>
        </w:r>
      </w:del>
      <w:ins w:id="2975" w:author="Author">
        <w:r>
          <w:rPr>
            <w:noProof/>
            <w:lang w:val="it-IT"/>
          </w:rPr>
          <w:t>severa</w:t>
        </w:r>
      </w:ins>
      <w:r>
        <w:rPr>
          <w:noProof/>
          <w:lang w:val="it-IT"/>
        </w:rPr>
        <w:t>, attiva e progressiva negli adulti non precedentemente trattati con MTX.</w:t>
      </w:r>
    </w:p>
    <w:p>
      <w:pPr>
        <w:ind w:left="567" w:hanging="567"/>
        <w:rPr>
          <w:noProof/>
          <w:lang w:val="it-IT"/>
        </w:rPr>
        <w:pPrChange w:id="2976" w:author="Author">
          <w:pPr>
            <w:tabs>
              <w:tab w:val="left" w:pos="180"/>
            </w:tabs>
            <w:ind w:left="851" w:hanging="284"/>
          </w:pPr>
        </w:pPrChange>
      </w:pPr>
      <w:r>
        <w:rPr>
          <w:noProof/>
          <w:szCs w:val="22"/>
          <w:lang w:val="it-IT"/>
        </w:rPr>
        <w:sym w:font="Symbol" w:char="F0B7"/>
      </w:r>
      <w:r>
        <w:rPr>
          <w:noProof/>
          <w:szCs w:val="22"/>
          <w:lang w:val="it-IT"/>
        </w:rPr>
        <w:tab/>
      </w:r>
      <w:r>
        <w:rPr>
          <w:noProof/>
          <w:lang w:val="it-IT"/>
        </w:rPr>
        <w:t xml:space="preserve">il trattamento dell’AR attiva da moderata a </w:t>
      </w:r>
      <w:del w:id="2977" w:author="Author">
        <w:r>
          <w:rPr>
            <w:noProof/>
            <w:lang w:val="it-IT"/>
          </w:rPr>
          <w:delText xml:space="preserve">grave </w:delText>
        </w:r>
      </w:del>
      <w:ins w:id="2978" w:author="Author">
        <w:r>
          <w:rPr>
            <w:noProof/>
            <w:lang w:val="it-IT"/>
          </w:rPr>
          <w:t xml:space="preserve">severa </w:t>
        </w:r>
      </w:ins>
      <w:r>
        <w:rPr>
          <w:noProof/>
          <w:lang w:val="it-IT"/>
        </w:rPr>
        <w:t xml:space="preserve">in pazienti adulti che non abbiano risposto adeguatamente o siano </w:t>
      </w:r>
      <w:ins w:id="2979" w:author="Author">
        <w:r>
          <w:rPr>
            <w:noProof/>
            <w:lang w:val="it-IT"/>
          </w:rPr>
          <w:t xml:space="preserve">risultati </w:t>
        </w:r>
      </w:ins>
      <w:r>
        <w:rPr>
          <w:noProof/>
          <w:lang w:val="it-IT"/>
        </w:rPr>
        <w:t>intolleranti a</w:t>
      </w:r>
      <w:ins w:id="2980" w:author="Author">
        <w:r>
          <w:rPr>
            <w:noProof/>
            <w:lang w:val="it-IT"/>
          </w:rPr>
          <w:t xml:space="preserve"> </w:t>
        </w:r>
        <w:del w:id="2981" w:author="Author">
          <w:r>
            <w:rPr>
              <w:noProof/>
              <w:lang w:val="it-IT"/>
            </w:rPr>
            <w:delText>una</w:delText>
          </w:r>
        </w:del>
      </w:ins>
      <w:del w:id="2982" w:author="Author">
        <w:r>
          <w:rPr>
            <w:noProof/>
            <w:lang w:val="it-IT"/>
          </w:rPr>
          <w:delText xml:space="preserve"> </w:delText>
        </w:r>
      </w:del>
      <w:r>
        <w:rPr>
          <w:noProof/>
          <w:lang w:val="it-IT"/>
        </w:rPr>
        <w:t>precedente terapia con uno o più farmaci antireumatici modificanti la malattia (DMARD) o antagonisti del fattore di necrosi tumorale (TNF).</w:t>
      </w:r>
    </w:p>
    <w:p>
      <w:pPr>
        <w:tabs>
          <w:tab w:val="left" w:pos="180"/>
        </w:tabs>
        <w:rPr>
          <w:noProof/>
          <w:lang w:val="it-IT"/>
        </w:rPr>
        <w:pPrChange w:id="2983" w:author="Author">
          <w:pPr>
            <w:tabs>
              <w:tab w:val="left" w:pos="180"/>
            </w:tabs>
            <w:ind w:left="851"/>
          </w:pPr>
        </w:pPrChange>
      </w:pPr>
    </w:p>
    <w:p>
      <w:pPr>
        <w:tabs>
          <w:tab w:val="left" w:pos="180"/>
        </w:tabs>
        <w:rPr>
          <w:noProof/>
          <w:lang w:val="it-IT"/>
        </w:rPr>
      </w:pPr>
      <w:r>
        <w:rPr>
          <w:noProof/>
          <w:lang w:val="it-IT"/>
        </w:rPr>
        <w:t xml:space="preserve">In questi pazienti RoActemra può essere somministrato in monoterapia in caso di intolleranza a MTX o quando sia inappropriato continuare un trattamento con MTX. </w:t>
      </w:r>
    </w:p>
    <w:p>
      <w:pPr>
        <w:tabs>
          <w:tab w:val="left" w:pos="180"/>
        </w:tabs>
        <w:rPr>
          <w:noProof/>
          <w:lang w:val="it-IT"/>
        </w:rPr>
      </w:pPr>
    </w:p>
    <w:p>
      <w:pPr>
        <w:tabs>
          <w:tab w:val="left" w:pos="180"/>
        </w:tabs>
        <w:rPr>
          <w:noProof/>
          <w:lang w:val="it-IT"/>
        </w:rPr>
      </w:pPr>
      <w:r>
        <w:rPr>
          <w:noProof/>
          <w:lang w:val="it-IT"/>
        </w:rPr>
        <w:t>RoActemra ha dimostrato di ridurre la percentuale di progressione del danno articolare, come valutato mediante raggi X, e di migliorare le funzioni fisiche quando somministrato in associazione con metotre</w:t>
      </w:r>
      <w:ins w:id="2984" w:author="Author">
        <w:r>
          <w:rPr>
            <w:noProof/>
            <w:lang w:val="it-IT"/>
          </w:rPr>
          <w:t>x</w:t>
        </w:r>
      </w:ins>
      <w:del w:id="2985" w:author="Author">
        <w:r>
          <w:rPr>
            <w:noProof/>
            <w:lang w:val="it-IT"/>
          </w:rPr>
          <w:delText>ss</w:delText>
        </w:r>
      </w:del>
      <w:r>
        <w:rPr>
          <w:noProof/>
          <w:lang w:val="it-IT"/>
        </w:rPr>
        <w:t>ato.</w:t>
      </w:r>
    </w:p>
    <w:p>
      <w:pPr>
        <w:tabs>
          <w:tab w:val="left" w:pos="180"/>
        </w:tabs>
        <w:rPr>
          <w:noProof/>
          <w:lang w:val="it-IT"/>
        </w:rPr>
      </w:pPr>
    </w:p>
    <w:p>
      <w:pPr>
        <w:keepNext/>
        <w:keepLines/>
        <w:tabs>
          <w:tab w:val="left" w:pos="180"/>
        </w:tabs>
        <w:rPr>
          <w:del w:id="2986" w:author="Author"/>
          <w:rFonts w:eastAsia="SimSun" w:cs="Arial"/>
          <w:noProof/>
          <w:u w:val="single"/>
          <w:lang w:val="it-IT" w:eastAsia="zh-CN" w:bidi="th-TH"/>
        </w:rPr>
        <w:pPrChange w:id="2987" w:author="Author">
          <w:pPr>
            <w:tabs>
              <w:tab w:val="left" w:pos="180"/>
            </w:tabs>
          </w:pPr>
        </w:pPrChange>
      </w:pPr>
      <w:r>
        <w:rPr>
          <w:rFonts w:eastAsia="SimSun" w:cs="Arial"/>
          <w:noProof/>
          <w:u w:val="single"/>
          <w:lang w:val="it-IT" w:eastAsia="zh-CN" w:bidi="th-TH"/>
        </w:rPr>
        <w:t>Artrite idiopatica giovanile sistemica (AIGs)</w:t>
      </w:r>
    </w:p>
    <w:p>
      <w:pPr>
        <w:keepNext/>
        <w:keepLines/>
        <w:tabs>
          <w:tab w:val="left" w:pos="180"/>
        </w:tabs>
        <w:rPr>
          <w:noProof/>
          <w:lang w:val="it-IT"/>
        </w:rPr>
        <w:pPrChange w:id="2988" w:author="Author">
          <w:pPr>
            <w:tabs>
              <w:tab w:val="left" w:pos="180"/>
            </w:tabs>
          </w:pPr>
        </w:pPrChange>
      </w:pPr>
    </w:p>
    <w:p>
      <w:pPr>
        <w:tabs>
          <w:tab w:val="left" w:pos="180"/>
        </w:tabs>
        <w:rPr>
          <w:noProof/>
          <w:lang w:val="it-IT"/>
        </w:rPr>
      </w:pPr>
      <w:r>
        <w:rPr>
          <w:rFonts w:eastAsia="SimSun" w:cs="Arial"/>
          <w:noProof/>
          <w:lang w:val="it-IT" w:eastAsia="zh-CN" w:bidi="th-TH"/>
        </w:rPr>
        <w:t xml:space="preserve">RoActemra è indicato per il trattamento dell’a AIGs attiva in pazienti di età uguale o superiore a 1 anno che non abbiano risposto adeguatamente a precedente terapia con farmaci anti-infiammatori non steroidei (FANS) e corticosteroidi sistemici. RoActemra può essere somministrato in monoterapia (in caso di intolleranza a MTX o quando il trattamento con MTX risulti inappropriato) o in </w:t>
      </w:r>
      <w:del w:id="2989" w:author="Author">
        <w:r>
          <w:rPr>
            <w:rFonts w:eastAsia="SimSun" w:cs="Arial"/>
            <w:noProof/>
            <w:lang w:val="it-IT" w:eastAsia="zh-CN" w:bidi="th-TH"/>
          </w:rPr>
          <w:delText xml:space="preserve">combinazione </w:delText>
        </w:r>
      </w:del>
      <w:ins w:id="2990" w:author="Author">
        <w:r>
          <w:rPr>
            <w:rFonts w:eastAsia="SimSun" w:cs="Arial"/>
            <w:noProof/>
            <w:lang w:val="it-IT" w:eastAsia="zh-CN" w:bidi="th-TH"/>
          </w:rPr>
          <w:t xml:space="preserve">associazione </w:t>
        </w:r>
      </w:ins>
      <w:r>
        <w:rPr>
          <w:rFonts w:eastAsia="SimSun" w:cs="Arial"/>
          <w:noProof/>
          <w:lang w:val="it-IT" w:eastAsia="zh-CN" w:bidi="th-TH"/>
        </w:rPr>
        <w:t>con MTX.</w:t>
      </w:r>
    </w:p>
    <w:p>
      <w:pPr>
        <w:tabs>
          <w:tab w:val="left" w:pos="180"/>
        </w:tabs>
        <w:rPr>
          <w:rFonts w:eastAsia="SimSun" w:cs="Arial"/>
          <w:noProof/>
          <w:lang w:val="it-IT" w:eastAsia="zh-CN" w:bidi="th-TH"/>
        </w:rPr>
      </w:pPr>
    </w:p>
    <w:p>
      <w:pPr>
        <w:keepNext/>
        <w:tabs>
          <w:tab w:val="left" w:pos="180"/>
        </w:tabs>
        <w:rPr>
          <w:del w:id="2991" w:author="Author"/>
          <w:rFonts w:eastAsia="SimSun" w:cs="Arial"/>
          <w:noProof/>
          <w:u w:val="single"/>
          <w:lang w:val="it-IT" w:eastAsia="zh-CN" w:bidi="th-TH"/>
        </w:rPr>
      </w:pPr>
      <w:r>
        <w:rPr>
          <w:rFonts w:eastAsia="SimSun" w:cs="Arial"/>
          <w:noProof/>
          <w:u w:val="single"/>
          <w:lang w:val="it-IT" w:eastAsia="zh-CN" w:bidi="th-TH"/>
        </w:rPr>
        <w:t xml:space="preserve">Poliartrite idiopatica giovanile </w:t>
      </w:r>
      <w:r>
        <w:rPr>
          <w:rFonts w:eastAsia="SimSun"/>
          <w:noProof/>
          <w:u w:val="single"/>
          <w:lang w:val="it-IT"/>
        </w:rPr>
        <w:t>(</w:t>
      </w:r>
      <w:r>
        <w:rPr>
          <w:rFonts w:eastAsia="SimSun" w:cs="Arial"/>
          <w:noProof/>
          <w:u w:val="single"/>
          <w:lang w:val="it-IT" w:eastAsia="zh-CN" w:bidi="th-TH"/>
        </w:rPr>
        <w:t>AIGp)</w:t>
      </w:r>
    </w:p>
    <w:p>
      <w:pPr>
        <w:keepNext/>
        <w:tabs>
          <w:tab w:val="left" w:pos="180"/>
        </w:tabs>
        <w:rPr>
          <w:rFonts w:eastAsia="SimSun" w:cs="Arial"/>
          <w:noProof/>
          <w:lang w:val="it-IT" w:eastAsia="zh-CN" w:bidi="th-TH"/>
        </w:rPr>
      </w:pPr>
    </w:p>
    <w:p>
      <w:pPr>
        <w:keepNext/>
        <w:tabs>
          <w:tab w:val="left" w:pos="180"/>
        </w:tabs>
        <w:rPr>
          <w:rFonts w:eastAsia="SimSun" w:cs="Arial"/>
          <w:noProof/>
          <w:lang w:val="it-IT" w:eastAsia="zh-CN" w:bidi="th-TH"/>
        </w:rPr>
      </w:pPr>
      <w:r>
        <w:rPr>
          <w:rFonts w:eastAsia="SimSun" w:cs="Arial"/>
          <w:noProof/>
          <w:lang w:val="it-IT" w:eastAsia="zh-CN" w:bidi="th-TH"/>
        </w:rPr>
        <w:t xml:space="preserve">RoActemra in </w:t>
      </w:r>
      <w:del w:id="2992" w:author="Author">
        <w:r>
          <w:rPr>
            <w:rFonts w:eastAsia="SimSun" w:cs="Arial"/>
            <w:noProof/>
            <w:lang w:val="it-IT" w:eastAsia="zh-CN" w:bidi="th-TH"/>
          </w:rPr>
          <w:delText xml:space="preserve">combinazione </w:delText>
        </w:r>
      </w:del>
      <w:ins w:id="2993" w:author="Author">
        <w:r>
          <w:rPr>
            <w:rFonts w:eastAsia="SimSun" w:cs="Arial"/>
            <w:noProof/>
            <w:lang w:val="it-IT" w:eastAsia="zh-CN" w:bidi="th-TH"/>
          </w:rPr>
          <w:t xml:space="preserve">associazione </w:t>
        </w:r>
      </w:ins>
      <w:r>
        <w:rPr>
          <w:rFonts w:eastAsia="SimSun" w:cs="Arial"/>
          <w:noProof/>
          <w:lang w:val="it-IT" w:eastAsia="zh-CN" w:bidi="th-TH"/>
        </w:rPr>
        <w:t xml:space="preserve">con MTX è indicato per il trattamento della AIGp (fattore reumatoide positivo o negativo e oligoartrite estesa) in pazienti di età uguale o superiore ai 2 anni, che non </w:t>
      </w:r>
      <w:r>
        <w:rPr>
          <w:rFonts w:eastAsia="SimSun" w:cs="Arial"/>
          <w:noProof/>
          <w:lang w:val="it-IT" w:eastAsia="zh-CN" w:bidi="th-TH"/>
        </w:rPr>
        <w:lastRenderedPageBreak/>
        <w:t>abbiano risposto adeguatamente a precedente terapia con MTX. RoActemra può essere somministrato in monoterapia in caso di intolleranza a MTX o quando sia inappropriato continuare un trattamento con MTX.</w:t>
      </w:r>
    </w:p>
    <w:p>
      <w:pPr>
        <w:tabs>
          <w:tab w:val="left" w:pos="180"/>
        </w:tabs>
        <w:rPr>
          <w:noProof/>
          <w:lang w:val="it-IT"/>
        </w:rPr>
        <w:pPrChange w:id="2994" w:author="Author">
          <w:pPr>
            <w:keepNext/>
            <w:tabs>
              <w:tab w:val="left" w:pos="180"/>
            </w:tabs>
          </w:pPr>
        </w:pPrChange>
      </w:pPr>
    </w:p>
    <w:p>
      <w:pPr>
        <w:tabs>
          <w:tab w:val="left" w:pos="180"/>
        </w:tabs>
        <w:rPr>
          <w:rFonts w:eastAsia="SimSun"/>
          <w:noProof/>
          <w:szCs w:val="22"/>
          <w:u w:val="single"/>
          <w:lang w:val="it-IT" w:eastAsia="zh-CN" w:bidi="th-TH"/>
        </w:rPr>
      </w:pPr>
      <w:r>
        <w:rPr>
          <w:rFonts w:eastAsia="SimSun"/>
          <w:noProof/>
          <w:szCs w:val="22"/>
          <w:u w:val="single"/>
          <w:lang w:val="it-IT" w:eastAsia="zh-CN" w:bidi="th-TH"/>
        </w:rPr>
        <w:t>Arterite a cellule giganti (ACG)</w:t>
      </w:r>
    </w:p>
    <w:p>
      <w:pPr>
        <w:tabs>
          <w:tab w:val="left" w:pos="180"/>
        </w:tabs>
        <w:rPr>
          <w:rFonts w:eastAsia="SimSun"/>
          <w:noProof/>
          <w:szCs w:val="22"/>
          <w:lang w:val="it-IT" w:eastAsia="zh-CN" w:bidi="th-TH"/>
        </w:rPr>
      </w:pPr>
      <w:r>
        <w:rPr>
          <w:rFonts w:eastAsia="SimSun"/>
          <w:noProof/>
          <w:szCs w:val="22"/>
          <w:lang w:val="it-IT" w:eastAsia="zh-CN" w:bidi="th-TH"/>
        </w:rPr>
        <w:t>RoActemra è indicato per il trattamento dell’ACG in pazienti adulti.</w:t>
      </w:r>
    </w:p>
    <w:p>
      <w:pPr>
        <w:tabs>
          <w:tab w:val="left" w:pos="180"/>
        </w:tabs>
        <w:rPr>
          <w:rFonts w:eastAsia="SimSun"/>
          <w:noProof/>
          <w:szCs w:val="22"/>
          <w:lang w:val="it-IT" w:eastAsia="zh-CN" w:bidi="th-TH"/>
        </w:rPr>
      </w:pPr>
    </w:p>
    <w:p>
      <w:pPr>
        <w:keepNext/>
        <w:tabs>
          <w:tab w:val="left" w:pos="180"/>
        </w:tabs>
        <w:ind w:left="567" w:hanging="567"/>
        <w:outlineLvl w:val="0"/>
        <w:rPr>
          <w:b/>
          <w:noProof/>
          <w:lang w:val="it-IT"/>
        </w:rPr>
      </w:pPr>
      <w:r>
        <w:rPr>
          <w:b/>
          <w:noProof/>
          <w:lang w:val="it-IT"/>
        </w:rPr>
        <w:t>4.2</w:t>
      </w:r>
      <w:r>
        <w:rPr>
          <w:noProof/>
          <w:lang w:val="it-IT"/>
        </w:rPr>
        <w:tab/>
      </w:r>
      <w:r>
        <w:rPr>
          <w:b/>
          <w:noProof/>
          <w:lang w:val="it-IT"/>
        </w:rPr>
        <w:t>Posologia e modo di somministrazione</w:t>
      </w:r>
    </w:p>
    <w:p>
      <w:pPr>
        <w:tabs>
          <w:tab w:val="left" w:pos="180"/>
        </w:tabs>
        <w:rPr>
          <w:b/>
          <w:noProof/>
          <w:lang w:val="it-IT"/>
        </w:rPr>
      </w:pPr>
    </w:p>
    <w:p>
      <w:pPr>
        <w:tabs>
          <w:tab w:val="left" w:pos="180"/>
        </w:tabs>
        <w:autoSpaceDE w:val="0"/>
        <w:autoSpaceDN w:val="0"/>
        <w:adjustRightInd w:val="0"/>
        <w:rPr>
          <w:noProof/>
          <w:szCs w:val="22"/>
          <w:lang w:val="it-IT"/>
        </w:rPr>
      </w:pPr>
      <w:r>
        <w:rPr>
          <w:noProof/>
          <w:lang w:val="it-IT"/>
        </w:rPr>
        <w:t>Tocilizumab in formulazione sottocutanea viene somministrato con l’ausilio di una siringa preriempita monouso dotata di dispositivo di sicurezza per l’ago (PFS</w:t>
      </w:r>
      <w:ins w:id="2995" w:author="Author">
        <w:r>
          <w:rPr>
            <w:noProof/>
            <w:lang w:val="it-IT"/>
          </w:rPr>
          <w:t xml:space="preserve"> </w:t>
        </w:r>
      </w:ins>
      <w:r>
        <w:rPr>
          <w:noProof/>
          <w:lang w:val="it-IT"/>
        </w:rPr>
        <w:t>+</w:t>
      </w:r>
      <w:ins w:id="2996" w:author="Author">
        <w:r>
          <w:rPr>
            <w:noProof/>
            <w:lang w:val="it-IT"/>
          </w:rPr>
          <w:t xml:space="preserve"> </w:t>
        </w:r>
      </w:ins>
      <w:r>
        <w:rPr>
          <w:noProof/>
          <w:lang w:val="it-IT"/>
        </w:rPr>
        <w:t>NSD). Il trattamento deve essere iniziato da operatori sanitari esperti nella diagnosi e nel trattamento dell’AR, dell’</w:t>
      </w:r>
      <w:r>
        <w:rPr>
          <w:rFonts w:eastAsia="SimSun" w:cs="Arial"/>
          <w:noProof/>
          <w:lang w:val="it-IT" w:eastAsia="zh-CN" w:bidi="th-TH"/>
        </w:rPr>
        <w:t>AIGs</w:t>
      </w:r>
      <w:r>
        <w:rPr>
          <w:noProof/>
          <w:lang w:val="it-IT"/>
        </w:rPr>
        <w:t>, dell’</w:t>
      </w:r>
      <w:r>
        <w:rPr>
          <w:rFonts w:eastAsia="SimSun" w:cs="Arial"/>
          <w:noProof/>
          <w:lang w:val="it-IT" w:eastAsia="zh-CN" w:bidi="th-TH"/>
        </w:rPr>
        <w:t>AIGp</w:t>
      </w:r>
      <w:r>
        <w:rPr>
          <w:noProof/>
          <w:lang w:val="it-IT"/>
        </w:rPr>
        <w:t xml:space="preserve"> e/o dell’ACG.</w:t>
      </w:r>
      <w:r>
        <w:rPr>
          <w:noProof/>
          <w:szCs w:val="22"/>
          <w:lang w:val="it-IT"/>
        </w:rPr>
        <w:t xml:space="preserve"> La prima iniezione deve essere praticata sotto la supervisione di un operatore sanitario qualificato. </w:t>
      </w:r>
      <w:r>
        <w:rPr>
          <w:noProof/>
          <w:lang w:val="it-IT"/>
        </w:rPr>
        <w:t xml:space="preserve">Questo medicinale può essere </w:t>
      </w:r>
      <w:del w:id="2997" w:author="Author">
        <w:r>
          <w:rPr>
            <w:noProof/>
            <w:lang w:val="it-IT"/>
          </w:rPr>
          <w:delText>auto</w:delText>
        </w:r>
      </w:del>
      <w:r>
        <w:rPr>
          <w:noProof/>
          <w:lang w:val="it-IT"/>
        </w:rPr>
        <w:t xml:space="preserve">iniettato dal paziente o somministrato dal </w:t>
      </w:r>
      <w:r>
        <w:rPr>
          <w:noProof/>
          <w:szCs w:val="22"/>
          <w:lang w:val="it-IT"/>
        </w:rPr>
        <w:t>genitore/tutore soltanto qualora il medico lo ritenga opportuno e laddove il paziente o il genitore/tutore acconsenta al follow-up medico necessario e sia stato istruito sulla corretta tecnica di iniezione.</w:t>
      </w:r>
    </w:p>
    <w:p>
      <w:pPr>
        <w:tabs>
          <w:tab w:val="left" w:pos="180"/>
        </w:tabs>
        <w:autoSpaceDE w:val="0"/>
        <w:autoSpaceDN w:val="0"/>
        <w:adjustRightInd w:val="0"/>
        <w:rPr>
          <w:noProof/>
          <w:szCs w:val="22"/>
          <w:lang w:val="it-IT"/>
        </w:rPr>
      </w:pPr>
    </w:p>
    <w:p>
      <w:pPr>
        <w:tabs>
          <w:tab w:val="left" w:pos="180"/>
        </w:tabs>
        <w:autoSpaceDE w:val="0"/>
        <w:autoSpaceDN w:val="0"/>
        <w:adjustRightInd w:val="0"/>
        <w:rPr>
          <w:bCs/>
          <w:noProof/>
          <w:lang w:val="it-IT"/>
        </w:rPr>
      </w:pPr>
      <w:r>
        <w:rPr>
          <w:bCs/>
          <w:noProof/>
          <w:lang w:val="it-IT"/>
        </w:rPr>
        <w:t xml:space="preserve">I pazienti che passano dalla terapia con </w:t>
      </w:r>
      <w:r>
        <w:rPr>
          <w:noProof/>
          <w:lang w:val="it-IT"/>
        </w:rPr>
        <w:t>tocilizumab in formulazione endovenosa</w:t>
      </w:r>
      <w:del w:id="2998" w:author="Author">
        <w:r>
          <w:rPr>
            <w:noProof/>
            <w:lang w:val="it-IT"/>
          </w:rPr>
          <w:delText xml:space="preserve"> </w:delText>
        </w:r>
      </w:del>
      <w:r>
        <w:rPr>
          <w:noProof/>
          <w:lang w:val="it-IT"/>
        </w:rPr>
        <w:t xml:space="preserve"> alla somministrazione sottocutanea</w:t>
      </w:r>
      <w:r>
        <w:rPr>
          <w:bCs/>
          <w:noProof/>
          <w:lang w:val="it-IT"/>
        </w:rPr>
        <w:t xml:space="preserve"> devono procedere alla somministrazione della prima dose sottocutanea al momento della successiva dose endovenosa programmata, sotto la supervisione di un operatore sanitario qualificato.</w:t>
      </w:r>
    </w:p>
    <w:p>
      <w:pPr>
        <w:tabs>
          <w:tab w:val="left" w:pos="180"/>
        </w:tabs>
        <w:autoSpaceDE w:val="0"/>
        <w:autoSpaceDN w:val="0"/>
        <w:adjustRightInd w:val="0"/>
        <w:rPr>
          <w:bCs/>
          <w:noProof/>
          <w:lang w:val="it-IT"/>
        </w:rPr>
      </w:pPr>
    </w:p>
    <w:p>
      <w:pPr>
        <w:tabs>
          <w:tab w:val="left" w:pos="180"/>
        </w:tabs>
        <w:autoSpaceDE w:val="0"/>
        <w:autoSpaceDN w:val="0"/>
        <w:adjustRightInd w:val="0"/>
        <w:rPr>
          <w:noProof/>
          <w:szCs w:val="22"/>
          <w:lang w:val="it-IT"/>
        </w:rPr>
      </w:pPr>
      <w:r>
        <w:rPr>
          <w:noProof/>
          <w:szCs w:val="22"/>
          <w:lang w:val="it-IT"/>
        </w:rPr>
        <w:t xml:space="preserve">A tutti i pazienti trattati con RoActemra deve essere consegnata la Scheda per il Paziente. </w:t>
      </w:r>
    </w:p>
    <w:p>
      <w:pPr>
        <w:tabs>
          <w:tab w:val="left" w:pos="180"/>
        </w:tabs>
        <w:autoSpaceDE w:val="0"/>
        <w:autoSpaceDN w:val="0"/>
        <w:adjustRightInd w:val="0"/>
        <w:rPr>
          <w:del w:id="2999" w:author="Author"/>
          <w:noProof/>
          <w:szCs w:val="22"/>
          <w:lang w:val="it-IT"/>
        </w:rPr>
      </w:pPr>
    </w:p>
    <w:p>
      <w:pPr>
        <w:tabs>
          <w:tab w:val="left" w:pos="180"/>
        </w:tabs>
        <w:autoSpaceDE w:val="0"/>
        <w:autoSpaceDN w:val="0"/>
        <w:adjustRightInd w:val="0"/>
        <w:rPr>
          <w:rFonts w:eastAsia="SimSun"/>
          <w:noProof/>
          <w:szCs w:val="22"/>
          <w:lang w:val="it-IT"/>
        </w:rPr>
      </w:pPr>
      <w:r>
        <w:rPr>
          <w:noProof/>
          <w:szCs w:val="22"/>
          <w:lang w:val="it-IT"/>
        </w:rPr>
        <w:t xml:space="preserve">Occorre valutare l’idoneità del paziente o del </w:t>
      </w:r>
      <w:ins w:id="3000" w:author="Author">
        <w:r>
          <w:rPr>
            <w:noProof/>
            <w:szCs w:val="22"/>
            <w:lang w:val="it-IT"/>
          </w:rPr>
          <w:t xml:space="preserve">rispettivo </w:t>
        </w:r>
      </w:ins>
      <w:r>
        <w:rPr>
          <w:noProof/>
          <w:szCs w:val="22"/>
          <w:lang w:val="it-IT"/>
        </w:rPr>
        <w:t xml:space="preserve">genitore/tutore all’uso sottocutaneo per il trattamento domiciliare e istruire i pazienti o il </w:t>
      </w:r>
      <w:ins w:id="3001" w:author="Author">
        <w:r>
          <w:rPr>
            <w:noProof/>
            <w:szCs w:val="22"/>
            <w:lang w:val="it-IT"/>
          </w:rPr>
          <w:t xml:space="preserve">rispettivo </w:t>
        </w:r>
      </w:ins>
      <w:r>
        <w:rPr>
          <w:noProof/>
          <w:szCs w:val="22"/>
          <w:lang w:val="it-IT"/>
        </w:rPr>
        <w:t>genitore/tutore a riferire a un operatore sanitario prima della somministrazione della dose successiva la comparsa di eventuali sintomi indicativi di una reazione allergica. I pazienti devono rivolgersi immediatamente al medico se sviluppano sintomi di reazioni allergiche gravi (vedere paragrafo 4.4).</w:t>
      </w:r>
    </w:p>
    <w:p>
      <w:pPr>
        <w:tabs>
          <w:tab w:val="left" w:pos="180"/>
        </w:tabs>
        <w:autoSpaceDE w:val="0"/>
        <w:autoSpaceDN w:val="0"/>
        <w:adjustRightInd w:val="0"/>
        <w:rPr>
          <w:rFonts w:eastAsia="SimSun"/>
          <w:noProof/>
          <w:szCs w:val="22"/>
          <w:lang w:val="it-IT" w:eastAsia="zh-CN"/>
        </w:rPr>
      </w:pPr>
    </w:p>
    <w:p>
      <w:pPr>
        <w:autoSpaceDE w:val="0"/>
        <w:autoSpaceDN w:val="0"/>
        <w:adjustRightInd w:val="0"/>
        <w:rPr>
          <w:del w:id="3002" w:author="Author"/>
          <w:noProof/>
          <w:u w:val="single"/>
          <w:lang w:val="it-IT"/>
        </w:rPr>
      </w:pPr>
      <w:r>
        <w:rPr>
          <w:noProof/>
          <w:u w:val="single"/>
          <w:lang w:val="it-IT"/>
        </w:rPr>
        <w:t>Posologia</w:t>
      </w:r>
    </w:p>
    <w:p>
      <w:pPr>
        <w:autoSpaceDE w:val="0"/>
        <w:autoSpaceDN w:val="0"/>
        <w:adjustRightInd w:val="0"/>
        <w:rPr>
          <w:noProof/>
          <w:szCs w:val="22"/>
          <w:u w:val="single"/>
          <w:lang w:val="it-IT"/>
        </w:rPr>
      </w:pPr>
    </w:p>
    <w:p>
      <w:pPr>
        <w:tabs>
          <w:tab w:val="left" w:pos="180"/>
        </w:tabs>
        <w:autoSpaceDE w:val="0"/>
        <w:autoSpaceDN w:val="0"/>
        <w:adjustRightInd w:val="0"/>
        <w:rPr>
          <w:del w:id="3003" w:author="Author"/>
          <w:i/>
          <w:iCs/>
          <w:noProof/>
          <w:szCs w:val="22"/>
          <w:lang w:val="it-IT"/>
        </w:rPr>
      </w:pPr>
      <w:ins w:id="3004" w:author="Author">
        <w:r>
          <w:rPr>
            <w:i/>
            <w:iCs/>
            <w:noProof/>
            <w:szCs w:val="22"/>
            <w:lang w:val="it-IT"/>
          </w:rPr>
          <w:t xml:space="preserve">Pazienti affetti da </w:t>
        </w:r>
      </w:ins>
      <w:r>
        <w:rPr>
          <w:i/>
          <w:iCs/>
          <w:noProof/>
          <w:szCs w:val="22"/>
          <w:lang w:val="it-IT"/>
        </w:rPr>
        <w:t>AR</w:t>
      </w:r>
    </w:p>
    <w:p>
      <w:pPr>
        <w:tabs>
          <w:tab w:val="left" w:pos="180"/>
        </w:tabs>
        <w:autoSpaceDE w:val="0"/>
        <w:autoSpaceDN w:val="0"/>
        <w:adjustRightInd w:val="0"/>
        <w:rPr>
          <w:i/>
          <w:iCs/>
          <w:noProof/>
          <w:lang w:val="it-IT"/>
        </w:rPr>
      </w:pPr>
    </w:p>
    <w:p>
      <w:pPr>
        <w:tabs>
          <w:tab w:val="left" w:pos="180"/>
        </w:tabs>
        <w:autoSpaceDE w:val="0"/>
        <w:autoSpaceDN w:val="0"/>
        <w:adjustRightInd w:val="0"/>
        <w:rPr>
          <w:noProof/>
          <w:szCs w:val="22"/>
          <w:lang w:val="it-IT"/>
        </w:rPr>
      </w:pPr>
      <w:r>
        <w:rPr>
          <w:noProof/>
          <w:szCs w:val="22"/>
          <w:lang w:val="it-IT"/>
        </w:rPr>
        <w:t>La posologia raccomandata è di 162 mg per via sottocutanea una volta a</w:t>
      </w:r>
      <w:del w:id="3005" w:author="Author">
        <w:r>
          <w:rPr>
            <w:noProof/>
            <w:szCs w:val="22"/>
            <w:lang w:val="it-IT"/>
          </w:rPr>
          <w:delText>lla</w:delText>
        </w:r>
      </w:del>
      <w:r>
        <w:rPr>
          <w:noProof/>
          <w:szCs w:val="22"/>
          <w:lang w:val="it-IT"/>
        </w:rPr>
        <w:t xml:space="preserve"> settimana.</w:t>
      </w:r>
    </w:p>
    <w:p>
      <w:pPr>
        <w:tabs>
          <w:tab w:val="left" w:pos="180"/>
        </w:tabs>
        <w:autoSpaceDE w:val="0"/>
        <w:autoSpaceDN w:val="0"/>
        <w:adjustRightInd w:val="0"/>
        <w:rPr>
          <w:noProof/>
          <w:lang w:val="it-IT"/>
        </w:rPr>
      </w:pPr>
    </w:p>
    <w:p>
      <w:pPr>
        <w:tabs>
          <w:tab w:val="left" w:pos="180"/>
        </w:tabs>
        <w:autoSpaceDE w:val="0"/>
        <w:autoSpaceDN w:val="0"/>
        <w:adjustRightInd w:val="0"/>
        <w:rPr>
          <w:noProof/>
          <w:lang w:val="it-IT"/>
        </w:rPr>
      </w:pPr>
      <w:r>
        <w:rPr>
          <w:noProof/>
          <w:lang w:val="it-IT"/>
        </w:rPr>
        <w:t>Sono disponibili informazioni limitate sul passaggio di un paziente dalla terapia con tocilizumab</w:t>
      </w:r>
      <w:del w:id="3006" w:author="Author">
        <w:r>
          <w:rPr>
            <w:noProof/>
            <w:lang w:val="it-IT"/>
          </w:rPr>
          <w:delText xml:space="preserve"> </w:delText>
        </w:r>
      </w:del>
      <w:r>
        <w:rPr>
          <w:noProof/>
          <w:lang w:val="it-IT"/>
        </w:rPr>
        <w:t xml:space="preserve"> formulazione endovenosa a tocilizumab formulazione sottocutanea a dose fissa. Deve essere rispettato l'intervallo di somministrazione di una volta a settimana.</w:t>
      </w:r>
    </w:p>
    <w:p>
      <w:pPr>
        <w:tabs>
          <w:tab w:val="left" w:pos="180"/>
        </w:tabs>
        <w:autoSpaceDE w:val="0"/>
        <w:autoSpaceDN w:val="0"/>
        <w:adjustRightInd w:val="0"/>
        <w:rPr>
          <w:noProof/>
          <w:lang w:val="it-IT"/>
        </w:rPr>
      </w:pPr>
    </w:p>
    <w:p>
      <w:pPr>
        <w:tabs>
          <w:tab w:val="left" w:pos="180"/>
        </w:tabs>
        <w:rPr>
          <w:bCs/>
          <w:noProof/>
          <w:lang w:val="it-IT"/>
        </w:rPr>
      </w:pPr>
      <w:r>
        <w:rPr>
          <w:bCs/>
          <w:noProof/>
          <w:lang w:val="it-IT"/>
        </w:rPr>
        <w:t>I pazienti che passano dalla formulazione endovenosa alla formulazione sottocutanea devono procedere alla somministrazione della prima dose sottocutanea al posto della successiva dose endovenosa programmata sotto la supervisione di un operatore sanitario qualificato.</w:t>
      </w:r>
    </w:p>
    <w:p>
      <w:pPr>
        <w:tabs>
          <w:tab w:val="left" w:pos="180"/>
        </w:tabs>
        <w:rPr>
          <w:bCs/>
          <w:noProof/>
          <w:lang w:val="it-IT"/>
        </w:rPr>
      </w:pPr>
    </w:p>
    <w:p>
      <w:pPr>
        <w:tabs>
          <w:tab w:val="left" w:pos="180"/>
        </w:tabs>
        <w:rPr>
          <w:bCs/>
          <w:i/>
          <w:iCs/>
          <w:noProof/>
          <w:lang w:val="it-IT"/>
          <w:rPrChange w:id="3007" w:author="Author">
            <w:rPr>
              <w:bCs/>
              <w:u w:val="single"/>
              <w:lang w:val="it-IT"/>
            </w:rPr>
          </w:rPrChange>
        </w:rPr>
      </w:pPr>
      <w:ins w:id="3008" w:author="Author">
        <w:r>
          <w:rPr>
            <w:bCs/>
            <w:i/>
            <w:iCs/>
            <w:noProof/>
            <w:lang w:val="it-IT"/>
            <w:rPrChange w:id="3009" w:author="Author">
              <w:rPr>
                <w:bCs/>
                <w:u w:val="single"/>
                <w:lang w:val="it-IT"/>
              </w:rPr>
            </w:rPrChange>
          </w:rPr>
          <w:t xml:space="preserve">Pazienti affetti da </w:t>
        </w:r>
      </w:ins>
      <w:r>
        <w:rPr>
          <w:bCs/>
          <w:i/>
          <w:iCs/>
          <w:noProof/>
          <w:lang w:val="it-IT"/>
          <w:rPrChange w:id="3010" w:author="Author">
            <w:rPr>
              <w:bCs/>
              <w:u w:val="single"/>
              <w:lang w:val="it-IT"/>
            </w:rPr>
          </w:rPrChange>
        </w:rPr>
        <w:t>ACG</w:t>
      </w:r>
    </w:p>
    <w:p>
      <w:pPr>
        <w:tabs>
          <w:tab w:val="left" w:pos="180"/>
        </w:tabs>
        <w:rPr>
          <w:noProof/>
          <w:lang w:val="it-IT"/>
        </w:rPr>
      </w:pPr>
      <w:r>
        <w:rPr>
          <w:bCs/>
          <w:noProof/>
          <w:lang w:val="it-IT"/>
        </w:rPr>
        <w:t>La posologia raccomandata è di 162 mg per via sottocutanea una volta a</w:t>
      </w:r>
      <w:del w:id="3011" w:author="Author">
        <w:r>
          <w:rPr>
            <w:bCs/>
            <w:noProof/>
            <w:lang w:val="it-IT"/>
          </w:rPr>
          <w:delText>lla</w:delText>
        </w:r>
      </w:del>
      <w:r>
        <w:rPr>
          <w:bCs/>
          <w:noProof/>
          <w:lang w:val="it-IT"/>
        </w:rPr>
        <w:t xml:space="preserve"> settimana in associazione a un ciclo di glucocorticoidi </w:t>
      </w:r>
      <w:ins w:id="3012" w:author="Author">
        <w:r>
          <w:rPr>
            <w:lang w:val="it-IT"/>
            <w:rPrChange w:id="3013" w:author="Author">
              <w:rPr/>
            </w:rPrChange>
          </w:rPr>
          <w:t>a dose progressivamente ridotta</w:t>
        </w:r>
      </w:ins>
      <w:del w:id="3014" w:author="Author">
        <w:r>
          <w:rPr>
            <w:bCs/>
            <w:noProof/>
            <w:lang w:val="it-IT"/>
          </w:rPr>
          <w:delText>con dosaggio a scalare</w:delText>
        </w:r>
      </w:del>
      <w:r>
        <w:rPr>
          <w:bCs/>
          <w:noProof/>
          <w:lang w:val="it-IT"/>
        </w:rPr>
        <w:t>. Questo medicinale può essere usato da solo dopo l’interruzione della terapia con glucocorticoidi.</w:t>
      </w:r>
    </w:p>
    <w:p>
      <w:pPr>
        <w:tabs>
          <w:tab w:val="left" w:pos="180"/>
        </w:tabs>
        <w:rPr>
          <w:noProof/>
          <w:lang w:val="it-IT"/>
        </w:rPr>
      </w:pPr>
      <w:r>
        <w:rPr>
          <w:noProof/>
          <w:lang w:val="it-IT"/>
        </w:rPr>
        <w:t>Tocilizumab in monoterapia non deve essere utilizzato per il trattamento di recidive acute (vedere paragrafo 4.4).</w:t>
      </w:r>
    </w:p>
    <w:p>
      <w:pPr>
        <w:autoSpaceDE w:val="0"/>
        <w:autoSpaceDN w:val="0"/>
        <w:adjustRightInd w:val="0"/>
        <w:rPr>
          <w:noProof/>
          <w:lang w:val="it-IT"/>
        </w:rPr>
      </w:pPr>
    </w:p>
    <w:p>
      <w:pPr>
        <w:autoSpaceDE w:val="0"/>
        <w:autoSpaceDN w:val="0"/>
        <w:adjustRightInd w:val="0"/>
        <w:rPr>
          <w:noProof/>
          <w:szCs w:val="22"/>
          <w:lang w:val="it-IT"/>
        </w:rPr>
      </w:pPr>
      <w:r>
        <w:rPr>
          <w:noProof/>
          <w:lang w:val="it-IT"/>
        </w:rPr>
        <w:t xml:space="preserve">In considerazione della natura cronica della ACG, il trattamento oltre le 52 settimane deve essere guidato dall’attività della malattia, </w:t>
      </w:r>
      <w:del w:id="3015" w:author="Author">
        <w:r>
          <w:rPr>
            <w:noProof/>
            <w:lang w:val="it-IT"/>
          </w:rPr>
          <w:delText>dalla discrezione</w:delText>
        </w:r>
      </w:del>
      <w:ins w:id="3016" w:author="Author">
        <w:r>
          <w:rPr>
            <w:noProof/>
            <w:lang w:val="it-IT"/>
          </w:rPr>
          <w:t>dal giudizio</w:t>
        </w:r>
      </w:ins>
      <w:r>
        <w:rPr>
          <w:noProof/>
          <w:lang w:val="it-IT"/>
        </w:rPr>
        <w:t xml:space="preserve"> del medico e </w:t>
      </w:r>
      <w:del w:id="3017" w:author="Author">
        <w:r>
          <w:rPr>
            <w:noProof/>
            <w:lang w:val="it-IT"/>
          </w:rPr>
          <w:delText xml:space="preserve">dall’opinione </w:delText>
        </w:r>
      </w:del>
      <w:ins w:id="3018" w:author="Author">
        <w:r>
          <w:rPr>
            <w:noProof/>
            <w:lang w:val="it-IT"/>
          </w:rPr>
          <w:t xml:space="preserve">dalla scelta </w:t>
        </w:r>
      </w:ins>
      <w:r>
        <w:rPr>
          <w:noProof/>
          <w:lang w:val="it-IT"/>
        </w:rPr>
        <w:t>del paziente.</w:t>
      </w:r>
    </w:p>
    <w:p>
      <w:pPr>
        <w:rPr>
          <w:noProof/>
          <w:szCs w:val="22"/>
          <w:lang w:val="it-IT"/>
        </w:rPr>
      </w:pPr>
    </w:p>
    <w:p>
      <w:pPr>
        <w:keepNext/>
        <w:keepLines/>
        <w:tabs>
          <w:tab w:val="left" w:pos="180"/>
        </w:tabs>
        <w:rPr>
          <w:bCs/>
          <w:noProof/>
          <w:u w:val="single"/>
          <w:lang w:val="it-IT"/>
        </w:rPr>
      </w:pPr>
      <w:r>
        <w:rPr>
          <w:noProof/>
          <w:szCs w:val="22"/>
          <w:u w:val="single"/>
          <w:lang w:val="it-IT"/>
        </w:rPr>
        <w:lastRenderedPageBreak/>
        <w:t>Pazienti affetti da AR e ACG</w:t>
      </w:r>
    </w:p>
    <w:p>
      <w:pPr>
        <w:keepNext/>
        <w:keepLines/>
        <w:tabs>
          <w:tab w:val="left" w:pos="180"/>
        </w:tabs>
        <w:ind w:left="567" w:hanging="567"/>
        <w:rPr>
          <w:bCs/>
          <w:i/>
          <w:iCs/>
          <w:noProof/>
          <w:u w:val="single"/>
          <w:lang w:val="it-IT"/>
        </w:rPr>
      </w:pPr>
      <w:del w:id="3019" w:author="Author">
        <w:r>
          <w:rPr>
            <w:bCs/>
            <w:i/>
            <w:iCs/>
            <w:noProof/>
            <w:u w:val="single"/>
            <w:lang w:val="it-IT"/>
          </w:rPr>
          <w:delText xml:space="preserve">Correzioni </w:delText>
        </w:r>
      </w:del>
      <w:ins w:id="3020" w:author="Author">
        <w:r>
          <w:rPr>
            <w:bCs/>
            <w:i/>
            <w:iCs/>
            <w:noProof/>
            <w:u w:val="single"/>
            <w:lang w:val="it-IT"/>
          </w:rPr>
          <w:t xml:space="preserve">Aggiustamenti </w:t>
        </w:r>
      </w:ins>
      <w:r>
        <w:rPr>
          <w:bCs/>
          <w:i/>
          <w:iCs/>
          <w:noProof/>
          <w:u w:val="single"/>
          <w:lang w:val="it-IT"/>
        </w:rPr>
        <w:t>della dose dovut</w:t>
      </w:r>
      <w:ins w:id="3021" w:author="Author">
        <w:r>
          <w:rPr>
            <w:bCs/>
            <w:i/>
            <w:iCs/>
            <w:noProof/>
            <w:u w:val="single"/>
            <w:lang w:val="it-IT"/>
          </w:rPr>
          <w:t>i</w:t>
        </w:r>
      </w:ins>
      <w:del w:id="3022" w:author="Author">
        <w:r>
          <w:rPr>
            <w:bCs/>
            <w:i/>
            <w:iCs/>
            <w:noProof/>
            <w:u w:val="single"/>
            <w:lang w:val="it-IT"/>
          </w:rPr>
          <w:delText>e</w:delText>
        </w:r>
      </w:del>
      <w:r>
        <w:rPr>
          <w:bCs/>
          <w:i/>
          <w:iCs/>
          <w:noProof/>
          <w:u w:val="single"/>
          <w:lang w:val="it-IT"/>
        </w:rPr>
        <w:t xml:space="preserve"> ad </w:t>
      </w:r>
      <w:del w:id="3023" w:author="Author">
        <w:r>
          <w:rPr>
            <w:bCs/>
            <w:i/>
            <w:iCs/>
            <w:noProof/>
            <w:u w:val="single"/>
            <w:lang w:val="it-IT"/>
          </w:rPr>
          <w:delText xml:space="preserve">anormalità </w:delText>
        </w:r>
      </w:del>
      <w:ins w:id="3024" w:author="Author">
        <w:r>
          <w:rPr>
            <w:bCs/>
            <w:i/>
            <w:iCs/>
            <w:noProof/>
            <w:u w:val="single"/>
            <w:lang w:val="it-IT"/>
          </w:rPr>
          <w:t xml:space="preserve">anomalie dei parametri </w:t>
        </w:r>
      </w:ins>
      <w:r>
        <w:rPr>
          <w:bCs/>
          <w:i/>
          <w:iCs/>
          <w:noProof/>
          <w:u w:val="single"/>
          <w:lang w:val="it-IT"/>
        </w:rPr>
        <w:t xml:space="preserve">di laboratorio (vedere paragrafo 4.4). </w:t>
      </w:r>
    </w:p>
    <w:p>
      <w:pPr>
        <w:keepNext/>
        <w:keepLines/>
        <w:tabs>
          <w:tab w:val="left" w:pos="180"/>
        </w:tabs>
        <w:ind w:left="567" w:hanging="567"/>
        <w:rPr>
          <w:bCs/>
          <w:noProof/>
          <w:u w:val="single"/>
          <w:lang w:val="it-IT"/>
        </w:rPr>
      </w:pPr>
    </w:p>
    <w:p>
      <w:pPr>
        <w:keepNext/>
        <w:keepLines/>
        <w:tabs>
          <w:tab w:val="left" w:pos="567"/>
        </w:tabs>
        <w:rPr>
          <w:noProof/>
          <w:lang w:val="it-IT"/>
        </w:rPr>
      </w:pPr>
      <w:r>
        <w:rPr>
          <w:noProof/>
          <w:lang w:val="it-IT"/>
        </w:rPr>
        <w:sym w:font="Symbol" w:char="F0B7"/>
      </w:r>
      <w:r>
        <w:rPr>
          <w:noProof/>
          <w:lang w:val="it-IT"/>
        </w:rPr>
        <w:tab/>
      </w:r>
      <w:del w:id="3025" w:author="Author">
        <w:r>
          <w:rPr>
            <w:noProof/>
            <w:szCs w:val="22"/>
            <w:lang w:val="it-IT"/>
          </w:rPr>
          <w:delText xml:space="preserve">Anormalità </w:delText>
        </w:r>
      </w:del>
      <w:ins w:id="3026" w:author="Author">
        <w:r>
          <w:rPr>
            <w:noProof/>
            <w:szCs w:val="22"/>
            <w:lang w:val="it-IT"/>
          </w:rPr>
          <w:t xml:space="preserve">Anomalie </w:t>
        </w:r>
      </w:ins>
      <w:r>
        <w:rPr>
          <w:noProof/>
          <w:szCs w:val="22"/>
          <w:lang w:val="it-IT"/>
        </w:rPr>
        <w:t>degli enzimi epatici</w:t>
      </w:r>
    </w:p>
    <w:p>
      <w:pPr>
        <w:keepNext/>
        <w:keepLines/>
        <w:tabs>
          <w:tab w:val="left" w:pos="180"/>
        </w:tabs>
        <w:rPr>
          <w:noProof/>
          <w:szCs w:val="22"/>
          <w:lang w:val="it-IT"/>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3027"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55"/>
        <w:gridCol w:w="6912"/>
        <w:tblGridChange w:id="3028">
          <w:tblGrid>
            <w:gridCol w:w="1901"/>
            <w:gridCol w:w="7160"/>
          </w:tblGrid>
        </w:tblGridChange>
      </w:tblGrid>
      <w:tr>
        <w:trPr>
          <w:cantSplit/>
        </w:trPr>
        <w:tc>
          <w:tcPr>
            <w:tcW w:w="2155" w:type="dxa"/>
            <w:tcPrChange w:id="3029" w:author="Author">
              <w:tcPr>
                <w:tcW w:w="2040" w:type="dxa"/>
              </w:tcPr>
            </w:tcPrChange>
          </w:tcPr>
          <w:p>
            <w:pPr>
              <w:pStyle w:val="TextTi12"/>
              <w:keepNext/>
              <w:tabs>
                <w:tab w:val="left" w:pos="180"/>
              </w:tabs>
              <w:suppressAutoHyphens/>
              <w:spacing w:after="0" w:line="240" w:lineRule="auto"/>
              <w:jc w:val="center"/>
              <w:rPr>
                <w:rFonts w:eastAsia="MS Mincho"/>
                <w:b/>
                <w:noProof/>
                <w:sz w:val="22"/>
                <w:szCs w:val="22"/>
                <w:lang w:val="it-IT"/>
                <w:rPrChange w:id="3030" w:author="Author">
                  <w:rPr>
                    <w:rFonts w:eastAsia="MS Mincho"/>
                    <w:noProof/>
                    <w:sz w:val="22"/>
                    <w:szCs w:val="22"/>
                    <w:lang w:val="it-IT"/>
                  </w:rPr>
                </w:rPrChange>
              </w:rPr>
              <w:pPrChange w:id="3031" w:author="Author">
                <w:pPr>
                  <w:pStyle w:val="TextTi12"/>
                  <w:keepNext/>
                  <w:keepLines/>
                  <w:tabs>
                    <w:tab w:val="left" w:pos="180"/>
                  </w:tabs>
                  <w:jc w:val="center"/>
                </w:pPr>
              </w:pPrChange>
            </w:pPr>
            <w:r>
              <w:rPr>
                <w:b/>
                <w:noProof/>
                <w:sz w:val="22"/>
                <w:szCs w:val="22"/>
                <w:lang w:val="it-IT"/>
                <w:rPrChange w:id="3032" w:author="Author">
                  <w:rPr>
                    <w:noProof/>
                    <w:sz w:val="22"/>
                    <w:szCs w:val="22"/>
                    <w:lang w:val="it-IT"/>
                  </w:rPr>
                </w:rPrChange>
              </w:rPr>
              <w:t>Valori di laboratorio</w:t>
            </w:r>
          </w:p>
        </w:tc>
        <w:tc>
          <w:tcPr>
            <w:tcW w:w="6912" w:type="dxa"/>
            <w:tcPrChange w:id="3033" w:author="Author">
              <w:tcPr>
                <w:tcW w:w="8040" w:type="dxa"/>
              </w:tcPr>
            </w:tcPrChange>
          </w:tcPr>
          <w:p>
            <w:pPr>
              <w:pStyle w:val="TextTi12"/>
              <w:keepNext/>
              <w:tabs>
                <w:tab w:val="left" w:pos="180"/>
              </w:tabs>
              <w:suppressAutoHyphens/>
              <w:spacing w:after="0" w:line="240" w:lineRule="auto"/>
              <w:jc w:val="center"/>
              <w:rPr>
                <w:rFonts w:eastAsia="MS Mincho"/>
                <w:b/>
                <w:noProof/>
                <w:sz w:val="22"/>
                <w:szCs w:val="22"/>
                <w:lang w:val="it-IT"/>
                <w:rPrChange w:id="3034" w:author="Author">
                  <w:rPr>
                    <w:rFonts w:eastAsia="MS Mincho"/>
                    <w:noProof/>
                    <w:sz w:val="22"/>
                    <w:szCs w:val="22"/>
                    <w:lang w:val="it-IT"/>
                  </w:rPr>
                </w:rPrChange>
              </w:rPr>
              <w:pPrChange w:id="3035" w:author="Author">
                <w:pPr>
                  <w:pStyle w:val="TextTi12"/>
                  <w:keepNext/>
                  <w:keepLines/>
                  <w:tabs>
                    <w:tab w:val="left" w:pos="180"/>
                  </w:tabs>
                  <w:jc w:val="center"/>
                </w:pPr>
              </w:pPrChange>
            </w:pPr>
            <w:r>
              <w:rPr>
                <w:b/>
                <w:noProof/>
                <w:sz w:val="22"/>
                <w:szCs w:val="22"/>
                <w:lang w:val="it-IT"/>
                <w:rPrChange w:id="3036" w:author="Author">
                  <w:rPr>
                    <w:noProof/>
                    <w:sz w:val="22"/>
                    <w:szCs w:val="22"/>
                    <w:lang w:val="it-IT"/>
                  </w:rPr>
                </w:rPrChange>
              </w:rPr>
              <w:t>Azione</w:t>
            </w:r>
          </w:p>
        </w:tc>
      </w:tr>
      <w:tr>
        <w:trPr>
          <w:cantSplit/>
        </w:trPr>
        <w:tc>
          <w:tcPr>
            <w:tcW w:w="2155" w:type="dxa"/>
            <w:tcPrChange w:id="3037" w:author="Author">
              <w:tcPr>
                <w:tcW w:w="2040" w:type="dxa"/>
              </w:tcPr>
            </w:tcPrChange>
          </w:tcPr>
          <w:p>
            <w:pPr>
              <w:pStyle w:val="TextTi12"/>
              <w:keepNext/>
              <w:tabs>
                <w:tab w:val="left" w:pos="180"/>
              </w:tabs>
              <w:suppressAutoHyphens/>
              <w:spacing w:after="0" w:line="240" w:lineRule="auto"/>
              <w:jc w:val="left"/>
              <w:rPr>
                <w:rFonts w:eastAsia="MS Mincho"/>
                <w:noProof/>
                <w:sz w:val="22"/>
                <w:szCs w:val="22"/>
                <w:lang w:val="it-IT"/>
              </w:rPr>
              <w:pPrChange w:id="3038" w:author="Author">
                <w:pPr>
                  <w:pStyle w:val="TextTi12"/>
                  <w:keepNext/>
                  <w:keepLines/>
                  <w:tabs>
                    <w:tab w:val="left" w:pos="180"/>
                  </w:tabs>
                </w:pPr>
              </w:pPrChange>
            </w:pPr>
            <w:r>
              <w:rPr>
                <w:noProof/>
                <w:sz w:val="22"/>
                <w:szCs w:val="22"/>
                <w:lang w:val="it-IT"/>
              </w:rPr>
              <w:t xml:space="preserve">Da </w:t>
            </w:r>
            <w:r>
              <w:rPr>
                <w:noProof/>
                <w:sz w:val="22"/>
                <w:szCs w:val="22"/>
                <w:lang w:val="it-IT"/>
              </w:rPr>
              <w:sym w:font="Symbol" w:char="F03E"/>
            </w:r>
            <w:ins w:id="3039" w:author="Author">
              <w:r>
                <w:rPr>
                  <w:noProof/>
                  <w:sz w:val="22"/>
                  <w:szCs w:val="22"/>
                  <w:lang w:val="it-IT"/>
                </w:rPr>
                <w:t xml:space="preserve"> </w:t>
              </w:r>
            </w:ins>
            <w:r>
              <w:rPr>
                <w:noProof/>
                <w:sz w:val="22"/>
                <w:szCs w:val="22"/>
                <w:lang w:val="it-IT"/>
              </w:rPr>
              <w:t xml:space="preserve">1 a 3 volte </w:t>
            </w:r>
            <w:del w:id="3040" w:author="Author">
              <w:r>
                <w:rPr>
                  <w:noProof/>
                  <w:sz w:val="22"/>
                  <w:szCs w:val="22"/>
                  <w:lang w:val="it-IT"/>
                </w:rPr>
                <w:delText xml:space="preserve">sopra </w:delText>
              </w:r>
            </w:del>
            <w:r>
              <w:rPr>
                <w:noProof/>
                <w:sz w:val="22"/>
                <w:szCs w:val="22"/>
                <w:lang w:val="it-IT"/>
              </w:rPr>
              <w:t xml:space="preserve">il limite </w:t>
            </w:r>
            <w:del w:id="3041" w:author="Author">
              <w:r>
                <w:rPr>
                  <w:noProof/>
                  <w:sz w:val="22"/>
                  <w:szCs w:val="22"/>
                  <w:lang w:val="it-IT"/>
                </w:rPr>
                <w:delText xml:space="preserve">di </w:delText>
              </w:r>
            </w:del>
            <w:ins w:id="3042" w:author="Author">
              <w:r>
                <w:rPr>
                  <w:noProof/>
                  <w:sz w:val="22"/>
                  <w:szCs w:val="22"/>
                  <w:lang w:val="it-IT"/>
                </w:rPr>
                <w:t>superiore del valore</w:t>
              </w:r>
              <w:del w:id="3043" w:author="Author">
                <w:r>
                  <w:rPr>
                    <w:noProof/>
                    <w:sz w:val="22"/>
                    <w:szCs w:val="22"/>
                    <w:lang w:val="it-IT"/>
                  </w:rPr>
                  <w:delText>la</w:delText>
                </w:r>
              </w:del>
              <w:r>
                <w:rPr>
                  <w:noProof/>
                  <w:sz w:val="22"/>
                  <w:szCs w:val="22"/>
                  <w:lang w:val="it-IT"/>
                </w:rPr>
                <w:t xml:space="preserve"> </w:t>
              </w:r>
            </w:ins>
            <w:r>
              <w:rPr>
                <w:noProof/>
                <w:sz w:val="22"/>
                <w:szCs w:val="22"/>
                <w:lang w:val="it-IT"/>
              </w:rPr>
              <w:t>norma</w:t>
            </w:r>
            <w:ins w:id="3044" w:author="Author">
              <w:r>
                <w:rPr>
                  <w:noProof/>
                  <w:sz w:val="22"/>
                  <w:szCs w:val="22"/>
                  <w:lang w:val="it-IT"/>
                </w:rPr>
                <w:t>le</w:t>
              </w:r>
            </w:ins>
            <w:r>
              <w:rPr>
                <w:noProof/>
                <w:sz w:val="22"/>
                <w:szCs w:val="22"/>
                <w:lang w:val="it-IT"/>
              </w:rPr>
              <w:t xml:space="preserve"> (Upper Limit of Normal, ULN)</w:t>
            </w:r>
          </w:p>
        </w:tc>
        <w:tc>
          <w:tcPr>
            <w:tcW w:w="6912" w:type="dxa"/>
            <w:tcPrChange w:id="3045" w:author="Author">
              <w:tcPr>
                <w:tcW w:w="8040" w:type="dxa"/>
              </w:tcPr>
            </w:tcPrChange>
          </w:tcPr>
          <w:p>
            <w:pPr>
              <w:pStyle w:val="TextTi12"/>
              <w:keepNext/>
              <w:tabs>
                <w:tab w:val="left" w:pos="180"/>
              </w:tabs>
              <w:suppressAutoHyphens/>
              <w:spacing w:after="0" w:line="240" w:lineRule="auto"/>
              <w:jc w:val="left"/>
              <w:rPr>
                <w:ins w:id="3046" w:author="Author"/>
                <w:noProof/>
                <w:sz w:val="22"/>
                <w:szCs w:val="22"/>
                <w:lang w:val="it-IT"/>
              </w:rPr>
              <w:pPrChange w:id="3047" w:author="Author">
                <w:pPr>
                  <w:pStyle w:val="TextTi12"/>
                  <w:tabs>
                    <w:tab w:val="left" w:pos="180"/>
                  </w:tabs>
                  <w:suppressAutoHyphens/>
                  <w:spacing w:after="0" w:line="240" w:lineRule="auto"/>
                  <w:jc w:val="left"/>
                </w:pPr>
              </w:pPrChange>
            </w:pPr>
            <w:r>
              <w:rPr>
                <w:noProof/>
                <w:sz w:val="22"/>
                <w:szCs w:val="22"/>
                <w:lang w:val="it-IT"/>
              </w:rPr>
              <w:t>Modificare la dose di DMARD (AR) o di agenti immunomodulatori (ACG) concomitanti, se appropriato.</w:t>
            </w:r>
          </w:p>
          <w:p>
            <w:pPr>
              <w:pStyle w:val="TextTi12"/>
              <w:keepNext/>
              <w:tabs>
                <w:tab w:val="left" w:pos="180"/>
              </w:tabs>
              <w:suppressAutoHyphens/>
              <w:spacing w:after="0" w:line="240" w:lineRule="auto"/>
              <w:jc w:val="left"/>
              <w:rPr>
                <w:rFonts w:eastAsia="MS Mincho"/>
                <w:noProof/>
                <w:sz w:val="22"/>
                <w:szCs w:val="22"/>
                <w:lang w:val="it-IT"/>
              </w:rPr>
              <w:pPrChange w:id="3048" w:author="Author">
                <w:pPr>
                  <w:pStyle w:val="TextTi12"/>
                  <w:keepNext/>
                  <w:keepLines/>
                  <w:tabs>
                    <w:tab w:val="left" w:pos="180"/>
                  </w:tabs>
                </w:pPr>
              </w:pPrChange>
            </w:pPr>
          </w:p>
          <w:p>
            <w:pPr>
              <w:pStyle w:val="TextTi12"/>
              <w:keepNext/>
              <w:tabs>
                <w:tab w:val="left" w:pos="180"/>
              </w:tabs>
              <w:suppressAutoHyphens/>
              <w:spacing w:after="0" w:line="240" w:lineRule="auto"/>
              <w:jc w:val="left"/>
              <w:rPr>
                <w:noProof/>
                <w:sz w:val="22"/>
                <w:szCs w:val="22"/>
                <w:lang w:val="it-IT"/>
              </w:rPr>
              <w:pPrChange w:id="3049" w:author="Author">
                <w:pPr>
                  <w:pStyle w:val="TextTi12"/>
                  <w:keepNext/>
                  <w:keepLines/>
                  <w:tabs>
                    <w:tab w:val="left" w:pos="180"/>
                  </w:tabs>
                  <w:spacing w:after="0" w:line="0" w:lineRule="atLeast"/>
                </w:pPr>
              </w:pPrChange>
            </w:pPr>
            <w:r>
              <w:rPr>
                <w:noProof/>
                <w:sz w:val="22"/>
                <w:szCs w:val="22"/>
                <w:lang w:val="it-IT"/>
              </w:rPr>
              <w:t>Per aumenti persistenti entro questo intervallo, ridurre la frequenza del dosaggio di tocilizumab a un'iniezione ogni due settimane o interrompere il trattamento fino a che l’alaninaaminotransferasi (ALT) o l’aspartatoaminotransferasi (AST) non si siano normalizzate.</w:t>
            </w:r>
          </w:p>
          <w:p>
            <w:pPr>
              <w:pStyle w:val="TextTi12"/>
              <w:keepNext/>
              <w:tabs>
                <w:tab w:val="left" w:pos="180"/>
              </w:tabs>
              <w:suppressAutoHyphens/>
              <w:spacing w:after="0" w:line="240" w:lineRule="auto"/>
              <w:jc w:val="left"/>
              <w:rPr>
                <w:noProof/>
                <w:sz w:val="22"/>
                <w:szCs w:val="22"/>
                <w:lang w:val="it-IT"/>
              </w:rPr>
              <w:pPrChange w:id="3050" w:author="Author">
                <w:pPr>
                  <w:pStyle w:val="TextTi12"/>
                  <w:keepNext/>
                  <w:keepLines/>
                  <w:tabs>
                    <w:tab w:val="left" w:pos="180"/>
                  </w:tabs>
                  <w:spacing w:after="0" w:line="0" w:lineRule="atLeast"/>
                </w:pPr>
              </w:pPrChange>
            </w:pPr>
          </w:p>
          <w:p>
            <w:pPr>
              <w:pStyle w:val="TextTi12"/>
              <w:keepNext/>
              <w:tabs>
                <w:tab w:val="left" w:pos="180"/>
              </w:tabs>
              <w:suppressAutoHyphens/>
              <w:spacing w:after="0" w:line="240" w:lineRule="auto"/>
              <w:jc w:val="left"/>
              <w:rPr>
                <w:rFonts w:eastAsia="MS Mincho"/>
                <w:noProof/>
                <w:sz w:val="22"/>
                <w:szCs w:val="22"/>
                <w:lang w:val="it-IT"/>
              </w:rPr>
              <w:pPrChange w:id="3051" w:author="Author">
                <w:pPr>
                  <w:pStyle w:val="TextTi12"/>
                  <w:keepNext/>
                  <w:keepLines/>
                  <w:tabs>
                    <w:tab w:val="left" w:pos="180"/>
                  </w:tabs>
                </w:pPr>
              </w:pPrChange>
            </w:pPr>
            <w:r>
              <w:rPr>
                <w:noProof/>
                <w:sz w:val="22"/>
                <w:szCs w:val="22"/>
                <w:lang w:val="it-IT"/>
              </w:rPr>
              <w:t>Riprendere con un'iniezione settimanale o ogni due settimane, secondo quanto clinicamente appropriato.</w:t>
            </w:r>
          </w:p>
        </w:tc>
      </w:tr>
      <w:tr>
        <w:trPr>
          <w:cantSplit/>
        </w:trPr>
        <w:tc>
          <w:tcPr>
            <w:tcW w:w="2155" w:type="dxa"/>
            <w:tcPrChange w:id="3052" w:author="Author">
              <w:tcPr>
                <w:tcW w:w="2040" w:type="dxa"/>
              </w:tcPr>
            </w:tcPrChange>
          </w:tcPr>
          <w:p>
            <w:pPr>
              <w:pStyle w:val="TextTi12"/>
              <w:keepNext/>
              <w:tabs>
                <w:tab w:val="left" w:pos="180"/>
              </w:tabs>
              <w:suppressAutoHyphens/>
              <w:spacing w:after="0" w:line="240" w:lineRule="auto"/>
              <w:jc w:val="left"/>
              <w:rPr>
                <w:rFonts w:eastAsia="MS Mincho"/>
                <w:noProof/>
                <w:sz w:val="22"/>
                <w:szCs w:val="22"/>
                <w:lang w:val="it-IT"/>
              </w:rPr>
              <w:pPrChange w:id="3053" w:author="Author">
                <w:pPr>
                  <w:pStyle w:val="TextTi12"/>
                  <w:tabs>
                    <w:tab w:val="left" w:pos="180"/>
                  </w:tabs>
                </w:pPr>
              </w:pPrChange>
            </w:pPr>
            <w:r>
              <w:rPr>
                <w:noProof/>
                <w:sz w:val="22"/>
                <w:szCs w:val="22"/>
                <w:lang w:val="it-IT"/>
              </w:rPr>
              <w:t xml:space="preserve">Da </w:t>
            </w:r>
            <w:r>
              <w:rPr>
                <w:noProof/>
                <w:sz w:val="22"/>
                <w:szCs w:val="22"/>
                <w:lang w:val="it-IT"/>
              </w:rPr>
              <w:sym w:font="Symbol" w:char="F03E"/>
            </w:r>
            <w:ins w:id="3054" w:author="Author">
              <w:r>
                <w:rPr>
                  <w:noProof/>
                  <w:sz w:val="22"/>
                  <w:szCs w:val="22"/>
                  <w:lang w:val="it-IT"/>
                </w:rPr>
                <w:t xml:space="preserve"> </w:t>
              </w:r>
            </w:ins>
            <w:r>
              <w:rPr>
                <w:noProof/>
                <w:sz w:val="22"/>
                <w:szCs w:val="22"/>
                <w:lang w:val="it-IT"/>
              </w:rPr>
              <w:t>3 a 5 volte ULN</w:t>
            </w:r>
          </w:p>
        </w:tc>
        <w:tc>
          <w:tcPr>
            <w:tcW w:w="6912" w:type="dxa"/>
            <w:tcPrChange w:id="3055" w:author="Author">
              <w:tcPr>
                <w:tcW w:w="8040" w:type="dxa"/>
              </w:tcPr>
            </w:tcPrChange>
          </w:tcPr>
          <w:p>
            <w:pPr>
              <w:pStyle w:val="TextTi12"/>
              <w:keepNext/>
              <w:tabs>
                <w:tab w:val="left" w:pos="180"/>
              </w:tabs>
              <w:suppressAutoHyphens/>
              <w:spacing w:after="0" w:line="240" w:lineRule="auto"/>
              <w:jc w:val="left"/>
              <w:rPr>
                <w:ins w:id="3056" w:author="Author"/>
                <w:noProof/>
                <w:sz w:val="22"/>
                <w:szCs w:val="22"/>
                <w:lang w:val="it-IT"/>
              </w:rPr>
            </w:pPr>
            <w:r>
              <w:rPr>
                <w:noProof/>
                <w:sz w:val="22"/>
                <w:szCs w:val="22"/>
                <w:lang w:val="it-IT"/>
              </w:rPr>
              <w:t xml:space="preserve">Interrompere la somministrazione del trattamento fino a </w:t>
            </w:r>
            <w:r>
              <w:rPr>
                <w:noProof/>
                <w:sz w:val="22"/>
                <w:szCs w:val="22"/>
                <w:lang w:val="it-IT"/>
              </w:rPr>
              <w:sym w:font="Symbol" w:char="F03C"/>
            </w:r>
            <w:ins w:id="3057" w:author="Author">
              <w:r>
                <w:rPr>
                  <w:noProof/>
                  <w:sz w:val="22"/>
                  <w:szCs w:val="22"/>
                  <w:lang w:val="it-IT"/>
                </w:rPr>
                <w:t xml:space="preserve"> </w:t>
              </w:r>
            </w:ins>
            <w:r>
              <w:rPr>
                <w:noProof/>
                <w:sz w:val="22"/>
                <w:szCs w:val="22"/>
                <w:lang w:val="it-IT"/>
              </w:rPr>
              <w:t xml:space="preserve">3 volte ULN e seguire le raccomandazioni descritte sopra (da </w:t>
            </w:r>
            <w:r>
              <w:rPr>
                <w:noProof/>
                <w:sz w:val="22"/>
                <w:szCs w:val="22"/>
                <w:lang w:val="it-IT"/>
              </w:rPr>
              <w:sym w:font="Symbol" w:char="F03E"/>
            </w:r>
            <w:ins w:id="3058" w:author="Author">
              <w:r>
                <w:rPr>
                  <w:noProof/>
                  <w:sz w:val="22"/>
                  <w:szCs w:val="22"/>
                  <w:lang w:val="it-IT"/>
                </w:rPr>
                <w:t xml:space="preserve"> </w:t>
              </w:r>
            </w:ins>
            <w:r>
              <w:rPr>
                <w:noProof/>
                <w:sz w:val="22"/>
                <w:szCs w:val="22"/>
                <w:lang w:val="it-IT"/>
              </w:rPr>
              <w:t>1 a 3 volte ULN).</w:t>
            </w:r>
          </w:p>
          <w:p>
            <w:pPr>
              <w:pStyle w:val="TextTi12"/>
              <w:keepNext/>
              <w:tabs>
                <w:tab w:val="left" w:pos="180"/>
              </w:tabs>
              <w:suppressAutoHyphens/>
              <w:spacing w:after="0" w:line="240" w:lineRule="auto"/>
              <w:jc w:val="left"/>
              <w:rPr>
                <w:rFonts w:eastAsia="MS Mincho"/>
                <w:noProof/>
                <w:sz w:val="22"/>
                <w:szCs w:val="22"/>
                <w:lang w:val="it-IT"/>
              </w:rPr>
              <w:pPrChange w:id="3059" w:author="Author">
                <w:pPr>
                  <w:pStyle w:val="TextTi12"/>
                  <w:tabs>
                    <w:tab w:val="left" w:pos="180"/>
                  </w:tabs>
                </w:pPr>
              </w:pPrChange>
            </w:pPr>
          </w:p>
          <w:p>
            <w:pPr>
              <w:pStyle w:val="TextTi12"/>
              <w:keepNext/>
              <w:tabs>
                <w:tab w:val="left" w:pos="180"/>
              </w:tabs>
              <w:suppressAutoHyphens/>
              <w:spacing w:after="0" w:line="240" w:lineRule="auto"/>
              <w:jc w:val="left"/>
              <w:rPr>
                <w:rFonts w:eastAsia="MS Mincho"/>
                <w:noProof/>
                <w:sz w:val="22"/>
                <w:szCs w:val="22"/>
                <w:lang w:val="it-IT"/>
              </w:rPr>
              <w:pPrChange w:id="3060" w:author="Author">
                <w:pPr>
                  <w:pStyle w:val="TextTi12"/>
                  <w:tabs>
                    <w:tab w:val="left" w:pos="180"/>
                  </w:tabs>
                </w:pPr>
              </w:pPrChange>
            </w:pPr>
            <w:r>
              <w:rPr>
                <w:noProof/>
                <w:sz w:val="22"/>
                <w:szCs w:val="22"/>
                <w:lang w:val="it-IT"/>
              </w:rPr>
              <w:t xml:space="preserve">Per incrementi persistenti </w:t>
            </w:r>
            <w:r>
              <w:rPr>
                <w:noProof/>
                <w:sz w:val="22"/>
                <w:szCs w:val="22"/>
                <w:lang w:val="it-IT"/>
              </w:rPr>
              <w:sym w:font="Symbol" w:char="F03E"/>
            </w:r>
            <w:ins w:id="3061" w:author="Author">
              <w:r>
                <w:rPr>
                  <w:noProof/>
                  <w:sz w:val="22"/>
                  <w:szCs w:val="22"/>
                  <w:lang w:val="it-IT"/>
                </w:rPr>
                <w:t xml:space="preserve"> </w:t>
              </w:r>
            </w:ins>
            <w:r>
              <w:rPr>
                <w:noProof/>
                <w:sz w:val="22"/>
                <w:szCs w:val="22"/>
                <w:lang w:val="it-IT"/>
              </w:rPr>
              <w:t>3 volte ULN (confermati da un test ripetuto, vedere paragrafo 4.4), sospendere il trattamento.</w:t>
            </w:r>
          </w:p>
        </w:tc>
      </w:tr>
      <w:tr>
        <w:trPr>
          <w:cantSplit/>
        </w:trPr>
        <w:tc>
          <w:tcPr>
            <w:tcW w:w="2155" w:type="dxa"/>
            <w:tcPrChange w:id="3062" w:author="Author">
              <w:tcPr>
                <w:tcW w:w="2040" w:type="dxa"/>
              </w:tcPr>
            </w:tcPrChange>
          </w:tcPr>
          <w:p>
            <w:pPr>
              <w:pStyle w:val="TextTi12"/>
              <w:tabs>
                <w:tab w:val="left" w:pos="180"/>
              </w:tabs>
              <w:suppressAutoHyphens/>
              <w:spacing w:after="0" w:line="240" w:lineRule="auto"/>
              <w:jc w:val="left"/>
              <w:rPr>
                <w:rFonts w:eastAsia="MS Mincho"/>
                <w:noProof/>
                <w:sz w:val="22"/>
                <w:szCs w:val="22"/>
                <w:lang w:val="it-IT"/>
              </w:rPr>
              <w:pPrChange w:id="3063" w:author="Author">
                <w:pPr>
                  <w:pStyle w:val="TextTi12"/>
                  <w:tabs>
                    <w:tab w:val="left" w:pos="180"/>
                  </w:tabs>
                </w:pPr>
              </w:pPrChange>
            </w:pPr>
            <w:r>
              <w:rPr>
                <w:noProof/>
                <w:sz w:val="22"/>
                <w:szCs w:val="22"/>
                <w:lang w:val="it-IT"/>
              </w:rPr>
              <w:sym w:font="Symbol" w:char="F03E"/>
            </w:r>
            <w:ins w:id="3064" w:author="Author">
              <w:r>
                <w:rPr>
                  <w:noProof/>
                  <w:sz w:val="22"/>
                  <w:szCs w:val="22"/>
                  <w:lang w:val="it-IT"/>
                </w:rPr>
                <w:t xml:space="preserve"> </w:t>
              </w:r>
            </w:ins>
            <w:r>
              <w:rPr>
                <w:noProof/>
                <w:sz w:val="22"/>
                <w:szCs w:val="22"/>
                <w:lang w:val="it-IT"/>
              </w:rPr>
              <w:t>5 volte ULN</w:t>
            </w:r>
          </w:p>
        </w:tc>
        <w:tc>
          <w:tcPr>
            <w:tcW w:w="6912" w:type="dxa"/>
            <w:tcPrChange w:id="3065" w:author="Author">
              <w:tcPr>
                <w:tcW w:w="8040" w:type="dxa"/>
              </w:tcPr>
            </w:tcPrChange>
          </w:tcPr>
          <w:p>
            <w:pPr>
              <w:pStyle w:val="TextTi12"/>
              <w:tabs>
                <w:tab w:val="left" w:pos="180"/>
              </w:tabs>
              <w:suppressAutoHyphens/>
              <w:spacing w:after="0" w:line="240" w:lineRule="auto"/>
              <w:jc w:val="left"/>
              <w:rPr>
                <w:rFonts w:eastAsia="MS Mincho"/>
                <w:noProof/>
                <w:sz w:val="22"/>
                <w:szCs w:val="22"/>
                <w:lang w:val="it-IT"/>
              </w:rPr>
              <w:pPrChange w:id="3066" w:author="Author">
                <w:pPr>
                  <w:pStyle w:val="TextTi12"/>
                  <w:tabs>
                    <w:tab w:val="left" w:pos="180"/>
                  </w:tabs>
                </w:pPr>
              </w:pPrChange>
            </w:pPr>
            <w:r>
              <w:rPr>
                <w:noProof/>
                <w:sz w:val="22"/>
                <w:szCs w:val="22"/>
                <w:lang w:val="it-IT"/>
              </w:rPr>
              <w:t>Sospendere il trattamento.</w:t>
            </w:r>
          </w:p>
        </w:tc>
      </w:tr>
    </w:tbl>
    <w:p>
      <w:pPr>
        <w:tabs>
          <w:tab w:val="left" w:pos="180"/>
        </w:tabs>
        <w:rPr>
          <w:noProof/>
          <w:lang w:val="it-IT"/>
        </w:rPr>
      </w:pPr>
    </w:p>
    <w:p>
      <w:pPr>
        <w:rPr>
          <w:noProof/>
          <w:lang w:val="it-IT"/>
        </w:rPr>
      </w:pPr>
      <w:r>
        <w:rPr>
          <w:noProof/>
          <w:lang w:val="it-IT"/>
        </w:rPr>
        <w:sym w:font="Symbol" w:char="F0B7"/>
      </w:r>
      <w:r>
        <w:rPr>
          <w:noProof/>
          <w:lang w:val="it-IT"/>
        </w:rPr>
        <w:tab/>
        <w:t>Bassa conta assoluta dei neutrofili (ANC)</w:t>
      </w:r>
    </w:p>
    <w:p>
      <w:pPr>
        <w:tabs>
          <w:tab w:val="left" w:pos="180"/>
        </w:tabs>
        <w:rPr>
          <w:noProof/>
          <w:lang w:val="it-IT"/>
        </w:rPr>
      </w:pPr>
    </w:p>
    <w:p>
      <w:pPr>
        <w:tabs>
          <w:tab w:val="left" w:pos="180"/>
        </w:tabs>
        <w:rPr>
          <w:noProof/>
          <w:lang w:val="it-IT"/>
        </w:rPr>
      </w:pPr>
      <w:r>
        <w:rPr>
          <w:bCs/>
          <w:noProof/>
          <w:lang w:val="it-IT"/>
        </w:rPr>
        <w:t>Nei pazienti non precedentemente trattati con RoActemra, non è raccomandato l’inizio del trattamento se il paziente presenta una conta assoluta dei neutrofili (ANC) inferiore a 2 x 10</w:t>
      </w:r>
      <w:r>
        <w:rPr>
          <w:bCs/>
          <w:noProof/>
          <w:vertAlign w:val="superscript"/>
          <w:lang w:val="it-IT"/>
        </w:rPr>
        <w:t>9</w:t>
      </w:r>
      <w:r>
        <w:rPr>
          <w:bCs/>
          <w:noProof/>
          <w:lang w:val="it-IT"/>
        </w:rPr>
        <w:t>/L.</w:t>
      </w:r>
    </w:p>
    <w:p>
      <w:pPr>
        <w:keepNext/>
        <w:keepLines/>
        <w:tabs>
          <w:tab w:val="left" w:pos="180"/>
        </w:tabs>
        <w:rPr>
          <w:noProof/>
          <w:lang w:val="it-IT"/>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3067"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55"/>
        <w:gridCol w:w="6912"/>
        <w:tblGridChange w:id="3068">
          <w:tblGrid>
            <w:gridCol w:w="1917"/>
            <w:gridCol w:w="7144"/>
          </w:tblGrid>
        </w:tblGridChange>
      </w:tblGrid>
      <w:tr>
        <w:trPr>
          <w:cantSplit/>
        </w:trPr>
        <w:tc>
          <w:tcPr>
            <w:tcW w:w="2155" w:type="dxa"/>
            <w:tcPrChange w:id="3069" w:author="Author">
              <w:tcPr>
                <w:tcW w:w="2040" w:type="dxa"/>
              </w:tcPr>
            </w:tcPrChange>
          </w:tcPr>
          <w:p>
            <w:pPr>
              <w:pStyle w:val="TextTi12"/>
              <w:keepNext/>
              <w:tabs>
                <w:tab w:val="left" w:pos="180"/>
              </w:tabs>
              <w:suppressAutoHyphens/>
              <w:spacing w:after="0" w:line="240" w:lineRule="auto"/>
              <w:jc w:val="center"/>
              <w:rPr>
                <w:rFonts w:eastAsia="MS Mincho"/>
                <w:b/>
                <w:noProof/>
                <w:sz w:val="22"/>
                <w:szCs w:val="22"/>
                <w:lang w:val="it-IT"/>
                <w:rPrChange w:id="3070" w:author="Author">
                  <w:rPr>
                    <w:rFonts w:eastAsia="MS Mincho"/>
                    <w:noProof/>
                    <w:sz w:val="22"/>
                    <w:szCs w:val="22"/>
                    <w:lang w:val="it-IT"/>
                  </w:rPr>
                </w:rPrChange>
              </w:rPr>
              <w:pPrChange w:id="3071" w:author="Author">
                <w:pPr>
                  <w:pStyle w:val="TextTi12"/>
                  <w:keepNext/>
                  <w:keepLines/>
                  <w:tabs>
                    <w:tab w:val="left" w:pos="180"/>
                  </w:tabs>
                  <w:jc w:val="center"/>
                </w:pPr>
              </w:pPrChange>
            </w:pPr>
            <w:r>
              <w:rPr>
                <w:b/>
                <w:noProof/>
                <w:sz w:val="22"/>
                <w:szCs w:val="22"/>
                <w:lang w:val="it-IT"/>
                <w:rPrChange w:id="3072" w:author="Author">
                  <w:rPr>
                    <w:noProof/>
                    <w:sz w:val="22"/>
                    <w:szCs w:val="22"/>
                    <w:lang w:val="it-IT"/>
                  </w:rPr>
                </w:rPrChange>
              </w:rPr>
              <w:t>Valori di laboratorio</w:t>
            </w:r>
            <w:r>
              <w:rPr>
                <w:b/>
                <w:noProof/>
                <w:sz w:val="22"/>
                <w:szCs w:val="22"/>
                <w:lang w:val="it-IT"/>
                <w:rPrChange w:id="3073" w:author="Author">
                  <w:rPr>
                    <w:lang w:val="it-IT"/>
                  </w:rPr>
                </w:rPrChange>
              </w:rPr>
              <w:br/>
            </w:r>
            <w:r>
              <w:rPr>
                <w:b/>
                <w:noProof/>
                <w:sz w:val="22"/>
                <w:szCs w:val="22"/>
                <w:lang w:val="it-IT"/>
                <w:rPrChange w:id="3074" w:author="Author">
                  <w:rPr>
                    <w:noProof/>
                    <w:sz w:val="22"/>
                    <w:szCs w:val="22"/>
                    <w:lang w:val="it-IT"/>
                  </w:rPr>
                </w:rPrChange>
              </w:rPr>
              <w:t>(cellule x 10</w:t>
            </w:r>
            <w:r>
              <w:rPr>
                <w:b/>
                <w:noProof/>
                <w:sz w:val="22"/>
                <w:szCs w:val="22"/>
                <w:vertAlign w:val="superscript"/>
                <w:lang w:val="it-IT"/>
                <w:rPrChange w:id="3075" w:author="Author">
                  <w:rPr>
                    <w:noProof/>
                    <w:sz w:val="22"/>
                    <w:szCs w:val="22"/>
                    <w:vertAlign w:val="superscript"/>
                    <w:lang w:val="it-IT"/>
                  </w:rPr>
                </w:rPrChange>
              </w:rPr>
              <w:t>9</w:t>
            </w:r>
            <w:r>
              <w:rPr>
                <w:b/>
                <w:noProof/>
                <w:sz w:val="22"/>
                <w:szCs w:val="22"/>
                <w:lang w:val="it-IT"/>
                <w:rPrChange w:id="3076" w:author="Author">
                  <w:rPr>
                    <w:noProof/>
                    <w:sz w:val="22"/>
                    <w:szCs w:val="22"/>
                    <w:lang w:val="it-IT"/>
                  </w:rPr>
                </w:rPrChange>
              </w:rPr>
              <w:t>/L)</w:t>
            </w:r>
          </w:p>
        </w:tc>
        <w:tc>
          <w:tcPr>
            <w:tcW w:w="6912" w:type="dxa"/>
            <w:tcPrChange w:id="3077" w:author="Author">
              <w:tcPr>
                <w:tcW w:w="8040" w:type="dxa"/>
              </w:tcPr>
            </w:tcPrChange>
          </w:tcPr>
          <w:p>
            <w:pPr>
              <w:pStyle w:val="TextTi12"/>
              <w:keepNext/>
              <w:tabs>
                <w:tab w:val="left" w:pos="180"/>
              </w:tabs>
              <w:suppressAutoHyphens/>
              <w:spacing w:after="0" w:line="240" w:lineRule="auto"/>
              <w:jc w:val="center"/>
              <w:rPr>
                <w:rFonts w:eastAsia="MS Mincho"/>
                <w:b/>
                <w:noProof/>
                <w:sz w:val="22"/>
                <w:szCs w:val="22"/>
                <w:lang w:val="it-IT"/>
                <w:rPrChange w:id="3078" w:author="Author">
                  <w:rPr>
                    <w:rFonts w:eastAsia="MS Mincho"/>
                    <w:noProof/>
                    <w:sz w:val="22"/>
                    <w:szCs w:val="22"/>
                    <w:lang w:val="it-IT"/>
                  </w:rPr>
                </w:rPrChange>
              </w:rPr>
              <w:pPrChange w:id="3079" w:author="Author">
                <w:pPr>
                  <w:pStyle w:val="TextTi12"/>
                  <w:keepNext/>
                  <w:keepLines/>
                  <w:tabs>
                    <w:tab w:val="left" w:pos="180"/>
                  </w:tabs>
                  <w:jc w:val="center"/>
                </w:pPr>
              </w:pPrChange>
            </w:pPr>
            <w:r>
              <w:rPr>
                <w:b/>
                <w:noProof/>
                <w:sz w:val="22"/>
                <w:szCs w:val="22"/>
                <w:lang w:val="it-IT"/>
                <w:rPrChange w:id="3080" w:author="Author">
                  <w:rPr>
                    <w:noProof/>
                    <w:sz w:val="22"/>
                    <w:szCs w:val="22"/>
                    <w:lang w:val="it-IT"/>
                  </w:rPr>
                </w:rPrChange>
              </w:rPr>
              <w:t>Azione</w:t>
            </w:r>
          </w:p>
        </w:tc>
      </w:tr>
      <w:tr>
        <w:trPr>
          <w:cantSplit/>
        </w:trPr>
        <w:tc>
          <w:tcPr>
            <w:tcW w:w="2155" w:type="dxa"/>
            <w:tcPrChange w:id="3081" w:author="Author">
              <w:tcPr>
                <w:tcW w:w="2040" w:type="dxa"/>
              </w:tcPr>
            </w:tcPrChange>
          </w:tcPr>
          <w:p>
            <w:pPr>
              <w:pStyle w:val="TextTi12"/>
              <w:keepNext/>
              <w:tabs>
                <w:tab w:val="left" w:pos="180"/>
              </w:tabs>
              <w:suppressAutoHyphens/>
              <w:spacing w:after="0" w:line="240" w:lineRule="auto"/>
              <w:jc w:val="left"/>
              <w:rPr>
                <w:rFonts w:eastAsia="MS Mincho"/>
                <w:noProof/>
                <w:sz w:val="22"/>
                <w:szCs w:val="22"/>
                <w:lang w:val="it-IT"/>
              </w:rPr>
              <w:pPrChange w:id="3082" w:author="Author">
                <w:pPr>
                  <w:pStyle w:val="TextTi12"/>
                  <w:tabs>
                    <w:tab w:val="left" w:pos="180"/>
                  </w:tabs>
                </w:pPr>
              </w:pPrChange>
            </w:pPr>
            <w:r>
              <w:rPr>
                <w:noProof/>
                <w:sz w:val="22"/>
                <w:szCs w:val="22"/>
                <w:lang w:val="it-IT"/>
              </w:rPr>
              <w:t xml:space="preserve">ANC </w:t>
            </w:r>
            <w:r>
              <w:rPr>
                <w:noProof/>
                <w:sz w:val="22"/>
                <w:szCs w:val="22"/>
                <w:lang w:val="it-IT"/>
              </w:rPr>
              <w:sym w:font="Symbol" w:char="F03E"/>
            </w:r>
            <w:ins w:id="3083" w:author="Author">
              <w:r>
                <w:rPr>
                  <w:noProof/>
                  <w:sz w:val="22"/>
                  <w:szCs w:val="22"/>
                  <w:lang w:val="it-IT"/>
                </w:rPr>
                <w:t xml:space="preserve"> </w:t>
              </w:r>
            </w:ins>
            <w:r>
              <w:rPr>
                <w:noProof/>
                <w:sz w:val="22"/>
                <w:szCs w:val="22"/>
                <w:lang w:val="it-IT"/>
              </w:rPr>
              <w:t xml:space="preserve">1 </w:t>
            </w:r>
          </w:p>
        </w:tc>
        <w:tc>
          <w:tcPr>
            <w:tcW w:w="6912" w:type="dxa"/>
            <w:tcPrChange w:id="3084" w:author="Author">
              <w:tcPr>
                <w:tcW w:w="8040" w:type="dxa"/>
              </w:tcPr>
            </w:tcPrChange>
          </w:tcPr>
          <w:p>
            <w:pPr>
              <w:pStyle w:val="TextTi12"/>
              <w:keepNext/>
              <w:tabs>
                <w:tab w:val="left" w:pos="180"/>
              </w:tabs>
              <w:suppressAutoHyphens/>
              <w:spacing w:after="0" w:line="240" w:lineRule="auto"/>
              <w:jc w:val="left"/>
              <w:rPr>
                <w:rFonts w:eastAsia="MS Mincho"/>
                <w:noProof/>
                <w:sz w:val="22"/>
                <w:szCs w:val="22"/>
                <w:lang w:val="it-IT"/>
              </w:rPr>
              <w:pPrChange w:id="3085" w:author="Author">
                <w:pPr>
                  <w:pStyle w:val="TextTi12"/>
                  <w:tabs>
                    <w:tab w:val="left" w:pos="180"/>
                  </w:tabs>
                </w:pPr>
              </w:pPrChange>
            </w:pPr>
            <w:r>
              <w:rPr>
                <w:noProof/>
                <w:sz w:val="22"/>
                <w:szCs w:val="22"/>
                <w:lang w:val="it-IT"/>
              </w:rPr>
              <w:t>Mantenere la dose.</w:t>
            </w:r>
          </w:p>
        </w:tc>
      </w:tr>
      <w:tr>
        <w:trPr>
          <w:cantSplit/>
        </w:trPr>
        <w:tc>
          <w:tcPr>
            <w:tcW w:w="2155" w:type="dxa"/>
            <w:tcPrChange w:id="3086" w:author="Author">
              <w:tcPr>
                <w:tcW w:w="2040" w:type="dxa"/>
              </w:tcPr>
            </w:tcPrChange>
          </w:tcPr>
          <w:p>
            <w:pPr>
              <w:pStyle w:val="TextTi12"/>
              <w:keepNext/>
              <w:tabs>
                <w:tab w:val="left" w:pos="180"/>
              </w:tabs>
              <w:suppressAutoHyphens/>
              <w:spacing w:after="0" w:line="240" w:lineRule="auto"/>
              <w:jc w:val="left"/>
              <w:rPr>
                <w:rFonts w:eastAsia="MS Mincho"/>
                <w:noProof/>
                <w:sz w:val="22"/>
                <w:szCs w:val="22"/>
                <w:lang w:val="it-IT"/>
              </w:rPr>
              <w:pPrChange w:id="3087" w:author="Author">
                <w:pPr>
                  <w:pStyle w:val="TextTi12"/>
                  <w:tabs>
                    <w:tab w:val="left" w:pos="180"/>
                  </w:tabs>
                </w:pPr>
              </w:pPrChange>
            </w:pPr>
            <w:r>
              <w:rPr>
                <w:noProof/>
                <w:sz w:val="22"/>
                <w:szCs w:val="22"/>
                <w:lang w:val="it-IT"/>
                <w:rPrChange w:id="3088" w:author="Author">
                  <w:rPr>
                    <w:lang w:val="it-IT"/>
                  </w:rPr>
                </w:rPrChange>
              </w:rPr>
              <w:t>ANC da 0,5 a 1</w:t>
            </w:r>
          </w:p>
        </w:tc>
        <w:tc>
          <w:tcPr>
            <w:tcW w:w="6912" w:type="dxa"/>
            <w:tcPrChange w:id="3089" w:author="Author">
              <w:tcPr>
                <w:tcW w:w="8040" w:type="dxa"/>
              </w:tcPr>
            </w:tcPrChange>
          </w:tcPr>
          <w:p>
            <w:pPr>
              <w:pStyle w:val="TextTi12"/>
              <w:keepNext/>
              <w:tabs>
                <w:tab w:val="left" w:pos="180"/>
              </w:tabs>
              <w:suppressAutoHyphens/>
              <w:spacing w:after="0" w:line="240" w:lineRule="auto"/>
              <w:jc w:val="left"/>
              <w:rPr>
                <w:ins w:id="3090" w:author="Author"/>
                <w:noProof/>
                <w:sz w:val="22"/>
                <w:szCs w:val="22"/>
                <w:lang w:val="it-IT"/>
              </w:rPr>
            </w:pPr>
            <w:r>
              <w:rPr>
                <w:noProof/>
                <w:sz w:val="22"/>
                <w:szCs w:val="22"/>
                <w:lang w:val="it-IT"/>
              </w:rPr>
              <w:t>Interrompere la somministrazione di tocilizumab.</w:t>
            </w:r>
          </w:p>
          <w:p>
            <w:pPr>
              <w:pStyle w:val="TextTi12"/>
              <w:keepNext/>
              <w:tabs>
                <w:tab w:val="left" w:pos="180"/>
              </w:tabs>
              <w:suppressAutoHyphens/>
              <w:spacing w:after="0" w:line="240" w:lineRule="auto"/>
              <w:jc w:val="left"/>
              <w:rPr>
                <w:rFonts w:eastAsia="MS Mincho"/>
                <w:noProof/>
                <w:sz w:val="22"/>
                <w:szCs w:val="22"/>
                <w:lang w:val="it-IT"/>
              </w:rPr>
              <w:pPrChange w:id="3091" w:author="Author">
                <w:pPr>
                  <w:pStyle w:val="TextTi12"/>
                  <w:tabs>
                    <w:tab w:val="left" w:pos="180"/>
                  </w:tabs>
                </w:pPr>
              </w:pPrChange>
            </w:pPr>
          </w:p>
          <w:p>
            <w:pPr>
              <w:pStyle w:val="TextTi12"/>
              <w:keepNext/>
              <w:tabs>
                <w:tab w:val="left" w:pos="180"/>
              </w:tabs>
              <w:suppressAutoHyphens/>
              <w:spacing w:after="0" w:line="240" w:lineRule="auto"/>
              <w:jc w:val="left"/>
              <w:rPr>
                <w:rFonts w:eastAsia="MS Mincho"/>
                <w:noProof/>
                <w:sz w:val="22"/>
                <w:szCs w:val="22"/>
                <w:lang w:val="it-IT"/>
              </w:rPr>
              <w:pPrChange w:id="3092" w:author="Author">
                <w:pPr>
                  <w:pStyle w:val="TextTi12"/>
                  <w:tabs>
                    <w:tab w:val="left" w:pos="180"/>
                  </w:tabs>
                </w:pPr>
              </w:pPrChange>
            </w:pPr>
            <w:r>
              <w:rPr>
                <w:noProof/>
                <w:sz w:val="22"/>
                <w:szCs w:val="22"/>
                <w:lang w:val="it-IT"/>
              </w:rPr>
              <w:t xml:space="preserve">Quando la ANC aumenta sopra 1 </w:t>
            </w:r>
            <w:r>
              <w:rPr>
                <w:noProof/>
                <w:sz w:val="22"/>
                <w:szCs w:val="22"/>
                <w:lang w:val="it-IT"/>
              </w:rPr>
              <w:sym w:font="Symbol" w:char="F0B4"/>
            </w:r>
            <w:r>
              <w:rPr>
                <w:noProof/>
                <w:sz w:val="22"/>
                <w:szCs w:val="22"/>
                <w:lang w:val="it-IT"/>
              </w:rPr>
              <w:t xml:space="preserve"> 10</w:t>
            </w:r>
            <w:r>
              <w:rPr>
                <w:noProof/>
                <w:sz w:val="22"/>
                <w:szCs w:val="22"/>
                <w:vertAlign w:val="superscript"/>
                <w:lang w:val="it-IT"/>
              </w:rPr>
              <w:t>9</w:t>
            </w:r>
            <w:r>
              <w:rPr>
                <w:noProof/>
                <w:sz w:val="22"/>
                <w:szCs w:val="22"/>
                <w:lang w:val="it-IT"/>
              </w:rPr>
              <w:t>/L riprendere il trattamento alla dose di una volta ogni due settimane e aumentarla a una volta a settimana secondo quanto clinicamente appropriato.</w:t>
            </w:r>
          </w:p>
        </w:tc>
      </w:tr>
      <w:tr>
        <w:trPr>
          <w:cantSplit/>
        </w:trPr>
        <w:tc>
          <w:tcPr>
            <w:tcW w:w="2155" w:type="dxa"/>
            <w:tcPrChange w:id="3093" w:author="Author">
              <w:tcPr>
                <w:tcW w:w="2040" w:type="dxa"/>
              </w:tcPr>
            </w:tcPrChange>
          </w:tcPr>
          <w:p>
            <w:pPr>
              <w:pStyle w:val="TextTi12"/>
              <w:tabs>
                <w:tab w:val="left" w:pos="180"/>
              </w:tabs>
              <w:suppressAutoHyphens/>
              <w:spacing w:after="0" w:line="240" w:lineRule="auto"/>
              <w:jc w:val="left"/>
              <w:rPr>
                <w:rFonts w:eastAsia="MS Mincho"/>
                <w:noProof/>
                <w:sz w:val="22"/>
                <w:szCs w:val="22"/>
                <w:lang w:val="it-IT"/>
              </w:rPr>
              <w:pPrChange w:id="3094" w:author="Author">
                <w:pPr>
                  <w:pStyle w:val="TextTi12"/>
                  <w:tabs>
                    <w:tab w:val="left" w:pos="180"/>
                  </w:tabs>
                </w:pPr>
              </w:pPrChange>
            </w:pPr>
            <w:r>
              <w:rPr>
                <w:noProof/>
                <w:sz w:val="22"/>
                <w:szCs w:val="22"/>
                <w:lang w:val="it-IT"/>
              </w:rPr>
              <w:t xml:space="preserve">ANC </w:t>
            </w:r>
            <w:r>
              <w:rPr>
                <w:noProof/>
                <w:sz w:val="22"/>
                <w:szCs w:val="22"/>
                <w:lang w:val="it-IT"/>
              </w:rPr>
              <w:sym w:font="Symbol" w:char="F03C"/>
            </w:r>
            <w:ins w:id="3095" w:author="Author">
              <w:r>
                <w:rPr>
                  <w:noProof/>
                  <w:sz w:val="22"/>
                  <w:szCs w:val="22"/>
                  <w:lang w:val="it-IT"/>
                </w:rPr>
                <w:t xml:space="preserve"> </w:t>
              </w:r>
            </w:ins>
            <w:r>
              <w:rPr>
                <w:noProof/>
                <w:sz w:val="22"/>
                <w:szCs w:val="22"/>
                <w:lang w:val="it-IT"/>
              </w:rPr>
              <w:t>0,5</w:t>
            </w:r>
          </w:p>
        </w:tc>
        <w:tc>
          <w:tcPr>
            <w:tcW w:w="6912" w:type="dxa"/>
            <w:tcPrChange w:id="3096" w:author="Author">
              <w:tcPr>
                <w:tcW w:w="8040" w:type="dxa"/>
              </w:tcPr>
            </w:tcPrChange>
          </w:tcPr>
          <w:p>
            <w:pPr>
              <w:pStyle w:val="TextTi12"/>
              <w:tabs>
                <w:tab w:val="left" w:pos="180"/>
              </w:tabs>
              <w:suppressAutoHyphens/>
              <w:spacing w:after="0" w:line="240" w:lineRule="auto"/>
              <w:jc w:val="left"/>
              <w:rPr>
                <w:rFonts w:eastAsia="MS Mincho"/>
                <w:noProof/>
                <w:sz w:val="22"/>
                <w:szCs w:val="22"/>
                <w:lang w:val="it-IT"/>
              </w:rPr>
              <w:pPrChange w:id="3097" w:author="Author">
                <w:pPr>
                  <w:pStyle w:val="TextTi12"/>
                  <w:tabs>
                    <w:tab w:val="left" w:pos="180"/>
                  </w:tabs>
                </w:pPr>
              </w:pPrChange>
            </w:pPr>
            <w:r>
              <w:rPr>
                <w:noProof/>
                <w:sz w:val="22"/>
                <w:szCs w:val="22"/>
                <w:lang w:val="it-IT"/>
              </w:rPr>
              <w:t>Sospendere il trattamento.</w:t>
            </w:r>
          </w:p>
        </w:tc>
      </w:tr>
    </w:tbl>
    <w:p>
      <w:pPr>
        <w:tabs>
          <w:tab w:val="left" w:pos="180"/>
        </w:tabs>
        <w:rPr>
          <w:noProof/>
          <w:lang w:val="it-IT"/>
        </w:rPr>
      </w:pPr>
    </w:p>
    <w:p>
      <w:pPr>
        <w:keepNext/>
        <w:keepLines/>
        <w:tabs>
          <w:tab w:val="left" w:pos="567"/>
        </w:tabs>
        <w:rPr>
          <w:noProof/>
          <w:lang w:val="it-IT"/>
        </w:rPr>
      </w:pPr>
      <w:r>
        <w:rPr>
          <w:noProof/>
          <w:lang w:val="it-IT"/>
        </w:rPr>
        <w:sym w:font="Symbol" w:char="F0B7"/>
      </w:r>
      <w:r>
        <w:rPr>
          <w:noProof/>
          <w:lang w:val="it-IT"/>
        </w:rPr>
        <w:tab/>
        <w:t>Bassa conta piastrinica</w:t>
      </w:r>
    </w:p>
    <w:p>
      <w:pPr>
        <w:keepNext/>
        <w:keepLines/>
        <w:tabs>
          <w:tab w:val="left" w:pos="180"/>
        </w:tabs>
        <w:rPr>
          <w:noProof/>
          <w:lang w:val="it-IT"/>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3098"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55"/>
        <w:gridCol w:w="6912"/>
        <w:tblGridChange w:id="3099">
          <w:tblGrid>
            <w:gridCol w:w="1917"/>
            <w:gridCol w:w="7144"/>
          </w:tblGrid>
        </w:tblGridChange>
      </w:tblGrid>
      <w:tr>
        <w:trPr>
          <w:cantSplit/>
        </w:trPr>
        <w:tc>
          <w:tcPr>
            <w:tcW w:w="2155" w:type="dxa"/>
            <w:tcPrChange w:id="3100" w:author="Author">
              <w:tcPr>
                <w:tcW w:w="2040" w:type="dxa"/>
              </w:tcPr>
            </w:tcPrChange>
          </w:tcPr>
          <w:p>
            <w:pPr>
              <w:pStyle w:val="TextTi12"/>
              <w:keepNext/>
              <w:tabs>
                <w:tab w:val="left" w:pos="180"/>
              </w:tabs>
              <w:suppressAutoHyphens/>
              <w:spacing w:after="0" w:line="240" w:lineRule="auto"/>
              <w:jc w:val="center"/>
              <w:rPr>
                <w:rFonts w:eastAsia="MS Mincho"/>
                <w:b/>
                <w:noProof/>
                <w:sz w:val="22"/>
                <w:szCs w:val="22"/>
                <w:lang w:val="it-IT"/>
                <w:rPrChange w:id="3101" w:author="Author">
                  <w:rPr>
                    <w:rFonts w:eastAsia="MS Mincho"/>
                    <w:noProof/>
                    <w:sz w:val="22"/>
                    <w:szCs w:val="22"/>
                    <w:lang w:val="it-IT"/>
                  </w:rPr>
                </w:rPrChange>
              </w:rPr>
              <w:pPrChange w:id="3102" w:author="Author">
                <w:pPr>
                  <w:pStyle w:val="TextTi12"/>
                  <w:keepNext/>
                  <w:keepLines/>
                  <w:tabs>
                    <w:tab w:val="left" w:pos="180"/>
                  </w:tabs>
                  <w:jc w:val="center"/>
                </w:pPr>
              </w:pPrChange>
            </w:pPr>
            <w:r>
              <w:rPr>
                <w:b/>
                <w:noProof/>
                <w:sz w:val="22"/>
                <w:szCs w:val="22"/>
                <w:lang w:val="it-IT"/>
                <w:rPrChange w:id="3103" w:author="Author">
                  <w:rPr>
                    <w:noProof/>
                    <w:sz w:val="22"/>
                    <w:szCs w:val="22"/>
                    <w:lang w:val="it-IT"/>
                  </w:rPr>
                </w:rPrChange>
              </w:rPr>
              <w:t>Valori di laboratorio</w:t>
            </w:r>
            <w:r>
              <w:rPr>
                <w:b/>
                <w:noProof/>
                <w:lang w:val="it-IT"/>
                <w:rPrChange w:id="3104" w:author="Author">
                  <w:rPr>
                    <w:noProof/>
                    <w:lang w:val="it-IT"/>
                  </w:rPr>
                </w:rPrChange>
              </w:rPr>
              <w:br/>
            </w:r>
            <w:r>
              <w:rPr>
                <w:b/>
                <w:noProof/>
                <w:sz w:val="22"/>
                <w:szCs w:val="22"/>
                <w:lang w:val="it-IT"/>
                <w:rPrChange w:id="3105" w:author="Author">
                  <w:rPr>
                    <w:noProof/>
                    <w:sz w:val="22"/>
                    <w:szCs w:val="22"/>
                    <w:lang w:val="it-IT"/>
                  </w:rPr>
                </w:rPrChange>
              </w:rPr>
              <w:t xml:space="preserve">(cellule </w:t>
            </w:r>
            <w:r>
              <w:rPr>
                <w:b/>
                <w:noProof/>
                <w:sz w:val="22"/>
                <w:szCs w:val="22"/>
                <w:lang w:val="it-IT"/>
                <w:rPrChange w:id="3106" w:author="Author">
                  <w:rPr>
                    <w:noProof/>
                    <w:sz w:val="22"/>
                    <w:szCs w:val="22"/>
                    <w:lang w:val="it-IT"/>
                  </w:rPr>
                </w:rPrChange>
              </w:rPr>
              <w:sym w:font="Symbol" w:char="F0B4"/>
            </w:r>
            <w:r>
              <w:rPr>
                <w:b/>
                <w:noProof/>
                <w:sz w:val="22"/>
                <w:szCs w:val="22"/>
                <w:lang w:val="it-IT"/>
                <w:rPrChange w:id="3107" w:author="Author">
                  <w:rPr>
                    <w:noProof/>
                    <w:sz w:val="22"/>
                    <w:szCs w:val="22"/>
                    <w:lang w:val="it-IT"/>
                  </w:rPr>
                </w:rPrChange>
              </w:rPr>
              <w:t xml:space="preserve"> 10</w:t>
            </w:r>
            <w:r>
              <w:rPr>
                <w:b/>
                <w:noProof/>
                <w:sz w:val="22"/>
                <w:szCs w:val="22"/>
                <w:vertAlign w:val="superscript"/>
                <w:lang w:val="it-IT"/>
                <w:rPrChange w:id="3108" w:author="Author">
                  <w:rPr>
                    <w:noProof/>
                    <w:sz w:val="22"/>
                    <w:szCs w:val="22"/>
                    <w:vertAlign w:val="superscript"/>
                    <w:lang w:val="it-IT"/>
                  </w:rPr>
                </w:rPrChange>
              </w:rPr>
              <w:t>3</w:t>
            </w:r>
            <w:r>
              <w:rPr>
                <w:b/>
                <w:noProof/>
                <w:sz w:val="22"/>
                <w:szCs w:val="22"/>
                <w:lang w:val="it-IT"/>
                <w:rPrChange w:id="3109" w:author="Author">
                  <w:rPr>
                    <w:noProof/>
                    <w:sz w:val="22"/>
                    <w:szCs w:val="22"/>
                    <w:lang w:val="it-IT"/>
                  </w:rPr>
                </w:rPrChange>
              </w:rPr>
              <w:t>/μL)</w:t>
            </w:r>
          </w:p>
        </w:tc>
        <w:tc>
          <w:tcPr>
            <w:tcW w:w="6912" w:type="dxa"/>
            <w:tcPrChange w:id="3110" w:author="Author">
              <w:tcPr>
                <w:tcW w:w="8040" w:type="dxa"/>
              </w:tcPr>
            </w:tcPrChange>
          </w:tcPr>
          <w:p>
            <w:pPr>
              <w:pStyle w:val="TextTi12"/>
              <w:keepNext/>
              <w:tabs>
                <w:tab w:val="left" w:pos="180"/>
              </w:tabs>
              <w:suppressAutoHyphens/>
              <w:spacing w:after="0" w:line="240" w:lineRule="auto"/>
              <w:jc w:val="center"/>
              <w:rPr>
                <w:rFonts w:eastAsia="MS Mincho"/>
                <w:b/>
                <w:noProof/>
                <w:sz w:val="22"/>
                <w:szCs w:val="22"/>
                <w:lang w:val="it-IT"/>
                <w:rPrChange w:id="3111" w:author="Author">
                  <w:rPr>
                    <w:rFonts w:eastAsia="MS Mincho"/>
                    <w:noProof/>
                    <w:sz w:val="22"/>
                    <w:szCs w:val="22"/>
                    <w:lang w:val="it-IT"/>
                  </w:rPr>
                </w:rPrChange>
              </w:rPr>
              <w:pPrChange w:id="3112" w:author="Author">
                <w:pPr>
                  <w:pStyle w:val="TextTi12"/>
                  <w:keepNext/>
                  <w:keepLines/>
                  <w:tabs>
                    <w:tab w:val="left" w:pos="180"/>
                  </w:tabs>
                  <w:jc w:val="center"/>
                </w:pPr>
              </w:pPrChange>
            </w:pPr>
            <w:r>
              <w:rPr>
                <w:b/>
                <w:noProof/>
                <w:sz w:val="22"/>
                <w:szCs w:val="22"/>
                <w:lang w:val="it-IT"/>
                <w:rPrChange w:id="3113" w:author="Author">
                  <w:rPr>
                    <w:noProof/>
                    <w:sz w:val="22"/>
                    <w:szCs w:val="22"/>
                    <w:lang w:val="it-IT"/>
                  </w:rPr>
                </w:rPrChange>
              </w:rPr>
              <w:t>Azione</w:t>
            </w:r>
          </w:p>
        </w:tc>
      </w:tr>
      <w:tr>
        <w:trPr>
          <w:cantSplit/>
        </w:trPr>
        <w:tc>
          <w:tcPr>
            <w:tcW w:w="2155" w:type="dxa"/>
            <w:tcPrChange w:id="3114" w:author="Author">
              <w:tcPr>
                <w:tcW w:w="2040" w:type="dxa"/>
              </w:tcPr>
            </w:tcPrChange>
          </w:tcPr>
          <w:p>
            <w:pPr>
              <w:pStyle w:val="TextTi12"/>
              <w:keepNext/>
              <w:tabs>
                <w:tab w:val="left" w:pos="180"/>
              </w:tabs>
              <w:suppressAutoHyphens/>
              <w:spacing w:after="0" w:line="240" w:lineRule="auto"/>
              <w:jc w:val="left"/>
              <w:rPr>
                <w:rFonts w:eastAsia="MS Mincho"/>
                <w:noProof/>
                <w:sz w:val="22"/>
                <w:szCs w:val="22"/>
                <w:lang w:val="it-IT"/>
              </w:rPr>
              <w:pPrChange w:id="3115" w:author="Author">
                <w:pPr>
                  <w:pStyle w:val="TextTi12"/>
                  <w:keepNext/>
                  <w:keepLines/>
                  <w:tabs>
                    <w:tab w:val="left" w:pos="180"/>
                  </w:tabs>
                </w:pPr>
              </w:pPrChange>
            </w:pPr>
            <w:r>
              <w:rPr>
                <w:noProof/>
                <w:sz w:val="22"/>
                <w:szCs w:val="22"/>
                <w:lang w:val="it-IT"/>
              </w:rPr>
              <w:t>Da 50 a 100</w:t>
            </w:r>
          </w:p>
        </w:tc>
        <w:tc>
          <w:tcPr>
            <w:tcW w:w="6912" w:type="dxa"/>
            <w:tcPrChange w:id="3116" w:author="Author">
              <w:tcPr>
                <w:tcW w:w="8040" w:type="dxa"/>
              </w:tcPr>
            </w:tcPrChange>
          </w:tcPr>
          <w:p>
            <w:pPr>
              <w:pStyle w:val="TextTi12"/>
              <w:keepNext/>
              <w:tabs>
                <w:tab w:val="left" w:pos="180"/>
              </w:tabs>
              <w:suppressAutoHyphens/>
              <w:spacing w:after="0" w:line="240" w:lineRule="auto"/>
              <w:jc w:val="left"/>
              <w:rPr>
                <w:ins w:id="3117" w:author="Author"/>
                <w:noProof/>
                <w:sz w:val="22"/>
                <w:szCs w:val="22"/>
                <w:lang w:val="it-IT"/>
              </w:rPr>
            </w:pPr>
            <w:r>
              <w:rPr>
                <w:noProof/>
                <w:sz w:val="22"/>
                <w:szCs w:val="22"/>
                <w:lang w:val="it-IT"/>
              </w:rPr>
              <w:t>Interrompere la somministrazione di tocilizumaab.</w:t>
            </w:r>
          </w:p>
          <w:p>
            <w:pPr>
              <w:pStyle w:val="TextTi12"/>
              <w:keepNext/>
              <w:tabs>
                <w:tab w:val="left" w:pos="180"/>
              </w:tabs>
              <w:suppressAutoHyphens/>
              <w:spacing w:after="0" w:line="240" w:lineRule="auto"/>
              <w:jc w:val="left"/>
              <w:rPr>
                <w:rFonts w:eastAsia="MS Mincho"/>
                <w:noProof/>
                <w:sz w:val="22"/>
                <w:szCs w:val="22"/>
                <w:lang w:val="it-IT"/>
              </w:rPr>
              <w:pPrChange w:id="3118" w:author="Author">
                <w:pPr>
                  <w:pStyle w:val="TextTi12"/>
                  <w:keepNext/>
                  <w:keepLines/>
                  <w:tabs>
                    <w:tab w:val="left" w:pos="180"/>
                  </w:tabs>
                </w:pPr>
              </w:pPrChange>
            </w:pPr>
          </w:p>
          <w:p>
            <w:pPr>
              <w:pStyle w:val="TextTi12"/>
              <w:keepNext/>
              <w:tabs>
                <w:tab w:val="left" w:pos="180"/>
              </w:tabs>
              <w:suppressAutoHyphens/>
              <w:spacing w:after="0" w:line="240" w:lineRule="auto"/>
              <w:jc w:val="left"/>
              <w:rPr>
                <w:rFonts w:eastAsia="MS Mincho"/>
                <w:noProof/>
                <w:sz w:val="22"/>
                <w:szCs w:val="22"/>
                <w:lang w:val="it-IT"/>
              </w:rPr>
              <w:pPrChange w:id="3119" w:author="Author">
                <w:pPr>
                  <w:pStyle w:val="TextTi12"/>
                  <w:keepNext/>
                  <w:keepLines/>
                  <w:tabs>
                    <w:tab w:val="left" w:pos="180"/>
                  </w:tabs>
                </w:pPr>
              </w:pPrChange>
            </w:pPr>
            <w:r>
              <w:rPr>
                <w:noProof/>
                <w:sz w:val="22"/>
                <w:szCs w:val="22"/>
                <w:lang w:val="it-IT"/>
              </w:rPr>
              <w:t xml:space="preserve">Quando la conta piastrinica è </w:t>
            </w:r>
            <w:r>
              <w:rPr>
                <w:noProof/>
                <w:sz w:val="22"/>
                <w:szCs w:val="22"/>
                <w:lang w:val="it-IT"/>
              </w:rPr>
              <w:sym w:font="Symbol" w:char="F03E"/>
            </w:r>
            <w:r>
              <w:rPr>
                <w:noProof/>
                <w:sz w:val="22"/>
                <w:szCs w:val="22"/>
                <w:lang w:val="it-IT"/>
              </w:rPr>
              <w:t xml:space="preserve">100 </w:t>
            </w:r>
            <w:r>
              <w:rPr>
                <w:noProof/>
                <w:sz w:val="22"/>
                <w:szCs w:val="22"/>
                <w:lang w:val="it-IT"/>
              </w:rPr>
              <w:sym w:font="Symbol" w:char="F0B4"/>
            </w:r>
            <w:r>
              <w:rPr>
                <w:noProof/>
                <w:sz w:val="22"/>
                <w:szCs w:val="22"/>
                <w:lang w:val="it-IT"/>
              </w:rPr>
              <w:t xml:space="preserve"> 10</w:t>
            </w:r>
            <w:r>
              <w:rPr>
                <w:noProof/>
                <w:sz w:val="22"/>
                <w:szCs w:val="22"/>
                <w:vertAlign w:val="superscript"/>
                <w:lang w:val="it-IT"/>
              </w:rPr>
              <w:t>3</w:t>
            </w:r>
            <w:r>
              <w:rPr>
                <w:noProof/>
                <w:sz w:val="22"/>
                <w:szCs w:val="22"/>
                <w:lang w:val="it-IT"/>
              </w:rPr>
              <w:t>/μl riprendere il trattamento alla dose di una volta ogni due settimane e aumentarla a una volta a settimana secondo quanto clinicamente appropriato.</w:t>
            </w:r>
          </w:p>
        </w:tc>
      </w:tr>
      <w:tr>
        <w:trPr>
          <w:cantSplit/>
        </w:trPr>
        <w:tc>
          <w:tcPr>
            <w:tcW w:w="2155" w:type="dxa"/>
            <w:tcPrChange w:id="3120" w:author="Author">
              <w:tcPr>
                <w:tcW w:w="2040" w:type="dxa"/>
              </w:tcPr>
            </w:tcPrChange>
          </w:tcPr>
          <w:p>
            <w:pPr>
              <w:pStyle w:val="TextTi12"/>
              <w:tabs>
                <w:tab w:val="left" w:pos="180"/>
              </w:tabs>
              <w:suppressAutoHyphens/>
              <w:spacing w:after="0" w:line="240" w:lineRule="auto"/>
              <w:jc w:val="left"/>
              <w:rPr>
                <w:rFonts w:eastAsia="MS Mincho"/>
                <w:noProof/>
                <w:sz w:val="22"/>
                <w:szCs w:val="22"/>
                <w:lang w:val="it-IT"/>
              </w:rPr>
              <w:pPrChange w:id="3121" w:author="Author">
                <w:pPr>
                  <w:pStyle w:val="TextTi12"/>
                  <w:tabs>
                    <w:tab w:val="left" w:pos="180"/>
                  </w:tabs>
                </w:pPr>
              </w:pPrChange>
            </w:pPr>
            <w:r>
              <w:rPr>
                <w:noProof/>
                <w:sz w:val="22"/>
                <w:szCs w:val="22"/>
                <w:lang w:val="it-IT"/>
              </w:rPr>
              <w:sym w:font="Symbol" w:char="F03C"/>
            </w:r>
            <w:ins w:id="3122" w:author="Author">
              <w:r>
                <w:rPr>
                  <w:noProof/>
                  <w:sz w:val="22"/>
                  <w:szCs w:val="22"/>
                  <w:lang w:val="it-IT"/>
                </w:rPr>
                <w:t xml:space="preserve"> </w:t>
              </w:r>
            </w:ins>
            <w:r>
              <w:rPr>
                <w:noProof/>
                <w:sz w:val="22"/>
                <w:szCs w:val="22"/>
                <w:lang w:val="it-IT"/>
              </w:rPr>
              <w:t>50</w:t>
            </w:r>
          </w:p>
        </w:tc>
        <w:tc>
          <w:tcPr>
            <w:tcW w:w="6912" w:type="dxa"/>
            <w:tcPrChange w:id="3123" w:author="Author">
              <w:tcPr>
                <w:tcW w:w="8040" w:type="dxa"/>
              </w:tcPr>
            </w:tcPrChange>
          </w:tcPr>
          <w:p>
            <w:pPr>
              <w:pStyle w:val="TextTi12"/>
              <w:tabs>
                <w:tab w:val="left" w:pos="180"/>
              </w:tabs>
              <w:suppressAutoHyphens/>
              <w:spacing w:after="0" w:line="240" w:lineRule="auto"/>
              <w:jc w:val="left"/>
              <w:rPr>
                <w:rFonts w:eastAsia="MS Mincho"/>
                <w:noProof/>
                <w:sz w:val="22"/>
                <w:szCs w:val="22"/>
                <w:lang w:val="it-IT"/>
              </w:rPr>
              <w:pPrChange w:id="3124" w:author="Author">
                <w:pPr>
                  <w:pStyle w:val="TextTi12"/>
                  <w:tabs>
                    <w:tab w:val="left" w:pos="180"/>
                  </w:tabs>
                </w:pPr>
              </w:pPrChange>
            </w:pPr>
            <w:r>
              <w:rPr>
                <w:noProof/>
                <w:sz w:val="22"/>
                <w:szCs w:val="22"/>
                <w:lang w:val="it-IT"/>
              </w:rPr>
              <w:t>Sospendere il trattamento.</w:t>
            </w:r>
          </w:p>
        </w:tc>
      </w:tr>
    </w:tbl>
    <w:p>
      <w:pPr>
        <w:tabs>
          <w:tab w:val="left" w:pos="180"/>
        </w:tabs>
        <w:ind w:left="567" w:hanging="567"/>
        <w:rPr>
          <w:bCs/>
          <w:noProof/>
          <w:u w:val="single"/>
          <w:lang w:val="it-IT"/>
        </w:rPr>
      </w:pPr>
    </w:p>
    <w:p>
      <w:pPr>
        <w:keepNext/>
        <w:tabs>
          <w:tab w:val="left" w:pos="180"/>
        </w:tabs>
        <w:ind w:left="567" w:hanging="567"/>
        <w:rPr>
          <w:bCs/>
          <w:i/>
          <w:iCs/>
          <w:noProof/>
          <w:lang w:val="it-IT"/>
          <w:rPrChange w:id="3125" w:author="Author">
            <w:rPr>
              <w:bCs/>
              <w:u w:val="single"/>
              <w:lang w:val="it-IT"/>
            </w:rPr>
          </w:rPrChange>
        </w:rPr>
        <w:pPrChange w:id="3126" w:author="Author">
          <w:pPr>
            <w:tabs>
              <w:tab w:val="left" w:pos="180"/>
            </w:tabs>
            <w:ind w:left="567" w:hanging="567"/>
          </w:pPr>
        </w:pPrChange>
      </w:pPr>
      <w:ins w:id="3127" w:author="Author">
        <w:r>
          <w:rPr>
            <w:bCs/>
            <w:i/>
            <w:iCs/>
            <w:noProof/>
            <w:lang w:val="it-IT"/>
            <w:rPrChange w:id="3128" w:author="Author">
              <w:rPr>
                <w:bCs/>
                <w:u w:val="single"/>
                <w:lang w:val="it-IT"/>
              </w:rPr>
            </w:rPrChange>
          </w:rPr>
          <w:lastRenderedPageBreak/>
          <w:t xml:space="preserve">Pazienti affetti da </w:t>
        </w:r>
      </w:ins>
      <w:r>
        <w:rPr>
          <w:bCs/>
          <w:i/>
          <w:iCs/>
          <w:noProof/>
          <w:lang w:val="it-IT"/>
          <w:rPrChange w:id="3129" w:author="Author">
            <w:rPr>
              <w:bCs/>
              <w:u w:val="single"/>
              <w:lang w:val="it-IT"/>
            </w:rPr>
          </w:rPrChange>
        </w:rPr>
        <w:t>AR e ACG</w:t>
      </w:r>
    </w:p>
    <w:p>
      <w:pPr>
        <w:keepNext/>
        <w:tabs>
          <w:tab w:val="left" w:pos="180"/>
        </w:tabs>
        <w:ind w:left="567" w:hanging="567"/>
        <w:rPr>
          <w:ins w:id="3130" w:author="Author"/>
          <w:bCs/>
          <w:i/>
          <w:iCs/>
          <w:noProof/>
          <w:u w:val="single"/>
          <w:lang w:val="it-IT"/>
        </w:rPr>
      </w:pPr>
    </w:p>
    <w:p>
      <w:pPr>
        <w:keepNext/>
        <w:tabs>
          <w:tab w:val="left" w:pos="180"/>
        </w:tabs>
        <w:ind w:left="567" w:hanging="567"/>
        <w:rPr>
          <w:bCs/>
          <w:i/>
          <w:iCs/>
          <w:noProof/>
          <w:u w:val="single"/>
          <w:lang w:val="it-IT"/>
        </w:rPr>
        <w:pPrChange w:id="3131" w:author="Author">
          <w:pPr>
            <w:tabs>
              <w:tab w:val="left" w:pos="180"/>
            </w:tabs>
            <w:ind w:left="567" w:hanging="567"/>
          </w:pPr>
        </w:pPrChange>
      </w:pPr>
      <w:r>
        <w:rPr>
          <w:bCs/>
          <w:i/>
          <w:iCs/>
          <w:noProof/>
          <w:u w:val="single"/>
          <w:lang w:val="it-IT"/>
        </w:rPr>
        <w:t>Dose dimenticata</w:t>
      </w:r>
    </w:p>
    <w:p>
      <w:pPr>
        <w:keepLines/>
        <w:tabs>
          <w:tab w:val="left" w:pos="180"/>
        </w:tabs>
        <w:rPr>
          <w:ins w:id="3132" w:author="Author"/>
          <w:noProof/>
          <w:szCs w:val="22"/>
          <w:lang w:val="it-IT"/>
        </w:rPr>
      </w:pPr>
      <w:r>
        <w:rPr>
          <w:noProof/>
          <w:szCs w:val="22"/>
          <w:lang w:val="it-IT"/>
        </w:rPr>
        <w:t xml:space="preserve">Se un paziente che sta assumendo </w:t>
      </w:r>
      <w:del w:id="3133" w:author="Author">
        <w:r>
          <w:rPr>
            <w:noProof/>
            <w:szCs w:val="22"/>
            <w:lang w:val="it-IT"/>
          </w:rPr>
          <w:delText xml:space="preserve">settimanalmente </w:delText>
        </w:r>
      </w:del>
      <w:r>
        <w:rPr>
          <w:noProof/>
          <w:szCs w:val="22"/>
          <w:lang w:val="it-IT"/>
        </w:rPr>
        <w:t>tocilizumab</w:t>
      </w:r>
      <w:ins w:id="3134" w:author="Author">
        <w:r>
          <w:rPr>
            <w:noProof/>
            <w:szCs w:val="22"/>
            <w:lang w:val="it-IT"/>
          </w:rPr>
          <w:t xml:space="preserve"> una volta a settimana</w:t>
        </w:r>
      </w:ins>
      <w:del w:id="3135" w:author="Author">
        <w:r>
          <w:rPr>
            <w:noProof/>
            <w:szCs w:val="22"/>
            <w:lang w:val="it-IT"/>
          </w:rPr>
          <w:delText xml:space="preserve"> </w:delText>
        </w:r>
      </w:del>
      <w:r>
        <w:rPr>
          <w:noProof/>
          <w:szCs w:val="22"/>
          <w:lang w:val="it-IT"/>
        </w:rPr>
        <w:t xml:space="preserve"> salta un</w:t>
      </w:r>
      <w:ins w:id="3136" w:author="Author">
        <w:r>
          <w:rPr>
            <w:noProof/>
            <w:szCs w:val="22"/>
            <w:lang w:val="it-IT"/>
          </w:rPr>
          <w:t>’</w:t>
        </w:r>
      </w:ins>
      <w:del w:id="3137" w:author="Author">
        <w:r>
          <w:rPr>
            <w:noProof/>
            <w:szCs w:val="22"/>
            <w:lang w:val="it-IT"/>
          </w:rPr>
          <w:delText xml:space="preserve">a </w:delText>
        </w:r>
      </w:del>
      <w:r>
        <w:rPr>
          <w:noProof/>
          <w:szCs w:val="22"/>
          <w:lang w:val="it-IT"/>
        </w:rPr>
        <w:t xml:space="preserve">iniezione sottocutanea </w:t>
      </w:r>
      <w:ins w:id="3138" w:author="Author">
        <w:r>
          <w:rPr>
            <w:rFonts w:eastAsia="Calibri"/>
            <w:noProof/>
            <w:szCs w:val="22"/>
            <w:lang w:val="it-IT" w:eastAsia="en-US"/>
          </w:rPr>
          <w:t xml:space="preserve">e sono trascorsi meno di 7 giorni dalla dose </w:t>
        </w:r>
      </w:ins>
      <w:del w:id="3139" w:author="Author">
        <w:r>
          <w:rPr>
            <w:noProof/>
            <w:szCs w:val="22"/>
            <w:lang w:val="it-IT"/>
          </w:rPr>
          <w:delText xml:space="preserve">entro 7 giorni dalla somministrazione </w:delText>
        </w:r>
      </w:del>
      <w:r>
        <w:rPr>
          <w:noProof/>
          <w:szCs w:val="22"/>
          <w:lang w:val="it-IT"/>
        </w:rPr>
        <w:t xml:space="preserve">prevista, </w:t>
      </w:r>
      <w:del w:id="3140" w:author="Author">
        <w:r>
          <w:rPr>
            <w:noProof/>
            <w:szCs w:val="22"/>
            <w:lang w:val="it-IT"/>
          </w:rPr>
          <w:delText xml:space="preserve">questi </w:delText>
        </w:r>
      </w:del>
      <w:ins w:id="3141" w:author="Author">
        <w:r>
          <w:rPr>
            <w:noProof/>
            <w:szCs w:val="22"/>
            <w:lang w:val="it-IT"/>
          </w:rPr>
          <w:t xml:space="preserve">il paziente </w:t>
        </w:r>
      </w:ins>
      <w:r>
        <w:rPr>
          <w:noProof/>
          <w:szCs w:val="22"/>
          <w:lang w:val="it-IT"/>
        </w:rPr>
        <w:t xml:space="preserve">deve essere istruito ad assumere direttamente la dose programmata successiva. </w:t>
      </w:r>
    </w:p>
    <w:p>
      <w:pPr>
        <w:keepLines/>
        <w:tabs>
          <w:tab w:val="left" w:pos="180"/>
        </w:tabs>
        <w:rPr>
          <w:noProof/>
          <w:szCs w:val="22"/>
          <w:lang w:val="it-IT"/>
        </w:rPr>
        <w:pPrChange w:id="3142" w:author="Author">
          <w:pPr>
            <w:tabs>
              <w:tab w:val="left" w:pos="180"/>
            </w:tabs>
          </w:pPr>
        </w:pPrChange>
      </w:pPr>
      <w:r>
        <w:rPr>
          <w:noProof/>
          <w:szCs w:val="22"/>
          <w:lang w:val="it-IT"/>
        </w:rPr>
        <w:t>Se un paziente che sta assumendo tocilizumab</w:t>
      </w:r>
      <w:del w:id="3143" w:author="Author">
        <w:r>
          <w:rPr>
            <w:noProof/>
            <w:szCs w:val="22"/>
            <w:lang w:val="it-IT"/>
          </w:rPr>
          <w:delText xml:space="preserve"> </w:delText>
        </w:r>
      </w:del>
      <w:r>
        <w:rPr>
          <w:noProof/>
          <w:szCs w:val="22"/>
          <w:lang w:val="it-IT"/>
        </w:rPr>
        <w:t xml:space="preserve"> </w:t>
      </w:r>
      <w:ins w:id="3144" w:author="Author">
        <w:r>
          <w:rPr>
            <w:noProof/>
            <w:szCs w:val="22"/>
            <w:lang w:val="it-IT"/>
          </w:rPr>
          <w:t xml:space="preserve">ogni due </w:t>
        </w:r>
      </w:ins>
      <w:del w:id="3145" w:author="Author">
        <w:r>
          <w:rPr>
            <w:noProof/>
            <w:szCs w:val="22"/>
            <w:lang w:val="it-IT"/>
          </w:rPr>
          <w:delText>a</w:delText>
        </w:r>
      </w:del>
      <w:r>
        <w:rPr>
          <w:noProof/>
          <w:szCs w:val="22"/>
          <w:lang w:val="it-IT"/>
        </w:rPr>
        <w:t xml:space="preserve"> settimane </w:t>
      </w:r>
      <w:del w:id="3146" w:author="Author">
        <w:r>
          <w:rPr>
            <w:noProof/>
            <w:szCs w:val="22"/>
            <w:lang w:val="it-IT"/>
          </w:rPr>
          <w:delText xml:space="preserve">alterne </w:delText>
        </w:r>
      </w:del>
      <w:r>
        <w:rPr>
          <w:noProof/>
          <w:szCs w:val="22"/>
          <w:lang w:val="it-IT"/>
        </w:rPr>
        <w:t>dimentica un</w:t>
      </w:r>
      <w:ins w:id="3147" w:author="Author">
        <w:r>
          <w:rPr>
            <w:noProof/>
            <w:szCs w:val="22"/>
            <w:lang w:val="it-IT"/>
          </w:rPr>
          <w:t>’</w:t>
        </w:r>
      </w:ins>
      <w:del w:id="3148" w:author="Author">
        <w:r>
          <w:rPr>
            <w:noProof/>
            <w:szCs w:val="22"/>
            <w:lang w:val="it-IT"/>
          </w:rPr>
          <w:delText xml:space="preserve">a </w:delText>
        </w:r>
      </w:del>
      <w:r>
        <w:rPr>
          <w:noProof/>
          <w:szCs w:val="22"/>
          <w:lang w:val="it-IT"/>
        </w:rPr>
        <w:t xml:space="preserve">iniezione sottocutanea </w:t>
      </w:r>
      <w:ins w:id="3149" w:author="Author">
        <w:r>
          <w:rPr>
            <w:rFonts w:eastAsia="Calibri"/>
            <w:noProof/>
            <w:szCs w:val="22"/>
            <w:lang w:val="it-IT" w:eastAsia="en-US"/>
          </w:rPr>
          <w:t xml:space="preserve">e sono trascorsi meno di 7 giorni dalla dose </w:t>
        </w:r>
      </w:ins>
      <w:del w:id="3150" w:author="Author">
        <w:r>
          <w:rPr>
            <w:noProof/>
            <w:szCs w:val="22"/>
            <w:lang w:val="it-IT"/>
          </w:rPr>
          <w:delText xml:space="preserve">entro 7 giorni dalla somministrazione </w:delText>
        </w:r>
      </w:del>
      <w:r>
        <w:rPr>
          <w:noProof/>
          <w:szCs w:val="22"/>
          <w:lang w:val="it-IT"/>
        </w:rPr>
        <w:t xml:space="preserve">prevista, </w:t>
      </w:r>
      <w:del w:id="3151" w:author="Author">
        <w:r>
          <w:rPr>
            <w:noProof/>
            <w:szCs w:val="22"/>
            <w:lang w:val="it-IT"/>
          </w:rPr>
          <w:delText xml:space="preserve">questi </w:delText>
        </w:r>
      </w:del>
      <w:ins w:id="3152" w:author="Author">
        <w:r>
          <w:rPr>
            <w:noProof/>
            <w:szCs w:val="22"/>
            <w:lang w:val="it-IT"/>
          </w:rPr>
          <w:t xml:space="preserve">il paziente </w:t>
        </w:r>
      </w:ins>
      <w:r>
        <w:rPr>
          <w:noProof/>
          <w:szCs w:val="22"/>
          <w:lang w:val="it-IT"/>
        </w:rPr>
        <w:t>deve essere istruito ad assumere la dose dimenticata immediatamente e quelle successive come programmato.</w:t>
      </w:r>
    </w:p>
    <w:p>
      <w:pPr>
        <w:tabs>
          <w:tab w:val="left" w:pos="180"/>
        </w:tabs>
        <w:ind w:left="567" w:hanging="567"/>
        <w:rPr>
          <w:noProof/>
          <w:szCs w:val="22"/>
          <w:lang w:val="it-IT"/>
        </w:rPr>
      </w:pPr>
    </w:p>
    <w:p>
      <w:pPr>
        <w:tabs>
          <w:tab w:val="left" w:pos="180"/>
        </w:tabs>
        <w:ind w:left="567" w:hanging="567"/>
        <w:rPr>
          <w:del w:id="3153" w:author="Author"/>
          <w:bCs/>
          <w:noProof/>
          <w:u w:val="single"/>
          <w:lang w:val="it-IT"/>
        </w:rPr>
      </w:pPr>
      <w:r>
        <w:rPr>
          <w:bCs/>
          <w:noProof/>
          <w:u w:val="single"/>
          <w:lang w:val="it-IT"/>
        </w:rPr>
        <w:t xml:space="preserve">Popolazioni </w:t>
      </w:r>
      <w:del w:id="3154" w:author="Author">
        <w:r>
          <w:rPr>
            <w:bCs/>
            <w:noProof/>
            <w:u w:val="single"/>
            <w:lang w:val="it-IT"/>
          </w:rPr>
          <w:delText>particolari</w:delText>
        </w:r>
      </w:del>
      <w:ins w:id="3155" w:author="Author">
        <w:r>
          <w:rPr>
            <w:bCs/>
            <w:noProof/>
            <w:u w:val="single"/>
            <w:lang w:val="it-IT"/>
          </w:rPr>
          <w:t>speciali</w:t>
        </w:r>
      </w:ins>
    </w:p>
    <w:p>
      <w:pPr>
        <w:tabs>
          <w:tab w:val="left" w:pos="180"/>
        </w:tabs>
        <w:ind w:left="567" w:hanging="567"/>
        <w:rPr>
          <w:noProof/>
          <w:lang w:val="it-IT"/>
        </w:rPr>
      </w:pPr>
    </w:p>
    <w:p>
      <w:pPr>
        <w:tabs>
          <w:tab w:val="left" w:pos="180"/>
        </w:tabs>
        <w:ind w:left="567" w:hanging="567"/>
        <w:rPr>
          <w:i/>
          <w:noProof/>
          <w:lang w:val="it-IT"/>
        </w:rPr>
      </w:pPr>
      <w:r>
        <w:rPr>
          <w:i/>
          <w:noProof/>
          <w:lang w:val="it-IT"/>
        </w:rPr>
        <w:t>Anziani</w:t>
      </w:r>
    </w:p>
    <w:p>
      <w:pPr>
        <w:tabs>
          <w:tab w:val="left" w:pos="180"/>
        </w:tabs>
        <w:ind w:left="567" w:hanging="567"/>
        <w:rPr>
          <w:noProof/>
          <w:lang w:val="it-IT"/>
        </w:rPr>
      </w:pPr>
      <w:r>
        <w:rPr>
          <w:noProof/>
          <w:lang w:val="it-IT"/>
        </w:rPr>
        <w:t>Non è necessario effettuare alcun</w:t>
      </w:r>
      <w:ins w:id="3156" w:author="Author">
        <w:r>
          <w:rPr>
            <w:noProof/>
            <w:lang w:val="it-IT"/>
          </w:rPr>
          <w:t xml:space="preserve"> aggiustamento</w:t>
        </w:r>
      </w:ins>
      <w:del w:id="3157" w:author="Author">
        <w:r>
          <w:rPr>
            <w:noProof/>
            <w:lang w:val="it-IT"/>
          </w:rPr>
          <w:delText>a correzione</w:delText>
        </w:r>
      </w:del>
      <w:r>
        <w:rPr>
          <w:noProof/>
          <w:lang w:val="it-IT"/>
        </w:rPr>
        <w:t xml:space="preserve"> del dosaggio in pazienti anziani di età &gt; 65 anni. </w:t>
      </w:r>
    </w:p>
    <w:p>
      <w:pPr>
        <w:tabs>
          <w:tab w:val="left" w:pos="180"/>
        </w:tabs>
        <w:ind w:left="567" w:hanging="567"/>
        <w:rPr>
          <w:noProof/>
          <w:lang w:val="it-IT"/>
        </w:rPr>
      </w:pPr>
    </w:p>
    <w:p>
      <w:pPr>
        <w:tabs>
          <w:tab w:val="left" w:pos="180"/>
        </w:tabs>
        <w:ind w:left="567" w:hanging="567"/>
        <w:rPr>
          <w:i/>
          <w:noProof/>
          <w:lang w:val="it-IT"/>
        </w:rPr>
      </w:pPr>
      <w:r>
        <w:rPr>
          <w:i/>
          <w:noProof/>
          <w:lang w:val="it-IT"/>
        </w:rPr>
        <w:t>Compromissione renale</w:t>
      </w:r>
      <w:del w:id="3158" w:author="Author">
        <w:r>
          <w:rPr>
            <w:i/>
            <w:noProof/>
            <w:lang w:val="it-IT"/>
          </w:rPr>
          <w:delText>:</w:delText>
        </w:r>
      </w:del>
      <w:r>
        <w:rPr>
          <w:i/>
          <w:noProof/>
          <w:lang w:val="it-IT"/>
        </w:rPr>
        <w:t xml:space="preserve"> </w:t>
      </w:r>
    </w:p>
    <w:p>
      <w:pPr>
        <w:tabs>
          <w:tab w:val="left" w:pos="180"/>
        </w:tabs>
        <w:rPr>
          <w:noProof/>
          <w:szCs w:val="22"/>
          <w:lang w:val="it-IT"/>
        </w:rPr>
      </w:pPr>
      <w:r>
        <w:rPr>
          <w:noProof/>
          <w:lang w:val="it-IT"/>
        </w:rPr>
        <w:t>Non è necessario effettuare alcun</w:t>
      </w:r>
      <w:ins w:id="3159" w:author="Author">
        <w:r>
          <w:rPr>
            <w:noProof/>
            <w:lang w:val="it-IT"/>
          </w:rPr>
          <w:t xml:space="preserve"> aggiustamento </w:t>
        </w:r>
      </w:ins>
      <w:del w:id="3160" w:author="Author">
        <w:r>
          <w:rPr>
            <w:noProof/>
            <w:lang w:val="it-IT"/>
          </w:rPr>
          <w:delText>a correzione</w:delText>
        </w:r>
      </w:del>
      <w:r>
        <w:rPr>
          <w:noProof/>
          <w:lang w:val="it-IT"/>
        </w:rPr>
        <w:t xml:space="preserve"> del dosaggio nei pazienti con compromissione renale lieve o moderata</w:t>
      </w:r>
      <w:r>
        <w:rPr>
          <w:noProof/>
          <w:szCs w:val="22"/>
          <w:lang w:val="it-IT"/>
        </w:rPr>
        <w:t xml:space="preserve">. Tocilizumab non è stato studiato in pazienti con compromissione renale severa </w:t>
      </w:r>
      <w:r>
        <w:rPr>
          <w:noProof/>
          <w:lang w:val="it-IT"/>
        </w:rPr>
        <w:t xml:space="preserve">(vedere paragrafo 5.2). La funzionalità renale deve essere attentamente monitorata in questi pazienti. </w:t>
      </w:r>
    </w:p>
    <w:p>
      <w:pPr>
        <w:tabs>
          <w:tab w:val="left" w:pos="180"/>
        </w:tabs>
        <w:rPr>
          <w:noProof/>
          <w:lang w:val="it-IT"/>
        </w:rPr>
      </w:pPr>
    </w:p>
    <w:p>
      <w:pPr>
        <w:tabs>
          <w:tab w:val="left" w:pos="180"/>
        </w:tabs>
        <w:rPr>
          <w:noProof/>
          <w:lang w:val="it-IT"/>
        </w:rPr>
      </w:pPr>
      <w:r>
        <w:rPr>
          <w:i/>
          <w:noProof/>
          <w:lang w:val="it-IT"/>
        </w:rPr>
        <w:t>Compromissione epatica</w:t>
      </w:r>
    </w:p>
    <w:p>
      <w:pPr>
        <w:tabs>
          <w:tab w:val="left" w:pos="180"/>
        </w:tabs>
        <w:rPr>
          <w:noProof/>
          <w:lang w:val="it-IT"/>
        </w:rPr>
      </w:pPr>
      <w:r>
        <w:rPr>
          <w:noProof/>
          <w:lang w:val="it-IT"/>
        </w:rPr>
        <w:t xml:space="preserve">Tocilizumab non è stato studiato in pazienti con compromissione epatica. Non si possono quindi fare raccomandazioni sul dosaggio. </w:t>
      </w:r>
    </w:p>
    <w:p>
      <w:pPr>
        <w:tabs>
          <w:tab w:val="left" w:pos="180"/>
        </w:tabs>
        <w:rPr>
          <w:noProof/>
          <w:lang w:val="it-IT"/>
        </w:rPr>
      </w:pPr>
    </w:p>
    <w:p>
      <w:pPr>
        <w:tabs>
          <w:tab w:val="left" w:pos="180"/>
        </w:tabs>
        <w:ind w:left="567" w:hanging="567"/>
        <w:rPr>
          <w:i/>
          <w:iCs/>
          <w:noProof/>
          <w:lang w:val="it-IT"/>
        </w:rPr>
      </w:pPr>
      <w:r>
        <w:rPr>
          <w:i/>
          <w:iCs/>
          <w:noProof/>
          <w:lang w:val="it-IT"/>
        </w:rPr>
        <w:t>Popolazione pediatrica</w:t>
      </w:r>
    </w:p>
    <w:p>
      <w:pPr>
        <w:tabs>
          <w:tab w:val="left" w:pos="180"/>
        </w:tabs>
        <w:rPr>
          <w:noProof/>
          <w:lang w:val="it-IT"/>
        </w:rPr>
      </w:pPr>
      <w:r>
        <w:rPr>
          <w:noProof/>
          <w:lang w:val="it-IT"/>
        </w:rPr>
        <w:t xml:space="preserve">La sicurezza e l’efficacia della formulazione sottocutanea di tocilizumab nei bambini con meno di 1 anno di età non sono state stabilite. Non ci sono dati disponibili. </w:t>
      </w:r>
    </w:p>
    <w:p>
      <w:pPr>
        <w:tabs>
          <w:tab w:val="left" w:pos="180"/>
        </w:tabs>
        <w:rPr>
          <w:noProof/>
          <w:lang w:val="it-IT"/>
        </w:rPr>
      </w:pPr>
    </w:p>
    <w:p>
      <w:pPr>
        <w:tabs>
          <w:tab w:val="left" w:pos="180"/>
        </w:tabs>
        <w:rPr>
          <w:noProof/>
          <w:lang w:val="it-IT"/>
        </w:rPr>
      </w:pPr>
      <w:r>
        <w:rPr>
          <w:noProof/>
          <w:lang w:val="it-IT"/>
        </w:rPr>
        <w:t>La modifica</w:t>
      </w:r>
      <w:del w:id="3161" w:author="Author">
        <w:r>
          <w:rPr>
            <w:noProof/>
            <w:lang w:val="it-IT"/>
          </w:rPr>
          <w:delText>zione</w:delText>
        </w:r>
      </w:del>
      <w:r>
        <w:rPr>
          <w:noProof/>
          <w:lang w:val="it-IT"/>
        </w:rPr>
        <w:t xml:space="preserve"> della dose deve avvenire esclusivamente sulla base di una variazione regolare del peso corporeo del paziente valutata nel tempo. Tocilizumab può essere usato in monoterapia o in </w:t>
      </w:r>
      <w:del w:id="3162" w:author="Author">
        <w:r>
          <w:rPr>
            <w:noProof/>
            <w:lang w:val="it-IT"/>
          </w:rPr>
          <w:delText xml:space="preserve">combinazione </w:delText>
        </w:r>
      </w:del>
      <w:ins w:id="3163" w:author="Author">
        <w:r>
          <w:rPr>
            <w:noProof/>
            <w:lang w:val="it-IT"/>
          </w:rPr>
          <w:t xml:space="preserve">associazione </w:t>
        </w:r>
      </w:ins>
      <w:r>
        <w:rPr>
          <w:noProof/>
          <w:lang w:val="it-IT"/>
        </w:rPr>
        <w:t>con MTX.</w:t>
      </w:r>
    </w:p>
    <w:p>
      <w:pPr>
        <w:tabs>
          <w:tab w:val="left" w:pos="180"/>
        </w:tabs>
        <w:rPr>
          <w:noProof/>
          <w:lang w:val="it-IT"/>
        </w:rPr>
      </w:pPr>
    </w:p>
    <w:p>
      <w:pPr>
        <w:tabs>
          <w:tab w:val="left" w:pos="180"/>
        </w:tabs>
        <w:rPr>
          <w:i/>
          <w:noProof/>
          <w:u w:val="single"/>
          <w:lang w:val="it-IT"/>
        </w:rPr>
      </w:pPr>
      <w:r>
        <w:rPr>
          <w:i/>
          <w:noProof/>
          <w:u w:val="single"/>
          <w:lang w:val="it-IT"/>
        </w:rPr>
        <w:t>Pazienti affetti da AIGs</w:t>
      </w:r>
    </w:p>
    <w:p>
      <w:pPr>
        <w:tabs>
          <w:tab w:val="left" w:pos="180"/>
        </w:tabs>
        <w:rPr>
          <w:noProof/>
          <w:lang w:val="it-IT"/>
        </w:rPr>
      </w:pPr>
      <w:r>
        <w:rPr>
          <w:noProof/>
          <w:lang w:val="it-IT"/>
        </w:rPr>
        <w:t>La posologia raccomandata nei pazienti di età superiore a 1 anno è di 162 mg per via sottocutanea una volta a settimana nei pazienti di peso uguale o superiore a 30 kg o di 162 mg per via sottocutanea una volta ogni 2 settimane nei pazienti di peso inferiore a 30 kg. I pazienti devono pesare almeno 10 kg durante il trattamento con tocilizumab.</w:t>
      </w:r>
    </w:p>
    <w:p>
      <w:pPr>
        <w:tabs>
          <w:tab w:val="left" w:pos="180"/>
        </w:tabs>
        <w:rPr>
          <w:noProof/>
          <w:lang w:val="it-IT"/>
        </w:rPr>
      </w:pPr>
    </w:p>
    <w:p>
      <w:pPr>
        <w:keepNext/>
        <w:keepLines/>
        <w:tabs>
          <w:tab w:val="left" w:pos="180"/>
        </w:tabs>
        <w:rPr>
          <w:i/>
          <w:noProof/>
          <w:u w:val="single"/>
          <w:lang w:val="it-IT"/>
        </w:rPr>
      </w:pPr>
      <w:r>
        <w:rPr>
          <w:i/>
          <w:noProof/>
          <w:u w:val="single"/>
          <w:lang w:val="it-IT"/>
        </w:rPr>
        <w:t>Pazienti affetti da AIGp:</w:t>
      </w:r>
    </w:p>
    <w:p>
      <w:pPr>
        <w:tabs>
          <w:tab w:val="left" w:pos="180"/>
        </w:tabs>
        <w:rPr>
          <w:noProof/>
          <w:lang w:val="it-IT"/>
        </w:rPr>
        <w:pPrChange w:id="3164" w:author="Author">
          <w:pPr>
            <w:keepNext/>
            <w:keepLines/>
            <w:tabs>
              <w:tab w:val="left" w:pos="180"/>
            </w:tabs>
          </w:pPr>
        </w:pPrChange>
      </w:pPr>
      <w:r>
        <w:rPr>
          <w:noProof/>
          <w:lang w:val="it-IT"/>
        </w:rPr>
        <w:t>La posologia raccomandata nei pazienti di età superiore a 2 anni è di 162 mg per via sottocutanea una volta ogni 2 settimane nei pazienti di peso uguale o superiore a 30 kg o di 162 mg per via sottocutanea una volta ogni 3 settimane nei pazienti di peso inferiore a 30 kg.</w:t>
      </w:r>
    </w:p>
    <w:p>
      <w:pPr>
        <w:tabs>
          <w:tab w:val="left" w:pos="180"/>
        </w:tabs>
        <w:rPr>
          <w:noProof/>
          <w:lang w:val="it-IT"/>
        </w:rPr>
        <w:pPrChange w:id="3165" w:author="Author">
          <w:pPr>
            <w:keepNext/>
            <w:keepLines/>
            <w:tabs>
              <w:tab w:val="left" w:pos="180"/>
            </w:tabs>
          </w:pPr>
        </w:pPrChange>
      </w:pPr>
    </w:p>
    <w:p>
      <w:pPr>
        <w:keepNext/>
        <w:keepLines/>
        <w:tabs>
          <w:tab w:val="left" w:pos="180"/>
        </w:tabs>
        <w:rPr>
          <w:i/>
          <w:iCs/>
          <w:noProof/>
          <w:u w:val="single"/>
          <w:lang w:val="it-IT"/>
        </w:rPr>
      </w:pPr>
      <w:r>
        <w:rPr>
          <w:i/>
          <w:iCs/>
          <w:noProof/>
          <w:u w:val="single"/>
          <w:lang w:val="it-IT"/>
        </w:rPr>
        <w:t>Pazienti affetti da AIGs e AIGp</w:t>
      </w:r>
    </w:p>
    <w:p>
      <w:pPr>
        <w:keepNext/>
        <w:keepLines/>
        <w:tabs>
          <w:tab w:val="left" w:pos="180"/>
        </w:tabs>
        <w:rPr>
          <w:del w:id="3166" w:author="Author"/>
          <w:noProof/>
          <w:lang w:val="it-IT"/>
        </w:rPr>
      </w:pPr>
      <w:r>
        <w:rPr>
          <w:noProof/>
          <w:lang w:val="it-IT"/>
        </w:rPr>
        <w:t xml:space="preserve">Aggiustamenti della dose dovuti ad anomalie di laboratorio </w:t>
      </w:r>
    </w:p>
    <w:p>
      <w:pPr>
        <w:keepNext/>
        <w:keepLines/>
        <w:tabs>
          <w:tab w:val="left" w:pos="180"/>
        </w:tabs>
        <w:rPr>
          <w:noProof/>
          <w:lang w:val="it-IT"/>
        </w:rPr>
      </w:pPr>
    </w:p>
    <w:p>
      <w:pPr>
        <w:keepNext/>
        <w:keepLines/>
        <w:tabs>
          <w:tab w:val="left" w:pos="180"/>
        </w:tabs>
        <w:rPr>
          <w:noProof/>
          <w:lang w:val="it-IT"/>
        </w:rPr>
      </w:pPr>
      <w:r>
        <w:rPr>
          <w:noProof/>
          <w:lang w:val="it-IT"/>
        </w:rPr>
        <w:t>Se appropriato, è necessario modificare la dose o interrompere la somministrazione della terapia concomitante con MTX e/o con altri medicinali e sospendere il trattamento con tocilizumab finché non sia stata valutata la situazione clinica. Poiché l’AIGs e l’AIGp si associano a molte comorbilità che possono alterare i valori di laboratorio, la decisione di interrompere il trattamento con tocilizumab per un’anomalia di laboratorio deve basarsi sulla valutazione medica del singolo paziente.</w:t>
      </w:r>
    </w:p>
    <w:p>
      <w:pPr>
        <w:ind w:left="567" w:hanging="567"/>
        <w:rPr>
          <w:noProof/>
          <w:szCs w:val="22"/>
          <w:lang w:val="it-IT"/>
        </w:rPr>
      </w:pPr>
    </w:p>
    <w:p>
      <w:pPr>
        <w:keepNext/>
        <w:keepLines/>
        <w:ind w:left="714" w:hanging="714"/>
        <w:rPr>
          <w:noProof/>
          <w:lang w:val="it-IT"/>
        </w:rPr>
      </w:pPr>
      <w:r>
        <w:rPr>
          <w:noProof/>
          <w:lang w:val="it-IT"/>
        </w:rPr>
        <w:lastRenderedPageBreak/>
        <w:sym w:font="Symbol" w:char="F0B7"/>
      </w:r>
      <w:r>
        <w:rPr>
          <w:noProof/>
          <w:lang w:val="it-IT"/>
        </w:rPr>
        <w:tab/>
      </w:r>
      <w:del w:id="3167" w:author="Author">
        <w:r>
          <w:rPr>
            <w:noProof/>
            <w:lang w:val="it-IT"/>
          </w:rPr>
          <w:delText xml:space="preserve">Anomalie </w:delText>
        </w:r>
      </w:del>
      <w:ins w:id="3168" w:author="Author">
        <w:r>
          <w:rPr>
            <w:noProof/>
            <w:lang w:val="it-IT"/>
          </w:rPr>
          <w:t xml:space="preserve">Anomalie </w:t>
        </w:r>
      </w:ins>
      <w:r>
        <w:rPr>
          <w:noProof/>
          <w:lang w:val="it-IT"/>
        </w:rPr>
        <w:t>negli enzimi epatici</w:t>
      </w:r>
    </w:p>
    <w:p>
      <w:pPr>
        <w:keepNext/>
        <w:keepLines/>
        <w:ind w:left="714" w:hanging="357"/>
        <w:rPr>
          <w:noProof/>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3169"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55"/>
        <w:gridCol w:w="6906"/>
        <w:tblGridChange w:id="3170">
          <w:tblGrid>
            <w:gridCol w:w="2086"/>
            <w:gridCol w:w="6975"/>
          </w:tblGrid>
        </w:tblGridChange>
      </w:tblGrid>
      <w:tr>
        <w:trPr>
          <w:cantSplit/>
        </w:trPr>
        <w:tc>
          <w:tcPr>
            <w:tcW w:w="1189" w:type="pct"/>
            <w:tcPrChange w:id="3171" w:author="Author">
              <w:tcPr>
                <w:tcW w:w="1151" w:type="pct"/>
              </w:tcPr>
            </w:tcPrChange>
          </w:tcPr>
          <w:p>
            <w:pPr>
              <w:pStyle w:val="TextTi12"/>
              <w:keepNext/>
              <w:suppressAutoHyphens/>
              <w:spacing w:after="0" w:line="240" w:lineRule="auto"/>
              <w:jc w:val="center"/>
              <w:rPr>
                <w:rFonts w:eastAsia="MS Mincho"/>
                <w:bCs/>
                <w:noProof/>
                <w:sz w:val="22"/>
                <w:szCs w:val="22"/>
                <w:lang w:val="it-IT"/>
                <w:rPrChange w:id="3172" w:author="Author">
                  <w:rPr>
                    <w:rFonts w:eastAsia="MS Mincho"/>
                    <w:b/>
                    <w:sz w:val="22"/>
                    <w:szCs w:val="22"/>
                    <w:lang w:val="it-IT"/>
                  </w:rPr>
                </w:rPrChange>
              </w:rPr>
              <w:pPrChange w:id="3173" w:author="Author">
                <w:pPr>
                  <w:pStyle w:val="TextTi12"/>
                  <w:keepNext/>
                  <w:keepLines/>
                  <w:jc w:val="center"/>
                </w:pPr>
              </w:pPrChange>
            </w:pPr>
            <w:r>
              <w:rPr>
                <w:rFonts w:eastAsia="MS Mincho"/>
                <w:bCs/>
                <w:noProof/>
                <w:sz w:val="22"/>
                <w:szCs w:val="22"/>
                <w:lang w:val="it-IT"/>
                <w:rPrChange w:id="3174" w:author="Author">
                  <w:rPr>
                    <w:rFonts w:eastAsia="MS Mincho"/>
                    <w:b/>
                    <w:sz w:val="22"/>
                    <w:szCs w:val="22"/>
                    <w:lang w:val="it-IT"/>
                  </w:rPr>
                </w:rPrChange>
              </w:rPr>
              <w:t>Valore di laboratorio</w:t>
            </w:r>
          </w:p>
        </w:tc>
        <w:tc>
          <w:tcPr>
            <w:tcW w:w="3811" w:type="pct"/>
            <w:tcPrChange w:id="3175" w:author="Author">
              <w:tcPr>
                <w:tcW w:w="3849" w:type="pct"/>
              </w:tcPr>
            </w:tcPrChange>
          </w:tcPr>
          <w:p>
            <w:pPr>
              <w:pStyle w:val="TextTi12"/>
              <w:keepNext/>
              <w:suppressAutoHyphens/>
              <w:spacing w:after="0" w:line="240" w:lineRule="auto"/>
              <w:jc w:val="center"/>
              <w:rPr>
                <w:rFonts w:eastAsia="MS Mincho"/>
                <w:b/>
                <w:noProof/>
                <w:sz w:val="22"/>
                <w:szCs w:val="22"/>
                <w:lang w:val="it-IT"/>
              </w:rPr>
              <w:pPrChange w:id="3176" w:author="Author">
                <w:pPr>
                  <w:pStyle w:val="TextTi12"/>
                  <w:keepNext/>
                  <w:keepLines/>
                  <w:jc w:val="center"/>
                </w:pPr>
              </w:pPrChange>
            </w:pPr>
            <w:r>
              <w:rPr>
                <w:rFonts w:eastAsia="MS Mincho"/>
                <w:b/>
                <w:noProof/>
                <w:sz w:val="22"/>
                <w:szCs w:val="22"/>
                <w:lang w:val="it-IT"/>
              </w:rPr>
              <w:t>Azione</w:t>
            </w:r>
          </w:p>
        </w:tc>
      </w:tr>
      <w:tr>
        <w:trPr>
          <w:cantSplit/>
        </w:trPr>
        <w:tc>
          <w:tcPr>
            <w:tcW w:w="1189" w:type="pct"/>
            <w:tcPrChange w:id="3177" w:author="Author">
              <w:tcPr>
                <w:tcW w:w="1151" w:type="pct"/>
              </w:tcPr>
            </w:tcPrChange>
          </w:tcPr>
          <w:p>
            <w:pPr>
              <w:pStyle w:val="TextTi12"/>
              <w:keepNext/>
              <w:suppressAutoHyphens/>
              <w:spacing w:after="0" w:line="240" w:lineRule="auto"/>
              <w:jc w:val="left"/>
              <w:rPr>
                <w:rFonts w:eastAsia="MS Mincho"/>
                <w:noProof/>
                <w:sz w:val="22"/>
                <w:szCs w:val="22"/>
                <w:lang w:val="it-IT"/>
              </w:rPr>
              <w:pPrChange w:id="3178" w:author="Author">
                <w:pPr>
                  <w:pStyle w:val="TextTi12"/>
                  <w:keepNext/>
                  <w:keepLines/>
                </w:pPr>
              </w:pPrChange>
            </w:pPr>
            <w:r>
              <w:rPr>
                <w:rFonts w:eastAsia="MS Mincho"/>
                <w:noProof/>
                <w:sz w:val="22"/>
                <w:szCs w:val="22"/>
                <w:lang w:val="it-IT"/>
              </w:rPr>
              <w:t xml:space="preserve">Da </w:t>
            </w:r>
            <w:r>
              <w:rPr>
                <w:rFonts w:eastAsia="MS Mincho"/>
                <w:noProof/>
                <w:sz w:val="22"/>
                <w:szCs w:val="22"/>
                <w:lang w:val="it-IT"/>
              </w:rPr>
              <w:sym w:font="Symbol" w:char="F03E"/>
            </w:r>
            <w:r>
              <w:rPr>
                <w:rFonts w:eastAsia="MS Mincho"/>
                <w:noProof/>
                <w:sz w:val="22"/>
                <w:szCs w:val="22"/>
                <w:lang w:val="it-IT"/>
              </w:rPr>
              <w:t xml:space="preserve"> 1 a 3 volte ULN</w:t>
            </w:r>
          </w:p>
        </w:tc>
        <w:tc>
          <w:tcPr>
            <w:tcW w:w="3811" w:type="pct"/>
            <w:tcPrChange w:id="3179" w:author="Author">
              <w:tcPr>
                <w:tcW w:w="3849" w:type="pct"/>
              </w:tcPr>
            </w:tcPrChange>
          </w:tcPr>
          <w:p>
            <w:pPr>
              <w:pStyle w:val="TextTi12"/>
              <w:keepNext/>
              <w:suppressAutoHyphens/>
              <w:spacing w:after="0" w:line="240" w:lineRule="auto"/>
              <w:jc w:val="left"/>
              <w:rPr>
                <w:ins w:id="3180" w:author="Author"/>
                <w:rFonts w:eastAsia="MS Mincho"/>
                <w:noProof/>
                <w:sz w:val="22"/>
                <w:szCs w:val="22"/>
                <w:lang w:val="it-IT"/>
              </w:rPr>
            </w:pPr>
            <w:r>
              <w:rPr>
                <w:rFonts w:eastAsia="MS Mincho"/>
                <w:noProof/>
                <w:sz w:val="22"/>
                <w:szCs w:val="22"/>
                <w:lang w:val="it-IT"/>
              </w:rPr>
              <w:t>Se appropriato, modificare la dose della terapia concomitante con MTX.</w:t>
            </w:r>
          </w:p>
          <w:p>
            <w:pPr>
              <w:pStyle w:val="TextTi12"/>
              <w:keepNext/>
              <w:suppressAutoHyphens/>
              <w:spacing w:after="0" w:line="240" w:lineRule="auto"/>
              <w:jc w:val="left"/>
              <w:rPr>
                <w:rFonts w:eastAsia="MS Mincho"/>
                <w:noProof/>
                <w:sz w:val="22"/>
                <w:szCs w:val="22"/>
                <w:lang w:val="it-IT"/>
              </w:rPr>
              <w:pPrChange w:id="3181" w:author="Author">
                <w:pPr>
                  <w:pStyle w:val="TextTi12"/>
                  <w:keepNext/>
                  <w:keepLines/>
                </w:pPr>
              </w:pPrChange>
            </w:pPr>
          </w:p>
          <w:p>
            <w:pPr>
              <w:pStyle w:val="TextTi12"/>
              <w:keepNext/>
              <w:suppressAutoHyphens/>
              <w:spacing w:after="0" w:line="240" w:lineRule="auto"/>
              <w:jc w:val="left"/>
              <w:rPr>
                <w:rFonts w:eastAsia="MS Mincho"/>
                <w:noProof/>
                <w:sz w:val="22"/>
                <w:szCs w:val="22"/>
                <w:lang w:val="it-IT"/>
              </w:rPr>
              <w:pPrChange w:id="3182" w:author="Author">
                <w:pPr>
                  <w:pStyle w:val="TextTi12"/>
                  <w:keepNext/>
                  <w:keepLines/>
                </w:pPr>
              </w:pPrChange>
            </w:pPr>
            <w:r>
              <w:rPr>
                <w:rFonts w:eastAsia="MS Mincho"/>
                <w:noProof/>
                <w:sz w:val="22"/>
                <w:szCs w:val="22"/>
                <w:lang w:val="it-IT"/>
              </w:rPr>
              <w:t>In caso di aumenti persistenti entro questo intervallo, interrompere il trattamento con tocilizumab fino alla normalizzazione dei livelli di ALT/AST.</w:t>
            </w:r>
          </w:p>
        </w:tc>
      </w:tr>
      <w:tr>
        <w:trPr>
          <w:cantSplit/>
        </w:trPr>
        <w:tc>
          <w:tcPr>
            <w:tcW w:w="1189" w:type="pct"/>
            <w:tcPrChange w:id="3183" w:author="Author">
              <w:tcPr>
                <w:tcW w:w="1151" w:type="pct"/>
              </w:tcPr>
            </w:tcPrChange>
          </w:tcPr>
          <w:p>
            <w:pPr>
              <w:pStyle w:val="TextTi12"/>
              <w:keepNext/>
              <w:suppressAutoHyphens/>
              <w:spacing w:after="0" w:line="240" w:lineRule="auto"/>
              <w:jc w:val="left"/>
              <w:rPr>
                <w:rFonts w:eastAsia="MS Mincho"/>
                <w:noProof/>
                <w:sz w:val="22"/>
                <w:szCs w:val="22"/>
                <w:lang w:val="it-IT"/>
              </w:rPr>
              <w:pPrChange w:id="3184" w:author="Author">
                <w:pPr>
                  <w:pStyle w:val="TextTi12"/>
                </w:pPr>
              </w:pPrChange>
            </w:pPr>
            <w:r>
              <w:rPr>
                <w:rFonts w:eastAsia="MS Mincho"/>
                <w:noProof/>
                <w:sz w:val="22"/>
                <w:szCs w:val="22"/>
                <w:lang w:val="it-IT"/>
              </w:rPr>
              <w:t xml:space="preserve">Da </w:t>
            </w:r>
            <w:r>
              <w:rPr>
                <w:rFonts w:eastAsia="MS Mincho"/>
                <w:noProof/>
                <w:sz w:val="22"/>
                <w:szCs w:val="22"/>
                <w:lang w:val="it-IT"/>
              </w:rPr>
              <w:sym w:font="Symbol" w:char="F03E"/>
            </w:r>
            <w:r>
              <w:rPr>
                <w:rFonts w:eastAsia="MS Mincho"/>
                <w:noProof/>
                <w:sz w:val="22"/>
                <w:szCs w:val="22"/>
                <w:lang w:val="it-IT"/>
              </w:rPr>
              <w:t xml:space="preserve"> 3 a 5 volte ULN</w:t>
            </w:r>
          </w:p>
          <w:p>
            <w:pPr>
              <w:pStyle w:val="TextTi12"/>
              <w:keepNext/>
              <w:suppressAutoHyphens/>
              <w:spacing w:after="0" w:line="240" w:lineRule="auto"/>
              <w:jc w:val="left"/>
              <w:rPr>
                <w:rFonts w:eastAsia="MS Mincho"/>
                <w:noProof/>
                <w:sz w:val="22"/>
                <w:szCs w:val="22"/>
                <w:lang w:val="it-IT"/>
              </w:rPr>
              <w:pPrChange w:id="3185" w:author="Author">
                <w:pPr>
                  <w:pStyle w:val="TextTi12"/>
                  <w:jc w:val="left"/>
                </w:pPr>
              </w:pPrChange>
            </w:pPr>
          </w:p>
        </w:tc>
        <w:tc>
          <w:tcPr>
            <w:tcW w:w="3811" w:type="pct"/>
            <w:tcPrChange w:id="3186" w:author="Author">
              <w:tcPr>
                <w:tcW w:w="3849" w:type="pct"/>
              </w:tcPr>
            </w:tcPrChange>
          </w:tcPr>
          <w:p>
            <w:pPr>
              <w:pStyle w:val="TextTi12"/>
              <w:keepNext/>
              <w:suppressAutoHyphens/>
              <w:spacing w:after="0" w:line="240" w:lineRule="auto"/>
              <w:jc w:val="left"/>
              <w:rPr>
                <w:ins w:id="3187" w:author="Author"/>
                <w:rFonts w:eastAsia="MS Mincho"/>
                <w:noProof/>
                <w:sz w:val="22"/>
                <w:szCs w:val="22"/>
                <w:lang w:val="it-IT"/>
              </w:rPr>
            </w:pPr>
            <w:r>
              <w:rPr>
                <w:rFonts w:eastAsia="MS Mincho"/>
                <w:noProof/>
                <w:sz w:val="22"/>
                <w:szCs w:val="22"/>
                <w:lang w:val="it-IT"/>
              </w:rPr>
              <w:t>Se appropriato, modificare la dose della terapia concomitante con MTX.</w:t>
            </w:r>
          </w:p>
          <w:p>
            <w:pPr>
              <w:pStyle w:val="TextTi12"/>
              <w:keepNext/>
              <w:suppressAutoHyphens/>
              <w:spacing w:after="0" w:line="240" w:lineRule="auto"/>
              <w:jc w:val="left"/>
              <w:rPr>
                <w:rFonts w:eastAsia="MS Mincho"/>
                <w:noProof/>
                <w:sz w:val="22"/>
                <w:szCs w:val="22"/>
                <w:lang w:val="it-IT"/>
              </w:rPr>
              <w:pPrChange w:id="3188" w:author="Author">
                <w:pPr>
                  <w:pStyle w:val="TextTi12"/>
                </w:pPr>
              </w:pPrChange>
            </w:pPr>
          </w:p>
          <w:p>
            <w:pPr>
              <w:pStyle w:val="TextTi12"/>
              <w:keepNext/>
              <w:suppressAutoHyphens/>
              <w:rPr>
                <w:del w:id="3189" w:author="Author"/>
                <w:rFonts w:eastAsia="MS Mincho"/>
                <w:noProof/>
                <w:sz w:val="22"/>
                <w:szCs w:val="22"/>
                <w:lang w:val="it-IT"/>
              </w:rPr>
              <w:pPrChange w:id="3190" w:author="Author">
                <w:pPr>
                  <w:pStyle w:val="TextTi12"/>
                </w:pPr>
              </w:pPrChange>
            </w:pPr>
            <w:r>
              <w:rPr>
                <w:rFonts w:eastAsia="MS Mincho"/>
                <w:noProof/>
                <w:sz w:val="22"/>
                <w:szCs w:val="22"/>
                <w:lang w:val="it-IT"/>
              </w:rPr>
              <w:t xml:space="preserve">Interrompere la somministrazione di tocilizumab fino a </w:t>
            </w:r>
            <w:r>
              <w:rPr>
                <w:rFonts w:eastAsia="MS Mincho"/>
                <w:noProof/>
                <w:sz w:val="22"/>
                <w:szCs w:val="22"/>
                <w:lang w:val="it-IT"/>
              </w:rPr>
              <w:sym w:font="Symbol" w:char="F03C"/>
            </w:r>
            <w:r>
              <w:rPr>
                <w:rFonts w:eastAsia="MS Mincho"/>
                <w:noProof/>
                <w:sz w:val="22"/>
                <w:szCs w:val="22"/>
                <w:lang w:val="it-IT"/>
              </w:rPr>
              <w:t xml:space="preserve"> 3 volte ULN e seguire le raccomandazioni di cui sopra (da </w:t>
            </w:r>
            <w:r>
              <w:rPr>
                <w:rFonts w:eastAsia="MS Mincho"/>
                <w:noProof/>
                <w:sz w:val="22"/>
                <w:szCs w:val="22"/>
                <w:lang w:val="it-IT"/>
              </w:rPr>
              <w:sym w:font="Symbol" w:char="F03E"/>
            </w:r>
            <w:r>
              <w:rPr>
                <w:rFonts w:eastAsia="MS Mincho"/>
                <w:noProof/>
                <w:sz w:val="22"/>
                <w:szCs w:val="22"/>
                <w:lang w:val="it-IT"/>
              </w:rPr>
              <w:t>1 a 3 volte ULN).</w:t>
            </w:r>
          </w:p>
          <w:p>
            <w:pPr>
              <w:pStyle w:val="TextTi12"/>
              <w:keepNext/>
              <w:suppressAutoHyphens/>
              <w:spacing w:after="0" w:line="240" w:lineRule="auto"/>
              <w:jc w:val="left"/>
              <w:rPr>
                <w:rFonts w:eastAsia="MS Mincho"/>
                <w:noProof/>
                <w:sz w:val="22"/>
                <w:szCs w:val="22"/>
                <w:lang w:val="it-IT"/>
              </w:rPr>
              <w:pPrChange w:id="3191" w:author="Author">
                <w:pPr>
                  <w:pStyle w:val="TextTi12"/>
                </w:pPr>
              </w:pPrChange>
            </w:pPr>
          </w:p>
        </w:tc>
      </w:tr>
      <w:tr>
        <w:trPr>
          <w:cantSplit/>
        </w:trPr>
        <w:tc>
          <w:tcPr>
            <w:tcW w:w="1189" w:type="pct"/>
            <w:tcPrChange w:id="3192" w:author="Author">
              <w:tcPr>
                <w:tcW w:w="1151" w:type="pct"/>
              </w:tcPr>
            </w:tcPrChange>
          </w:tcPr>
          <w:p>
            <w:pPr>
              <w:pStyle w:val="TextTi12"/>
              <w:suppressAutoHyphens/>
              <w:spacing w:after="0" w:line="240" w:lineRule="auto"/>
              <w:jc w:val="left"/>
              <w:rPr>
                <w:rFonts w:eastAsia="MS Mincho"/>
                <w:noProof/>
                <w:sz w:val="22"/>
                <w:szCs w:val="22"/>
                <w:lang w:val="it-IT"/>
              </w:rPr>
              <w:pPrChange w:id="3193" w:author="Author">
                <w:pPr>
                  <w:pStyle w:val="TextTi12"/>
                </w:pPr>
              </w:pPrChange>
            </w:pPr>
            <w:r>
              <w:rPr>
                <w:rFonts w:eastAsia="MS Mincho"/>
                <w:noProof/>
                <w:sz w:val="22"/>
                <w:szCs w:val="22"/>
                <w:lang w:val="it-IT"/>
              </w:rPr>
              <w:sym w:font="Symbol" w:char="F03E"/>
            </w:r>
            <w:ins w:id="3194" w:author="Author">
              <w:r>
                <w:rPr>
                  <w:rFonts w:eastAsia="MS Mincho"/>
                  <w:noProof/>
                  <w:sz w:val="22"/>
                  <w:szCs w:val="22"/>
                  <w:lang w:val="it-IT"/>
                </w:rPr>
                <w:t xml:space="preserve"> </w:t>
              </w:r>
            </w:ins>
            <w:r>
              <w:rPr>
                <w:rFonts w:eastAsia="MS Mincho"/>
                <w:noProof/>
                <w:sz w:val="22"/>
                <w:szCs w:val="22"/>
                <w:lang w:val="it-IT"/>
              </w:rPr>
              <w:t>5 volte ULN</w:t>
            </w:r>
          </w:p>
        </w:tc>
        <w:tc>
          <w:tcPr>
            <w:tcW w:w="3811" w:type="pct"/>
            <w:tcPrChange w:id="3195" w:author="Author">
              <w:tcPr>
                <w:tcW w:w="3849" w:type="pct"/>
              </w:tcPr>
            </w:tcPrChange>
          </w:tcPr>
          <w:p>
            <w:pPr>
              <w:pStyle w:val="TextTi12"/>
              <w:suppressAutoHyphens/>
              <w:spacing w:after="0" w:line="240" w:lineRule="auto"/>
              <w:jc w:val="left"/>
              <w:rPr>
                <w:ins w:id="3196" w:author="Author"/>
                <w:rFonts w:eastAsia="MS Mincho"/>
                <w:noProof/>
                <w:sz w:val="22"/>
                <w:szCs w:val="22"/>
                <w:lang w:val="it-IT"/>
              </w:rPr>
            </w:pPr>
            <w:r>
              <w:rPr>
                <w:rFonts w:eastAsia="MS Mincho"/>
                <w:noProof/>
                <w:sz w:val="22"/>
                <w:szCs w:val="22"/>
                <w:lang w:val="it-IT"/>
              </w:rPr>
              <w:t>Interrompere il trattamento con tocilizumab.</w:t>
            </w:r>
          </w:p>
          <w:p>
            <w:pPr>
              <w:pStyle w:val="TextTi12"/>
              <w:suppressAutoHyphens/>
              <w:spacing w:after="0" w:line="240" w:lineRule="auto"/>
              <w:jc w:val="left"/>
              <w:rPr>
                <w:rFonts w:eastAsia="MS Mincho"/>
                <w:noProof/>
                <w:sz w:val="22"/>
                <w:szCs w:val="22"/>
                <w:lang w:val="it-IT"/>
              </w:rPr>
              <w:pPrChange w:id="3197" w:author="Author">
                <w:pPr>
                  <w:pStyle w:val="TextTi12"/>
                </w:pPr>
              </w:pPrChange>
            </w:pPr>
          </w:p>
          <w:p>
            <w:pPr>
              <w:pStyle w:val="TextTi12"/>
              <w:suppressAutoHyphens/>
              <w:spacing w:after="0" w:line="240" w:lineRule="auto"/>
              <w:jc w:val="left"/>
              <w:rPr>
                <w:rFonts w:eastAsia="MS Mincho"/>
                <w:noProof/>
                <w:sz w:val="22"/>
                <w:szCs w:val="22"/>
                <w:lang w:val="it-IT"/>
              </w:rPr>
              <w:pPrChange w:id="3198" w:author="Author">
                <w:pPr>
                  <w:pStyle w:val="TextTi12"/>
                </w:pPr>
              </w:pPrChange>
            </w:pPr>
            <w:r>
              <w:rPr>
                <w:rFonts w:eastAsia="MS Mincho"/>
                <w:noProof/>
                <w:sz w:val="22"/>
                <w:szCs w:val="22"/>
                <w:lang w:val="it-IT"/>
              </w:rPr>
              <w:t>La decisione di interrompere il trattamento con</w:t>
            </w:r>
            <w:del w:id="3199" w:author="Author">
              <w:r>
                <w:rPr>
                  <w:rFonts w:eastAsia="MS Mincho"/>
                  <w:noProof/>
                  <w:sz w:val="22"/>
                  <w:szCs w:val="22"/>
                  <w:lang w:val="it-IT"/>
                </w:rPr>
                <w:delText xml:space="preserve"> </w:delText>
              </w:r>
            </w:del>
            <w:r>
              <w:rPr>
                <w:rFonts w:eastAsia="MS Mincho"/>
                <w:noProof/>
                <w:sz w:val="22"/>
                <w:szCs w:val="22"/>
                <w:lang w:val="it-IT"/>
              </w:rPr>
              <w:t xml:space="preserve"> nell’AIGs o nell’AIGp per un’anomalia di laboratorio deve basarsi sulla valutazione medica del singolo paziente.</w:t>
            </w:r>
          </w:p>
        </w:tc>
      </w:tr>
    </w:tbl>
    <w:p>
      <w:pPr>
        <w:rPr>
          <w:noProof/>
          <w:lang w:val="it-IT"/>
        </w:rPr>
      </w:pPr>
    </w:p>
    <w:p>
      <w:pPr>
        <w:keepNext/>
        <w:ind w:left="714" w:hanging="714"/>
        <w:rPr>
          <w:noProof/>
          <w:lang w:val="it-IT"/>
        </w:rPr>
      </w:pPr>
      <w:r>
        <w:rPr>
          <w:noProof/>
          <w:lang w:val="it-IT"/>
        </w:rPr>
        <w:sym w:font="Symbol" w:char="F0B7"/>
      </w:r>
      <w:r>
        <w:rPr>
          <w:noProof/>
          <w:lang w:val="it-IT"/>
        </w:rPr>
        <w:tab/>
        <w:t>Bassa conta assoluta dei neutrofili (ANC)</w:t>
      </w:r>
    </w:p>
    <w:p>
      <w:pPr>
        <w:keepNext/>
        <w:ind w:left="714" w:hanging="357"/>
        <w:rPr>
          <w:noProof/>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3200"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PrChange>
      </w:tblPr>
      <w:tblGrid>
        <w:gridCol w:w="2155"/>
        <w:gridCol w:w="6906"/>
        <w:tblGridChange w:id="3201">
          <w:tblGrid>
            <w:gridCol w:w="2080"/>
            <w:gridCol w:w="6981"/>
          </w:tblGrid>
        </w:tblGridChange>
      </w:tblGrid>
      <w:tr>
        <w:trPr>
          <w:cantSplit/>
          <w:trPrChange w:id="3202" w:author="Author">
            <w:trPr>
              <w:cantSplit/>
            </w:trPr>
          </w:trPrChange>
        </w:trPr>
        <w:tc>
          <w:tcPr>
            <w:tcW w:w="1189" w:type="pct"/>
            <w:tcPrChange w:id="3203" w:author="Author">
              <w:tcPr>
                <w:tcW w:w="1148" w:type="pct"/>
              </w:tcPr>
            </w:tcPrChange>
          </w:tcPr>
          <w:p>
            <w:pPr>
              <w:pStyle w:val="TextTi12"/>
              <w:keepNext/>
              <w:suppressAutoHyphens/>
              <w:spacing w:after="0" w:line="240" w:lineRule="auto"/>
              <w:jc w:val="center"/>
              <w:rPr>
                <w:rFonts w:eastAsia="MS Mincho"/>
                <w:bCs/>
                <w:noProof/>
                <w:sz w:val="22"/>
                <w:szCs w:val="22"/>
                <w:lang w:val="it-IT"/>
                <w:rPrChange w:id="3204" w:author="Author">
                  <w:rPr>
                    <w:rFonts w:eastAsia="MS Mincho"/>
                    <w:b/>
                    <w:sz w:val="22"/>
                    <w:szCs w:val="22"/>
                    <w:lang w:val="it-IT"/>
                  </w:rPr>
                </w:rPrChange>
              </w:rPr>
              <w:pPrChange w:id="3205" w:author="Author">
                <w:pPr>
                  <w:pStyle w:val="TextTi12"/>
                  <w:keepNext/>
                  <w:jc w:val="center"/>
                </w:pPr>
              </w:pPrChange>
            </w:pPr>
            <w:r>
              <w:rPr>
                <w:rFonts w:eastAsia="MS Mincho"/>
                <w:bCs/>
                <w:noProof/>
                <w:sz w:val="22"/>
                <w:szCs w:val="22"/>
                <w:lang w:val="it-IT"/>
                <w:rPrChange w:id="3206" w:author="Author">
                  <w:rPr>
                    <w:rFonts w:eastAsia="MS Mincho"/>
                    <w:b/>
                    <w:sz w:val="22"/>
                    <w:szCs w:val="22"/>
                    <w:lang w:val="it-IT"/>
                  </w:rPr>
                </w:rPrChange>
              </w:rPr>
              <w:t>Valore di laboratorio</w:t>
            </w:r>
            <w:r>
              <w:rPr>
                <w:rFonts w:eastAsia="MS Mincho"/>
                <w:bCs/>
                <w:noProof/>
                <w:sz w:val="22"/>
                <w:szCs w:val="22"/>
                <w:lang w:val="it-IT"/>
                <w:rPrChange w:id="3207" w:author="Author">
                  <w:rPr>
                    <w:rFonts w:eastAsia="MS Mincho"/>
                    <w:b/>
                    <w:sz w:val="22"/>
                    <w:szCs w:val="22"/>
                    <w:lang w:val="it-IT"/>
                  </w:rPr>
                </w:rPrChange>
              </w:rPr>
              <w:br/>
              <w:t xml:space="preserve">(cellule </w:t>
            </w:r>
            <w:r>
              <w:rPr>
                <w:rFonts w:eastAsia="MS Mincho"/>
                <w:bCs/>
                <w:noProof/>
                <w:sz w:val="22"/>
                <w:szCs w:val="22"/>
                <w:lang w:val="it-IT"/>
                <w:rPrChange w:id="3208" w:author="Author">
                  <w:rPr>
                    <w:rFonts w:eastAsia="MS Mincho"/>
                    <w:b/>
                    <w:sz w:val="22"/>
                    <w:szCs w:val="22"/>
                    <w:lang w:val="it-IT"/>
                  </w:rPr>
                </w:rPrChange>
              </w:rPr>
              <w:sym w:font="Symbol" w:char="F0B4"/>
            </w:r>
            <w:r>
              <w:rPr>
                <w:rFonts w:eastAsia="MS Mincho"/>
                <w:bCs/>
                <w:noProof/>
                <w:sz w:val="22"/>
                <w:szCs w:val="22"/>
                <w:lang w:val="it-IT"/>
                <w:rPrChange w:id="3209" w:author="Author">
                  <w:rPr>
                    <w:rFonts w:eastAsia="MS Mincho"/>
                    <w:b/>
                    <w:sz w:val="22"/>
                    <w:szCs w:val="22"/>
                    <w:lang w:val="it-IT"/>
                  </w:rPr>
                </w:rPrChange>
              </w:rPr>
              <w:t xml:space="preserve"> 10</w:t>
            </w:r>
            <w:r>
              <w:rPr>
                <w:rFonts w:eastAsia="MS Mincho"/>
                <w:bCs/>
                <w:noProof/>
                <w:sz w:val="22"/>
                <w:szCs w:val="22"/>
                <w:vertAlign w:val="superscript"/>
                <w:lang w:val="it-IT"/>
                <w:rPrChange w:id="3210" w:author="Author">
                  <w:rPr>
                    <w:rFonts w:eastAsia="MS Mincho"/>
                    <w:b/>
                    <w:sz w:val="22"/>
                    <w:szCs w:val="22"/>
                    <w:vertAlign w:val="superscript"/>
                    <w:lang w:val="it-IT"/>
                  </w:rPr>
                </w:rPrChange>
              </w:rPr>
              <w:t>9</w:t>
            </w:r>
            <w:r>
              <w:rPr>
                <w:rFonts w:eastAsia="MS Mincho"/>
                <w:bCs/>
                <w:noProof/>
                <w:sz w:val="22"/>
                <w:szCs w:val="22"/>
                <w:lang w:val="it-IT"/>
                <w:rPrChange w:id="3211" w:author="Author">
                  <w:rPr>
                    <w:rFonts w:eastAsia="MS Mincho"/>
                    <w:b/>
                    <w:sz w:val="22"/>
                    <w:szCs w:val="22"/>
                    <w:lang w:val="it-IT"/>
                  </w:rPr>
                </w:rPrChange>
              </w:rPr>
              <w:t>/L)</w:t>
            </w:r>
          </w:p>
        </w:tc>
        <w:tc>
          <w:tcPr>
            <w:tcW w:w="3811" w:type="pct"/>
            <w:tcPrChange w:id="3212" w:author="Author">
              <w:tcPr>
                <w:tcW w:w="3852" w:type="pct"/>
              </w:tcPr>
            </w:tcPrChange>
          </w:tcPr>
          <w:p>
            <w:pPr>
              <w:pStyle w:val="TextTi12"/>
              <w:keepNext/>
              <w:suppressAutoHyphens/>
              <w:spacing w:after="0" w:line="240" w:lineRule="auto"/>
              <w:jc w:val="center"/>
              <w:rPr>
                <w:rFonts w:eastAsia="MS Mincho"/>
                <w:b/>
                <w:noProof/>
                <w:sz w:val="22"/>
                <w:szCs w:val="22"/>
                <w:lang w:val="it-IT"/>
              </w:rPr>
              <w:pPrChange w:id="3213" w:author="Author">
                <w:pPr>
                  <w:pStyle w:val="TextTi12"/>
                  <w:keepNext/>
                  <w:jc w:val="center"/>
                </w:pPr>
              </w:pPrChange>
            </w:pPr>
            <w:r>
              <w:rPr>
                <w:rFonts w:eastAsia="MS Mincho"/>
                <w:b/>
                <w:noProof/>
                <w:sz w:val="22"/>
                <w:szCs w:val="22"/>
                <w:lang w:val="it-IT"/>
              </w:rPr>
              <w:t>Azione</w:t>
            </w:r>
          </w:p>
        </w:tc>
      </w:tr>
      <w:tr>
        <w:trPr>
          <w:cantSplit/>
          <w:trPrChange w:id="3214" w:author="Author">
            <w:trPr>
              <w:cantSplit/>
            </w:trPr>
          </w:trPrChange>
        </w:trPr>
        <w:tc>
          <w:tcPr>
            <w:tcW w:w="1189" w:type="pct"/>
            <w:tcPrChange w:id="3215" w:author="Author">
              <w:tcPr>
                <w:tcW w:w="1148" w:type="pct"/>
              </w:tcPr>
            </w:tcPrChange>
          </w:tcPr>
          <w:p>
            <w:pPr>
              <w:pStyle w:val="TextTi12"/>
              <w:keepNext/>
              <w:suppressAutoHyphens/>
              <w:spacing w:after="0" w:line="240" w:lineRule="auto"/>
              <w:jc w:val="left"/>
              <w:rPr>
                <w:rFonts w:eastAsia="MS Mincho"/>
                <w:noProof/>
                <w:sz w:val="22"/>
                <w:szCs w:val="22"/>
                <w:lang w:val="it-IT"/>
              </w:rPr>
              <w:pPrChange w:id="3216" w:author="Author">
                <w:pPr>
                  <w:pStyle w:val="TextTi12"/>
                  <w:keepNext/>
                </w:pPr>
              </w:pPrChange>
            </w:pPr>
            <w:r>
              <w:rPr>
                <w:rFonts w:eastAsia="MS Mincho"/>
                <w:noProof/>
                <w:sz w:val="22"/>
                <w:szCs w:val="22"/>
                <w:lang w:val="it-IT"/>
              </w:rPr>
              <w:t xml:space="preserve">ANC </w:t>
            </w:r>
            <w:r>
              <w:rPr>
                <w:rFonts w:eastAsia="MS Mincho"/>
                <w:noProof/>
                <w:sz w:val="22"/>
                <w:szCs w:val="22"/>
                <w:lang w:val="it-IT"/>
              </w:rPr>
              <w:sym w:font="Symbol" w:char="F03E"/>
            </w:r>
            <w:r>
              <w:rPr>
                <w:rFonts w:eastAsia="MS Mincho"/>
                <w:noProof/>
                <w:sz w:val="22"/>
                <w:szCs w:val="22"/>
                <w:lang w:val="it-IT"/>
              </w:rPr>
              <w:t xml:space="preserve"> 1 </w:t>
            </w:r>
          </w:p>
        </w:tc>
        <w:tc>
          <w:tcPr>
            <w:tcW w:w="3811" w:type="pct"/>
            <w:tcPrChange w:id="3217" w:author="Author">
              <w:tcPr>
                <w:tcW w:w="3852" w:type="pct"/>
              </w:tcPr>
            </w:tcPrChange>
          </w:tcPr>
          <w:p>
            <w:pPr>
              <w:pStyle w:val="TextTi12"/>
              <w:keepNext/>
              <w:suppressAutoHyphens/>
              <w:spacing w:after="0" w:line="240" w:lineRule="auto"/>
              <w:jc w:val="left"/>
              <w:rPr>
                <w:rFonts w:eastAsia="MS Mincho"/>
                <w:noProof/>
                <w:sz w:val="22"/>
                <w:szCs w:val="22"/>
                <w:lang w:val="it-IT"/>
              </w:rPr>
              <w:pPrChange w:id="3218" w:author="Author">
                <w:pPr>
                  <w:pStyle w:val="TextTi12"/>
                  <w:keepNext/>
                </w:pPr>
              </w:pPrChange>
            </w:pPr>
            <w:r>
              <w:rPr>
                <w:noProof/>
                <w:snapToGrid w:val="0"/>
                <w:sz w:val="22"/>
                <w:szCs w:val="22"/>
                <w:lang w:val="it-IT"/>
              </w:rPr>
              <w:t>Mantenere la dose.</w:t>
            </w:r>
          </w:p>
        </w:tc>
      </w:tr>
      <w:tr>
        <w:trPr>
          <w:cantSplit/>
          <w:trPrChange w:id="3219" w:author="Author">
            <w:trPr>
              <w:cantSplit/>
            </w:trPr>
          </w:trPrChange>
        </w:trPr>
        <w:tc>
          <w:tcPr>
            <w:tcW w:w="1189" w:type="pct"/>
            <w:tcPrChange w:id="3220" w:author="Author">
              <w:tcPr>
                <w:tcW w:w="1148" w:type="pct"/>
              </w:tcPr>
            </w:tcPrChange>
          </w:tcPr>
          <w:p>
            <w:pPr>
              <w:pStyle w:val="TextTi12"/>
              <w:keepNext/>
              <w:suppressAutoHyphens/>
              <w:spacing w:after="0" w:line="240" w:lineRule="auto"/>
              <w:jc w:val="left"/>
              <w:rPr>
                <w:rFonts w:eastAsia="MS Mincho"/>
                <w:noProof/>
                <w:sz w:val="22"/>
                <w:szCs w:val="22"/>
                <w:lang w:val="it-IT"/>
              </w:rPr>
              <w:pPrChange w:id="3221" w:author="Author">
                <w:pPr>
                  <w:pStyle w:val="TextTi12"/>
                  <w:keepNext/>
                </w:pPr>
              </w:pPrChange>
            </w:pPr>
            <w:r>
              <w:rPr>
                <w:rFonts w:eastAsia="MS Mincho"/>
                <w:noProof/>
                <w:sz w:val="22"/>
                <w:szCs w:val="22"/>
                <w:lang w:val="it-IT"/>
              </w:rPr>
              <w:t>ANC da 0,5 a 1</w:t>
            </w:r>
          </w:p>
        </w:tc>
        <w:tc>
          <w:tcPr>
            <w:tcW w:w="3811" w:type="pct"/>
            <w:tcPrChange w:id="3222" w:author="Author">
              <w:tcPr>
                <w:tcW w:w="3852" w:type="pct"/>
              </w:tcPr>
            </w:tcPrChange>
          </w:tcPr>
          <w:p>
            <w:pPr>
              <w:pStyle w:val="TextTi12"/>
              <w:keepNext/>
              <w:suppressAutoHyphens/>
              <w:spacing w:after="0" w:line="240" w:lineRule="auto"/>
              <w:jc w:val="left"/>
              <w:rPr>
                <w:ins w:id="3223" w:author="Author"/>
                <w:rFonts w:eastAsia="MS Mincho"/>
                <w:noProof/>
                <w:sz w:val="22"/>
                <w:szCs w:val="22"/>
                <w:lang w:val="it-IT"/>
              </w:rPr>
            </w:pPr>
            <w:r>
              <w:rPr>
                <w:rFonts w:eastAsia="MS Mincho"/>
                <w:noProof/>
                <w:sz w:val="22"/>
                <w:szCs w:val="22"/>
                <w:lang w:val="it-IT"/>
              </w:rPr>
              <w:t>Sospendere la somministrazione di tocilizumab.</w:t>
            </w:r>
          </w:p>
          <w:p>
            <w:pPr>
              <w:pStyle w:val="TextTi12"/>
              <w:keepNext/>
              <w:suppressAutoHyphens/>
              <w:spacing w:after="0" w:line="240" w:lineRule="auto"/>
              <w:jc w:val="left"/>
              <w:rPr>
                <w:rFonts w:eastAsia="MS Mincho"/>
                <w:noProof/>
                <w:sz w:val="22"/>
                <w:szCs w:val="22"/>
                <w:lang w:val="it-IT"/>
              </w:rPr>
              <w:pPrChange w:id="3224" w:author="Author">
                <w:pPr>
                  <w:pStyle w:val="TextTi12"/>
                  <w:keepNext/>
                </w:pPr>
              </w:pPrChange>
            </w:pPr>
          </w:p>
          <w:p>
            <w:pPr>
              <w:pStyle w:val="TextTi12"/>
              <w:keepNext/>
              <w:suppressAutoHyphens/>
              <w:spacing w:after="0" w:line="240" w:lineRule="auto"/>
              <w:jc w:val="left"/>
              <w:rPr>
                <w:rFonts w:eastAsia="MS Mincho"/>
                <w:noProof/>
                <w:sz w:val="22"/>
                <w:szCs w:val="22"/>
                <w:lang w:val="it-IT"/>
              </w:rPr>
              <w:pPrChange w:id="3225" w:author="Author">
                <w:pPr>
                  <w:pStyle w:val="TextTi12"/>
                  <w:keepNext/>
                </w:pPr>
              </w:pPrChange>
            </w:pPr>
            <w:r>
              <w:rPr>
                <w:rFonts w:eastAsia="MS Mincho"/>
                <w:noProof/>
                <w:sz w:val="22"/>
                <w:szCs w:val="22"/>
                <w:lang w:val="it-IT"/>
              </w:rPr>
              <w:t xml:space="preserve">Quando la ANC si innalza a </w:t>
            </w:r>
            <w:r>
              <w:rPr>
                <w:rFonts w:eastAsia="MS Mincho"/>
                <w:noProof/>
                <w:sz w:val="22"/>
                <w:szCs w:val="22"/>
                <w:lang w:val="it-IT"/>
              </w:rPr>
              <w:sym w:font="Symbol" w:char="F03E"/>
            </w:r>
            <w:r>
              <w:rPr>
                <w:rFonts w:eastAsia="MS Mincho"/>
                <w:noProof/>
                <w:sz w:val="22"/>
                <w:szCs w:val="22"/>
                <w:lang w:val="it-IT"/>
              </w:rPr>
              <w:t> 1 x 10</w:t>
            </w:r>
            <w:r>
              <w:rPr>
                <w:rFonts w:eastAsia="MS Mincho"/>
                <w:noProof/>
                <w:sz w:val="22"/>
                <w:szCs w:val="22"/>
                <w:vertAlign w:val="superscript"/>
                <w:lang w:val="it-IT"/>
              </w:rPr>
              <w:t>9</w:t>
            </w:r>
            <w:r>
              <w:rPr>
                <w:rFonts w:eastAsia="MS Mincho"/>
                <w:noProof/>
                <w:sz w:val="22"/>
                <w:szCs w:val="22"/>
                <w:lang w:val="it-IT"/>
              </w:rPr>
              <w:t>/L, riprendere il trattamento</w:t>
            </w:r>
            <w:del w:id="3226" w:author="Author">
              <w:r>
                <w:rPr>
                  <w:rFonts w:eastAsia="MS Mincho"/>
                  <w:noProof/>
                  <w:sz w:val="22"/>
                  <w:szCs w:val="22"/>
                  <w:lang w:val="it-IT"/>
                </w:rPr>
                <w:delText xml:space="preserve"> </w:delText>
              </w:r>
            </w:del>
            <w:r>
              <w:rPr>
                <w:rFonts w:eastAsia="MS Mincho"/>
                <w:noProof/>
                <w:sz w:val="22"/>
                <w:szCs w:val="22"/>
                <w:lang w:val="it-IT"/>
              </w:rPr>
              <w:t>.</w:t>
            </w:r>
          </w:p>
        </w:tc>
      </w:tr>
      <w:tr>
        <w:trPr>
          <w:cantSplit/>
          <w:trPrChange w:id="3227" w:author="Author">
            <w:trPr>
              <w:cantSplit/>
            </w:trPr>
          </w:trPrChange>
        </w:trPr>
        <w:tc>
          <w:tcPr>
            <w:tcW w:w="1189" w:type="pct"/>
            <w:tcPrChange w:id="3228" w:author="Author">
              <w:tcPr>
                <w:tcW w:w="1148" w:type="pct"/>
              </w:tcPr>
            </w:tcPrChange>
          </w:tcPr>
          <w:p>
            <w:pPr>
              <w:pStyle w:val="TextTi12"/>
              <w:suppressAutoHyphens/>
              <w:spacing w:after="0" w:line="240" w:lineRule="auto"/>
              <w:jc w:val="left"/>
              <w:rPr>
                <w:rFonts w:eastAsia="MS Mincho"/>
                <w:noProof/>
                <w:sz w:val="22"/>
                <w:szCs w:val="22"/>
                <w:lang w:val="it-IT"/>
              </w:rPr>
              <w:pPrChange w:id="3229" w:author="Author">
                <w:pPr>
                  <w:pStyle w:val="TextTi12"/>
                  <w:keepNext/>
                </w:pPr>
              </w:pPrChange>
            </w:pPr>
            <w:r>
              <w:rPr>
                <w:rFonts w:eastAsia="MS Mincho"/>
                <w:noProof/>
                <w:sz w:val="22"/>
                <w:szCs w:val="22"/>
                <w:lang w:val="it-IT"/>
              </w:rPr>
              <w:t xml:space="preserve">ANC </w:t>
            </w:r>
            <w:r>
              <w:rPr>
                <w:rFonts w:eastAsia="MS Mincho"/>
                <w:noProof/>
                <w:sz w:val="22"/>
                <w:szCs w:val="22"/>
                <w:lang w:val="it-IT"/>
              </w:rPr>
              <w:sym w:font="Symbol" w:char="F03C"/>
            </w:r>
            <w:r>
              <w:rPr>
                <w:rFonts w:eastAsia="MS Mincho"/>
                <w:noProof/>
                <w:sz w:val="22"/>
                <w:szCs w:val="22"/>
                <w:lang w:val="it-IT"/>
              </w:rPr>
              <w:t> 0,5</w:t>
            </w:r>
          </w:p>
        </w:tc>
        <w:tc>
          <w:tcPr>
            <w:tcW w:w="3811" w:type="pct"/>
            <w:tcPrChange w:id="3230" w:author="Author">
              <w:tcPr>
                <w:tcW w:w="3852" w:type="pct"/>
              </w:tcPr>
            </w:tcPrChange>
          </w:tcPr>
          <w:p>
            <w:pPr>
              <w:pStyle w:val="TextTi12"/>
              <w:suppressAutoHyphens/>
              <w:spacing w:after="0" w:line="240" w:lineRule="auto"/>
              <w:jc w:val="left"/>
              <w:rPr>
                <w:ins w:id="3231" w:author="Author"/>
                <w:rFonts w:eastAsia="MS Mincho"/>
                <w:noProof/>
                <w:sz w:val="22"/>
                <w:szCs w:val="22"/>
                <w:lang w:val="it-IT"/>
              </w:rPr>
            </w:pPr>
            <w:r>
              <w:rPr>
                <w:rFonts w:eastAsia="MS Mincho"/>
                <w:noProof/>
                <w:sz w:val="22"/>
                <w:szCs w:val="22"/>
                <w:lang w:val="it-IT"/>
              </w:rPr>
              <w:t>Interrompere il trattamento con tocilizumab.</w:t>
            </w:r>
          </w:p>
          <w:p>
            <w:pPr>
              <w:pStyle w:val="TextTi12"/>
              <w:suppressAutoHyphens/>
              <w:spacing w:after="0" w:line="240" w:lineRule="auto"/>
              <w:jc w:val="left"/>
              <w:rPr>
                <w:rFonts w:eastAsia="MS Mincho"/>
                <w:noProof/>
                <w:sz w:val="22"/>
                <w:szCs w:val="22"/>
                <w:lang w:val="it-IT"/>
              </w:rPr>
              <w:pPrChange w:id="3232" w:author="Author">
                <w:pPr>
                  <w:pStyle w:val="TextTi12"/>
                  <w:keepNext/>
                </w:pPr>
              </w:pPrChange>
            </w:pPr>
          </w:p>
          <w:p>
            <w:pPr>
              <w:pStyle w:val="TextTi12"/>
              <w:suppressAutoHyphens/>
              <w:spacing w:after="0" w:line="240" w:lineRule="auto"/>
              <w:jc w:val="left"/>
              <w:rPr>
                <w:rFonts w:eastAsia="MS Mincho"/>
                <w:noProof/>
                <w:sz w:val="22"/>
                <w:szCs w:val="22"/>
                <w:lang w:val="it-IT"/>
              </w:rPr>
              <w:pPrChange w:id="3233" w:author="Author">
                <w:pPr>
                  <w:pStyle w:val="TextTi12"/>
                  <w:keepNext/>
                </w:pPr>
              </w:pPrChange>
            </w:pPr>
            <w:r>
              <w:rPr>
                <w:rFonts w:eastAsia="MS Mincho"/>
                <w:noProof/>
                <w:sz w:val="22"/>
                <w:szCs w:val="22"/>
                <w:lang w:val="it-IT"/>
              </w:rPr>
              <w:t>La decisione di interrompere il trattamento nell’AIGs o nell’AIGp per un’anomalia di laboratorio deve basarsi sulla valutazione medica del singolo paziente.</w:t>
            </w:r>
          </w:p>
        </w:tc>
      </w:tr>
    </w:tbl>
    <w:p>
      <w:pPr>
        <w:rPr>
          <w:noProof/>
          <w:lang w:val="it-IT"/>
        </w:rPr>
      </w:pPr>
    </w:p>
    <w:p>
      <w:pPr>
        <w:keepNext/>
        <w:keepLines/>
        <w:ind w:left="714" w:hanging="714"/>
        <w:rPr>
          <w:noProof/>
          <w:lang w:val="it-IT"/>
        </w:rPr>
      </w:pPr>
      <w:r>
        <w:rPr>
          <w:noProof/>
          <w:lang w:val="it-IT"/>
        </w:rPr>
        <w:sym w:font="Symbol" w:char="F0B7"/>
      </w:r>
      <w:r>
        <w:rPr>
          <w:noProof/>
          <w:lang w:val="it-IT"/>
        </w:rPr>
        <w:tab/>
        <w:t>Bassa conta piastrinica</w:t>
      </w:r>
    </w:p>
    <w:p>
      <w:pPr>
        <w:keepNext/>
        <w:keepLines/>
        <w:ind w:left="714" w:hanging="357"/>
        <w:rPr>
          <w:noProof/>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3234"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55"/>
        <w:gridCol w:w="6906"/>
        <w:tblGridChange w:id="3235">
          <w:tblGrid>
            <w:gridCol w:w="1999"/>
            <w:gridCol w:w="7062"/>
          </w:tblGrid>
        </w:tblGridChange>
      </w:tblGrid>
      <w:tr>
        <w:trPr>
          <w:cantSplit/>
        </w:trPr>
        <w:tc>
          <w:tcPr>
            <w:tcW w:w="1189" w:type="pct"/>
            <w:tcPrChange w:id="3236" w:author="Author">
              <w:tcPr>
                <w:tcW w:w="1103" w:type="pct"/>
              </w:tcPr>
            </w:tcPrChange>
          </w:tcPr>
          <w:p>
            <w:pPr>
              <w:pStyle w:val="TextTi12"/>
              <w:keepNext/>
              <w:suppressAutoHyphens/>
              <w:spacing w:after="0" w:line="240" w:lineRule="auto"/>
              <w:jc w:val="center"/>
              <w:rPr>
                <w:rFonts w:eastAsia="MS Mincho"/>
                <w:bCs/>
                <w:noProof/>
                <w:sz w:val="22"/>
                <w:szCs w:val="22"/>
                <w:lang w:val="it-IT"/>
              </w:rPr>
              <w:pPrChange w:id="3237" w:author="Author">
                <w:pPr>
                  <w:pStyle w:val="TextTi12"/>
                  <w:keepNext/>
                  <w:keepLines/>
                  <w:jc w:val="center"/>
                </w:pPr>
              </w:pPrChange>
            </w:pPr>
            <w:r>
              <w:rPr>
                <w:rFonts w:eastAsia="MS Mincho"/>
                <w:bCs/>
                <w:noProof/>
                <w:sz w:val="22"/>
                <w:szCs w:val="22"/>
                <w:lang w:val="it-IT"/>
                <w:rPrChange w:id="3238" w:author="Author">
                  <w:rPr>
                    <w:rFonts w:eastAsia="MS Mincho"/>
                    <w:b/>
                    <w:sz w:val="22"/>
                    <w:szCs w:val="22"/>
                    <w:lang w:val="it-IT"/>
                  </w:rPr>
                </w:rPrChange>
              </w:rPr>
              <w:t>Valore di laboratorio</w:t>
            </w:r>
            <w:r>
              <w:rPr>
                <w:rFonts w:eastAsia="MS Mincho"/>
                <w:bCs/>
                <w:noProof/>
                <w:sz w:val="22"/>
                <w:szCs w:val="22"/>
                <w:lang w:val="it-IT"/>
                <w:rPrChange w:id="3239" w:author="Author">
                  <w:rPr>
                    <w:rFonts w:eastAsia="MS Mincho"/>
                    <w:b/>
                    <w:sz w:val="22"/>
                    <w:szCs w:val="22"/>
                    <w:lang w:val="it-IT"/>
                  </w:rPr>
                </w:rPrChange>
              </w:rPr>
              <w:br/>
              <w:t xml:space="preserve">(cellule </w:t>
            </w:r>
            <w:r>
              <w:rPr>
                <w:rFonts w:eastAsia="MS Mincho"/>
                <w:bCs/>
                <w:noProof/>
                <w:sz w:val="22"/>
                <w:szCs w:val="22"/>
                <w:lang w:val="it-IT"/>
                <w:rPrChange w:id="3240" w:author="Author">
                  <w:rPr>
                    <w:rFonts w:eastAsia="MS Mincho"/>
                    <w:b/>
                    <w:sz w:val="22"/>
                    <w:szCs w:val="22"/>
                    <w:lang w:val="it-IT"/>
                  </w:rPr>
                </w:rPrChange>
              </w:rPr>
              <w:sym w:font="Symbol" w:char="F0B4"/>
            </w:r>
            <w:r>
              <w:rPr>
                <w:rFonts w:eastAsia="MS Mincho"/>
                <w:bCs/>
                <w:noProof/>
                <w:sz w:val="22"/>
                <w:szCs w:val="22"/>
                <w:lang w:val="it-IT"/>
                <w:rPrChange w:id="3241" w:author="Author">
                  <w:rPr>
                    <w:rFonts w:eastAsia="MS Mincho"/>
                    <w:b/>
                    <w:sz w:val="22"/>
                    <w:szCs w:val="22"/>
                    <w:lang w:val="it-IT"/>
                  </w:rPr>
                </w:rPrChange>
              </w:rPr>
              <w:t xml:space="preserve"> 10</w:t>
            </w:r>
            <w:r>
              <w:rPr>
                <w:rFonts w:eastAsia="MS Mincho"/>
                <w:bCs/>
                <w:noProof/>
                <w:sz w:val="22"/>
                <w:szCs w:val="22"/>
                <w:vertAlign w:val="superscript"/>
                <w:lang w:val="it-IT"/>
                <w:rPrChange w:id="3242" w:author="Author">
                  <w:rPr>
                    <w:rFonts w:eastAsia="MS Mincho"/>
                    <w:b/>
                    <w:sz w:val="22"/>
                    <w:szCs w:val="22"/>
                    <w:vertAlign w:val="superscript"/>
                    <w:lang w:val="it-IT"/>
                  </w:rPr>
                </w:rPrChange>
              </w:rPr>
              <w:t>3</w:t>
            </w:r>
            <w:r>
              <w:rPr>
                <w:rFonts w:eastAsia="MS Mincho"/>
                <w:bCs/>
                <w:noProof/>
                <w:sz w:val="22"/>
                <w:szCs w:val="22"/>
                <w:lang w:val="it-IT"/>
                <w:rPrChange w:id="3243" w:author="Author">
                  <w:rPr>
                    <w:rFonts w:eastAsia="MS Mincho"/>
                    <w:b/>
                    <w:sz w:val="22"/>
                    <w:szCs w:val="22"/>
                    <w:lang w:val="it-IT"/>
                  </w:rPr>
                </w:rPrChange>
              </w:rPr>
              <w:t>/</w:t>
            </w:r>
            <w:r>
              <w:rPr>
                <w:rFonts w:eastAsia="MS Mincho"/>
                <w:bCs/>
                <w:noProof/>
                <w:sz w:val="22"/>
                <w:szCs w:val="22"/>
                <w:lang w:val="it-IT"/>
                <w:rPrChange w:id="3244" w:author="Author">
                  <w:rPr>
                    <w:rFonts w:eastAsia="MS Mincho"/>
                    <w:b/>
                    <w:sz w:val="22"/>
                    <w:szCs w:val="22"/>
                    <w:lang w:val="it-IT"/>
                  </w:rPr>
                </w:rPrChange>
              </w:rPr>
              <w:sym w:font="Symbol" w:char="F06D"/>
            </w:r>
            <w:r>
              <w:rPr>
                <w:rFonts w:eastAsia="MS Mincho"/>
                <w:bCs/>
                <w:noProof/>
                <w:sz w:val="22"/>
                <w:szCs w:val="22"/>
                <w:lang w:val="it-IT"/>
                <w:rPrChange w:id="3245" w:author="Author">
                  <w:rPr>
                    <w:rFonts w:eastAsia="MS Mincho"/>
                    <w:b/>
                    <w:sz w:val="22"/>
                    <w:szCs w:val="22"/>
                    <w:lang w:val="it-IT"/>
                  </w:rPr>
                </w:rPrChange>
              </w:rPr>
              <w:t>L)</w:t>
            </w:r>
          </w:p>
        </w:tc>
        <w:tc>
          <w:tcPr>
            <w:tcW w:w="3811" w:type="pct"/>
            <w:tcPrChange w:id="3246" w:author="Author">
              <w:tcPr>
                <w:tcW w:w="3897" w:type="pct"/>
              </w:tcPr>
            </w:tcPrChange>
          </w:tcPr>
          <w:p>
            <w:pPr>
              <w:pStyle w:val="TextTi12"/>
              <w:keepNext/>
              <w:suppressAutoHyphens/>
              <w:spacing w:after="0" w:line="240" w:lineRule="auto"/>
              <w:jc w:val="center"/>
              <w:rPr>
                <w:rFonts w:eastAsia="MS Mincho"/>
                <w:noProof/>
                <w:sz w:val="22"/>
                <w:szCs w:val="22"/>
                <w:lang w:val="it-IT"/>
              </w:rPr>
              <w:pPrChange w:id="3247" w:author="Author">
                <w:pPr>
                  <w:pStyle w:val="TextTi12"/>
                  <w:keepNext/>
                  <w:keepLines/>
                  <w:jc w:val="center"/>
                </w:pPr>
              </w:pPrChange>
            </w:pPr>
            <w:r>
              <w:rPr>
                <w:rFonts w:eastAsia="MS Mincho"/>
                <w:b/>
                <w:noProof/>
                <w:sz w:val="22"/>
                <w:szCs w:val="22"/>
                <w:lang w:val="it-IT"/>
              </w:rPr>
              <w:t>Azione</w:t>
            </w:r>
          </w:p>
        </w:tc>
      </w:tr>
      <w:tr>
        <w:trPr>
          <w:cantSplit/>
        </w:trPr>
        <w:tc>
          <w:tcPr>
            <w:tcW w:w="1189" w:type="pct"/>
            <w:tcPrChange w:id="3248" w:author="Author">
              <w:tcPr>
                <w:tcW w:w="1103" w:type="pct"/>
              </w:tcPr>
            </w:tcPrChange>
          </w:tcPr>
          <w:p>
            <w:pPr>
              <w:pStyle w:val="TextTi12"/>
              <w:keepNext/>
              <w:suppressAutoHyphens/>
              <w:spacing w:after="0" w:line="240" w:lineRule="auto"/>
              <w:jc w:val="left"/>
              <w:rPr>
                <w:rFonts w:eastAsia="MS Mincho"/>
                <w:noProof/>
                <w:sz w:val="22"/>
                <w:szCs w:val="22"/>
                <w:lang w:val="it-IT"/>
              </w:rPr>
              <w:pPrChange w:id="3249" w:author="Author">
                <w:pPr>
                  <w:pStyle w:val="TextTi12"/>
                  <w:keepNext/>
                  <w:keepLines/>
                </w:pPr>
              </w:pPrChange>
            </w:pPr>
            <w:r>
              <w:rPr>
                <w:rFonts w:eastAsia="MS Mincho"/>
                <w:noProof/>
                <w:sz w:val="22"/>
                <w:szCs w:val="22"/>
                <w:lang w:val="it-IT"/>
              </w:rPr>
              <w:t>Da 50 a 100</w:t>
            </w:r>
          </w:p>
        </w:tc>
        <w:tc>
          <w:tcPr>
            <w:tcW w:w="3811" w:type="pct"/>
            <w:tcPrChange w:id="3250" w:author="Author">
              <w:tcPr>
                <w:tcW w:w="3897" w:type="pct"/>
              </w:tcPr>
            </w:tcPrChange>
          </w:tcPr>
          <w:p>
            <w:pPr>
              <w:pStyle w:val="TextTi12"/>
              <w:keepNext/>
              <w:suppressAutoHyphens/>
              <w:spacing w:after="0" w:line="240" w:lineRule="auto"/>
              <w:jc w:val="left"/>
              <w:rPr>
                <w:ins w:id="3251" w:author="Author"/>
                <w:rFonts w:eastAsia="MS Mincho"/>
                <w:noProof/>
                <w:sz w:val="22"/>
                <w:szCs w:val="22"/>
                <w:lang w:val="it-IT"/>
              </w:rPr>
            </w:pPr>
            <w:r>
              <w:rPr>
                <w:rFonts w:eastAsia="MS Mincho"/>
                <w:noProof/>
                <w:sz w:val="22"/>
                <w:szCs w:val="22"/>
                <w:lang w:val="it-IT"/>
              </w:rPr>
              <w:t>Se appropriato, modificare la dose della terapia concomitante con MTX.</w:t>
            </w:r>
          </w:p>
          <w:p>
            <w:pPr>
              <w:pStyle w:val="TextTi12"/>
              <w:keepNext/>
              <w:suppressAutoHyphens/>
              <w:spacing w:after="0" w:line="240" w:lineRule="auto"/>
              <w:jc w:val="left"/>
              <w:rPr>
                <w:rFonts w:eastAsia="MS Mincho"/>
                <w:noProof/>
                <w:sz w:val="22"/>
                <w:szCs w:val="22"/>
                <w:lang w:val="it-IT"/>
              </w:rPr>
              <w:pPrChange w:id="3252" w:author="Author">
                <w:pPr>
                  <w:pStyle w:val="TextTi12"/>
                  <w:keepNext/>
                  <w:keepLines/>
                </w:pPr>
              </w:pPrChange>
            </w:pPr>
          </w:p>
          <w:p>
            <w:pPr>
              <w:pStyle w:val="TextTi12"/>
              <w:keepNext/>
              <w:suppressAutoHyphens/>
              <w:spacing w:after="0" w:line="240" w:lineRule="auto"/>
              <w:jc w:val="left"/>
              <w:rPr>
                <w:ins w:id="3253" w:author="Author"/>
                <w:rFonts w:eastAsia="MS Mincho"/>
                <w:noProof/>
                <w:sz w:val="22"/>
                <w:szCs w:val="22"/>
                <w:lang w:val="it-IT"/>
              </w:rPr>
            </w:pPr>
            <w:r>
              <w:rPr>
                <w:rFonts w:eastAsia="MS Mincho"/>
                <w:noProof/>
                <w:sz w:val="22"/>
                <w:szCs w:val="22"/>
                <w:lang w:val="it-IT"/>
              </w:rPr>
              <w:t>Sospendere la somministrazione di tocilizumab.</w:t>
            </w:r>
          </w:p>
          <w:p>
            <w:pPr>
              <w:pStyle w:val="TextTi12"/>
              <w:keepNext/>
              <w:suppressAutoHyphens/>
              <w:spacing w:after="0" w:line="240" w:lineRule="auto"/>
              <w:jc w:val="left"/>
              <w:rPr>
                <w:rFonts w:eastAsia="MS Mincho"/>
                <w:noProof/>
                <w:sz w:val="22"/>
                <w:szCs w:val="22"/>
                <w:lang w:val="it-IT"/>
              </w:rPr>
              <w:pPrChange w:id="3254" w:author="Author">
                <w:pPr>
                  <w:pStyle w:val="TextTi12"/>
                  <w:keepNext/>
                  <w:keepLines/>
                </w:pPr>
              </w:pPrChange>
            </w:pPr>
          </w:p>
          <w:p>
            <w:pPr>
              <w:pStyle w:val="TextTi12"/>
              <w:keepNext/>
              <w:suppressAutoHyphens/>
              <w:spacing w:after="0" w:line="240" w:lineRule="auto"/>
              <w:jc w:val="left"/>
              <w:rPr>
                <w:del w:id="3255" w:author="Author"/>
                <w:rFonts w:eastAsia="MS Mincho"/>
                <w:noProof/>
                <w:sz w:val="22"/>
                <w:szCs w:val="22"/>
                <w:lang w:val="it-IT"/>
              </w:rPr>
              <w:pPrChange w:id="3256" w:author="Author">
                <w:pPr>
                  <w:pStyle w:val="TextTi12"/>
                  <w:keepNext/>
                  <w:keepLines/>
                </w:pPr>
              </w:pPrChange>
            </w:pPr>
            <w:r>
              <w:rPr>
                <w:rFonts w:eastAsia="MS Mincho"/>
                <w:noProof/>
                <w:sz w:val="22"/>
                <w:szCs w:val="22"/>
                <w:lang w:val="it-IT"/>
              </w:rPr>
              <w:t xml:space="preserve">Quando la conta piastrinica è </w:t>
            </w:r>
            <w:r>
              <w:rPr>
                <w:rFonts w:eastAsia="MS Mincho"/>
                <w:noProof/>
                <w:sz w:val="22"/>
                <w:szCs w:val="22"/>
                <w:lang w:val="it-IT"/>
              </w:rPr>
              <w:sym w:font="Symbol" w:char="F03E"/>
            </w:r>
            <w:r>
              <w:rPr>
                <w:rFonts w:eastAsia="MS Mincho"/>
                <w:noProof/>
                <w:sz w:val="22"/>
                <w:szCs w:val="22"/>
                <w:lang w:val="it-IT"/>
              </w:rPr>
              <w:t xml:space="preserve"> 100 </w:t>
            </w:r>
            <w:r>
              <w:rPr>
                <w:rFonts w:eastAsia="MS Mincho"/>
                <w:noProof/>
                <w:sz w:val="22"/>
                <w:szCs w:val="22"/>
                <w:lang w:val="it-IT"/>
              </w:rPr>
              <w:sym w:font="Symbol" w:char="F0B4"/>
            </w:r>
            <w:r>
              <w:rPr>
                <w:rFonts w:eastAsia="MS Mincho"/>
                <w:noProof/>
                <w:sz w:val="22"/>
                <w:szCs w:val="22"/>
                <w:lang w:val="it-IT"/>
              </w:rPr>
              <w:t xml:space="preserve"> 10</w:t>
            </w:r>
            <w:r>
              <w:rPr>
                <w:rFonts w:eastAsia="MS Mincho"/>
                <w:noProof/>
                <w:sz w:val="22"/>
                <w:szCs w:val="22"/>
                <w:vertAlign w:val="superscript"/>
                <w:lang w:val="it-IT"/>
              </w:rPr>
              <w:t>3</w:t>
            </w:r>
            <w:r>
              <w:rPr>
                <w:rFonts w:eastAsia="MS Mincho"/>
                <w:noProof/>
                <w:sz w:val="22"/>
                <w:szCs w:val="22"/>
                <w:lang w:val="it-IT"/>
              </w:rPr>
              <w:t>/</w:t>
            </w:r>
            <w:r>
              <w:rPr>
                <w:rFonts w:eastAsia="MS Mincho"/>
                <w:noProof/>
                <w:sz w:val="22"/>
                <w:szCs w:val="22"/>
                <w:lang w:val="it-IT"/>
              </w:rPr>
              <w:sym w:font="Symbol" w:char="F06D"/>
            </w:r>
            <w:r>
              <w:rPr>
                <w:rFonts w:eastAsia="MS Mincho"/>
                <w:noProof/>
                <w:sz w:val="22"/>
                <w:szCs w:val="22"/>
                <w:lang w:val="it-IT"/>
              </w:rPr>
              <w:t>L, riprendere il trattamento.</w:t>
            </w:r>
          </w:p>
          <w:p>
            <w:pPr>
              <w:pStyle w:val="TextTi12"/>
              <w:keepNext/>
              <w:suppressAutoHyphens/>
              <w:spacing w:after="0" w:line="240" w:lineRule="auto"/>
              <w:jc w:val="left"/>
              <w:rPr>
                <w:rFonts w:eastAsia="MS Mincho"/>
                <w:noProof/>
                <w:sz w:val="22"/>
                <w:szCs w:val="22"/>
                <w:lang w:val="it-IT"/>
              </w:rPr>
              <w:pPrChange w:id="3257" w:author="Author">
                <w:pPr>
                  <w:pStyle w:val="TextTi12"/>
                  <w:keepNext/>
                  <w:keepLines/>
                </w:pPr>
              </w:pPrChange>
            </w:pPr>
          </w:p>
        </w:tc>
      </w:tr>
      <w:tr>
        <w:trPr>
          <w:cantSplit/>
        </w:trPr>
        <w:tc>
          <w:tcPr>
            <w:tcW w:w="1189" w:type="pct"/>
            <w:tcPrChange w:id="3258" w:author="Author">
              <w:tcPr>
                <w:tcW w:w="1103" w:type="pct"/>
              </w:tcPr>
            </w:tcPrChange>
          </w:tcPr>
          <w:p>
            <w:pPr>
              <w:pStyle w:val="TextTi12"/>
              <w:suppressAutoHyphens/>
              <w:spacing w:after="0" w:line="240" w:lineRule="auto"/>
              <w:jc w:val="left"/>
              <w:rPr>
                <w:rFonts w:eastAsia="MS Mincho"/>
                <w:noProof/>
                <w:sz w:val="22"/>
                <w:szCs w:val="22"/>
                <w:lang w:val="it-IT"/>
              </w:rPr>
              <w:pPrChange w:id="3259" w:author="Author">
                <w:pPr>
                  <w:pStyle w:val="TextTi12"/>
                </w:pPr>
              </w:pPrChange>
            </w:pPr>
            <w:r>
              <w:rPr>
                <w:rFonts w:eastAsia="MS Mincho"/>
                <w:noProof/>
                <w:sz w:val="22"/>
                <w:szCs w:val="22"/>
                <w:lang w:val="it-IT"/>
              </w:rPr>
              <w:t xml:space="preserve">&lt; 50 </w:t>
            </w:r>
          </w:p>
        </w:tc>
        <w:tc>
          <w:tcPr>
            <w:tcW w:w="3811" w:type="pct"/>
            <w:tcPrChange w:id="3260" w:author="Author">
              <w:tcPr>
                <w:tcW w:w="3897" w:type="pct"/>
              </w:tcPr>
            </w:tcPrChange>
          </w:tcPr>
          <w:p>
            <w:pPr>
              <w:pStyle w:val="TextTi12"/>
              <w:suppressAutoHyphens/>
              <w:spacing w:after="0" w:line="240" w:lineRule="auto"/>
              <w:jc w:val="left"/>
              <w:rPr>
                <w:ins w:id="3261" w:author="Author"/>
                <w:rFonts w:eastAsia="MS Mincho"/>
                <w:noProof/>
                <w:sz w:val="22"/>
                <w:szCs w:val="22"/>
                <w:lang w:val="it-IT"/>
              </w:rPr>
            </w:pPr>
            <w:r>
              <w:rPr>
                <w:rFonts w:eastAsia="MS Mincho"/>
                <w:noProof/>
                <w:sz w:val="22"/>
                <w:szCs w:val="22"/>
                <w:lang w:val="it-IT"/>
              </w:rPr>
              <w:t>Interrompere il trattamento con tocilizumab.</w:t>
            </w:r>
          </w:p>
          <w:p>
            <w:pPr>
              <w:pStyle w:val="TextTi12"/>
              <w:suppressAutoHyphens/>
              <w:spacing w:after="0" w:line="240" w:lineRule="auto"/>
              <w:jc w:val="left"/>
              <w:rPr>
                <w:rFonts w:eastAsia="MS Mincho"/>
                <w:noProof/>
                <w:sz w:val="22"/>
                <w:szCs w:val="22"/>
                <w:lang w:val="it-IT"/>
              </w:rPr>
              <w:pPrChange w:id="3262" w:author="Author">
                <w:pPr>
                  <w:pStyle w:val="TextTi12"/>
                </w:pPr>
              </w:pPrChange>
            </w:pPr>
          </w:p>
          <w:p>
            <w:pPr>
              <w:pStyle w:val="TextTi12"/>
              <w:suppressAutoHyphens/>
              <w:spacing w:after="0" w:line="240" w:lineRule="auto"/>
              <w:jc w:val="left"/>
              <w:rPr>
                <w:rFonts w:eastAsia="MS Mincho"/>
                <w:noProof/>
                <w:sz w:val="22"/>
                <w:szCs w:val="22"/>
                <w:lang w:val="it-IT"/>
              </w:rPr>
              <w:pPrChange w:id="3263" w:author="Author">
                <w:pPr>
                  <w:pStyle w:val="TextTi12"/>
                </w:pPr>
              </w:pPrChange>
            </w:pPr>
            <w:r>
              <w:rPr>
                <w:rFonts w:eastAsia="MS Mincho"/>
                <w:noProof/>
                <w:sz w:val="22"/>
                <w:szCs w:val="22"/>
                <w:lang w:val="it-IT"/>
              </w:rPr>
              <w:t>La decisione di interrompere il trattamento nell’AIGs o nell’AIGp per un’anomalia di laboratorio deve basarsi sulla valutazione medica del singolo paziente.</w:t>
            </w:r>
          </w:p>
        </w:tc>
      </w:tr>
    </w:tbl>
    <w:p>
      <w:pPr>
        <w:ind w:left="567" w:hanging="567"/>
        <w:rPr>
          <w:noProof/>
          <w:szCs w:val="22"/>
          <w:lang w:val="it-IT"/>
        </w:rPr>
      </w:pPr>
    </w:p>
    <w:p>
      <w:pPr>
        <w:rPr>
          <w:noProof/>
          <w:lang w:val="it-IT"/>
        </w:rPr>
      </w:pPr>
      <w:r>
        <w:rPr>
          <w:noProof/>
          <w:lang w:val="it-IT"/>
        </w:rPr>
        <w:t>La riduzione della frequenza di somministrazione di tocilizumab per anomalie di laboratorio non è stata studiata nei pazienti affetti da AIGs o AIGp.</w:t>
      </w:r>
    </w:p>
    <w:p>
      <w:pPr>
        <w:tabs>
          <w:tab w:val="left" w:pos="180"/>
        </w:tabs>
        <w:rPr>
          <w:noProof/>
          <w:lang w:val="it-IT"/>
        </w:rPr>
        <w:pPrChange w:id="3264" w:author="Author">
          <w:pPr>
            <w:keepNext/>
            <w:keepLines/>
            <w:tabs>
              <w:tab w:val="left" w:pos="180"/>
            </w:tabs>
          </w:pPr>
        </w:pPrChange>
      </w:pPr>
    </w:p>
    <w:p>
      <w:pPr>
        <w:rPr>
          <w:noProof/>
          <w:lang w:val="it-IT"/>
        </w:rPr>
      </w:pPr>
      <w:r>
        <w:rPr>
          <w:noProof/>
          <w:lang w:val="it-IT"/>
        </w:rPr>
        <w:t>La sicurezza e l’efficacia di tocilizumab in formulazione sottocutanea nei bambini affetti da condizioni diverse dall’AIGs o dall’AIGp non sono state stabilite.</w:t>
      </w:r>
    </w:p>
    <w:p>
      <w:pPr>
        <w:rPr>
          <w:noProof/>
          <w:lang w:val="it-IT"/>
        </w:rPr>
      </w:pPr>
    </w:p>
    <w:p>
      <w:pPr>
        <w:rPr>
          <w:noProof/>
          <w:lang w:val="it-IT"/>
        </w:rPr>
      </w:pPr>
      <w:r>
        <w:rPr>
          <w:noProof/>
          <w:lang w:val="it-IT"/>
        </w:rPr>
        <w:lastRenderedPageBreak/>
        <w:t>I dati disponibili con la formulazione endovenosa suggeriscono che il miglioramento clinico si osserva entro 12 settimane dall'inizio del trattamento con tocilizumab. Occorre attentamente riconsiderare se continuare la terapia in un paziente che non mostri miglioramenti in questo lasso di tempo.</w:t>
      </w:r>
    </w:p>
    <w:p>
      <w:pPr>
        <w:ind w:left="567" w:hanging="567"/>
        <w:rPr>
          <w:i/>
          <w:noProof/>
          <w:lang w:val="it-IT"/>
        </w:rPr>
      </w:pPr>
    </w:p>
    <w:p>
      <w:pPr>
        <w:keepNext/>
        <w:keepLines/>
        <w:ind w:left="567" w:hanging="567"/>
        <w:rPr>
          <w:rFonts w:eastAsia="Calibri"/>
          <w:bCs/>
          <w:noProof/>
          <w:szCs w:val="22"/>
          <w:lang w:val="it-IT" w:eastAsia="en-US"/>
        </w:rPr>
      </w:pPr>
      <w:r>
        <w:rPr>
          <w:rFonts w:eastAsia="Calibri"/>
          <w:bCs/>
          <w:noProof/>
          <w:szCs w:val="22"/>
          <w:lang w:val="it-IT" w:eastAsia="en-US"/>
        </w:rPr>
        <w:t>Dose dimenticata</w:t>
      </w:r>
    </w:p>
    <w:p>
      <w:pPr>
        <w:keepNext/>
        <w:keepLines/>
        <w:rPr>
          <w:ins w:id="3265" w:author="Author"/>
          <w:rFonts w:eastAsia="Calibri"/>
          <w:noProof/>
          <w:szCs w:val="22"/>
          <w:lang w:val="it-IT" w:eastAsia="en-US"/>
        </w:rPr>
      </w:pPr>
      <w:r>
        <w:rPr>
          <w:rFonts w:eastAsia="Calibri"/>
          <w:noProof/>
          <w:szCs w:val="22"/>
          <w:lang w:val="it-IT" w:eastAsia="en-US"/>
        </w:rPr>
        <w:t xml:space="preserve">Se un paziente che sta assumendo </w:t>
      </w:r>
      <w:del w:id="3266" w:author="Author">
        <w:r>
          <w:rPr>
            <w:rFonts w:eastAsia="Calibri"/>
            <w:noProof/>
            <w:szCs w:val="22"/>
            <w:lang w:val="it-IT" w:eastAsia="en-US"/>
          </w:rPr>
          <w:delText xml:space="preserve">settimanalmente tocilizumn </w:delText>
        </w:r>
      </w:del>
      <w:bookmarkStart w:id="3267" w:name="_Hlk224037572"/>
      <w:ins w:id="3268" w:author="Author">
        <w:r>
          <w:rPr>
            <w:rFonts w:eastAsia="Calibri"/>
            <w:noProof/>
            <w:szCs w:val="22"/>
            <w:lang w:val="it-IT" w:eastAsia="en-US"/>
          </w:rPr>
          <w:t xml:space="preserve">tocilizumab una volta a settimana </w:t>
        </w:r>
      </w:ins>
      <w:bookmarkEnd w:id="3267"/>
      <w:r>
        <w:rPr>
          <w:rFonts w:eastAsia="Calibri"/>
          <w:noProof/>
          <w:szCs w:val="22"/>
          <w:lang w:val="it-IT" w:eastAsia="en-US"/>
        </w:rPr>
        <w:t xml:space="preserve">salta un’iniezione sottocutanea </w:t>
      </w:r>
      <w:ins w:id="3269" w:author="Author">
        <w:r>
          <w:rPr>
            <w:rFonts w:eastAsia="Calibri"/>
            <w:noProof/>
            <w:szCs w:val="22"/>
            <w:lang w:val="it-IT" w:eastAsia="en-US"/>
          </w:rPr>
          <w:t xml:space="preserve">e sono trascorsi meno di 7 giorni dalla dose </w:t>
        </w:r>
      </w:ins>
      <w:del w:id="3270" w:author="Author">
        <w:r>
          <w:rPr>
            <w:rFonts w:eastAsia="Calibri"/>
            <w:noProof/>
            <w:szCs w:val="22"/>
            <w:lang w:val="it-IT" w:eastAsia="en-US"/>
          </w:rPr>
          <w:delText xml:space="preserve">entro 7 giorni dalla somministrazione </w:delText>
        </w:r>
      </w:del>
      <w:r>
        <w:rPr>
          <w:rFonts w:eastAsia="Calibri"/>
          <w:noProof/>
          <w:szCs w:val="22"/>
          <w:lang w:val="it-IT" w:eastAsia="en-US"/>
        </w:rPr>
        <w:t xml:space="preserve">prevista, </w:t>
      </w:r>
      <w:del w:id="3271" w:author="Author">
        <w:r>
          <w:rPr>
            <w:rFonts w:eastAsia="Calibri"/>
            <w:noProof/>
            <w:szCs w:val="22"/>
            <w:lang w:val="it-IT" w:eastAsia="en-US"/>
          </w:rPr>
          <w:delText xml:space="preserve">questi </w:delText>
        </w:r>
      </w:del>
      <w:ins w:id="3272" w:author="Author">
        <w:r>
          <w:rPr>
            <w:rFonts w:eastAsia="Calibri"/>
            <w:noProof/>
            <w:szCs w:val="22"/>
            <w:lang w:val="it-IT" w:eastAsia="en-US"/>
          </w:rPr>
          <w:t xml:space="preserve">il paziente </w:t>
        </w:r>
      </w:ins>
      <w:r>
        <w:rPr>
          <w:rFonts w:eastAsia="Calibri"/>
          <w:noProof/>
          <w:szCs w:val="22"/>
          <w:lang w:val="it-IT" w:eastAsia="en-US"/>
        </w:rPr>
        <w:t xml:space="preserve">deve essere istruito ad assumere la dose dimenticata il giorno programmato successivo. </w:t>
      </w:r>
    </w:p>
    <w:p>
      <w:pPr>
        <w:keepNext/>
        <w:keepLines/>
        <w:rPr>
          <w:rFonts w:eastAsia="Calibri"/>
          <w:noProof/>
          <w:szCs w:val="22"/>
          <w:lang w:val="it-IT" w:eastAsia="en-US"/>
        </w:rPr>
      </w:pPr>
      <w:r>
        <w:rPr>
          <w:rFonts w:eastAsia="Calibri"/>
          <w:noProof/>
          <w:szCs w:val="22"/>
          <w:lang w:val="it-IT" w:eastAsia="en-US"/>
        </w:rPr>
        <w:t xml:space="preserve">Se un paziente che sta assumendo tocilizumab </w:t>
      </w:r>
      <w:ins w:id="3273" w:author="Author">
        <w:r>
          <w:rPr>
            <w:rFonts w:eastAsia="Calibri"/>
            <w:noProof/>
            <w:szCs w:val="22"/>
            <w:lang w:val="it-IT" w:eastAsia="en-US"/>
          </w:rPr>
          <w:t>ogni due</w:t>
        </w:r>
      </w:ins>
      <w:del w:id="3274" w:author="Author">
        <w:r>
          <w:rPr>
            <w:rFonts w:eastAsia="Calibri"/>
            <w:noProof/>
            <w:szCs w:val="22"/>
            <w:lang w:val="it-IT" w:eastAsia="en-US"/>
          </w:rPr>
          <w:delText>a</w:delText>
        </w:r>
      </w:del>
      <w:r>
        <w:rPr>
          <w:rFonts w:eastAsia="Calibri"/>
          <w:noProof/>
          <w:szCs w:val="22"/>
          <w:lang w:val="it-IT" w:eastAsia="en-US"/>
        </w:rPr>
        <w:t xml:space="preserve"> settimane </w:t>
      </w:r>
      <w:del w:id="3275" w:author="Author">
        <w:r>
          <w:rPr>
            <w:rFonts w:eastAsia="Calibri"/>
            <w:noProof/>
            <w:szCs w:val="22"/>
            <w:lang w:val="it-IT" w:eastAsia="en-US"/>
          </w:rPr>
          <w:delText xml:space="preserve">alterne </w:delText>
        </w:r>
      </w:del>
      <w:r>
        <w:rPr>
          <w:rFonts w:eastAsia="Calibri"/>
          <w:noProof/>
          <w:szCs w:val="22"/>
          <w:lang w:val="it-IT" w:eastAsia="en-US"/>
        </w:rPr>
        <w:t xml:space="preserve">salta un’iniezione sottocutanea </w:t>
      </w:r>
      <w:ins w:id="3276" w:author="Author">
        <w:r>
          <w:rPr>
            <w:rFonts w:eastAsia="Calibri"/>
            <w:noProof/>
            <w:szCs w:val="22"/>
            <w:lang w:val="it-IT" w:eastAsia="en-US"/>
          </w:rPr>
          <w:t xml:space="preserve">e sono trascorsi meno di 7 giorni dalla dose </w:t>
        </w:r>
      </w:ins>
      <w:del w:id="3277" w:author="Author">
        <w:r>
          <w:rPr>
            <w:rFonts w:eastAsia="Calibri"/>
            <w:noProof/>
            <w:szCs w:val="22"/>
            <w:lang w:val="it-IT" w:eastAsia="en-US"/>
          </w:rPr>
          <w:delText xml:space="preserve">entro 7 giorni dalla somministrazione </w:delText>
        </w:r>
      </w:del>
      <w:r>
        <w:rPr>
          <w:rFonts w:eastAsia="Calibri"/>
          <w:noProof/>
          <w:szCs w:val="22"/>
          <w:lang w:val="it-IT" w:eastAsia="en-US"/>
        </w:rPr>
        <w:t xml:space="preserve">prevista, </w:t>
      </w:r>
      <w:del w:id="3278" w:author="Author">
        <w:r>
          <w:rPr>
            <w:rFonts w:eastAsia="Calibri"/>
            <w:noProof/>
            <w:szCs w:val="22"/>
            <w:lang w:val="it-IT" w:eastAsia="en-US"/>
          </w:rPr>
          <w:delText xml:space="preserve">questi </w:delText>
        </w:r>
      </w:del>
      <w:ins w:id="3279" w:author="Author">
        <w:r>
          <w:rPr>
            <w:rFonts w:eastAsia="Calibri"/>
            <w:noProof/>
            <w:szCs w:val="22"/>
            <w:lang w:val="it-IT" w:eastAsia="en-US"/>
          </w:rPr>
          <w:t xml:space="preserve">il paziente </w:t>
        </w:r>
      </w:ins>
      <w:r>
        <w:rPr>
          <w:rFonts w:eastAsia="Calibri"/>
          <w:noProof/>
          <w:szCs w:val="22"/>
          <w:lang w:val="it-IT" w:eastAsia="en-US"/>
        </w:rPr>
        <w:t xml:space="preserve">deve essere istruito ad assumere la dose dimenticata immediatamente e </w:t>
      </w:r>
      <w:ins w:id="3280" w:author="Author">
        <w:r>
          <w:rPr>
            <w:noProof/>
            <w:szCs w:val="22"/>
            <w:lang w:val="it-IT"/>
          </w:rPr>
          <w:t>quelle successive come programmato</w:t>
        </w:r>
      </w:ins>
      <w:del w:id="3281" w:author="Author">
        <w:r>
          <w:rPr>
            <w:rFonts w:eastAsia="Calibri"/>
            <w:noProof/>
            <w:szCs w:val="22"/>
            <w:lang w:val="it-IT" w:eastAsia="en-US"/>
          </w:rPr>
          <w:delText>quella seguente il giorno programmato successivo</w:delText>
        </w:r>
      </w:del>
      <w:r>
        <w:rPr>
          <w:rFonts w:eastAsia="Calibri"/>
          <w:noProof/>
          <w:szCs w:val="22"/>
          <w:lang w:val="it-IT" w:eastAsia="en-US"/>
        </w:rPr>
        <w:t>.</w:t>
      </w:r>
    </w:p>
    <w:p>
      <w:pPr>
        <w:rPr>
          <w:rFonts w:eastAsia="Calibri"/>
          <w:noProof/>
          <w:szCs w:val="22"/>
          <w:lang w:val="it-IT" w:eastAsia="en-US"/>
        </w:rPr>
      </w:pPr>
    </w:p>
    <w:p>
      <w:pPr>
        <w:rPr>
          <w:rFonts w:eastAsia="Calibri"/>
          <w:noProof/>
          <w:szCs w:val="22"/>
          <w:lang w:val="it-IT" w:eastAsia="en-US"/>
        </w:rPr>
      </w:pPr>
      <w:r>
        <w:rPr>
          <w:rFonts w:eastAsia="Calibri"/>
          <w:noProof/>
          <w:szCs w:val="22"/>
          <w:lang w:val="it-IT" w:eastAsia="en-US"/>
        </w:rPr>
        <w:t xml:space="preserve">Se un paziente affetto da </w:t>
      </w:r>
      <w:r>
        <w:rPr>
          <w:noProof/>
          <w:lang w:val="it-IT"/>
        </w:rPr>
        <w:t>AIGp</w:t>
      </w:r>
      <w:r>
        <w:rPr>
          <w:rFonts w:eastAsia="Calibri"/>
          <w:noProof/>
          <w:szCs w:val="22"/>
          <w:lang w:val="it-IT" w:eastAsia="en-US"/>
        </w:rPr>
        <w:t xml:space="preserve"> dimentica un’iniezione sottocutanea di tocilizumab e sono trascorsi meno di 7 giorni dalla dose </w:t>
      </w:r>
      <w:ins w:id="3282" w:author="Author">
        <w:r>
          <w:rPr>
            <w:rFonts w:eastAsia="Calibri"/>
            <w:noProof/>
            <w:szCs w:val="22"/>
            <w:lang w:val="it-IT" w:eastAsia="en-US"/>
          </w:rPr>
          <w:t>prevista</w:t>
        </w:r>
      </w:ins>
      <w:del w:id="3283" w:author="Author">
        <w:r>
          <w:rPr>
            <w:rFonts w:eastAsia="Calibri"/>
            <w:noProof/>
            <w:szCs w:val="22"/>
            <w:lang w:val="it-IT" w:eastAsia="en-US"/>
          </w:rPr>
          <w:delText>programmata</w:delText>
        </w:r>
      </w:del>
      <w:r>
        <w:rPr>
          <w:rFonts w:eastAsia="Calibri"/>
          <w:noProof/>
          <w:szCs w:val="22"/>
          <w:lang w:val="it-IT" w:eastAsia="en-US"/>
        </w:rPr>
        <w:t xml:space="preserve">, la dose dimenticata deve essere somministrata non appena il paziente se ne ricorda e quella successiva deve essere iniettata regolarmente nel giorno e all’ora previsti. Se un paziente ha dimenticato un’iniezione sottocutanea di tocilizumab e sono trascorsi più di 7 giorni dalla dose </w:t>
      </w:r>
      <w:ins w:id="3284" w:author="Author">
        <w:r>
          <w:rPr>
            <w:rFonts w:eastAsia="Calibri"/>
            <w:noProof/>
            <w:szCs w:val="22"/>
            <w:lang w:val="it-IT" w:eastAsia="en-US"/>
          </w:rPr>
          <w:t xml:space="preserve">prevista </w:t>
        </w:r>
      </w:ins>
      <w:del w:id="3285" w:author="Author">
        <w:r>
          <w:rPr>
            <w:rFonts w:eastAsia="Calibri"/>
            <w:noProof/>
            <w:szCs w:val="22"/>
            <w:lang w:val="it-IT" w:eastAsia="en-US"/>
          </w:rPr>
          <w:delText xml:space="preserve">programmata </w:delText>
        </w:r>
      </w:del>
      <w:r>
        <w:rPr>
          <w:rFonts w:eastAsia="Calibri"/>
          <w:noProof/>
          <w:szCs w:val="22"/>
          <w:lang w:val="it-IT" w:eastAsia="en-US"/>
        </w:rPr>
        <w:t>oppure il paziente non è sicuro di quando iniettare tocilizumab, è necessario rivolgersi al medico o al farmacista.</w:t>
      </w:r>
    </w:p>
    <w:p>
      <w:pPr>
        <w:tabs>
          <w:tab w:val="left" w:pos="180"/>
        </w:tabs>
        <w:rPr>
          <w:noProof/>
          <w:lang w:val="it-IT"/>
        </w:rPr>
      </w:pPr>
    </w:p>
    <w:p>
      <w:pPr>
        <w:keepNext/>
        <w:keepLines/>
        <w:tabs>
          <w:tab w:val="left" w:pos="180"/>
        </w:tabs>
        <w:ind w:left="567" w:hanging="567"/>
        <w:rPr>
          <w:del w:id="3286" w:author="Author"/>
          <w:noProof/>
          <w:szCs w:val="22"/>
          <w:u w:val="single"/>
          <w:lang w:val="it-IT"/>
        </w:rPr>
      </w:pPr>
      <w:r>
        <w:rPr>
          <w:noProof/>
          <w:szCs w:val="22"/>
          <w:u w:val="single"/>
          <w:lang w:val="it-IT"/>
        </w:rPr>
        <w:t>Modo di somministrazione</w:t>
      </w:r>
    </w:p>
    <w:p>
      <w:pPr>
        <w:keepNext/>
        <w:keepLines/>
        <w:tabs>
          <w:tab w:val="left" w:pos="180"/>
        </w:tabs>
        <w:ind w:left="567" w:hanging="567"/>
        <w:rPr>
          <w:noProof/>
          <w:szCs w:val="22"/>
          <w:u w:val="single"/>
          <w:lang w:val="it-IT"/>
        </w:rPr>
      </w:pPr>
    </w:p>
    <w:p>
      <w:pPr>
        <w:keepNext/>
        <w:keepLines/>
        <w:tabs>
          <w:tab w:val="left" w:pos="180"/>
        </w:tabs>
        <w:ind w:left="567" w:hanging="567"/>
        <w:rPr>
          <w:noProof/>
          <w:szCs w:val="22"/>
          <w:lang w:val="it-IT"/>
        </w:rPr>
      </w:pPr>
      <w:r>
        <w:rPr>
          <w:noProof/>
          <w:szCs w:val="22"/>
          <w:lang w:val="it-IT"/>
        </w:rPr>
        <w:t xml:space="preserve">Questo medicinale è per uso sottocutaneo. </w:t>
      </w:r>
    </w:p>
    <w:p>
      <w:pPr>
        <w:tabs>
          <w:tab w:val="left" w:pos="180"/>
        </w:tabs>
        <w:rPr>
          <w:iCs/>
          <w:noProof/>
          <w:szCs w:val="22"/>
          <w:lang w:val="it-IT"/>
        </w:rPr>
      </w:pPr>
      <w:r>
        <w:rPr>
          <w:iCs/>
          <w:noProof/>
          <w:szCs w:val="22"/>
          <w:lang w:val="it-IT"/>
        </w:rPr>
        <w:t>Dopo un adeguato addestramento sulla tecnica di iniezione e se il medico lo ritiene opportuno, i pazienti potranno autoiniettarsi questo medicinale. L’intero contenuto (0,9 mL) della siringa preriempita deve essere somministrato come iniezione sottocutanea. I siti di iniezione raccomandati (addome, cosce e parte superiore del braccio) devono essere alternati e le iniezioni non devono mai essere somministrate su nei, cicatrici o zone in cui la cute si presenta dolente, livida, arrossata, indurita o non integra.</w:t>
      </w:r>
    </w:p>
    <w:p>
      <w:pPr>
        <w:tabs>
          <w:tab w:val="left" w:pos="180"/>
        </w:tabs>
        <w:ind w:left="567" w:hanging="567"/>
        <w:rPr>
          <w:iCs/>
          <w:noProof/>
          <w:szCs w:val="22"/>
          <w:lang w:val="it-IT"/>
        </w:rPr>
      </w:pPr>
    </w:p>
    <w:p>
      <w:pPr>
        <w:keepNext/>
        <w:keepLines/>
        <w:tabs>
          <w:tab w:val="left" w:pos="180"/>
        </w:tabs>
        <w:rPr>
          <w:iCs/>
          <w:noProof/>
          <w:szCs w:val="22"/>
          <w:lang w:val="it-IT"/>
        </w:rPr>
      </w:pPr>
      <w:r>
        <w:rPr>
          <w:iCs/>
          <w:noProof/>
          <w:szCs w:val="22"/>
          <w:lang w:val="it-IT"/>
        </w:rPr>
        <w:t>La siringa preriempita non deve essere agitata.</w:t>
      </w:r>
    </w:p>
    <w:p>
      <w:pPr>
        <w:keepNext/>
        <w:keepLines/>
        <w:tabs>
          <w:tab w:val="left" w:pos="180"/>
        </w:tabs>
        <w:ind w:left="567" w:hanging="567"/>
        <w:rPr>
          <w:iCs/>
          <w:noProof/>
          <w:szCs w:val="22"/>
          <w:lang w:val="it-IT"/>
        </w:rPr>
      </w:pPr>
    </w:p>
    <w:p>
      <w:pPr>
        <w:keepNext/>
        <w:keepLines/>
        <w:tabs>
          <w:tab w:val="left" w:pos="180"/>
        </w:tabs>
        <w:rPr>
          <w:iCs/>
          <w:noProof/>
          <w:szCs w:val="22"/>
          <w:lang w:val="it-IT"/>
        </w:rPr>
      </w:pPr>
      <w:r>
        <w:rPr>
          <w:iCs/>
          <w:noProof/>
          <w:szCs w:val="22"/>
          <w:lang w:val="it-IT"/>
        </w:rPr>
        <w:t xml:space="preserve">Le istruzioni complete relative alla somministrazione di RoActemra in siringa preriempita sono fornite nel foglio illustrativo, vedere paragrafo 6.6. </w:t>
      </w:r>
    </w:p>
    <w:p>
      <w:pPr>
        <w:tabs>
          <w:tab w:val="left" w:pos="180"/>
        </w:tabs>
        <w:rPr>
          <w:rFonts w:eastAsia="SimSun"/>
          <w:noProof/>
          <w:szCs w:val="22"/>
          <w:lang w:val="it-IT" w:eastAsia="zh-CN"/>
        </w:rPr>
      </w:pPr>
    </w:p>
    <w:p>
      <w:pPr>
        <w:keepNext/>
        <w:keepLines/>
        <w:tabs>
          <w:tab w:val="left" w:pos="180"/>
        </w:tabs>
        <w:rPr>
          <w:b/>
          <w:noProof/>
          <w:lang w:val="it-IT"/>
        </w:rPr>
      </w:pPr>
      <w:r>
        <w:rPr>
          <w:b/>
          <w:noProof/>
          <w:lang w:val="it-IT"/>
        </w:rPr>
        <w:t>4.3</w:t>
      </w:r>
      <w:r>
        <w:rPr>
          <w:noProof/>
          <w:lang w:val="it-IT"/>
        </w:rPr>
        <w:tab/>
      </w:r>
      <w:r>
        <w:rPr>
          <w:b/>
          <w:noProof/>
          <w:lang w:val="it-IT"/>
        </w:rPr>
        <w:t>Controindicazioni</w:t>
      </w:r>
    </w:p>
    <w:p>
      <w:pPr>
        <w:keepNext/>
        <w:keepLines/>
        <w:tabs>
          <w:tab w:val="left" w:pos="180"/>
        </w:tabs>
        <w:rPr>
          <w:b/>
          <w:noProof/>
          <w:lang w:val="it-IT"/>
        </w:rPr>
      </w:pPr>
    </w:p>
    <w:p>
      <w:pPr>
        <w:tabs>
          <w:tab w:val="left" w:pos="180"/>
        </w:tabs>
        <w:rPr>
          <w:noProof/>
          <w:lang w:val="it-IT"/>
        </w:rPr>
      </w:pPr>
      <w:r>
        <w:rPr>
          <w:noProof/>
          <w:lang w:val="it-IT"/>
        </w:rPr>
        <w:t>Ipersensibilità al principio attivo o ad uno qualsiasi degli eccipienti (elencati al paragrafo 6.1)</w:t>
      </w:r>
    </w:p>
    <w:p>
      <w:pPr>
        <w:tabs>
          <w:tab w:val="left" w:pos="180"/>
        </w:tabs>
        <w:ind w:left="567" w:hanging="567"/>
        <w:outlineLvl w:val="0"/>
        <w:rPr>
          <w:b/>
          <w:noProof/>
          <w:lang w:val="it-IT"/>
        </w:rPr>
      </w:pPr>
    </w:p>
    <w:p>
      <w:pPr>
        <w:tabs>
          <w:tab w:val="left" w:pos="180"/>
        </w:tabs>
        <w:ind w:left="567" w:hanging="567"/>
        <w:outlineLvl w:val="0"/>
        <w:rPr>
          <w:noProof/>
          <w:lang w:val="it-IT"/>
        </w:rPr>
      </w:pPr>
      <w:r>
        <w:rPr>
          <w:noProof/>
          <w:lang w:val="it-IT"/>
        </w:rPr>
        <w:t xml:space="preserve">Infezioni attive, </w:t>
      </w:r>
      <w:del w:id="3287" w:author="Author">
        <w:r>
          <w:rPr>
            <w:noProof/>
            <w:lang w:val="it-IT"/>
          </w:rPr>
          <w:delText xml:space="preserve">gravi </w:delText>
        </w:r>
      </w:del>
      <w:ins w:id="3288" w:author="Author">
        <w:r>
          <w:rPr>
            <w:noProof/>
            <w:lang w:val="it-IT"/>
          </w:rPr>
          <w:t xml:space="preserve">severe </w:t>
        </w:r>
      </w:ins>
      <w:r>
        <w:rPr>
          <w:noProof/>
          <w:lang w:val="it-IT"/>
        </w:rPr>
        <w:t>(vedere paragrafo 4.4)</w:t>
      </w:r>
    </w:p>
    <w:p>
      <w:pPr>
        <w:tabs>
          <w:tab w:val="left" w:pos="180"/>
        </w:tabs>
        <w:ind w:left="567" w:hanging="567"/>
        <w:outlineLvl w:val="0"/>
        <w:rPr>
          <w:noProof/>
          <w:lang w:val="it-IT"/>
        </w:rPr>
      </w:pPr>
    </w:p>
    <w:p>
      <w:pPr>
        <w:tabs>
          <w:tab w:val="left" w:pos="180"/>
        </w:tabs>
        <w:ind w:left="567" w:hanging="567"/>
        <w:outlineLvl w:val="0"/>
        <w:rPr>
          <w:b/>
          <w:noProof/>
          <w:lang w:val="it-IT"/>
        </w:rPr>
      </w:pPr>
      <w:r>
        <w:rPr>
          <w:b/>
          <w:noProof/>
          <w:lang w:val="it-IT"/>
        </w:rPr>
        <w:t>4.4</w:t>
      </w:r>
      <w:r>
        <w:rPr>
          <w:noProof/>
          <w:lang w:val="it-IT"/>
        </w:rPr>
        <w:tab/>
      </w:r>
      <w:r>
        <w:rPr>
          <w:b/>
          <w:noProof/>
          <w:lang w:val="it-IT"/>
        </w:rPr>
        <w:t>Avvertenze speciali e precauzioni d’impiego</w:t>
      </w:r>
    </w:p>
    <w:p>
      <w:pPr>
        <w:tabs>
          <w:tab w:val="left" w:pos="180"/>
        </w:tabs>
        <w:ind w:left="567" w:hanging="567"/>
        <w:outlineLvl w:val="0"/>
        <w:rPr>
          <w:b/>
          <w:noProof/>
          <w:lang w:val="it-IT"/>
        </w:rPr>
      </w:pPr>
    </w:p>
    <w:p>
      <w:pPr>
        <w:autoSpaceDE w:val="0"/>
        <w:autoSpaceDN w:val="0"/>
        <w:adjustRightInd w:val="0"/>
        <w:rPr>
          <w:noProof/>
          <w:szCs w:val="22"/>
          <w:lang w:val="it-IT"/>
        </w:rPr>
      </w:pPr>
      <w:r>
        <w:rPr>
          <w:noProof/>
          <w:szCs w:val="22"/>
          <w:lang w:val="it-IT"/>
        </w:rPr>
        <w:t>RoActemra in formulazione sottocutanea non è destinato alla somministrazione endovenosa.</w:t>
      </w:r>
    </w:p>
    <w:p>
      <w:pPr>
        <w:autoSpaceDE w:val="0"/>
        <w:autoSpaceDN w:val="0"/>
        <w:adjustRightInd w:val="0"/>
        <w:rPr>
          <w:noProof/>
          <w:szCs w:val="22"/>
          <w:lang w:val="it-IT"/>
        </w:rPr>
      </w:pPr>
    </w:p>
    <w:p>
      <w:pPr>
        <w:autoSpaceDE w:val="0"/>
        <w:autoSpaceDN w:val="0"/>
        <w:adjustRightInd w:val="0"/>
        <w:rPr>
          <w:noProof/>
          <w:szCs w:val="22"/>
          <w:lang w:val="it-IT"/>
        </w:rPr>
      </w:pPr>
      <w:r>
        <w:rPr>
          <w:noProof/>
          <w:szCs w:val="22"/>
          <w:lang w:val="it-IT"/>
        </w:rPr>
        <w:t>RoActemra in formulazione sottocutanea non è indicato per bambini affetti da AIGs di peso inferiore a 10 kg.</w:t>
      </w:r>
    </w:p>
    <w:p>
      <w:pPr>
        <w:tabs>
          <w:tab w:val="left" w:pos="180"/>
        </w:tabs>
        <w:ind w:left="567" w:hanging="567"/>
        <w:outlineLvl w:val="0"/>
        <w:rPr>
          <w:b/>
          <w:noProof/>
          <w:lang w:val="it-IT"/>
        </w:rPr>
      </w:pPr>
    </w:p>
    <w:p>
      <w:pPr>
        <w:tabs>
          <w:tab w:val="left" w:pos="180"/>
        </w:tabs>
        <w:jc w:val="both"/>
        <w:rPr>
          <w:iCs/>
          <w:noProof/>
          <w:szCs w:val="22"/>
          <w:u w:val="single"/>
          <w:lang w:val="it-IT"/>
          <w:rPrChange w:id="3289" w:author="Author">
            <w:rPr>
              <w:i/>
              <w:szCs w:val="22"/>
              <w:u w:val="single"/>
              <w:lang w:val="it-IT"/>
            </w:rPr>
          </w:rPrChange>
        </w:rPr>
      </w:pPr>
      <w:r>
        <w:rPr>
          <w:iCs/>
          <w:noProof/>
          <w:szCs w:val="22"/>
          <w:u w:val="single"/>
          <w:lang w:val="it-IT"/>
          <w:rPrChange w:id="3290" w:author="Author">
            <w:rPr>
              <w:i/>
              <w:szCs w:val="22"/>
              <w:u w:val="single"/>
              <w:lang w:val="it-IT"/>
            </w:rPr>
          </w:rPrChange>
        </w:rPr>
        <w:t>Tracciabilità</w:t>
      </w:r>
    </w:p>
    <w:p>
      <w:pPr>
        <w:tabs>
          <w:tab w:val="left" w:pos="180"/>
        </w:tabs>
        <w:jc w:val="both"/>
        <w:rPr>
          <w:noProof/>
          <w:szCs w:val="22"/>
          <w:lang w:val="it-IT"/>
        </w:rPr>
      </w:pPr>
      <w:r>
        <w:rPr>
          <w:noProof/>
          <w:szCs w:val="22"/>
          <w:lang w:val="it-IT"/>
        </w:rPr>
        <w:t>Al fine di migliorare la tracciabilità dei medicinali biologici, il nome e il numero di lotto del medicinale somministrato devono essere chiaramente registrati.</w:t>
      </w:r>
    </w:p>
    <w:p>
      <w:pPr>
        <w:tabs>
          <w:tab w:val="left" w:pos="180"/>
        </w:tabs>
        <w:ind w:left="567" w:hanging="567"/>
        <w:outlineLvl w:val="0"/>
        <w:rPr>
          <w:b/>
          <w:noProof/>
          <w:lang w:val="it-IT"/>
        </w:rPr>
      </w:pPr>
    </w:p>
    <w:p>
      <w:pPr>
        <w:tabs>
          <w:tab w:val="left" w:pos="180"/>
        </w:tabs>
        <w:ind w:left="567" w:hanging="567"/>
        <w:outlineLvl w:val="0"/>
        <w:rPr>
          <w:del w:id="3291" w:author="Author"/>
          <w:bCs/>
          <w:noProof/>
          <w:u w:val="single"/>
          <w:lang w:val="it-IT"/>
        </w:rPr>
      </w:pPr>
      <w:r>
        <w:rPr>
          <w:bCs/>
          <w:noProof/>
          <w:u w:val="single"/>
          <w:lang w:val="it-IT"/>
        </w:rPr>
        <w:t>Tutte le indicazioni</w:t>
      </w:r>
    </w:p>
    <w:p>
      <w:pPr>
        <w:tabs>
          <w:tab w:val="left" w:pos="180"/>
        </w:tabs>
        <w:ind w:left="567" w:hanging="567"/>
        <w:outlineLvl w:val="0"/>
        <w:rPr>
          <w:b/>
          <w:noProof/>
          <w:lang w:val="it-IT"/>
        </w:rPr>
      </w:pPr>
    </w:p>
    <w:p>
      <w:pPr>
        <w:tabs>
          <w:tab w:val="left" w:pos="180"/>
        </w:tabs>
        <w:ind w:left="567" w:hanging="567"/>
        <w:outlineLvl w:val="0"/>
        <w:rPr>
          <w:i/>
          <w:noProof/>
          <w:lang w:val="it-IT"/>
        </w:rPr>
      </w:pPr>
      <w:r>
        <w:rPr>
          <w:i/>
          <w:noProof/>
          <w:lang w:val="it-IT"/>
        </w:rPr>
        <w:t xml:space="preserve">Infezioni </w:t>
      </w:r>
    </w:p>
    <w:p>
      <w:pPr>
        <w:tabs>
          <w:tab w:val="left" w:pos="180"/>
        </w:tabs>
        <w:rPr>
          <w:noProof/>
          <w:lang w:val="it-IT"/>
        </w:rPr>
      </w:pPr>
      <w:r>
        <w:rPr>
          <w:noProof/>
          <w:lang w:val="it-IT"/>
        </w:rPr>
        <w:t>In pazienti in terapia con agenti immunosoppressori incluso tocilizumab sono state riportate infezioni gravi e a volte fatali (vedere paragrafo 4.8). Il trattamento non deve essere iniziato in pazienti con infezioni attive (vedere paragrafo 4.3). La somministrazione di tocilizumab deve essere interrotta nei pazienti che sviluppano un’infezione</w:t>
      </w:r>
      <w:del w:id="3292" w:author="Author">
        <w:r>
          <w:rPr>
            <w:noProof/>
            <w:lang w:val="it-IT"/>
          </w:rPr>
          <w:delText xml:space="preserve"> </w:delText>
        </w:r>
      </w:del>
      <w:ins w:id="3293" w:author="Author">
        <w:r>
          <w:rPr>
            <w:noProof/>
            <w:lang w:val="it-IT"/>
          </w:rPr>
          <w:t>grave</w:t>
        </w:r>
      </w:ins>
      <w:del w:id="3294" w:author="Author">
        <w:r>
          <w:rPr>
            <w:noProof/>
            <w:lang w:val="it-IT"/>
          </w:rPr>
          <w:delText>severa</w:delText>
        </w:r>
      </w:del>
      <w:r>
        <w:rPr>
          <w:noProof/>
          <w:lang w:val="it-IT"/>
        </w:rPr>
        <w:t xml:space="preserve">, fino a quando questa non risulti controllata (vedere paragrafo 4.8). Gli operatori sanitari devono essere cauti nel considerare l’uso di questo medicinale nei </w:t>
      </w:r>
      <w:r>
        <w:rPr>
          <w:noProof/>
          <w:lang w:val="it-IT"/>
        </w:rPr>
        <w:lastRenderedPageBreak/>
        <w:t>pazienti con una storia di infezioni ricorrenti o croniche o con patologie preesistenti (quali diverticolite, diabete e patologia polmonare interstiziale) che potrebbero predisporre i pazienti alle infezioni.</w:t>
      </w:r>
    </w:p>
    <w:p>
      <w:pPr>
        <w:tabs>
          <w:tab w:val="left" w:pos="180"/>
        </w:tabs>
        <w:rPr>
          <w:noProof/>
          <w:szCs w:val="22"/>
          <w:lang w:val="it-IT"/>
        </w:rPr>
      </w:pPr>
    </w:p>
    <w:p>
      <w:pPr>
        <w:tabs>
          <w:tab w:val="left" w:pos="180"/>
        </w:tabs>
        <w:rPr>
          <w:noProof/>
          <w:lang w:val="it-IT"/>
        </w:rPr>
      </w:pPr>
      <w:r>
        <w:rPr>
          <w:noProof/>
          <w:lang w:val="it-IT"/>
        </w:rPr>
        <w:t xml:space="preserve">Si raccomanda di attuare un monitoraggio per rilevare tempestivamente infezioni gravi nei pazienti in terapia con agenti immunosoppressori come tocilizumab, poiché segni e sintomi di un’infiammazione acuta possono risultare mitigati a causa della soppressione dei reagenti di fase acuta. Gli effetti di tocilizumab sulla proteina C reattiva (PCR), sui neutrofili e sui segni e sintomi delle infezioni devono essere considerati quando si valuta un paziente per una potenziale infezione. I pazienti </w:t>
      </w:r>
      <w:r>
        <w:rPr>
          <w:noProof/>
          <w:szCs w:val="22"/>
          <w:lang w:val="it-IT"/>
        </w:rPr>
        <w:t>(inclusi bambini più piccoli con AIGs o AIGp che possono essere meno in grado di comunicare i propri sintomi) e i genitori/tutori di pazienti affetti da AIGs o AIGp</w:t>
      </w:r>
      <w:r>
        <w:rPr>
          <w:noProof/>
          <w:lang w:val="it-IT"/>
        </w:rPr>
        <w:t xml:space="preserve"> devono essere invitati a contattare immediatamente il medico in presenza di sintomi che indichino un’infezione, in modo da consentire una rapida valutazione e l’istituzione di un trattamento adeguato.</w:t>
      </w:r>
    </w:p>
    <w:p>
      <w:pPr>
        <w:tabs>
          <w:tab w:val="left" w:pos="180"/>
        </w:tabs>
        <w:rPr>
          <w:noProof/>
          <w:lang w:val="it-IT"/>
        </w:rPr>
      </w:pPr>
    </w:p>
    <w:p>
      <w:pPr>
        <w:keepNext/>
        <w:tabs>
          <w:tab w:val="left" w:pos="180"/>
        </w:tabs>
        <w:rPr>
          <w:i/>
          <w:noProof/>
          <w:lang w:val="it-IT"/>
        </w:rPr>
      </w:pPr>
      <w:r>
        <w:rPr>
          <w:i/>
          <w:noProof/>
          <w:lang w:val="it-IT"/>
        </w:rPr>
        <w:t>Tubercolosi</w:t>
      </w:r>
    </w:p>
    <w:p>
      <w:pPr>
        <w:tabs>
          <w:tab w:val="left" w:pos="180"/>
        </w:tabs>
        <w:rPr>
          <w:noProof/>
          <w:lang w:val="it-IT"/>
        </w:rPr>
      </w:pPr>
      <w:r>
        <w:rPr>
          <w:noProof/>
          <w:lang w:val="it-IT"/>
        </w:rPr>
        <w:t>Come raccomandato per altre terapie biologiche, prima di iniziare la terapia con tocilizumab tutti i pazienti devono essere sottoposti a screening per escludere un’infezione tubercolare (TB) latente. I pazienti con TB latente devono essere sottoposti a terapia antimicobatterica standard prima di iniziare il trattamento. Si ricorda ai medici prescrittori il rischio di risultati falsi negativi dei test cutaneo della tubercolina ed ematico dell’interferone-gamma per l’infezione tubercolare, soprattutto in pazienti gravemente ammalati o immunocompromessi.</w:t>
      </w:r>
    </w:p>
    <w:p>
      <w:pPr>
        <w:tabs>
          <w:tab w:val="left" w:pos="180"/>
        </w:tabs>
        <w:rPr>
          <w:noProof/>
          <w:lang w:val="it-IT"/>
        </w:rPr>
      </w:pPr>
    </w:p>
    <w:p>
      <w:pPr>
        <w:tabs>
          <w:tab w:val="left" w:pos="180"/>
        </w:tabs>
        <w:rPr>
          <w:noProof/>
          <w:lang w:val="it-IT"/>
        </w:rPr>
        <w:pPrChange w:id="3295" w:author="Author">
          <w:pPr>
            <w:keepNext/>
            <w:keepLines/>
            <w:tabs>
              <w:tab w:val="left" w:pos="180"/>
            </w:tabs>
          </w:pPr>
        </w:pPrChange>
      </w:pPr>
      <w:r>
        <w:rPr>
          <w:noProof/>
          <w:lang w:val="it-IT"/>
        </w:rPr>
        <w:t xml:space="preserve">I pazienti e i </w:t>
      </w:r>
      <w:r>
        <w:rPr>
          <w:noProof/>
          <w:szCs w:val="22"/>
          <w:lang w:val="it-IT"/>
        </w:rPr>
        <w:t>genitori/tutori di pazienti affetti da AIGs o AIGp</w:t>
      </w:r>
      <w:r>
        <w:rPr>
          <w:noProof/>
          <w:lang w:val="it-IT"/>
        </w:rPr>
        <w:t xml:space="preserve"> devono essere informati di rivolgersi al medico se </w:t>
      </w:r>
      <w:ins w:id="3296" w:author="Author">
        <w:r>
          <w:rPr>
            <w:noProof/>
            <w:lang w:val="it-IT"/>
          </w:rPr>
          <w:t xml:space="preserve">si verificano </w:t>
        </w:r>
      </w:ins>
      <w:r>
        <w:rPr>
          <w:noProof/>
          <w:lang w:val="it-IT"/>
        </w:rPr>
        <w:t xml:space="preserve">segni/sintomi (ad esempio, tosse persistente, deperimento/perdita di peso, febbre moderata), indicativi di infezione tubercolare, </w:t>
      </w:r>
      <w:del w:id="3297" w:author="Author">
        <w:r>
          <w:rPr>
            <w:noProof/>
            <w:lang w:val="it-IT"/>
          </w:rPr>
          <w:delText xml:space="preserve">si verificano </w:delText>
        </w:r>
      </w:del>
      <w:r>
        <w:rPr>
          <w:noProof/>
          <w:lang w:val="it-IT"/>
        </w:rPr>
        <w:t xml:space="preserve">durante o dopo la terapia con questo medicinale. </w:t>
      </w:r>
    </w:p>
    <w:p>
      <w:pPr>
        <w:tabs>
          <w:tab w:val="left" w:pos="180"/>
        </w:tabs>
        <w:rPr>
          <w:noProof/>
          <w:lang w:val="it-IT"/>
        </w:rPr>
        <w:pPrChange w:id="3298" w:author="Author">
          <w:pPr>
            <w:keepNext/>
            <w:keepLines/>
            <w:tabs>
              <w:tab w:val="left" w:pos="180"/>
            </w:tabs>
          </w:pPr>
        </w:pPrChange>
      </w:pPr>
    </w:p>
    <w:p>
      <w:pPr>
        <w:keepNext/>
        <w:keepLines/>
        <w:tabs>
          <w:tab w:val="left" w:pos="180"/>
        </w:tabs>
        <w:rPr>
          <w:i/>
          <w:noProof/>
          <w:lang w:val="it-IT"/>
        </w:rPr>
      </w:pPr>
      <w:r>
        <w:rPr>
          <w:i/>
          <w:noProof/>
          <w:lang w:val="it-IT"/>
        </w:rPr>
        <w:t>Riattivazione virale</w:t>
      </w:r>
    </w:p>
    <w:p>
      <w:pPr>
        <w:keepNext/>
        <w:keepLines/>
        <w:tabs>
          <w:tab w:val="left" w:pos="180"/>
        </w:tabs>
        <w:rPr>
          <w:noProof/>
          <w:lang w:val="it-IT"/>
        </w:rPr>
      </w:pPr>
      <w:r>
        <w:rPr>
          <w:noProof/>
          <w:lang w:val="it-IT"/>
        </w:rPr>
        <w:t xml:space="preserve">Riattivazione virale (ad esempio virus dell’epatite B) è stata riportata durante le terapie con farmaci biologici per il trattamento dell’AR. Negli studi clinici con </w:t>
      </w:r>
      <w:r>
        <w:rPr>
          <w:noProof/>
          <w:szCs w:val="22"/>
          <w:lang w:val="it-IT"/>
        </w:rPr>
        <w:t>tocilizumab</w:t>
      </w:r>
      <w:r>
        <w:rPr>
          <w:noProof/>
          <w:lang w:val="it-IT"/>
        </w:rPr>
        <w:t>, i pazienti risultati positivi allo screening per l’epatite sono stati esclusi.</w:t>
      </w:r>
    </w:p>
    <w:p>
      <w:pPr>
        <w:keepNext/>
        <w:keepLines/>
        <w:tabs>
          <w:tab w:val="left" w:pos="180"/>
        </w:tabs>
        <w:rPr>
          <w:noProof/>
          <w:lang w:val="it-IT"/>
        </w:rPr>
      </w:pPr>
    </w:p>
    <w:p>
      <w:pPr>
        <w:keepNext/>
        <w:keepLines/>
        <w:tabs>
          <w:tab w:val="left" w:pos="180"/>
        </w:tabs>
        <w:rPr>
          <w:i/>
          <w:noProof/>
          <w:lang w:val="it-IT"/>
        </w:rPr>
      </w:pPr>
      <w:r>
        <w:rPr>
          <w:i/>
          <w:noProof/>
          <w:lang w:val="it-IT"/>
        </w:rPr>
        <w:t>Complicanze della diverticolite</w:t>
      </w:r>
    </w:p>
    <w:p>
      <w:pPr>
        <w:keepNext/>
        <w:keepLines/>
        <w:tabs>
          <w:tab w:val="left" w:pos="180"/>
        </w:tabs>
        <w:rPr>
          <w:noProof/>
          <w:lang w:val="it-IT"/>
        </w:rPr>
      </w:pPr>
      <w:r>
        <w:rPr>
          <w:noProof/>
          <w:lang w:val="it-IT"/>
        </w:rPr>
        <w:t xml:space="preserve">Eventi di perforazione diverticolare come complicanza di una diverticolite sono stati riportati non comunemente in pazienti trattati con </w:t>
      </w:r>
      <w:r>
        <w:rPr>
          <w:noProof/>
          <w:szCs w:val="22"/>
          <w:lang w:val="it-IT"/>
        </w:rPr>
        <w:t xml:space="preserve">tocilizumab </w:t>
      </w:r>
      <w:r>
        <w:rPr>
          <w:noProof/>
          <w:lang w:val="it-IT"/>
        </w:rPr>
        <w:t>(vedere paragrafo 4.8). Questo medicinale deve essere usato con cautela nei pazienti con una storia di ulcerazione intestinale o diverticolite. I pazienti che presentino sintomi potenzialmente indicativi di una diverticolite complicata, quali dolore addominale, emorragia e/o alterazione inspiegata degli abituali movimenti intestinali associata a febbre, devono essere valutati tempestivamente per poter identificare precocemente una diverticolite che può essere associata a perforazione gastrointestinale.</w:t>
      </w:r>
    </w:p>
    <w:p>
      <w:pPr>
        <w:tabs>
          <w:tab w:val="left" w:pos="180"/>
        </w:tabs>
        <w:ind w:left="567" w:hanging="567"/>
        <w:outlineLvl w:val="0"/>
        <w:rPr>
          <w:bCs/>
          <w:noProof/>
          <w:lang w:val="it-IT"/>
        </w:rPr>
      </w:pPr>
    </w:p>
    <w:p>
      <w:pPr>
        <w:keepNext/>
        <w:tabs>
          <w:tab w:val="left" w:pos="180"/>
        </w:tabs>
        <w:ind w:left="567" w:hanging="567"/>
        <w:outlineLvl w:val="0"/>
        <w:rPr>
          <w:bCs/>
          <w:i/>
          <w:noProof/>
          <w:szCs w:val="22"/>
          <w:lang w:val="it-IT"/>
        </w:rPr>
      </w:pPr>
      <w:r>
        <w:rPr>
          <w:i/>
          <w:noProof/>
          <w:szCs w:val="22"/>
          <w:lang w:val="it-IT"/>
        </w:rPr>
        <w:t>Reazioni di ipersensibilità</w:t>
      </w:r>
    </w:p>
    <w:p>
      <w:pPr>
        <w:tabs>
          <w:tab w:val="left" w:pos="180"/>
        </w:tabs>
        <w:rPr>
          <w:noProof/>
          <w:lang w:val="it-IT"/>
        </w:rPr>
      </w:pPr>
      <w:r>
        <w:rPr>
          <w:noProof/>
          <w:lang w:val="it-IT"/>
        </w:rPr>
        <w:t xml:space="preserve">In associazione al trattamento con tocilizumab sono state segnalate reazioni di ipersensibilità gravi (vedere paragrafo 4.8). Queste reazioni possono essere più gravi e potenzialmente fatali in pazienti che hanno avuto reazioni di ipersensibilità durante il precedente trattamento con tocilizumab, sebbene abbiano ricevuto premedicazione con steroidi ed antistaminici. Se si verifica una reazione anafilattica o un’altra </w:t>
      </w:r>
      <w:del w:id="3299" w:author="Author">
        <w:r>
          <w:rPr>
            <w:noProof/>
            <w:lang w:val="it-IT"/>
          </w:rPr>
          <w:delText xml:space="preserve">severa </w:delText>
        </w:r>
      </w:del>
      <w:r>
        <w:rPr>
          <w:noProof/>
          <w:lang w:val="it-IT"/>
        </w:rPr>
        <w:t>reazione di ipersensibilità</w:t>
      </w:r>
      <w:ins w:id="3300" w:author="Author">
        <w:r>
          <w:rPr>
            <w:noProof/>
            <w:lang w:val="it-IT"/>
          </w:rPr>
          <w:t xml:space="preserve"> grave</w:t>
        </w:r>
      </w:ins>
      <w:r>
        <w:rPr>
          <w:noProof/>
          <w:lang w:val="it-IT"/>
        </w:rPr>
        <w:t>, la somministrazione di tocilizumab deve essere interrotta immediatamente, deve essere iniziata una terapia appropriata e il trattamento deve essere interrotto in modo permanente.</w:t>
      </w:r>
    </w:p>
    <w:p>
      <w:pPr>
        <w:tabs>
          <w:tab w:val="left" w:pos="180"/>
        </w:tabs>
        <w:rPr>
          <w:noProof/>
          <w:lang w:val="it-IT"/>
        </w:rPr>
      </w:pPr>
    </w:p>
    <w:p>
      <w:pPr>
        <w:tabs>
          <w:tab w:val="left" w:pos="180"/>
        </w:tabs>
        <w:ind w:left="567" w:hanging="567"/>
        <w:outlineLvl w:val="0"/>
        <w:rPr>
          <w:i/>
          <w:noProof/>
          <w:lang w:val="it-IT"/>
        </w:rPr>
      </w:pPr>
      <w:r>
        <w:rPr>
          <w:i/>
          <w:noProof/>
          <w:lang w:val="it-IT"/>
        </w:rPr>
        <w:t>Epatopatia attiva e compromissione epatica</w:t>
      </w:r>
    </w:p>
    <w:p>
      <w:pPr>
        <w:tabs>
          <w:tab w:val="left" w:pos="180"/>
        </w:tabs>
        <w:rPr>
          <w:noProof/>
          <w:lang w:val="it-IT"/>
        </w:rPr>
      </w:pPr>
      <w:r>
        <w:rPr>
          <w:noProof/>
          <w:lang w:val="it-IT"/>
        </w:rPr>
        <w:t>Il trattamento con tocilizumab, soprattutto se somministrato in concomitanza con MTX, può associarsi a rialzi delle transaminasi epatiche; occorre quindi una certa cautela nel considerare il trattamento di pazienti con epatopatia attiva o compromissione epatica (vedere paragrafi 4.2 e 4.8).</w:t>
      </w:r>
    </w:p>
    <w:p>
      <w:pPr>
        <w:tabs>
          <w:tab w:val="left" w:pos="180"/>
        </w:tabs>
        <w:rPr>
          <w:noProof/>
          <w:lang w:val="it-IT"/>
        </w:rPr>
      </w:pPr>
    </w:p>
    <w:p>
      <w:pPr>
        <w:keepNext/>
        <w:keepLines/>
        <w:tabs>
          <w:tab w:val="left" w:pos="180"/>
        </w:tabs>
        <w:rPr>
          <w:i/>
          <w:noProof/>
          <w:lang w:val="it-IT"/>
        </w:rPr>
        <w:pPrChange w:id="3301" w:author="Author">
          <w:pPr>
            <w:tabs>
              <w:tab w:val="left" w:pos="180"/>
            </w:tabs>
          </w:pPr>
        </w:pPrChange>
      </w:pPr>
      <w:r>
        <w:rPr>
          <w:i/>
          <w:noProof/>
          <w:lang w:val="it-IT"/>
        </w:rPr>
        <w:t>Epatotossicità</w:t>
      </w:r>
    </w:p>
    <w:p>
      <w:pPr>
        <w:tabs>
          <w:tab w:val="left" w:pos="180"/>
        </w:tabs>
        <w:rPr>
          <w:noProof/>
          <w:lang w:val="it-IT"/>
        </w:rPr>
      </w:pPr>
      <w:r>
        <w:rPr>
          <w:noProof/>
          <w:lang w:val="it-IT"/>
        </w:rPr>
        <w:t xml:space="preserve">Durante il trattamento con tocilizumab sono stati osservati comunemente rialzi transitori o intermittenti, di entità da lieve a moderata, delle transaminasi epatiche (vedere paragrafo 4.8). Un </w:t>
      </w:r>
      <w:r>
        <w:rPr>
          <w:noProof/>
          <w:lang w:val="it-IT"/>
        </w:rPr>
        <w:lastRenderedPageBreak/>
        <w:t>aumento della frequenza di tali aumenti è stato rilevato quando tocilizumab è stato somministrato in associazione con medicinali potenzialmente epatotossici (ad esempio MTX). Quando clinicamente indicato, devono essere considerate ulteriori analisi della funzione epatica, inclusa la determinazione della bilirubina.</w:t>
      </w:r>
    </w:p>
    <w:p>
      <w:pPr>
        <w:rPr>
          <w:noProof/>
          <w:lang w:val="it-IT"/>
        </w:rPr>
      </w:pPr>
    </w:p>
    <w:p>
      <w:pPr>
        <w:rPr>
          <w:noProof/>
          <w:lang w:val="it-IT"/>
        </w:rPr>
      </w:pPr>
      <w:r>
        <w:rPr>
          <w:noProof/>
          <w:lang w:val="it-IT"/>
        </w:rPr>
        <w:t xml:space="preserve">Durante il trattamento con tocilizumab è stato osservato </w:t>
      </w:r>
      <w:del w:id="3302" w:author="Author">
        <w:r>
          <w:rPr>
            <w:noProof/>
            <w:lang w:val="it-IT"/>
          </w:rPr>
          <w:delText xml:space="preserve">severo </w:delText>
        </w:r>
      </w:del>
      <w:r>
        <w:rPr>
          <w:noProof/>
          <w:lang w:val="it-IT"/>
        </w:rPr>
        <w:t>danno epatico</w:t>
      </w:r>
      <w:ins w:id="3303" w:author="Author">
        <w:r>
          <w:rPr>
            <w:noProof/>
            <w:lang w:val="it-IT"/>
          </w:rPr>
          <w:t xml:space="preserve"> grave</w:t>
        </w:r>
      </w:ins>
      <w:r>
        <w:rPr>
          <w:noProof/>
          <w:lang w:val="it-IT"/>
        </w:rPr>
        <w:t xml:space="preserve"> indotto da farmaco, tra cui insufficienza epatica acuta, epatite e ittero (vedere paragrafo 4.8). Casi di danno epatico severo si sono verificati tra le 2 settimane e oltre i 5 anni successivi all’inizio del trattamento</w:t>
      </w:r>
      <w:del w:id="3304" w:author="Author">
        <w:r>
          <w:rPr>
            <w:noProof/>
            <w:lang w:val="it-IT"/>
          </w:rPr>
          <w:delText xml:space="preserve"> </w:delText>
        </w:r>
      </w:del>
      <w:r>
        <w:rPr>
          <w:noProof/>
          <w:lang w:val="it-IT"/>
        </w:rPr>
        <w:t>. Sono stati riportati casi di insufficienza epatica che hanno comportato il trapianto di fegato. I pazienti devono essere istruiti a rivolgersi immediatamente al medico in caso di manifestazione di segni e sintomi di danno epatico.</w:t>
      </w:r>
    </w:p>
    <w:p>
      <w:pPr>
        <w:tabs>
          <w:tab w:val="left" w:pos="180"/>
        </w:tabs>
        <w:rPr>
          <w:noProof/>
          <w:lang w:val="it-IT"/>
        </w:rPr>
      </w:pPr>
    </w:p>
    <w:p>
      <w:pPr>
        <w:tabs>
          <w:tab w:val="left" w:pos="180"/>
        </w:tabs>
        <w:rPr>
          <w:noProof/>
          <w:lang w:val="it-IT"/>
        </w:rPr>
      </w:pPr>
      <w:r>
        <w:rPr>
          <w:noProof/>
          <w:lang w:val="it-IT"/>
        </w:rPr>
        <w:t xml:space="preserve">Occorre cautela nel considerare l’avvio del trattamento in pazienti che presentano livelli elevati di ALT o AST </w:t>
      </w:r>
      <w:r>
        <w:rPr>
          <w:noProof/>
          <w:lang w:val="it-IT"/>
        </w:rPr>
        <w:sym w:font="Symbol" w:char="F03E"/>
      </w:r>
      <w:ins w:id="3305" w:author="Author">
        <w:r>
          <w:rPr>
            <w:noProof/>
            <w:lang w:val="it-IT"/>
          </w:rPr>
          <w:t xml:space="preserve"> </w:t>
        </w:r>
      </w:ins>
      <w:r>
        <w:rPr>
          <w:noProof/>
          <w:lang w:val="it-IT"/>
        </w:rPr>
        <w:t xml:space="preserve">1,5 volte ULN. Nei pazienti con ALT o AST al basale </w:t>
      </w:r>
      <w:r>
        <w:rPr>
          <w:noProof/>
          <w:lang w:val="it-IT"/>
        </w:rPr>
        <w:sym w:font="Symbol" w:char="F03E"/>
      </w:r>
      <w:ins w:id="3306" w:author="Author">
        <w:r>
          <w:rPr>
            <w:noProof/>
            <w:lang w:val="it-IT"/>
          </w:rPr>
          <w:t xml:space="preserve"> </w:t>
        </w:r>
      </w:ins>
      <w:r>
        <w:rPr>
          <w:noProof/>
          <w:lang w:val="it-IT"/>
        </w:rPr>
        <w:t>5 volte ULN, il trattamento non è raccomandato.</w:t>
      </w:r>
    </w:p>
    <w:p>
      <w:pPr>
        <w:tabs>
          <w:tab w:val="left" w:pos="180"/>
        </w:tabs>
        <w:rPr>
          <w:noProof/>
          <w:lang w:val="it-IT"/>
        </w:rPr>
      </w:pPr>
    </w:p>
    <w:p>
      <w:pPr>
        <w:tabs>
          <w:tab w:val="left" w:pos="180"/>
        </w:tabs>
        <w:rPr>
          <w:noProof/>
          <w:lang w:val="it-IT"/>
        </w:rPr>
      </w:pPr>
      <w:r>
        <w:rPr>
          <w:noProof/>
          <w:lang w:val="it-IT"/>
        </w:rPr>
        <w:t xml:space="preserve">Nei pazienti affetti da AR, ACG, AIGp e AIGs i valori di ALT/AST devono essere monitorati ogni 4-8 settimane per i primi 6 mesi di trattamento e in seguito ogni 12 settimane. Per le modifiche raccomandate in base ai livelli delle transaminasi, ivi inclusa la sospensione del trattamento con tocilizumab, vedere il paragrafo 4.2. Per incrementi di ALT o AST </w:t>
      </w:r>
      <w:r>
        <w:rPr>
          <w:noProof/>
          <w:lang w:val="it-IT"/>
        </w:rPr>
        <w:sym w:font="Symbol" w:char="F03E"/>
      </w:r>
      <w:ins w:id="3307" w:author="Author">
        <w:r>
          <w:rPr>
            <w:noProof/>
            <w:lang w:val="it-IT"/>
          </w:rPr>
          <w:t xml:space="preserve"> </w:t>
        </w:r>
      </w:ins>
      <w:r>
        <w:rPr>
          <w:noProof/>
          <w:lang w:val="it-IT"/>
        </w:rPr>
        <w:t xml:space="preserve">3-5 volte ULN il trattamento deve essere interrotto. </w:t>
      </w:r>
    </w:p>
    <w:p>
      <w:pPr>
        <w:tabs>
          <w:tab w:val="left" w:pos="180"/>
        </w:tabs>
        <w:rPr>
          <w:noProof/>
          <w:lang w:val="it-IT"/>
        </w:rPr>
      </w:pPr>
    </w:p>
    <w:p>
      <w:pPr>
        <w:keepNext/>
        <w:tabs>
          <w:tab w:val="left" w:pos="180"/>
        </w:tabs>
        <w:rPr>
          <w:i/>
          <w:noProof/>
          <w:lang w:val="it-IT"/>
        </w:rPr>
        <w:pPrChange w:id="3308" w:author="Author">
          <w:pPr>
            <w:tabs>
              <w:tab w:val="left" w:pos="180"/>
            </w:tabs>
          </w:pPr>
        </w:pPrChange>
      </w:pPr>
      <w:del w:id="3309" w:author="Author">
        <w:r>
          <w:rPr>
            <w:i/>
            <w:noProof/>
            <w:lang w:val="it-IT"/>
          </w:rPr>
          <w:delText xml:space="preserve">Anormalità </w:delText>
        </w:r>
      </w:del>
      <w:ins w:id="3310" w:author="Author">
        <w:r>
          <w:rPr>
            <w:i/>
            <w:noProof/>
            <w:lang w:val="it-IT"/>
          </w:rPr>
          <w:t xml:space="preserve">Anomalie </w:t>
        </w:r>
      </w:ins>
      <w:r>
        <w:rPr>
          <w:i/>
          <w:noProof/>
          <w:lang w:val="it-IT"/>
        </w:rPr>
        <w:t>ematologiche</w:t>
      </w:r>
    </w:p>
    <w:p>
      <w:pPr>
        <w:tabs>
          <w:tab w:val="left" w:pos="180"/>
        </w:tabs>
        <w:rPr>
          <w:noProof/>
          <w:lang w:val="it-IT"/>
        </w:rPr>
      </w:pPr>
      <w:r>
        <w:rPr>
          <w:noProof/>
          <w:lang w:val="it-IT"/>
        </w:rPr>
        <w:t>In seguito al trattamento con tocilizumab 8 mg/kg associato a MTX, si sono verificate riduzioni della conta di neutrofili e piastrine (vedere paragrafo 4.8). Ci può essere un rischio maggiore di neutropenia nei pazienti precedentemente trattati con un antagonista del TNF.</w:t>
      </w:r>
    </w:p>
    <w:p>
      <w:pPr>
        <w:tabs>
          <w:tab w:val="left" w:pos="180"/>
        </w:tabs>
        <w:rPr>
          <w:noProof/>
          <w:lang w:val="it-IT"/>
        </w:rPr>
      </w:pPr>
    </w:p>
    <w:p>
      <w:pPr>
        <w:tabs>
          <w:tab w:val="left" w:pos="180"/>
        </w:tabs>
        <w:rPr>
          <w:noProof/>
          <w:lang w:val="it-IT"/>
        </w:rPr>
      </w:pPr>
      <w:r>
        <w:rPr>
          <w:bCs/>
          <w:noProof/>
          <w:lang w:val="it-IT"/>
        </w:rPr>
        <w:t>Nei pazienti non precedentemente trattati con tocilizumab, non è raccomandato l’inizio del trattamento se il paziente presenta una ANC inferiore a 2 </w:t>
      </w:r>
      <w:r>
        <w:rPr>
          <w:bCs/>
          <w:noProof/>
          <w:lang w:val="it-IT"/>
        </w:rPr>
        <w:sym w:font="Symbol" w:char="F0B4"/>
      </w:r>
      <w:r>
        <w:rPr>
          <w:bCs/>
          <w:noProof/>
          <w:lang w:val="it-IT"/>
        </w:rPr>
        <w:t> 10</w:t>
      </w:r>
      <w:r>
        <w:rPr>
          <w:bCs/>
          <w:noProof/>
          <w:vertAlign w:val="superscript"/>
          <w:lang w:val="it-IT"/>
        </w:rPr>
        <w:t>9</w:t>
      </w:r>
      <w:r>
        <w:rPr>
          <w:bCs/>
          <w:noProof/>
          <w:lang w:val="it-IT"/>
        </w:rPr>
        <w:t xml:space="preserve">/L. </w:t>
      </w:r>
      <w:r>
        <w:rPr>
          <w:noProof/>
          <w:lang w:val="it-IT"/>
        </w:rPr>
        <w:t xml:space="preserve">Occorre cautela nel considerare di iniziare il trattamento in pazienti che presentano una bassa conta piastrinica (cioè conta piastrinica </w:t>
      </w:r>
      <w:r>
        <w:rPr>
          <w:noProof/>
          <w:lang w:val="it-IT"/>
        </w:rPr>
        <w:sym w:font="Symbol" w:char="F03C"/>
      </w:r>
      <w:r>
        <w:rPr>
          <w:noProof/>
          <w:lang w:val="it-IT"/>
        </w:rPr>
        <w:t>100 </w:t>
      </w:r>
      <w:r>
        <w:rPr>
          <w:noProof/>
          <w:lang w:val="it-IT"/>
        </w:rPr>
        <w:sym w:font="Symbol" w:char="F0B4"/>
      </w:r>
      <w:r>
        <w:rPr>
          <w:noProof/>
          <w:lang w:val="it-IT"/>
        </w:rPr>
        <w:t> 10</w:t>
      </w:r>
      <w:r>
        <w:rPr>
          <w:noProof/>
          <w:vertAlign w:val="superscript"/>
          <w:lang w:val="it-IT"/>
        </w:rPr>
        <w:t>3</w:t>
      </w:r>
      <w:r>
        <w:rPr>
          <w:noProof/>
          <w:lang w:val="it-IT"/>
        </w:rPr>
        <w:t xml:space="preserve">/μL). </w:t>
      </w:r>
      <w:r>
        <w:rPr>
          <w:bCs/>
          <w:noProof/>
          <w:lang w:val="it-IT"/>
        </w:rPr>
        <w:t xml:space="preserve">Nei pazienti che sviluppano una ANC </w:t>
      </w:r>
      <w:r>
        <w:rPr>
          <w:noProof/>
          <w:lang w:val="it-IT"/>
        </w:rPr>
        <w:sym w:font="Symbol" w:char="F03C"/>
      </w:r>
      <w:r>
        <w:rPr>
          <w:bCs/>
          <w:noProof/>
          <w:lang w:val="it-IT"/>
        </w:rPr>
        <w:t>0,5 </w:t>
      </w:r>
      <w:r>
        <w:rPr>
          <w:noProof/>
          <w:lang w:val="it-IT"/>
        </w:rPr>
        <w:sym w:font="Symbol" w:char="F0B4"/>
      </w:r>
      <w:r>
        <w:rPr>
          <w:bCs/>
          <w:noProof/>
          <w:lang w:val="it-IT"/>
        </w:rPr>
        <w:t> 10</w:t>
      </w:r>
      <w:r>
        <w:rPr>
          <w:bCs/>
          <w:noProof/>
          <w:vertAlign w:val="superscript"/>
          <w:lang w:val="it-IT"/>
        </w:rPr>
        <w:t>9</w:t>
      </w:r>
      <w:r>
        <w:rPr>
          <w:bCs/>
          <w:noProof/>
          <w:lang w:val="it-IT"/>
        </w:rPr>
        <w:t xml:space="preserve">/L o una conta piastrinica </w:t>
      </w:r>
      <w:r>
        <w:rPr>
          <w:noProof/>
          <w:lang w:val="it-IT"/>
        </w:rPr>
        <w:sym w:font="Symbol" w:char="F03C"/>
      </w:r>
      <w:r>
        <w:rPr>
          <w:bCs/>
          <w:noProof/>
          <w:lang w:val="it-IT"/>
        </w:rPr>
        <w:t>50 </w:t>
      </w:r>
      <w:r>
        <w:rPr>
          <w:noProof/>
          <w:lang w:val="it-IT"/>
        </w:rPr>
        <w:sym w:font="Symbol" w:char="F0B4"/>
      </w:r>
      <w:r>
        <w:rPr>
          <w:bCs/>
          <w:noProof/>
          <w:lang w:val="it-IT"/>
        </w:rPr>
        <w:t> 10</w:t>
      </w:r>
      <w:r>
        <w:rPr>
          <w:bCs/>
          <w:noProof/>
          <w:vertAlign w:val="superscript"/>
          <w:lang w:val="it-IT"/>
        </w:rPr>
        <w:t>3</w:t>
      </w:r>
      <w:r>
        <w:rPr>
          <w:bCs/>
          <w:noProof/>
          <w:lang w:val="it-IT"/>
        </w:rPr>
        <w:t>/</w:t>
      </w:r>
      <w:r>
        <w:rPr>
          <w:noProof/>
          <w:lang w:val="it-IT"/>
        </w:rPr>
        <w:t>μ</w:t>
      </w:r>
      <w:r>
        <w:rPr>
          <w:bCs/>
          <w:noProof/>
          <w:lang w:val="it-IT"/>
        </w:rPr>
        <w:t>L, il proseguimento del trattamento non è raccomandato.</w:t>
      </w:r>
    </w:p>
    <w:p>
      <w:pPr>
        <w:tabs>
          <w:tab w:val="left" w:pos="180"/>
        </w:tabs>
        <w:rPr>
          <w:noProof/>
          <w:lang w:val="it-IT"/>
        </w:rPr>
      </w:pPr>
    </w:p>
    <w:p>
      <w:pPr>
        <w:tabs>
          <w:tab w:val="left" w:pos="180"/>
        </w:tabs>
        <w:rPr>
          <w:noProof/>
          <w:lang w:val="it-IT"/>
        </w:rPr>
      </w:pPr>
      <w:r>
        <w:rPr>
          <w:noProof/>
          <w:lang w:val="it-IT"/>
        </w:rPr>
        <w:t xml:space="preserve">Una neutropenia severa può essere associata ad un aumento del rischio di infezioni gravi, sebbene ad oggi non vi sia stata una chiara associazione tra la riduzione dei livelli dei neutrofili e l’insorgenza di infezioni gravi negli studi clinici con tocilizumab. </w:t>
      </w:r>
    </w:p>
    <w:p>
      <w:pPr>
        <w:tabs>
          <w:tab w:val="left" w:pos="180"/>
        </w:tabs>
        <w:rPr>
          <w:noProof/>
          <w:lang w:val="it-IT"/>
        </w:rPr>
      </w:pPr>
    </w:p>
    <w:p>
      <w:pPr>
        <w:tabs>
          <w:tab w:val="left" w:pos="180"/>
        </w:tabs>
        <w:rPr>
          <w:noProof/>
          <w:lang w:val="it-IT"/>
        </w:rPr>
      </w:pPr>
      <w:r>
        <w:rPr>
          <w:noProof/>
          <w:lang w:val="it-IT"/>
        </w:rPr>
        <w:t>Nei pazienti affetti da AR e ACG i livelli di neutrofili e piastrine devono essere monitorati 4-8 settimane dopo l’inizio della terapia e successivamente secondo gli standard di pratica clinica. Per le modifiche del dosaggio raccomandate in base alla ANC e alla conta piastrinica, vedere il paragrafo 4.2.</w:t>
      </w:r>
    </w:p>
    <w:p>
      <w:pPr>
        <w:tabs>
          <w:tab w:val="left" w:pos="180"/>
        </w:tabs>
        <w:rPr>
          <w:noProof/>
          <w:lang w:val="it-IT"/>
        </w:rPr>
      </w:pPr>
    </w:p>
    <w:p>
      <w:pPr>
        <w:tabs>
          <w:tab w:val="left" w:pos="180"/>
        </w:tabs>
        <w:rPr>
          <w:noProof/>
          <w:lang w:val="it-IT"/>
        </w:rPr>
      </w:pPr>
      <w:r>
        <w:rPr>
          <w:noProof/>
          <w:lang w:val="it-IT"/>
        </w:rPr>
        <w:t>Nei pazienti affetti da AIGs e AIGp i livelli di neutrofili e piastrine devono essere monitorati al momento della seconda somministrazione e successivamente secondo i principi della buona pratica clinica (vedere paragrafo 4.2).</w:t>
      </w:r>
    </w:p>
    <w:p>
      <w:pPr>
        <w:tabs>
          <w:tab w:val="left" w:pos="180"/>
        </w:tabs>
        <w:rPr>
          <w:noProof/>
          <w:lang w:val="it-IT"/>
        </w:rPr>
      </w:pPr>
    </w:p>
    <w:p>
      <w:pPr>
        <w:keepNext/>
        <w:tabs>
          <w:tab w:val="left" w:pos="180"/>
        </w:tabs>
        <w:rPr>
          <w:i/>
          <w:noProof/>
          <w:lang w:val="it-IT"/>
        </w:rPr>
        <w:pPrChange w:id="3311" w:author="Author">
          <w:pPr>
            <w:tabs>
              <w:tab w:val="left" w:pos="180"/>
            </w:tabs>
          </w:pPr>
        </w:pPrChange>
      </w:pPr>
      <w:r>
        <w:rPr>
          <w:i/>
          <w:noProof/>
          <w:lang w:val="it-IT"/>
        </w:rPr>
        <w:t>Parametri lipidici</w:t>
      </w:r>
    </w:p>
    <w:p>
      <w:pPr>
        <w:tabs>
          <w:tab w:val="left" w:pos="180"/>
        </w:tabs>
        <w:rPr>
          <w:noProof/>
          <w:lang w:val="it-IT"/>
        </w:rPr>
      </w:pPr>
      <w:r>
        <w:rPr>
          <w:noProof/>
          <w:lang w:val="it-IT"/>
        </w:rPr>
        <w:t>Sono stati osservati rialzi nei parametri lipidici, quali colesterolo totale, lipoproteine a bassa densità (LDL), lipoproteine ad alta densità (HDL) e trigliceridi nei pazienti trattati con tocilizumab (vedere paragrafo 4.8). Nella maggior parte dei pazienti non c’è stato un incremento dell’indice aterogenico, e l’incremento del colesterolo totale ha risposto al trattamento con agenti ipolipemizzanti.</w:t>
      </w:r>
    </w:p>
    <w:p>
      <w:pPr>
        <w:tabs>
          <w:tab w:val="left" w:pos="180"/>
        </w:tabs>
        <w:rPr>
          <w:noProof/>
          <w:lang w:val="it-IT"/>
        </w:rPr>
      </w:pPr>
    </w:p>
    <w:p>
      <w:pPr>
        <w:tabs>
          <w:tab w:val="left" w:pos="180"/>
        </w:tabs>
        <w:rPr>
          <w:noProof/>
          <w:lang w:val="it-IT"/>
        </w:rPr>
      </w:pPr>
      <w:r>
        <w:rPr>
          <w:noProof/>
          <w:lang w:val="it-IT"/>
        </w:rPr>
        <w:t>In tutti i pazienti i parametri lipidici devono essere valutati a 4</w:t>
      </w:r>
      <w:ins w:id="3312" w:author="Author">
        <w:r>
          <w:rPr>
            <w:noProof/>
            <w:lang w:val="it-IT"/>
          </w:rPr>
          <w:t xml:space="preserve"> </w:t>
        </w:r>
      </w:ins>
      <w:r>
        <w:rPr>
          <w:noProof/>
          <w:lang w:val="it-IT"/>
        </w:rPr>
        <w:t>-</w:t>
      </w:r>
      <w:ins w:id="3313" w:author="Author">
        <w:r>
          <w:rPr>
            <w:noProof/>
            <w:lang w:val="it-IT"/>
          </w:rPr>
          <w:t xml:space="preserve"> </w:t>
        </w:r>
      </w:ins>
      <w:r>
        <w:rPr>
          <w:noProof/>
          <w:lang w:val="it-IT"/>
        </w:rPr>
        <w:t>8 settimane dall’inizio della terapia</w:t>
      </w:r>
      <w:del w:id="3314" w:author="Author">
        <w:r>
          <w:rPr>
            <w:noProof/>
            <w:lang w:val="it-IT"/>
          </w:rPr>
          <w:delText xml:space="preserve"> </w:delText>
        </w:r>
      </w:del>
      <w:r>
        <w:rPr>
          <w:noProof/>
          <w:lang w:val="it-IT"/>
        </w:rPr>
        <w:t>. Per il trattamento dell’iperlipidemia, i pazienti devono essere trattati in accordo alle linee guida cliniche locali.</w:t>
      </w:r>
    </w:p>
    <w:p>
      <w:pPr>
        <w:tabs>
          <w:tab w:val="left" w:pos="180"/>
        </w:tabs>
        <w:rPr>
          <w:noProof/>
          <w:lang w:val="it-IT"/>
        </w:rPr>
      </w:pPr>
    </w:p>
    <w:p>
      <w:pPr>
        <w:keepNext/>
        <w:keepLines/>
        <w:tabs>
          <w:tab w:val="left" w:pos="180"/>
        </w:tabs>
        <w:ind w:left="567" w:hanging="567"/>
        <w:outlineLvl w:val="0"/>
        <w:rPr>
          <w:i/>
          <w:noProof/>
          <w:lang w:val="it-IT"/>
        </w:rPr>
        <w:pPrChange w:id="3315" w:author="Author">
          <w:pPr>
            <w:tabs>
              <w:tab w:val="left" w:pos="180"/>
            </w:tabs>
            <w:ind w:left="567" w:hanging="567"/>
            <w:outlineLvl w:val="0"/>
          </w:pPr>
        </w:pPrChange>
      </w:pPr>
      <w:del w:id="3316" w:author="Author">
        <w:r>
          <w:rPr>
            <w:i/>
            <w:noProof/>
            <w:lang w:val="it-IT"/>
          </w:rPr>
          <w:lastRenderedPageBreak/>
          <w:delText xml:space="preserve">Disordini </w:delText>
        </w:r>
      </w:del>
      <w:ins w:id="3317" w:author="Author">
        <w:r>
          <w:rPr>
            <w:i/>
            <w:noProof/>
            <w:lang w:val="it-IT"/>
          </w:rPr>
          <w:t xml:space="preserve">Disturbi </w:t>
        </w:r>
      </w:ins>
      <w:r>
        <w:rPr>
          <w:i/>
          <w:noProof/>
          <w:lang w:val="it-IT"/>
        </w:rPr>
        <w:t>neurologici</w:t>
      </w:r>
    </w:p>
    <w:p>
      <w:pPr>
        <w:tabs>
          <w:tab w:val="left" w:pos="180"/>
        </w:tabs>
        <w:outlineLvl w:val="0"/>
        <w:rPr>
          <w:noProof/>
          <w:lang w:val="it-IT"/>
        </w:rPr>
      </w:pPr>
      <w:r>
        <w:rPr>
          <w:noProof/>
          <w:lang w:val="it-IT"/>
        </w:rPr>
        <w:t>I medici devono prestare attenzione alla presenza di sintomi che potenzialmente indichino l’insorgenza di disturbi da demielinizzazione centrale. Non è al momento nota la potenzialità di demielinizzazione centrale associata a tocilizumab.</w:t>
      </w:r>
    </w:p>
    <w:p>
      <w:pPr>
        <w:tabs>
          <w:tab w:val="left" w:pos="180"/>
        </w:tabs>
        <w:ind w:left="567" w:hanging="567"/>
        <w:outlineLvl w:val="0"/>
        <w:rPr>
          <w:noProof/>
          <w:lang w:val="it-IT"/>
        </w:rPr>
      </w:pPr>
    </w:p>
    <w:p>
      <w:pPr>
        <w:tabs>
          <w:tab w:val="left" w:pos="180"/>
        </w:tabs>
        <w:ind w:left="567" w:hanging="567"/>
        <w:outlineLvl w:val="0"/>
        <w:rPr>
          <w:i/>
          <w:noProof/>
          <w:lang w:val="it-IT"/>
        </w:rPr>
      </w:pPr>
      <w:r>
        <w:rPr>
          <w:i/>
          <w:noProof/>
          <w:lang w:val="it-IT"/>
        </w:rPr>
        <w:t>Neoplasie</w:t>
      </w:r>
    </w:p>
    <w:p>
      <w:pPr>
        <w:tabs>
          <w:tab w:val="left" w:pos="180"/>
        </w:tabs>
        <w:outlineLvl w:val="0"/>
        <w:rPr>
          <w:noProof/>
          <w:lang w:val="it-IT"/>
        </w:rPr>
      </w:pPr>
      <w:r>
        <w:rPr>
          <w:noProof/>
          <w:lang w:val="it-IT"/>
        </w:rPr>
        <w:t>Nei pazienti affetti da AR il rischio di neoplasie è aumentato. I medicinali immunomodulatori possono aumentare il rischio di neoplasie.</w:t>
      </w:r>
      <w:r>
        <w:rPr>
          <w:noProof/>
          <w:szCs w:val="22"/>
          <w:lang w:val="it-IT"/>
        </w:rPr>
        <w:t xml:space="preserve"> I dati clinici disponibili sono insufficienti per valutare la potenziale incidenza di neoplasie successivamente all’esposizione a tocilizumab. Sono in corso valutazioni sulla sicurezza a lungo termine</w:t>
      </w:r>
      <w:ins w:id="3318" w:author="Author">
        <w:r>
          <w:rPr>
            <w:noProof/>
            <w:szCs w:val="22"/>
            <w:lang w:val="it-IT"/>
          </w:rPr>
          <w:t>.</w:t>
        </w:r>
      </w:ins>
    </w:p>
    <w:p>
      <w:pPr>
        <w:tabs>
          <w:tab w:val="left" w:pos="180"/>
        </w:tabs>
        <w:rPr>
          <w:noProof/>
          <w:lang w:val="it-IT"/>
        </w:rPr>
      </w:pPr>
    </w:p>
    <w:p>
      <w:pPr>
        <w:keepNext/>
        <w:keepLines/>
        <w:tabs>
          <w:tab w:val="left" w:pos="180"/>
        </w:tabs>
        <w:ind w:left="567" w:hanging="567"/>
        <w:outlineLvl w:val="0"/>
        <w:rPr>
          <w:i/>
          <w:noProof/>
          <w:lang w:val="it-IT"/>
        </w:rPr>
      </w:pPr>
      <w:r>
        <w:rPr>
          <w:i/>
          <w:noProof/>
          <w:lang w:val="it-IT"/>
        </w:rPr>
        <w:t>Vaccinazioni</w:t>
      </w:r>
    </w:p>
    <w:p>
      <w:pPr>
        <w:tabs>
          <w:tab w:val="left" w:pos="180"/>
        </w:tabs>
        <w:rPr>
          <w:noProof/>
          <w:lang w:val="it-IT"/>
        </w:rPr>
      </w:pPr>
      <w:r>
        <w:rPr>
          <w:noProof/>
          <w:lang w:val="it-IT"/>
        </w:rPr>
        <w:t xml:space="preserve">Vaccini vivi e vivi attenuati non devono essere somministrati in concomitanza con questo medicinale poiché non è stata stabilita la sicurezza clinica. </w:t>
      </w:r>
      <w:r>
        <w:rPr>
          <w:noProof/>
          <w:szCs w:val="22"/>
          <w:lang w:val="it-IT"/>
        </w:rPr>
        <w:t>In uno studio</w:t>
      </w:r>
      <w:ins w:id="3319" w:author="Author">
        <w:r>
          <w:rPr>
            <w:noProof/>
            <w:szCs w:val="22"/>
            <w:lang w:val="it-IT"/>
          </w:rPr>
          <w:t xml:space="preserve"> clinico</w:t>
        </w:r>
      </w:ins>
      <w:r>
        <w:rPr>
          <w:noProof/>
          <w:szCs w:val="22"/>
          <w:lang w:val="it-IT"/>
        </w:rPr>
        <w:t xml:space="preserve"> randomizzato in aperto, i pazienti adulti con artrite reumatoide trattati con tocilizumab e MTX sono stati in grado di produrre una risposta efficace sia al vaccino pneumococcico polisaccaridico 23-valente che al vaccino tossoide del tetano, paragonabile alla risposta osservata nei pazienti trattati con solo MTX. </w:t>
      </w:r>
      <w:r>
        <w:rPr>
          <w:noProof/>
          <w:lang w:val="it-IT"/>
        </w:rPr>
        <w:t>In tutti i pazienti, e in particolare in quelli pediatrici o anziani, prima di iniziare la terapia si raccomanda di attuare il programma di vaccinazioni previsto dalle linee guida in vigore sulle vaccinazioni. L’intervallo tra la somministrazione di vaccini vivi e l’inizio della terapia deve essere conforme alle linee guida in vigore sulle vaccinazioni in merito agli agenti immunosoppressori.</w:t>
      </w:r>
    </w:p>
    <w:p>
      <w:pPr>
        <w:tabs>
          <w:tab w:val="left" w:pos="180"/>
        </w:tabs>
        <w:rPr>
          <w:noProof/>
          <w:lang w:val="it-IT"/>
        </w:rPr>
      </w:pPr>
    </w:p>
    <w:p>
      <w:pPr>
        <w:tabs>
          <w:tab w:val="left" w:pos="180"/>
        </w:tabs>
        <w:rPr>
          <w:i/>
          <w:noProof/>
          <w:lang w:val="it-IT"/>
        </w:rPr>
      </w:pPr>
      <w:r>
        <w:rPr>
          <w:i/>
          <w:noProof/>
          <w:lang w:val="it-IT"/>
        </w:rPr>
        <w:t>Rischio cardiovascolare</w:t>
      </w:r>
    </w:p>
    <w:p>
      <w:pPr>
        <w:tabs>
          <w:tab w:val="left" w:pos="180"/>
        </w:tabs>
        <w:rPr>
          <w:noProof/>
          <w:lang w:val="it-IT"/>
        </w:rPr>
      </w:pPr>
      <w:r>
        <w:rPr>
          <w:noProof/>
          <w:lang w:val="it-IT"/>
        </w:rPr>
        <w:t xml:space="preserve">I pazienti affetti da AR presentano un rischio aumentato di </w:t>
      </w:r>
      <w:del w:id="3320" w:author="Author">
        <w:r>
          <w:rPr>
            <w:noProof/>
            <w:lang w:val="it-IT"/>
          </w:rPr>
          <w:delText xml:space="preserve">disordini </w:delText>
        </w:r>
      </w:del>
      <w:ins w:id="3321" w:author="Author">
        <w:r>
          <w:rPr>
            <w:noProof/>
            <w:lang w:val="it-IT"/>
          </w:rPr>
          <w:t xml:space="preserve">disturbi </w:t>
        </w:r>
      </w:ins>
      <w:r>
        <w:rPr>
          <w:noProof/>
          <w:lang w:val="it-IT"/>
        </w:rPr>
        <w:t xml:space="preserve">cardiovascolari e nel loro trattamento standard deve rientrare la gestione dei fattori di rischio (quali ipertensione, </w:t>
      </w:r>
      <w:r>
        <w:rPr>
          <w:noProof/>
          <w:szCs w:val="22"/>
          <w:lang w:val="it-IT" w:bidi="th-TH"/>
        </w:rPr>
        <w:t>iperlipidemia</w:t>
      </w:r>
      <w:r>
        <w:rPr>
          <w:noProof/>
          <w:lang w:val="it-IT"/>
        </w:rPr>
        <w:t>).</w:t>
      </w:r>
    </w:p>
    <w:p>
      <w:pPr>
        <w:tabs>
          <w:tab w:val="left" w:pos="180"/>
        </w:tabs>
        <w:rPr>
          <w:noProof/>
          <w:lang w:val="it-IT"/>
        </w:rPr>
      </w:pPr>
    </w:p>
    <w:p>
      <w:pPr>
        <w:tabs>
          <w:tab w:val="left" w:pos="180"/>
        </w:tabs>
        <w:rPr>
          <w:i/>
          <w:noProof/>
          <w:lang w:val="it-IT"/>
        </w:rPr>
      </w:pPr>
      <w:r>
        <w:rPr>
          <w:i/>
          <w:noProof/>
          <w:lang w:val="it-IT"/>
        </w:rPr>
        <w:t>Associazione con antagonisti del TNF</w:t>
      </w:r>
    </w:p>
    <w:p>
      <w:pPr>
        <w:tabs>
          <w:tab w:val="left" w:pos="180"/>
        </w:tabs>
        <w:autoSpaceDE w:val="0"/>
        <w:autoSpaceDN w:val="0"/>
        <w:adjustRightInd w:val="0"/>
        <w:rPr>
          <w:rFonts w:eastAsia="TimesNewRoman"/>
          <w:noProof/>
          <w:szCs w:val="22"/>
          <w:lang w:val="it-IT"/>
        </w:rPr>
      </w:pPr>
      <w:r>
        <w:rPr>
          <w:noProof/>
          <w:szCs w:val="22"/>
          <w:lang w:val="it-IT"/>
        </w:rPr>
        <w:t xml:space="preserve">Non c’è esperienza sull’uso di tocilizumab unitamente agli antagonisti del TNF o ad altri trattamenti biologici per i pazienti affetti da AR. L’uso di questo medicinale non è raccomandato in associazione ad altri agenti biologici. </w:t>
      </w:r>
    </w:p>
    <w:p>
      <w:pPr>
        <w:tabs>
          <w:tab w:val="left" w:pos="180"/>
        </w:tabs>
        <w:autoSpaceDE w:val="0"/>
        <w:autoSpaceDN w:val="0"/>
        <w:adjustRightInd w:val="0"/>
        <w:rPr>
          <w:moveFrom w:id="3322" w:author="Author"/>
          <w:rFonts w:eastAsia="TimesNewRoman"/>
          <w:noProof/>
          <w:szCs w:val="22"/>
          <w:lang w:val="it-IT" w:eastAsia="zh-CN"/>
        </w:rPr>
      </w:pPr>
      <w:moveFromRangeStart w:id="3323" w:author="Author" w:name="move203671743"/>
    </w:p>
    <w:p>
      <w:pPr>
        <w:tabs>
          <w:tab w:val="left" w:pos="180"/>
        </w:tabs>
        <w:autoSpaceDE w:val="0"/>
        <w:autoSpaceDN w:val="0"/>
        <w:adjustRightInd w:val="0"/>
        <w:rPr>
          <w:moveFrom w:id="3324" w:author="Author"/>
          <w:rFonts w:eastAsia="TimesNewRoman"/>
          <w:i/>
          <w:iCs/>
          <w:noProof/>
          <w:szCs w:val="22"/>
          <w:lang w:val="it-IT" w:eastAsia="zh-CN"/>
        </w:rPr>
      </w:pPr>
      <w:moveFrom w:id="3325" w:author="Author">
        <w:r>
          <w:rPr>
            <w:rFonts w:eastAsia="TimesNewRoman"/>
            <w:i/>
            <w:iCs/>
            <w:noProof/>
            <w:szCs w:val="22"/>
            <w:lang w:val="it-IT" w:eastAsia="zh-CN"/>
          </w:rPr>
          <w:t>Polisorbato</w:t>
        </w:r>
      </w:moveFrom>
    </w:p>
    <w:p>
      <w:pPr>
        <w:rPr>
          <w:moveFrom w:id="3326" w:author="Author"/>
          <w:rFonts w:eastAsia="TimesNewRoman"/>
          <w:noProof/>
          <w:szCs w:val="22"/>
          <w:lang w:val="it-IT" w:eastAsia="zh-CN"/>
        </w:rPr>
      </w:pPr>
      <w:moveFrom w:id="3327" w:author="Author">
        <w:r>
          <w:rPr>
            <w:rFonts w:eastAsia="TimesNewRoman"/>
            <w:noProof/>
            <w:szCs w:val="22"/>
            <w:lang w:val="it-IT" w:eastAsia="zh-CN"/>
          </w:rPr>
          <w:t>Questo medicinale contiene 0.18 mg di polisorbato 80 in ogni siringa da 162 mg/0.9ml equivalenti a 0.2 mg/mL. I polisorbati possono provocare reazioni allergiche.</w:t>
        </w:r>
        <w:r>
          <w:rPr>
            <w:noProof/>
            <w:lang w:val="it-IT"/>
          </w:rPr>
          <w:t xml:space="preserve"> </w:t>
        </w:r>
        <w:r>
          <w:rPr>
            <w:noProof/>
            <w:szCs w:val="22"/>
            <w:lang w:val="it-IT"/>
          </w:rPr>
          <w:t>Si deve tener conto dei pazienti con allergie note.</w:t>
        </w:r>
      </w:moveFrom>
    </w:p>
    <w:moveFromRangeEnd w:id="3323"/>
    <w:p>
      <w:pPr>
        <w:tabs>
          <w:tab w:val="left" w:pos="180"/>
        </w:tabs>
        <w:autoSpaceDE w:val="0"/>
        <w:autoSpaceDN w:val="0"/>
        <w:adjustRightInd w:val="0"/>
        <w:rPr>
          <w:rFonts w:eastAsia="TimesNewRoman"/>
          <w:noProof/>
          <w:szCs w:val="22"/>
          <w:lang w:val="it-IT" w:eastAsia="zh-CN"/>
        </w:rPr>
      </w:pPr>
    </w:p>
    <w:p>
      <w:pPr>
        <w:rPr>
          <w:iCs/>
          <w:noProof/>
          <w:u w:val="single"/>
          <w:lang w:val="it-IT"/>
          <w:rPrChange w:id="3328" w:author="Author">
            <w:rPr>
              <w:i/>
              <w:lang w:val="it-IT"/>
            </w:rPr>
          </w:rPrChange>
        </w:rPr>
      </w:pPr>
      <w:ins w:id="3329" w:author="Author">
        <w:r>
          <w:rPr>
            <w:iCs/>
            <w:noProof/>
            <w:u w:val="single"/>
            <w:lang w:val="it-IT"/>
            <w:rPrChange w:id="3330" w:author="Author">
              <w:rPr>
                <w:i/>
                <w:lang w:val="it-IT"/>
              </w:rPr>
            </w:rPrChange>
          </w:rPr>
          <w:t xml:space="preserve">Pazienti affetti da </w:t>
        </w:r>
      </w:ins>
      <w:r>
        <w:rPr>
          <w:iCs/>
          <w:noProof/>
          <w:u w:val="single"/>
          <w:lang w:val="it-IT"/>
          <w:rPrChange w:id="3331" w:author="Author">
            <w:rPr>
              <w:i/>
              <w:lang w:val="it-IT"/>
            </w:rPr>
          </w:rPrChange>
        </w:rPr>
        <w:t>ACG</w:t>
      </w:r>
    </w:p>
    <w:p>
      <w:pPr>
        <w:rPr>
          <w:noProof/>
          <w:lang w:val="it-IT"/>
        </w:rPr>
      </w:pPr>
      <w:r>
        <w:rPr>
          <w:noProof/>
          <w:lang w:val="it-IT"/>
        </w:rPr>
        <w:t>Tocilizumab in monoterapia non deve essere utilizzato per il trattamento di recidive acute, in quanto l’efficacia in questo contesto non è stata stabilita. I glucocorticoidi devono essere somministrati in base al giudizio medico e alle linee guida per la pratica clinica.</w:t>
      </w:r>
    </w:p>
    <w:p>
      <w:pPr>
        <w:rPr>
          <w:noProof/>
          <w:lang w:val="it-IT"/>
        </w:rPr>
      </w:pPr>
    </w:p>
    <w:p>
      <w:pPr>
        <w:keepNext/>
        <w:keepLines/>
        <w:tabs>
          <w:tab w:val="left" w:pos="180"/>
        </w:tabs>
        <w:rPr>
          <w:iCs/>
          <w:noProof/>
          <w:u w:val="single"/>
          <w:lang w:val="it-IT"/>
          <w:rPrChange w:id="3332" w:author="Author">
            <w:rPr>
              <w:i/>
              <w:lang w:val="it-IT"/>
            </w:rPr>
          </w:rPrChange>
        </w:rPr>
      </w:pPr>
      <w:ins w:id="3333" w:author="Author">
        <w:r>
          <w:rPr>
            <w:iCs/>
            <w:noProof/>
            <w:u w:val="single"/>
            <w:lang w:val="it-IT"/>
            <w:rPrChange w:id="3334" w:author="Author">
              <w:rPr>
                <w:i/>
                <w:lang w:val="it-IT"/>
              </w:rPr>
            </w:rPrChange>
          </w:rPr>
          <w:t xml:space="preserve">Pazienti affetti da </w:t>
        </w:r>
      </w:ins>
      <w:r>
        <w:rPr>
          <w:iCs/>
          <w:noProof/>
          <w:u w:val="single"/>
          <w:lang w:val="it-IT"/>
          <w:rPrChange w:id="3335" w:author="Author">
            <w:rPr>
              <w:i/>
              <w:lang w:val="it-IT"/>
            </w:rPr>
          </w:rPrChange>
        </w:rPr>
        <w:t>AIGs</w:t>
      </w:r>
    </w:p>
    <w:p>
      <w:pPr>
        <w:keepNext/>
        <w:keepLines/>
        <w:tabs>
          <w:tab w:val="left" w:pos="180"/>
        </w:tabs>
        <w:rPr>
          <w:noProof/>
          <w:lang w:val="it-IT"/>
        </w:rPr>
      </w:pPr>
      <w:r>
        <w:rPr>
          <w:noProof/>
          <w:lang w:val="it-IT"/>
        </w:rPr>
        <w:t>La sindrome da attivazione macrofagica (MAS) è una patologia severa potenzialmente letale che può svilupparsi nei pazienti affetti da AIGs. Nell’ambito delle sperimentazioni cliniche, tocilizumab non è stato studiato nei pazienti durante episodi di MAS attiva.</w:t>
      </w:r>
    </w:p>
    <w:p>
      <w:pPr>
        <w:tabs>
          <w:tab w:val="left" w:pos="180"/>
        </w:tabs>
        <w:autoSpaceDE w:val="0"/>
        <w:autoSpaceDN w:val="0"/>
        <w:adjustRightInd w:val="0"/>
        <w:rPr>
          <w:moveTo w:id="3336" w:author="Author"/>
          <w:rFonts w:eastAsia="TimesNewRoman"/>
          <w:noProof/>
          <w:szCs w:val="22"/>
          <w:lang w:val="it-IT" w:eastAsia="zh-CN"/>
        </w:rPr>
      </w:pPr>
      <w:moveToRangeStart w:id="3337" w:author="Author" w:name="move203671743"/>
    </w:p>
    <w:p>
      <w:pPr>
        <w:keepNext/>
        <w:keepLines/>
        <w:tabs>
          <w:tab w:val="left" w:pos="180"/>
        </w:tabs>
        <w:autoSpaceDE w:val="0"/>
        <w:autoSpaceDN w:val="0"/>
        <w:adjustRightInd w:val="0"/>
        <w:rPr>
          <w:moveTo w:id="3338" w:author="Author"/>
          <w:rFonts w:eastAsia="TimesNewRoman"/>
          <w:i/>
          <w:iCs/>
          <w:noProof/>
          <w:szCs w:val="22"/>
          <w:lang w:val="it-IT" w:eastAsia="zh-CN"/>
        </w:rPr>
        <w:pPrChange w:id="3339" w:author="Author">
          <w:pPr>
            <w:tabs>
              <w:tab w:val="left" w:pos="180"/>
            </w:tabs>
            <w:autoSpaceDE w:val="0"/>
            <w:autoSpaceDN w:val="0"/>
            <w:adjustRightInd w:val="0"/>
          </w:pPr>
        </w:pPrChange>
      </w:pPr>
      <w:moveTo w:id="3340" w:author="Author">
        <w:r>
          <w:rPr>
            <w:rFonts w:eastAsia="TimesNewRoman"/>
            <w:i/>
            <w:iCs/>
            <w:noProof/>
            <w:szCs w:val="22"/>
            <w:lang w:val="it-IT" w:eastAsia="zh-CN"/>
          </w:rPr>
          <w:t>Polisorbato</w:t>
        </w:r>
      </w:moveTo>
      <w:ins w:id="3341" w:author="Author">
        <w:r>
          <w:rPr>
            <w:rFonts w:eastAsia="TimesNewRoman"/>
            <w:i/>
            <w:iCs/>
            <w:noProof/>
            <w:szCs w:val="22"/>
            <w:lang w:val="it-IT" w:eastAsia="zh-CN"/>
          </w:rPr>
          <w:t> 80 (E 433)</w:t>
        </w:r>
      </w:ins>
    </w:p>
    <w:p>
      <w:pPr>
        <w:rPr>
          <w:del w:id="3342" w:author="Author"/>
          <w:noProof/>
          <w:lang w:val="it-IT"/>
        </w:rPr>
        <w:pPrChange w:id="3343" w:author="Author">
          <w:pPr>
            <w:tabs>
              <w:tab w:val="left" w:pos="180"/>
            </w:tabs>
          </w:pPr>
        </w:pPrChange>
      </w:pPr>
      <w:moveTo w:id="3344" w:author="Author">
        <w:r>
          <w:rPr>
            <w:rFonts w:eastAsia="TimesNewRoman"/>
            <w:noProof/>
            <w:szCs w:val="22"/>
            <w:lang w:val="it-IT" w:eastAsia="zh-CN"/>
          </w:rPr>
          <w:t>Questo medicinale contiene 0</w:t>
        </w:r>
        <w:del w:id="3345" w:author="Author">
          <w:r>
            <w:rPr>
              <w:rFonts w:eastAsia="TimesNewRoman"/>
              <w:noProof/>
              <w:szCs w:val="22"/>
              <w:lang w:val="it-IT" w:eastAsia="zh-CN"/>
            </w:rPr>
            <w:delText>.</w:delText>
          </w:r>
        </w:del>
      </w:moveTo>
      <w:ins w:id="3346" w:author="Author">
        <w:r>
          <w:rPr>
            <w:rFonts w:eastAsia="TimesNewRoman"/>
            <w:noProof/>
            <w:szCs w:val="22"/>
            <w:lang w:val="it-IT" w:eastAsia="zh-CN"/>
          </w:rPr>
          <w:t>,</w:t>
        </w:r>
      </w:ins>
      <w:moveTo w:id="3347" w:author="Author">
        <w:r>
          <w:rPr>
            <w:rFonts w:eastAsia="TimesNewRoman"/>
            <w:noProof/>
            <w:szCs w:val="22"/>
            <w:lang w:val="it-IT" w:eastAsia="zh-CN"/>
          </w:rPr>
          <w:t>18</w:t>
        </w:r>
      </w:moveTo>
      <w:ins w:id="3348" w:author="Author">
        <w:r>
          <w:rPr>
            <w:rFonts w:eastAsia="TimesNewRoman"/>
            <w:noProof/>
            <w:szCs w:val="22"/>
            <w:lang w:val="it-IT" w:eastAsia="zh-CN"/>
          </w:rPr>
          <w:t> </w:t>
        </w:r>
      </w:ins>
      <w:moveTo w:id="3349" w:author="Author">
        <w:del w:id="3350" w:author="Author">
          <w:r>
            <w:rPr>
              <w:rFonts w:eastAsia="TimesNewRoman"/>
              <w:noProof/>
              <w:szCs w:val="22"/>
              <w:lang w:val="it-IT" w:eastAsia="zh-CN"/>
            </w:rPr>
            <w:delText xml:space="preserve"> </w:delText>
          </w:r>
        </w:del>
        <w:r>
          <w:rPr>
            <w:rFonts w:eastAsia="TimesNewRoman"/>
            <w:noProof/>
            <w:szCs w:val="22"/>
            <w:lang w:val="it-IT" w:eastAsia="zh-CN"/>
          </w:rPr>
          <w:t>mg di polisorbato</w:t>
        </w:r>
        <w:del w:id="3351" w:author="Author">
          <w:r>
            <w:rPr>
              <w:rFonts w:eastAsia="TimesNewRoman"/>
              <w:noProof/>
              <w:szCs w:val="22"/>
              <w:lang w:val="it-IT" w:eastAsia="zh-CN"/>
            </w:rPr>
            <w:delText xml:space="preserve"> </w:delText>
          </w:r>
        </w:del>
      </w:moveTo>
      <w:ins w:id="3352" w:author="Author">
        <w:r>
          <w:rPr>
            <w:rFonts w:eastAsia="TimesNewRoman"/>
            <w:noProof/>
            <w:szCs w:val="22"/>
            <w:lang w:val="it-IT" w:eastAsia="zh-CN"/>
          </w:rPr>
          <w:t> </w:t>
        </w:r>
      </w:ins>
      <w:moveTo w:id="3353" w:author="Author">
        <w:r>
          <w:rPr>
            <w:rFonts w:eastAsia="TimesNewRoman"/>
            <w:noProof/>
            <w:szCs w:val="22"/>
            <w:lang w:val="it-IT" w:eastAsia="zh-CN"/>
          </w:rPr>
          <w:t>80 in ogni siringa da 162</w:t>
        </w:r>
        <w:del w:id="3354" w:author="Author">
          <w:r>
            <w:rPr>
              <w:rFonts w:eastAsia="TimesNewRoman"/>
              <w:noProof/>
              <w:szCs w:val="22"/>
              <w:lang w:val="it-IT" w:eastAsia="zh-CN"/>
            </w:rPr>
            <w:delText xml:space="preserve"> </w:delText>
          </w:r>
        </w:del>
      </w:moveTo>
      <w:ins w:id="3355" w:author="Author">
        <w:r>
          <w:rPr>
            <w:rFonts w:eastAsia="TimesNewRoman"/>
            <w:noProof/>
            <w:szCs w:val="22"/>
            <w:lang w:val="it-IT" w:eastAsia="zh-CN"/>
          </w:rPr>
          <w:t> </w:t>
        </w:r>
      </w:ins>
      <w:moveTo w:id="3356" w:author="Author">
        <w:r>
          <w:rPr>
            <w:rFonts w:eastAsia="TimesNewRoman"/>
            <w:noProof/>
            <w:szCs w:val="22"/>
            <w:lang w:val="it-IT" w:eastAsia="zh-CN"/>
          </w:rPr>
          <w:t>mg/0</w:t>
        </w:r>
      </w:moveTo>
      <w:ins w:id="3357" w:author="Author">
        <w:r>
          <w:rPr>
            <w:rFonts w:eastAsia="TimesNewRoman"/>
            <w:noProof/>
            <w:szCs w:val="22"/>
            <w:lang w:val="it-IT" w:eastAsia="zh-CN"/>
          </w:rPr>
          <w:t>,</w:t>
        </w:r>
      </w:ins>
      <w:moveTo w:id="3358" w:author="Author">
        <w:del w:id="3359" w:author="Author">
          <w:r>
            <w:rPr>
              <w:rFonts w:eastAsia="TimesNewRoman"/>
              <w:noProof/>
              <w:szCs w:val="22"/>
              <w:lang w:val="it-IT" w:eastAsia="zh-CN"/>
            </w:rPr>
            <w:delText>.</w:delText>
          </w:r>
        </w:del>
        <w:r>
          <w:rPr>
            <w:rFonts w:eastAsia="TimesNewRoman"/>
            <w:noProof/>
            <w:szCs w:val="22"/>
            <w:lang w:val="it-IT" w:eastAsia="zh-CN"/>
          </w:rPr>
          <w:t>9</w:t>
        </w:r>
      </w:moveTo>
      <w:ins w:id="3360" w:author="Author">
        <w:r>
          <w:rPr>
            <w:rFonts w:eastAsia="TimesNewRoman"/>
            <w:noProof/>
            <w:szCs w:val="22"/>
            <w:lang w:val="it-IT" w:eastAsia="zh-CN"/>
          </w:rPr>
          <w:t> </w:t>
        </w:r>
      </w:ins>
      <w:moveTo w:id="3361" w:author="Author">
        <w:r>
          <w:rPr>
            <w:rFonts w:eastAsia="TimesNewRoman"/>
            <w:noProof/>
            <w:szCs w:val="22"/>
            <w:lang w:val="it-IT" w:eastAsia="zh-CN"/>
          </w:rPr>
          <w:t>ml</w:t>
        </w:r>
      </w:moveTo>
      <w:ins w:id="3362" w:author="Author">
        <w:r>
          <w:rPr>
            <w:rFonts w:eastAsia="TimesNewRoman"/>
            <w:noProof/>
            <w:szCs w:val="22"/>
            <w:lang w:val="it-IT" w:eastAsia="zh-CN"/>
          </w:rPr>
          <w:t>,</w:t>
        </w:r>
      </w:ins>
      <w:moveTo w:id="3363" w:author="Author">
        <w:r>
          <w:rPr>
            <w:rFonts w:eastAsia="TimesNewRoman"/>
            <w:noProof/>
            <w:szCs w:val="22"/>
            <w:lang w:val="it-IT" w:eastAsia="zh-CN"/>
          </w:rPr>
          <w:t xml:space="preserve"> equivalenti a 0</w:t>
        </w:r>
      </w:moveTo>
      <w:ins w:id="3364" w:author="Author">
        <w:r>
          <w:rPr>
            <w:rFonts w:eastAsia="TimesNewRoman"/>
            <w:noProof/>
            <w:szCs w:val="22"/>
            <w:lang w:val="it-IT" w:eastAsia="zh-CN"/>
          </w:rPr>
          <w:t>,</w:t>
        </w:r>
      </w:ins>
      <w:moveTo w:id="3365" w:author="Author">
        <w:del w:id="3366" w:author="Author">
          <w:r>
            <w:rPr>
              <w:rFonts w:eastAsia="TimesNewRoman"/>
              <w:noProof/>
              <w:szCs w:val="22"/>
              <w:lang w:val="it-IT" w:eastAsia="zh-CN"/>
            </w:rPr>
            <w:delText>.</w:delText>
          </w:r>
        </w:del>
        <w:r>
          <w:rPr>
            <w:rFonts w:eastAsia="TimesNewRoman"/>
            <w:noProof/>
            <w:szCs w:val="22"/>
            <w:lang w:val="it-IT" w:eastAsia="zh-CN"/>
          </w:rPr>
          <w:t>2</w:t>
        </w:r>
        <w:del w:id="3367" w:author="Author">
          <w:r>
            <w:rPr>
              <w:rFonts w:eastAsia="TimesNewRoman"/>
              <w:noProof/>
              <w:szCs w:val="22"/>
              <w:lang w:val="it-IT" w:eastAsia="zh-CN"/>
            </w:rPr>
            <w:delText xml:space="preserve"> </w:delText>
          </w:r>
        </w:del>
      </w:moveTo>
      <w:ins w:id="3368" w:author="Author">
        <w:r>
          <w:rPr>
            <w:rFonts w:eastAsia="TimesNewRoman"/>
            <w:noProof/>
            <w:szCs w:val="22"/>
            <w:lang w:val="it-IT" w:eastAsia="zh-CN"/>
          </w:rPr>
          <w:t> </w:t>
        </w:r>
      </w:ins>
      <w:moveTo w:id="3369" w:author="Author">
        <w:r>
          <w:rPr>
            <w:rFonts w:eastAsia="TimesNewRoman"/>
            <w:noProof/>
            <w:szCs w:val="22"/>
            <w:lang w:val="it-IT" w:eastAsia="zh-CN"/>
          </w:rPr>
          <w:t>mg/mL. I polisorbati possono provocare reazioni allergiche.</w:t>
        </w:r>
        <w:r>
          <w:rPr>
            <w:noProof/>
            <w:lang w:val="it-IT"/>
          </w:rPr>
          <w:t xml:space="preserve"> </w:t>
        </w:r>
        <w:del w:id="3370" w:author="Author">
          <w:r>
            <w:rPr>
              <w:noProof/>
              <w:szCs w:val="22"/>
              <w:lang w:val="it-IT"/>
            </w:rPr>
            <w:delText>Si deve tener conto dei pazienti con allergie note</w:delText>
          </w:r>
        </w:del>
      </w:moveTo>
      <w:ins w:id="3371" w:author="Author">
        <w:del w:id="3372" w:author="Author">
          <w:r>
            <w:rPr>
              <w:noProof/>
              <w:szCs w:val="22"/>
              <w:lang w:val="it-IT"/>
            </w:rPr>
            <w:delText>Occorre tenere in considerazione le allergie note dei pazienti</w:delText>
          </w:r>
        </w:del>
      </w:ins>
      <w:moveTo w:id="3373" w:author="Author">
        <w:del w:id="3374" w:author="Author">
          <w:r>
            <w:rPr>
              <w:noProof/>
              <w:szCs w:val="22"/>
              <w:lang w:val="it-IT"/>
            </w:rPr>
            <w:delText>.</w:delText>
          </w:r>
        </w:del>
      </w:moveTo>
      <w:ins w:id="3375" w:author="Author">
        <w:r>
          <w:rPr>
            <w:noProof/>
            <w:lang w:val="it-IT"/>
          </w:rPr>
          <w:t xml:space="preserve"> Si deve tenere conto dei pazienti con allergie note.</w:t>
        </w:r>
      </w:ins>
    </w:p>
    <w:p>
      <w:pPr>
        <w:rPr>
          <w:ins w:id="3376" w:author="Author"/>
          <w:moveTo w:id="3377" w:author="Author"/>
          <w:rFonts w:eastAsia="TimesNewRoman"/>
          <w:noProof/>
          <w:szCs w:val="22"/>
          <w:lang w:val="it-IT" w:eastAsia="zh-CN"/>
        </w:rPr>
      </w:pPr>
    </w:p>
    <w:moveToRangeEnd w:id="3337"/>
    <w:p>
      <w:pPr>
        <w:rPr>
          <w:noProof/>
          <w:lang w:val="it-IT"/>
        </w:rPr>
        <w:pPrChange w:id="3378" w:author="Author">
          <w:pPr>
            <w:tabs>
              <w:tab w:val="left" w:pos="180"/>
            </w:tabs>
          </w:pPr>
        </w:pPrChange>
      </w:pPr>
    </w:p>
    <w:p>
      <w:pPr>
        <w:keepNext/>
        <w:keepLines/>
        <w:tabs>
          <w:tab w:val="left" w:pos="180"/>
        </w:tabs>
        <w:ind w:left="567" w:hanging="567"/>
        <w:outlineLvl w:val="0"/>
        <w:rPr>
          <w:noProof/>
          <w:lang w:val="it-IT"/>
        </w:rPr>
      </w:pPr>
      <w:r>
        <w:rPr>
          <w:b/>
          <w:noProof/>
          <w:lang w:val="it-IT"/>
        </w:rPr>
        <w:t>4.5</w:t>
      </w:r>
      <w:r>
        <w:rPr>
          <w:noProof/>
          <w:lang w:val="it-IT"/>
        </w:rPr>
        <w:tab/>
      </w:r>
      <w:r>
        <w:rPr>
          <w:b/>
          <w:noProof/>
          <w:lang w:val="it-IT"/>
        </w:rPr>
        <w:t>Interazioni con altri medicinali ed altre forme d’interazione</w:t>
      </w:r>
    </w:p>
    <w:p>
      <w:pPr>
        <w:keepNext/>
        <w:keepLines/>
        <w:tabs>
          <w:tab w:val="left" w:pos="180"/>
        </w:tabs>
        <w:rPr>
          <w:noProof/>
          <w:lang w:val="it-IT"/>
        </w:rPr>
      </w:pPr>
    </w:p>
    <w:p>
      <w:pPr>
        <w:tabs>
          <w:tab w:val="left" w:pos="180"/>
        </w:tabs>
        <w:rPr>
          <w:rFonts w:eastAsia="SimSun"/>
          <w:noProof/>
          <w:lang w:val="it-IT"/>
        </w:rPr>
      </w:pPr>
      <w:r>
        <w:rPr>
          <w:noProof/>
          <w:lang w:val="it-IT"/>
        </w:rPr>
        <w:t>Gli studi di interazione sono stati condotti solo negli adulti.</w:t>
      </w:r>
    </w:p>
    <w:p>
      <w:pPr>
        <w:tabs>
          <w:tab w:val="left" w:pos="180"/>
        </w:tabs>
        <w:rPr>
          <w:rFonts w:eastAsia="SimSun"/>
          <w:noProof/>
          <w:lang w:val="it-IT" w:eastAsia="zh-CN" w:bidi="th-TH"/>
        </w:rPr>
      </w:pPr>
    </w:p>
    <w:p>
      <w:pPr>
        <w:tabs>
          <w:tab w:val="left" w:pos="180"/>
        </w:tabs>
        <w:rPr>
          <w:rFonts w:eastAsia="SimSun"/>
          <w:noProof/>
          <w:lang w:val="it-IT"/>
        </w:rPr>
      </w:pPr>
      <w:r>
        <w:rPr>
          <w:noProof/>
          <w:lang w:val="it-IT"/>
        </w:rPr>
        <w:t xml:space="preserve">La somministrazione concomitante di una singola dose di 10 mg/kg di </w:t>
      </w:r>
      <w:r>
        <w:rPr>
          <w:noProof/>
          <w:szCs w:val="22"/>
          <w:lang w:val="it-IT"/>
        </w:rPr>
        <w:t xml:space="preserve">tocilizumab </w:t>
      </w:r>
      <w:r>
        <w:rPr>
          <w:noProof/>
          <w:lang w:val="it-IT"/>
        </w:rPr>
        <w:t>con 10</w:t>
      </w:r>
      <w:ins w:id="3379" w:author="Author">
        <w:r>
          <w:rPr>
            <w:noProof/>
            <w:lang w:val="it-IT"/>
          </w:rPr>
          <w:t xml:space="preserve"> </w:t>
        </w:r>
      </w:ins>
      <w:r>
        <w:rPr>
          <w:noProof/>
          <w:lang w:val="it-IT"/>
        </w:rPr>
        <w:t>-</w:t>
      </w:r>
      <w:ins w:id="3380" w:author="Author">
        <w:r>
          <w:rPr>
            <w:noProof/>
            <w:lang w:val="it-IT"/>
          </w:rPr>
          <w:t xml:space="preserve"> </w:t>
        </w:r>
      </w:ins>
      <w:r>
        <w:rPr>
          <w:noProof/>
          <w:lang w:val="it-IT"/>
        </w:rPr>
        <w:t>25 mg di MTX una volta a settimana non ha avuto effetti clinicamente significativi sull’esposizione a MTX.</w:t>
      </w:r>
    </w:p>
    <w:p>
      <w:pPr>
        <w:tabs>
          <w:tab w:val="left" w:pos="180"/>
        </w:tabs>
        <w:rPr>
          <w:rFonts w:eastAsia="SimSun"/>
          <w:noProof/>
          <w:lang w:val="it-IT" w:eastAsia="zh-CN" w:bidi="th-TH"/>
        </w:rPr>
      </w:pPr>
    </w:p>
    <w:p>
      <w:pPr>
        <w:tabs>
          <w:tab w:val="left" w:pos="180"/>
        </w:tabs>
        <w:autoSpaceDE w:val="0"/>
        <w:autoSpaceDN w:val="0"/>
        <w:adjustRightInd w:val="0"/>
        <w:rPr>
          <w:rFonts w:eastAsia="PMingLiU"/>
          <w:noProof/>
          <w:szCs w:val="22"/>
          <w:lang w:val="it-IT"/>
        </w:rPr>
      </w:pPr>
      <w:r>
        <w:rPr>
          <w:noProof/>
          <w:szCs w:val="22"/>
          <w:lang w:val="it-IT"/>
        </w:rPr>
        <w:t>Le analisi di farmacocinetica di popolazione non hanno evidenziato alcun effetto di MTX, FANS o corticosteroidi sulla clearance di tocilizumab in pazienti affetti da AR. Nei pazienti affetti da ACG la dose cumulativa di corticosteroidi non ha fatto osservare alcun effetto sull’esposizione a tocilizumab.</w:t>
      </w:r>
    </w:p>
    <w:p>
      <w:pPr>
        <w:tabs>
          <w:tab w:val="left" w:pos="180"/>
        </w:tabs>
        <w:rPr>
          <w:noProof/>
          <w:lang w:val="it-IT"/>
        </w:rPr>
      </w:pPr>
    </w:p>
    <w:p>
      <w:pPr>
        <w:tabs>
          <w:tab w:val="left" w:pos="180"/>
        </w:tabs>
        <w:rPr>
          <w:noProof/>
          <w:lang w:val="it-IT"/>
        </w:rPr>
      </w:pPr>
      <w:r>
        <w:rPr>
          <w:noProof/>
          <w:lang w:val="it-IT"/>
        </w:rPr>
        <w:lastRenderedPageBreak/>
        <w:t xml:space="preserve">L’espressione degli enzimi epatici CYP450 è soppressa dalle citochine, come la IL-6, che stimolano l’infiammazione cronica. Pertanto, l’espressione di CYP450 può essere invertita quando si introduce una potente terapia di inibizione citochinica, come </w:t>
      </w:r>
      <w:r>
        <w:rPr>
          <w:noProof/>
          <w:szCs w:val="22"/>
          <w:lang w:val="it-IT"/>
        </w:rPr>
        <w:t>tocilizumab</w:t>
      </w:r>
      <w:r>
        <w:rPr>
          <w:noProof/>
          <w:lang w:val="it-IT"/>
        </w:rPr>
        <w:t>.</w:t>
      </w:r>
    </w:p>
    <w:p>
      <w:pPr>
        <w:tabs>
          <w:tab w:val="left" w:pos="180"/>
        </w:tabs>
        <w:rPr>
          <w:noProof/>
          <w:lang w:val="it-IT"/>
        </w:rPr>
      </w:pPr>
    </w:p>
    <w:p>
      <w:pPr>
        <w:tabs>
          <w:tab w:val="left" w:pos="180"/>
        </w:tabs>
        <w:rPr>
          <w:noProof/>
          <w:lang w:val="it-IT"/>
        </w:rPr>
      </w:pPr>
      <w:r>
        <w:rPr>
          <w:noProof/>
          <w:lang w:val="it-IT"/>
        </w:rPr>
        <w:t xml:space="preserve">Gli studi </w:t>
      </w:r>
      <w:ins w:id="3381" w:author="Author">
        <w:r>
          <w:rPr>
            <w:noProof/>
            <w:lang w:val="it-IT"/>
          </w:rPr>
          <w:t xml:space="preserve">clinici </w:t>
        </w:r>
      </w:ins>
      <w:r>
        <w:rPr>
          <w:noProof/>
          <w:lang w:val="it-IT"/>
        </w:rPr>
        <w:t xml:space="preserve">condotti </w:t>
      </w:r>
      <w:r>
        <w:rPr>
          <w:i/>
          <w:iCs/>
          <w:noProof/>
          <w:lang w:val="it-IT"/>
        </w:rPr>
        <w:t>in vitro</w:t>
      </w:r>
      <w:r>
        <w:rPr>
          <w:noProof/>
          <w:lang w:val="it-IT"/>
        </w:rPr>
        <w:t xml:space="preserve"> con epatociti umani in coltura hanno dimostrato che IL-6 causa una riduzione dell’espressione degli enzimi CYP1A2, CYP2C9, CYP2C19 e CYP3A4. </w:t>
      </w:r>
      <w:r>
        <w:rPr>
          <w:noProof/>
          <w:szCs w:val="22"/>
          <w:lang w:val="it-IT"/>
        </w:rPr>
        <w:t xml:space="preserve">Tocilizumab </w:t>
      </w:r>
      <w:r>
        <w:rPr>
          <w:noProof/>
          <w:lang w:val="it-IT"/>
        </w:rPr>
        <w:t>normalizza l’espressione di questi enzimi.</w:t>
      </w:r>
    </w:p>
    <w:p>
      <w:pPr>
        <w:tabs>
          <w:tab w:val="left" w:pos="180"/>
        </w:tabs>
        <w:rPr>
          <w:noProof/>
          <w:lang w:val="it-IT"/>
        </w:rPr>
      </w:pPr>
    </w:p>
    <w:p>
      <w:pPr>
        <w:tabs>
          <w:tab w:val="left" w:pos="180"/>
        </w:tabs>
        <w:rPr>
          <w:noProof/>
          <w:lang w:val="it-IT"/>
        </w:rPr>
      </w:pPr>
      <w:r>
        <w:rPr>
          <w:noProof/>
          <w:lang w:val="it-IT"/>
        </w:rPr>
        <w:t xml:space="preserve">In uno studio in pazienti con AR, i livelli di simvastatina (CYP3A4) si sono ridotti del 57% una settimana dopo la somministrazione di una dose singola di tocilizumab, a livelli simili, o lievemente superiori, a quelli osservati nei volontari sani. </w:t>
      </w:r>
    </w:p>
    <w:p>
      <w:pPr>
        <w:tabs>
          <w:tab w:val="left" w:pos="180"/>
        </w:tabs>
        <w:rPr>
          <w:noProof/>
          <w:lang w:val="it-IT"/>
        </w:rPr>
      </w:pPr>
    </w:p>
    <w:p>
      <w:pPr>
        <w:tabs>
          <w:tab w:val="left" w:pos="180"/>
        </w:tabs>
        <w:rPr>
          <w:rFonts w:eastAsia="SimSun"/>
          <w:noProof/>
          <w:lang w:val="it-IT"/>
        </w:rPr>
      </w:pPr>
      <w:r>
        <w:rPr>
          <w:noProof/>
          <w:lang w:val="it-IT"/>
        </w:rPr>
        <w:t xml:space="preserve">Quando si inizia o si interrompe la terapia con tocilizumab, i pazienti in trattamento con medicinali il cui dosaggio deve essere aggiustato su base individuale e che sono metabolizzati mediante CYP450 3A4, 1A2 o 2C9 (quali metilprednisolone, desametasone, (con la possibilità della sindrome da sospensione del glucocorticoide orale), atorvastatina, bloccanti dei canali del calcio, teofillina, warfarin, fenprocumone, fenitoina, ciclosporina o benzodiazepine) devono essere monitorati, poiché può essere necessario un incremento della dose per mantenere l’effetto terapeutico. In considerazione della sua lunga emivita </w:t>
      </w:r>
      <w:r>
        <w:rPr>
          <w:iCs/>
          <w:noProof/>
          <w:lang w:val="it-IT"/>
        </w:rPr>
        <w:t>(t</w:t>
      </w:r>
      <w:r>
        <w:rPr>
          <w:iCs/>
          <w:noProof/>
          <w:vertAlign w:val="subscript"/>
          <w:lang w:val="it-IT"/>
        </w:rPr>
        <w:t>1/2</w:t>
      </w:r>
      <w:r>
        <w:rPr>
          <w:iCs/>
          <w:noProof/>
          <w:lang w:val="it-IT"/>
        </w:rPr>
        <w:t>)</w:t>
      </w:r>
      <w:r>
        <w:rPr>
          <w:noProof/>
          <w:lang w:val="it-IT"/>
        </w:rPr>
        <w:t xml:space="preserve"> di eliminazione, l’effetto di tocilizumab sull’attività dell’enzima CYP450 può persistere per diverse settimane dopo l’interruzione della terapia. </w:t>
      </w:r>
    </w:p>
    <w:p>
      <w:pPr>
        <w:tabs>
          <w:tab w:val="left" w:pos="180"/>
        </w:tabs>
        <w:rPr>
          <w:rFonts w:eastAsia="SimSun"/>
          <w:noProof/>
          <w:lang w:val="it-IT" w:eastAsia="zh-CN" w:bidi="th-TH"/>
        </w:rPr>
      </w:pPr>
    </w:p>
    <w:p>
      <w:pPr>
        <w:keepNext/>
        <w:keepLines/>
        <w:tabs>
          <w:tab w:val="left" w:pos="180"/>
        </w:tabs>
        <w:ind w:left="567" w:hanging="567"/>
        <w:outlineLvl w:val="0"/>
        <w:rPr>
          <w:b/>
          <w:noProof/>
          <w:lang w:val="it-IT"/>
        </w:rPr>
      </w:pPr>
      <w:r>
        <w:rPr>
          <w:b/>
          <w:noProof/>
          <w:lang w:val="it-IT"/>
        </w:rPr>
        <w:t>4.6</w:t>
      </w:r>
      <w:r>
        <w:rPr>
          <w:noProof/>
          <w:lang w:val="it-IT"/>
        </w:rPr>
        <w:tab/>
      </w:r>
      <w:r>
        <w:rPr>
          <w:b/>
          <w:noProof/>
          <w:lang w:val="it-IT"/>
        </w:rPr>
        <w:t>Fertilità, gravidanza e allattamento</w:t>
      </w:r>
    </w:p>
    <w:p>
      <w:pPr>
        <w:keepNext/>
        <w:keepLines/>
        <w:tabs>
          <w:tab w:val="left" w:pos="180"/>
        </w:tabs>
        <w:ind w:left="567" w:hanging="567"/>
        <w:outlineLvl w:val="0"/>
        <w:rPr>
          <w:noProof/>
          <w:lang w:val="it-IT"/>
        </w:rPr>
      </w:pPr>
    </w:p>
    <w:p>
      <w:pPr>
        <w:keepNext/>
        <w:keepLines/>
        <w:tabs>
          <w:tab w:val="left" w:pos="180"/>
        </w:tabs>
        <w:ind w:left="567" w:hanging="567"/>
        <w:outlineLvl w:val="0"/>
        <w:rPr>
          <w:iCs/>
          <w:noProof/>
          <w:u w:val="single"/>
          <w:lang w:val="it-IT"/>
        </w:rPr>
      </w:pPr>
      <w:r>
        <w:rPr>
          <w:iCs/>
          <w:noProof/>
          <w:u w:val="single"/>
          <w:lang w:val="it-IT"/>
        </w:rPr>
        <w:t>Donne in età fertile</w:t>
      </w:r>
    </w:p>
    <w:p>
      <w:pPr>
        <w:keepNext/>
        <w:keepLines/>
        <w:tabs>
          <w:tab w:val="left" w:pos="180"/>
        </w:tabs>
        <w:outlineLvl w:val="0"/>
        <w:rPr>
          <w:noProof/>
          <w:lang w:val="it-IT"/>
        </w:rPr>
      </w:pPr>
      <w:r>
        <w:rPr>
          <w:noProof/>
          <w:lang w:val="it-IT"/>
        </w:rPr>
        <w:t>Le donne in età fertile devono fare uso di un contraccettivo efficace durante e fino a 3 mesi dopo il trattamento.</w:t>
      </w:r>
    </w:p>
    <w:p>
      <w:pPr>
        <w:tabs>
          <w:tab w:val="left" w:pos="180"/>
        </w:tabs>
        <w:outlineLvl w:val="0"/>
        <w:rPr>
          <w:iCs/>
          <w:noProof/>
          <w:lang w:val="it-IT"/>
        </w:rPr>
      </w:pPr>
    </w:p>
    <w:p>
      <w:pPr>
        <w:tabs>
          <w:tab w:val="left" w:pos="180"/>
        </w:tabs>
        <w:ind w:left="567" w:hanging="567"/>
        <w:outlineLvl w:val="0"/>
        <w:rPr>
          <w:del w:id="3382" w:author="Author"/>
          <w:noProof/>
          <w:u w:val="single"/>
          <w:lang w:val="it-IT"/>
        </w:rPr>
      </w:pPr>
      <w:r>
        <w:rPr>
          <w:noProof/>
          <w:u w:val="single"/>
          <w:lang w:val="it-IT"/>
        </w:rPr>
        <w:t>Gravidanza</w:t>
      </w:r>
      <w:del w:id="3383" w:author="Author">
        <w:r>
          <w:rPr>
            <w:noProof/>
            <w:u w:val="single"/>
            <w:lang w:val="it-IT"/>
          </w:rPr>
          <w:delText xml:space="preserve"> </w:delText>
        </w:r>
      </w:del>
    </w:p>
    <w:p>
      <w:pPr>
        <w:tabs>
          <w:tab w:val="left" w:pos="180"/>
        </w:tabs>
        <w:ind w:left="567" w:hanging="567"/>
        <w:outlineLvl w:val="0"/>
        <w:rPr>
          <w:noProof/>
          <w:u w:val="single"/>
          <w:lang w:val="it-IT"/>
        </w:rPr>
      </w:pPr>
    </w:p>
    <w:p>
      <w:pPr>
        <w:tabs>
          <w:tab w:val="left" w:pos="180"/>
        </w:tabs>
        <w:rPr>
          <w:noProof/>
          <w:lang w:val="it-IT"/>
        </w:rPr>
      </w:pPr>
      <w:r>
        <w:rPr>
          <w:noProof/>
          <w:lang w:val="it-IT"/>
        </w:rPr>
        <w:t xml:space="preserve">Non vi sono dati adeguati riguardanti l’uso di </w:t>
      </w:r>
      <w:r>
        <w:rPr>
          <w:noProof/>
          <w:szCs w:val="22"/>
          <w:lang w:val="it-IT"/>
        </w:rPr>
        <w:t xml:space="preserve">tocilizumab </w:t>
      </w:r>
      <w:r>
        <w:rPr>
          <w:noProof/>
          <w:lang w:val="it-IT"/>
        </w:rPr>
        <w:t xml:space="preserve">in donne in gravidanza. Uno studio </w:t>
      </w:r>
      <w:ins w:id="3384" w:author="Author">
        <w:del w:id="3385" w:author="Author">
          <w:r>
            <w:rPr>
              <w:noProof/>
              <w:lang w:val="it-IT"/>
            </w:rPr>
            <w:delText xml:space="preserve">pre-clinico </w:delText>
          </w:r>
        </w:del>
      </w:ins>
      <w:r>
        <w:rPr>
          <w:noProof/>
          <w:lang w:val="it-IT"/>
        </w:rPr>
        <w:t xml:space="preserve">condotto su animali ha evidenziato un rischio aumentato di aborto spontaneo/morte embrio-fetale a dosi elevate (vedere paragrafo 5.3). Il rischio potenziale per gli esseri umani non è noto. </w:t>
      </w:r>
    </w:p>
    <w:p>
      <w:pPr>
        <w:tabs>
          <w:tab w:val="left" w:pos="180"/>
        </w:tabs>
        <w:ind w:left="567" w:hanging="567"/>
        <w:outlineLvl w:val="0"/>
        <w:rPr>
          <w:noProof/>
          <w:lang w:val="it-IT"/>
        </w:rPr>
      </w:pPr>
    </w:p>
    <w:p>
      <w:pPr>
        <w:tabs>
          <w:tab w:val="left" w:pos="180"/>
        </w:tabs>
        <w:ind w:left="567" w:hanging="567"/>
        <w:outlineLvl w:val="0"/>
        <w:rPr>
          <w:noProof/>
          <w:lang w:val="it-IT"/>
        </w:rPr>
      </w:pPr>
      <w:r>
        <w:rPr>
          <w:noProof/>
          <w:lang w:val="it-IT"/>
        </w:rPr>
        <w:t>RoActemra non deve essere usato in gravidanza se non in caso di assoluta necessità.</w:t>
      </w:r>
    </w:p>
    <w:p>
      <w:pPr>
        <w:tabs>
          <w:tab w:val="left" w:pos="180"/>
        </w:tabs>
        <w:ind w:left="567" w:hanging="567"/>
        <w:outlineLvl w:val="0"/>
        <w:rPr>
          <w:iCs/>
          <w:noProof/>
          <w:lang w:val="it-IT"/>
        </w:rPr>
      </w:pPr>
    </w:p>
    <w:p>
      <w:pPr>
        <w:tabs>
          <w:tab w:val="left" w:pos="180"/>
        </w:tabs>
        <w:ind w:left="567" w:hanging="567"/>
        <w:outlineLvl w:val="0"/>
        <w:rPr>
          <w:del w:id="3386" w:author="Author"/>
          <w:noProof/>
          <w:u w:val="single"/>
          <w:lang w:val="it-IT"/>
        </w:rPr>
      </w:pPr>
      <w:r>
        <w:rPr>
          <w:noProof/>
          <w:u w:val="single"/>
          <w:lang w:val="it-IT"/>
        </w:rPr>
        <w:t>Allattamento</w:t>
      </w:r>
    </w:p>
    <w:p>
      <w:pPr>
        <w:tabs>
          <w:tab w:val="left" w:pos="180"/>
        </w:tabs>
        <w:ind w:left="567" w:hanging="567"/>
        <w:outlineLvl w:val="0"/>
        <w:rPr>
          <w:noProof/>
          <w:u w:val="single"/>
          <w:lang w:val="it-IT"/>
        </w:rPr>
      </w:pPr>
    </w:p>
    <w:p>
      <w:pPr>
        <w:tabs>
          <w:tab w:val="left" w:pos="180"/>
        </w:tabs>
        <w:rPr>
          <w:noProof/>
          <w:lang w:val="it-IT"/>
        </w:rPr>
      </w:pPr>
      <w:r>
        <w:rPr>
          <w:noProof/>
          <w:lang w:val="it-IT"/>
        </w:rPr>
        <w:t xml:space="preserve">Non è noto se tocilizumab sia escreto nel latte materno. L’escrezione di </w:t>
      </w:r>
      <w:r>
        <w:rPr>
          <w:noProof/>
          <w:szCs w:val="22"/>
          <w:lang w:val="it-IT"/>
        </w:rPr>
        <w:t xml:space="preserve">tocilizumab </w:t>
      </w:r>
      <w:r>
        <w:rPr>
          <w:noProof/>
          <w:lang w:val="it-IT"/>
        </w:rPr>
        <w:t>nel latte non è stata studiata negli animali. La decisione di interrompere l’allattamento al seno o di interrompere/astenersi dala terapia con RoActemra deve essere presa tenendo conto</w:t>
      </w:r>
      <w:del w:id="3387" w:author="Author">
        <w:r>
          <w:rPr>
            <w:noProof/>
            <w:lang w:val="it-IT"/>
          </w:rPr>
          <w:delText xml:space="preserve"> </w:delText>
        </w:r>
      </w:del>
      <w:r>
        <w:rPr>
          <w:noProof/>
          <w:lang w:val="it-IT"/>
        </w:rPr>
        <w:t xml:space="preserve"> del beneficio dell’allattamento al seno per il bambino e del beneficio della terapia per la donna.</w:t>
      </w:r>
    </w:p>
    <w:p>
      <w:pPr>
        <w:tabs>
          <w:tab w:val="left" w:pos="180"/>
        </w:tabs>
        <w:rPr>
          <w:noProof/>
          <w:lang w:val="it-IT"/>
        </w:rPr>
      </w:pPr>
    </w:p>
    <w:p>
      <w:pPr>
        <w:tabs>
          <w:tab w:val="left" w:pos="180"/>
        </w:tabs>
        <w:rPr>
          <w:del w:id="3388" w:author="Author"/>
          <w:noProof/>
          <w:szCs w:val="22"/>
          <w:u w:val="single"/>
          <w:lang w:val="it-IT"/>
        </w:rPr>
      </w:pPr>
      <w:r>
        <w:rPr>
          <w:noProof/>
          <w:szCs w:val="22"/>
          <w:u w:val="single"/>
          <w:lang w:val="it-IT"/>
        </w:rPr>
        <w:t>Fertilità</w:t>
      </w:r>
    </w:p>
    <w:p>
      <w:pPr>
        <w:tabs>
          <w:tab w:val="left" w:pos="180"/>
        </w:tabs>
        <w:rPr>
          <w:noProof/>
          <w:szCs w:val="22"/>
          <w:lang w:val="it-IT"/>
        </w:rPr>
      </w:pPr>
    </w:p>
    <w:p>
      <w:pPr>
        <w:tabs>
          <w:tab w:val="left" w:pos="180"/>
        </w:tabs>
        <w:rPr>
          <w:noProof/>
          <w:lang w:val="it-IT"/>
        </w:rPr>
      </w:pPr>
      <w:r>
        <w:rPr>
          <w:noProof/>
          <w:lang w:val="it-IT"/>
        </w:rPr>
        <w:t xml:space="preserve">I dati non-clinici disponibili non indicano un effetto sulla fertilità del trattamento con </w:t>
      </w:r>
      <w:r>
        <w:rPr>
          <w:noProof/>
          <w:szCs w:val="22"/>
          <w:lang w:val="it-IT"/>
        </w:rPr>
        <w:t>tocilizumab</w:t>
      </w:r>
      <w:r>
        <w:rPr>
          <w:noProof/>
          <w:lang w:val="it-IT"/>
        </w:rPr>
        <w:t xml:space="preserve">. </w:t>
      </w:r>
    </w:p>
    <w:p>
      <w:pPr>
        <w:tabs>
          <w:tab w:val="left" w:pos="180"/>
        </w:tabs>
        <w:rPr>
          <w:noProof/>
          <w:lang w:val="it-IT"/>
        </w:rPr>
        <w:pPrChange w:id="3389" w:author="Author">
          <w:pPr>
            <w:keepNext/>
            <w:keepLines/>
            <w:tabs>
              <w:tab w:val="left" w:pos="180"/>
            </w:tabs>
          </w:pPr>
        </w:pPrChange>
      </w:pPr>
    </w:p>
    <w:p>
      <w:pPr>
        <w:keepNext/>
        <w:keepLines/>
        <w:tabs>
          <w:tab w:val="left" w:pos="180"/>
        </w:tabs>
        <w:ind w:left="567" w:hanging="567"/>
        <w:outlineLvl w:val="0"/>
        <w:rPr>
          <w:noProof/>
          <w:lang w:val="it-IT"/>
        </w:rPr>
      </w:pPr>
      <w:r>
        <w:rPr>
          <w:b/>
          <w:noProof/>
          <w:lang w:val="it-IT"/>
        </w:rPr>
        <w:t>4.7</w:t>
      </w:r>
      <w:r>
        <w:rPr>
          <w:noProof/>
          <w:lang w:val="it-IT"/>
        </w:rPr>
        <w:tab/>
      </w:r>
      <w:r>
        <w:rPr>
          <w:b/>
          <w:noProof/>
          <w:lang w:val="it-IT"/>
        </w:rPr>
        <w:t>Effetti sulla capacità di guidare veicoli e sull’uso di macchinari</w:t>
      </w:r>
    </w:p>
    <w:p>
      <w:pPr>
        <w:keepNext/>
        <w:keepLines/>
        <w:tabs>
          <w:tab w:val="left" w:pos="180"/>
        </w:tabs>
        <w:rPr>
          <w:noProof/>
          <w:lang w:val="it-IT"/>
        </w:rPr>
      </w:pPr>
    </w:p>
    <w:p>
      <w:pPr>
        <w:keepNext/>
        <w:keepLines/>
        <w:tabs>
          <w:tab w:val="left" w:pos="180"/>
        </w:tabs>
        <w:rPr>
          <w:noProof/>
          <w:lang w:val="it-IT"/>
        </w:rPr>
      </w:pPr>
      <w:r>
        <w:rPr>
          <w:noProof/>
          <w:lang w:val="it-IT"/>
        </w:rPr>
        <w:t>RoActemra altera lievemente la capacità di guidare veicoli e di usare macchinari, es. capogiri (vedere paragrafo 4.8).</w:t>
      </w:r>
    </w:p>
    <w:p>
      <w:pPr>
        <w:tabs>
          <w:tab w:val="left" w:pos="180"/>
        </w:tabs>
        <w:rPr>
          <w:noProof/>
          <w:lang w:val="it-IT"/>
        </w:rPr>
      </w:pPr>
    </w:p>
    <w:p>
      <w:pPr>
        <w:keepNext/>
        <w:tabs>
          <w:tab w:val="left" w:pos="180"/>
        </w:tabs>
        <w:ind w:left="567" w:hanging="567"/>
        <w:outlineLvl w:val="0"/>
        <w:rPr>
          <w:b/>
          <w:noProof/>
          <w:lang w:val="it-IT"/>
        </w:rPr>
      </w:pPr>
      <w:r>
        <w:rPr>
          <w:b/>
          <w:noProof/>
          <w:lang w:val="it-IT"/>
        </w:rPr>
        <w:t>4.8</w:t>
      </w:r>
      <w:r>
        <w:rPr>
          <w:noProof/>
          <w:lang w:val="it-IT"/>
        </w:rPr>
        <w:tab/>
      </w:r>
      <w:r>
        <w:rPr>
          <w:b/>
          <w:noProof/>
          <w:lang w:val="it-IT"/>
        </w:rPr>
        <w:t>Effetti indesiderati</w:t>
      </w:r>
    </w:p>
    <w:p>
      <w:pPr>
        <w:tabs>
          <w:tab w:val="left" w:pos="180"/>
        </w:tabs>
        <w:ind w:left="567" w:hanging="567"/>
        <w:outlineLvl w:val="0"/>
        <w:rPr>
          <w:b/>
          <w:noProof/>
          <w:u w:val="single"/>
          <w:lang w:val="it-IT"/>
        </w:rPr>
      </w:pPr>
    </w:p>
    <w:p>
      <w:pPr>
        <w:tabs>
          <w:tab w:val="left" w:pos="180"/>
        </w:tabs>
        <w:rPr>
          <w:noProof/>
          <w:u w:val="single"/>
          <w:lang w:val="it-IT"/>
        </w:rPr>
      </w:pPr>
      <w:r>
        <w:rPr>
          <w:noProof/>
          <w:u w:val="single"/>
          <w:lang w:val="it-IT"/>
        </w:rPr>
        <w:t>Riassunto del profilo di sicurezza</w:t>
      </w:r>
    </w:p>
    <w:p>
      <w:pPr>
        <w:tabs>
          <w:tab w:val="left" w:pos="180"/>
        </w:tabs>
        <w:rPr>
          <w:noProof/>
          <w:u w:val="single"/>
          <w:lang w:val="it-IT"/>
        </w:rPr>
      </w:pPr>
      <w:r>
        <w:rPr>
          <w:noProof/>
          <w:lang w:val="it-IT"/>
        </w:rPr>
        <w:t>Il profilo di sicurezza deriva dai 4</w:t>
      </w:r>
      <w:ins w:id="3390" w:author="Author">
        <w:r>
          <w:rPr>
            <w:noProof/>
            <w:lang w:val="it-IT"/>
          </w:rPr>
          <w:t> </w:t>
        </w:r>
      </w:ins>
      <w:r>
        <w:rPr>
          <w:noProof/>
          <w:lang w:val="it-IT"/>
        </w:rPr>
        <w:t xml:space="preserve">510 pazienti esposti a </w:t>
      </w:r>
      <w:r>
        <w:rPr>
          <w:noProof/>
          <w:szCs w:val="22"/>
          <w:lang w:val="it-IT"/>
        </w:rPr>
        <w:t>tocilizumab negli studi clinici; la maggior parte di questi pazienti ha preso parte a studi sulla AR dell’adulto (n = 4</w:t>
      </w:r>
      <w:ins w:id="3391" w:author="Author">
        <w:r>
          <w:rPr>
            <w:noProof/>
            <w:szCs w:val="22"/>
            <w:lang w:val="it-IT"/>
          </w:rPr>
          <w:t> </w:t>
        </w:r>
      </w:ins>
      <w:r>
        <w:rPr>
          <w:noProof/>
          <w:szCs w:val="22"/>
          <w:lang w:val="it-IT"/>
        </w:rPr>
        <w:t>009), mentre i restanti dati derivano da studi sulla ACG (n = 149), sull’AIG</w:t>
      </w:r>
      <w:r>
        <w:rPr>
          <w:noProof/>
          <w:lang w:val="it-IT" w:eastAsia="de-DE"/>
        </w:rPr>
        <w:t>p (n</w:t>
      </w:r>
      <w:r>
        <w:rPr>
          <w:noProof/>
          <w:szCs w:val="22"/>
          <w:lang w:val="it-IT"/>
        </w:rPr>
        <w:t> </w:t>
      </w:r>
      <w:r>
        <w:rPr>
          <w:noProof/>
          <w:lang w:val="it-IT" w:eastAsia="de-DE"/>
        </w:rPr>
        <w:t>=</w:t>
      </w:r>
      <w:r>
        <w:rPr>
          <w:noProof/>
          <w:szCs w:val="22"/>
          <w:lang w:val="it-IT"/>
        </w:rPr>
        <w:t> </w:t>
      </w:r>
      <w:r>
        <w:rPr>
          <w:noProof/>
          <w:lang w:val="it-IT" w:eastAsia="de-DE"/>
        </w:rPr>
        <w:t>240) e sull’AIGs (n</w:t>
      </w:r>
      <w:r>
        <w:rPr>
          <w:noProof/>
          <w:szCs w:val="22"/>
          <w:lang w:val="it-IT"/>
        </w:rPr>
        <w:t> </w:t>
      </w:r>
      <w:r>
        <w:rPr>
          <w:noProof/>
          <w:lang w:val="it-IT" w:eastAsia="de-DE"/>
        </w:rPr>
        <w:t>=</w:t>
      </w:r>
      <w:r>
        <w:rPr>
          <w:noProof/>
          <w:szCs w:val="22"/>
          <w:lang w:val="it-IT"/>
        </w:rPr>
        <w:t> </w:t>
      </w:r>
      <w:r>
        <w:rPr>
          <w:noProof/>
          <w:lang w:val="it-IT" w:eastAsia="de-DE"/>
        </w:rPr>
        <w:t>112)</w:t>
      </w:r>
      <w:r>
        <w:rPr>
          <w:noProof/>
          <w:szCs w:val="22"/>
          <w:lang w:val="it-IT"/>
        </w:rPr>
        <w:t>. Il profilo di sicurezza di tocilizumab in queste due indicazioni si conferma simile e indifferenziato.</w:t>
      </w:r>
    </w:p>
    <w:p>
      <w:pPr>
        <w:tabs>
          <w:tab w:val="left" w:pos="180"/>
        </w:tabs>
        <w:rPr>
          <w:noProof/>
          <w:u w:val="single"/>
          <w:lang w:val="it-IT"/>
        </w:rPr>
      </w:pPr>
    </w:p>
    <w:p>
      <w:pPr>
        <w:tabs>
          <w:tab w:val="left" w:pos="180"/>
        </w:tabs>
        <w:rPr>
          <w:noProof/>
          <w:lang w:val="it-IT"/>
        </w:rPr>
      </w:pPr>
      <w:r>
        <w:rPr>
          <w:noProof/>
          <w:lang w:val="it-IT"/>
        </w:rPr>
        <w:lastRenderedPageBreak/>
        <w:t>Le reazioni avverse più comunemente riportate sono state infezioni alle vie aeree superiori, nasofaringite, cefalea, ipertensione e aumenti dell’ALT.</w:t>
      </w:r>
    </w:p>
    <w:p>
      <w:pPr>
        <w:tabs>
          <w:tab w:val="left" w:pos="180"/>
        </w:tabs>
        <w:ind w:left="567" w:hanging="567"/>
        <w:outlineLvl w:val="0"/>
        <w:rPr>
          <w:noProof/>
          <w:lang w:val="it-IT"/>
        </w:rPr>
      </w:pPr>
    </w:p>
    <w:p>
      <w:pPr>
        <w:tabs>
          <w:tab w:val="left" w:pos="180"/>
        </w:tabs>
        <w:outlineLvl w:val="0"/>
        <w:rPr>
          <w:noProof/>
          <w:szCs w:val="22"/>
          <w:lang w:val="it-IT"/>
        </w:rPr>
      </w:pPr>
      <w:r>
        <w:rPr>
          <w:noProof/>
          <w:szCs w:val="22"/>
          <w:lang w:val="it-IT"/>
        </w:rPr>
        <w:t xml:space="preserve">Le </w:t>
      </w:r>
      <w:del w:id="3392" w:author="Author">
        <w:r>
          <w:rPr>
            <w:noProof/>
            <w:szCs w:val="22"/>
            <w:lang w:val="it-IT"/>
          </w:rPr>
          <w:delText xml:space="preserve">più gravi </w:delText>
        </w:r>
      </w:del>
      <w:r>
        <w:rPr>
          <w:noProof/>
          <w:szCs w:val="22"/>
          <w:lang w:val="it-IT"/>
        </w:rPr>
        <w:t xml:space="preserve">reazioni avverse </w:t>
      </w:r>
      <w:ins w:id="3393" w:author="Author">
        <w:r>
          <w:rPr>
            <w:noProof/>
            <w:szCs w:val="22"/>
            <w:lang w:val="it-IT"/>
          </w:rPr>
          <w:t xml:space="preserve">più gravi </w:t>
        </w:r>
      </w:ins>
      <w:r>
        <w:rPr>
          <w:noProof/>
          <w:szCs w:val="22"/>
          <w:lang w:val="it-IT"/>
        </w:rPr>
        <w:t xml:space="preserve">sono state infezioni gravi, complicanze della diverticolite e reazioni di </w:t>
      </w:r>
      <w:r>
        <w:rPr>
          <w:noProof/>
          <w:szCs w:val="22"/>
          <w:shd w:val="clear" w:color="auto" w:fill="FFFFFF"/>
          <w:lang w:val="it-IT"/>
        </w:rPr>
        <w:t>ipersensibilità.</w:t>
      </w:r>
    </w:p>
    <w:p>
      <w:pPr>
        <w:tabs>
          <w:tab w:val="left" w:pos="180"/>
        </w:tabs>
        <w:ind w:left="567" w:hanging="567"/>
        <w:outlineLvl w:val="0"/>
        <w:rPr>
          <w:b/>
          <w:noProof/>
          <w:lang w:val="it-IT"/>
        </w:rPr>
      </w:pPr>
    </w:p>
    <w:p>
      <w:pPr>
        <w:keepNext/>
        <w:keepLines/>
        <w:tabs>
          <w:tab w:val="left" w:pos="180"/>
        </w:tabs>
        <w:rPr>
          <w:del w:id="3394" w:author="Author"/>
          <w:noProof/>
          <w:u w:val="single"/>
          <w:lang w:val="it-IT"/>
        </w:rPr>
      </w:pPr>
      <w:del w:id="3395" w:author="Author">
        <w:r>
          <w:rPr>
            <w:noProof/>
            <w:u w:val="single"/>
            <w:lang w:val="it-IT"/>
          </w:rPr>
          <w:delText>Elenco in forma t</w:delText>
        </w:r>
      </w:del>
      <w:ins w:id="3396" w:author="Author">
        <w:r>
          <w:rPr>
            <w:noProof/>
            <w:u w:val="single"/>
            <w:lang w:val="it-IT"/>
          </w:rPr>
          <w:t>T</w:t>
        </w:r>
      </w:ins>
      <w:r>
        <w:rPr>
          <w:noProof/>
          <w:u w:val="single"/>
          <w:lang w:val="it-IT"/>
        </w:rPr>
        <w:t>abella</w:t>
      </w:r>
      <w:del w:id="3397" w:author="Author">
        <w:r>
          <w:rPr>
            <w:noProof/>
            <w:u w:val="single"/>
            <w:lang w:val="it-IT"/>
          </w:rPr>
          <w:delText>re</w:delText>
        </w:r>
      </w:del>
      <w:r>
        <w:rPr>
          <w:noProof/>
          <w:u w:val="single"/>
          <w:lang w:val="it-IT"/>
        </w:rPr>
        <w:t xml:space="preserve"> delle reazioni avverse</w:t>
      </w:r>
    </w:p>
    <w:p>
      <w:pPr>
        <w:keepNext/>
        <w:keepLines/>
        <w:tabs>
          <w:tab w:val="left" w:pos="180"/>
        </w:tabs>
        <w:rPr>
          <w:noProof/>
          <w:u w:val="single"/>
          <w:lang w:val="it-IT"/>
        </w:rPr>
      </w:pPr>
    </w:p>
    <w:p>
      <w:pPr>
        <w:keepNext/>
        <w:keepLines/>
        <w:tabs>
          <w:tab w:val="left" w:pos="180"/>
        </w:tabs>
        <w:rPr>
          <w:noProof/>
          <w:lang w:val="it-IT"/>
        </w:rPr>
      </w:pPr>
      <w:r>
        <w:rPr>
          <w:noProof/>
          <w:lang w:val="it-IT"/>
        </w:rPr>
        <w:t xml:space="preserve">Le reazioni avverse </w:t>
      </w:r>
      <w:r>
        <w:rPr>
          <w:noProof/>
          <w:szCs w:val="22"/>
          <w:lang w:val="it-IT"/>
        </w:rPr>
        <w:t xml:space="preserve">osservate con RoActemra nelle sperimentazioni cliniche e/o nell’esperienza post-marketing basate su segnalazioni spontanee, casi in letteratura e casi tratti da programmi di studi non interventistici sono </w:t>
      </w:r>
      <w:r>
        <w:rPr>
          <w:noProof/>
          <w:lang w:val="it-IT"/>
        </w:rPr>
        <w:t>elencate nella Tabella 1 e presentate</w:t>
      </w:r>
      <w:del w:id="3398" w:author="Author">
        <w:r>
          <w:rPr>
            <w:noProof/>
            <w:lang w:val="it-IT"/>
          </w:rPr>
          <w:delText xml:space="preserve"> </w:delText>
        </w:r>
      </w:del>
      <w:r>
        <w:rPr>
          <w:noProof/>
          <w:lang w:val="it-IT"/>
        </w:rPr>
        <w:t xml:space="preserve"> in base alla classificazione per sistemi ed organi secondo MedDRA. </w:t>
      </w:r>
      <w:del w:id="3399" w:author="Author">
        <w:r>
          <w:rPr>
            <w:noProof/>
            <w:lang w:val="it-IT"/>
          </w:rPr>
          <w:delText xml:space="preserve">La </w:delText>
        </w:r>
      </w:del>
      <w:ins w:id="3400" w:author="Author">
        <w:r>
          <w:rPr>
            <w:noProof/>
            <w:lang w:val="it-IT"/>
          </w:rPr>
          <w:t xml:space="preserve">Ciascuna </w:t>
        </w:r>
      </w:ins>
      <w:r>
        <w:rPr>
          <w:noProof/>
          <w:lang w:val="it-IT"/>
        </w:rPr>
        <w:t xml:space="preserve">categoria di frequenza </w:t>
      </w:r>
      <w:del w:id="3401" w:author="Author">
        <w:r>
          <w:rPr>
            <w:noProof/>
            <w:szCs w:val="22"/>
            <w:lang w:val="it-IT"/>
          </w:rPr>
          <w:delText xml:space="preserve">corrispondente di ogni ADR </w:delText>
        </w:r>
      </w:del>
      <w:r>
        <w:rPr>
          <w:noProof/>
          <w:szCs w:val="22"/>
          <w:lang w:val="it-IT"/>
        </w:rPr>
        <w:t>si basa</w:t>
      </w:r>
      <w:r>
        <w:rPr>
          <w:noProof/>
          <w:lang w:val="it-IT"/>
        </w:rPr>
        <w:t xml:space="preserve"> sulla seguente convenzione: molto comune (≥1/10), comune (≥1/100</w:t>
      </w:r>
      <w:del w:id="3402" w:author="Author">
        <w:r>
          <w:rPr>
            <w:noProof/>
            <w:lang w:val="it-IT"/>
          </w:rPr>
          <w:delText xml:space="preserve"> </w:delText>
        </w:r>
      </w:del>
      <w:r>
        <w:rPr>
          <w:noProof/>
          <w:lang w:val="it-IT"/>
        </w:rPr>
        <w:t xml:space="preserve">, </w:t>
      </w:r>
      <w:r>
        <w:rPr>
          <w:noProof/>
          <w:lang w:val="it-IT"/>
        </w:rPr>
        <w:sym w:font="Symbol" w:char="F03C"/>
      </w:r>
      <w:r>
        <w:rPr>
          <w:noProof/>
          <w:lang w:val="it-IT"/>
        </w:rPr>
        <w:t>1/10), non comune (≥ 1/1</w:t>
      </w:r>
      <w:ins w:id="3403" w:author="Author">
        <w:r>
          <w:rPr>
            <w:noProof/>
            <w:lang w:val="it-IT"/>
          </w:rPr>
          <w:t> </w:t>
        </w:r>
      </w:ins>
      <w:del w:id="3404" w:author="Author">
        <w:r>
          <w:rPr>
            <w:noProof/>
            <w:lang w:val="it-IT"/>
          </w:rPr>
          <w:delText>.</w:delText>
        </w:r>
      </w:del>
      <w:r>
        <w:rPr>
          <w:noProof/>
          <w:lang w:val="it-IT"/>
        </w:rPr>
        <w:t>000</w:t>
      </w:r>
      <w:del w:id="3405" w:author="Author">
        <w:r>
          <w:rPr>
            <w:noProof/>
            <w:lang w:val="it-IT"/>
          </w:rPr>
          <w:delText xml:space="preserve"> </w:delText>
        </w:r>
      </w:del>
      <w:r>
        <w:rPr>
          <w:noProof/>
          <w:lang w:val="it-IT"/>
        </w:rPr>
        <w:t xml:space="preserve">, </w:t>
      </w:r>
      <w:r>
        <w:rPr>
          <w:noProof/>
          <w:lang w:val="it-IT"/>
        </w:rPr>
        <w:sym w:font="Symbol" w:char="F03C"/>
      </w:r>
      <w:r>
        <w:rPr>
          <w:noProof/>
          <w:lang w:val="it-IT"/>
        </w:rPr>
        <w:t>1/100), raro (</w:t>
      </w:r>
      <w:del w:id="3406" w:author="Author">
        <w:r>
          <w:rPr>
            <w:noProof/>
            <w:lang w:val="it-IT"/>
          </w:rPr>
          <w:delText xml:space="preserve"> </w:delText>
        </w:r>
      </w:del>
      <w:r>
        <w:rPr>
          <w:noProof/>
          <w:lang w:val="it-IT"/>
        </w:rPr>
        <w:t>≥1/10</w:t>
      </w:r>
      <w:del w:id="3407" w:author="Author">
        <w:r>
          <w:rPr>
            <w:noProof/>
            <w:lang w:val="it-IT"/>
          </w:rPr>
          <w:delText>.</w:delText>
        </w:r>
      </w:del>
      <w:ins w:id="3408" w:author="Author">
        <w:r>
          <w:rPr>
            <w:noProof/>
            <w:lang w:val="it-IT"/>
          </w:rPr>
          <w:t> </w:t>
        </w:r>
      </w:ins>
      <w:r>
        <w:rPr>
          <w:noProof/>
          <w:lang w:val="it-IT"/>
        </w:rPr>
        <w:t>000</w:t>
      </w:r>
      <w:del w:id="3409" w:author="Author">
        <w:r>
          <w:rPr>
            <w:noProof/>
            <w:lang w:val="it-IT"/>
          </w:rPr>
          <w:delText xml:space="preserve"> </w:delText>
        </w:r>
      </w:del>
      <w:r>
        <w:rPr>
          <w:noProof/>
          <w:lang w:val="it-IT"/>
        </w:rPr>
        <w:t xml:space="preserve">, </w:t>
      </w:r>
      <w:r>
        <w:rPr>
          <w:noProof/>
          <w:lang w:val="it-IT"/>
        </w:rPr>
        <w:sym w:font="Symbol" w:char="F03C"/>
      </w:r>
      <w:r>
        <w:rPr>
          <w:noProof/>
          <w:lang w:val="it-IT"/>
        </w:rPr>
        <w:t>1/1</w:t>
      </w:r>
      <w:del w:id="3410" w:author="Author">
        <w:r>
          <w:rPr>
            <w:noProof/>
            <w:lang w:val="it-IT"/>
          </w:rPr>
          <w:delText>.</w:delText>
        </w:r>
      </w:del>
      <w:ins w:id="3411" w:author="Author">
        <w:r>
          <w:rPr>
            <w:noProof/>
            <w:lang w:val="it-IT"/>
          </w:rPr>
          <w:t> </w:t>
        </w:r>
      </w:ins>
      <w:r>
        <w:rPr>
          <w:noProof/>
          <w:lang w:val="it-IT"/>
        </w:rPr>
        <w:t>000) o molto raro (</w:t>
      </w:r>
      <w:r>
        <w:rPr>
          <w:noProof/>
          <w:lang w:val="it-IT"/>
        </w:rPr>
        <w:sym w:font="Symbol" w:char="F03C"/>
      </w:r>
      <w:r>
        <w:rPr>
          <w:noProof/>
          <w:lang w:val="it-IT"/>
        </w:rPr>
        <w:t xml:space="preserve"> 1/10</w:t>
      </w:r>
      <w:del w:id="3412" w:author="Author">
        <w:r>
          <w:rPr>
            <w:noProof/>
            <w:lang w:val="it-IT"/>
          </w:rPr>
          <w:delText>.</w:delText>
        </w:r>
      </w:del>
      <w:ins w:id="3413" w:author="Author">
        <w:r>
          <w:rPr>
            <w:noProof/>
            <w:lang w:val="it-IT"/>
          </w:rPr>
          <w:t> </w:t>
        </w:r>
      </w:ins>
      <w:r>
        <w:rPr>
          <w:noProof/>
          <w:lang w:val="it-IT"/>
        </w:rPr>
        <w:t xml:space="preserve">000) </w:t>
      </w:r>
      <w:r>
        <w:rPr>
          <w:noProof/>
          <w:szCs w:val="22"/>
          <w:lang w:val="it-IT"/>
        </w:rPr>
        <w:t xml:space="preserve">e </w:t>
      </w:r>
      <w:r>
        <w:rPr>
          <w:noProof/>
          <w:lang w:val="it-IT"/>
        </w:rPr>
        <w:t>non nota (la frequenza non pu</w:t>
      </w:r>
      <w:r>
        <w:rPr>
          <w:bCs/>
          <w:noProof/>
          <w:lang w:val="it-IT"/>
        </w:rPr>
        <w:t>ò</w:t>
      </w:r>
      <w:r>
        <w:rPr>
          <w:noProof/>
          <w:lang w:val="it-IT"/>
        </w:rPr>
        <w:t xml:space="preserve"> essere definita sulla base dei dati disponibili). All’interno di ciascuna classe di frequenza, gli effetti indesiderati sono riportati in ordine decrescente di gravità.</w:t>
      </w:r>
    </w:p>
    <w:p>
      <w:pPr>
        <w:tabs>
          <w:tab w:val="left" w:pos="180"/>
        </w:tabs>
        <w:rPr>
          <w:noProof/>
          <w:lang w:val="it-IT"/>
        </w:rPr>
      </w:pPr>
    </w:p>
    <w:p>
      <w:pPr>
        <w:keepNext/>
        <w:keepLines/>
        <w:widowControl w:val="0"/>
        <w:tabs>
          <w:tab w:val="left" w:pos="180"/>
        </w:tabs>
        <w:rPr>
          <w:i/>
          <w:noProof/>
          <w:lang w:val="it-IT"/>
        </w:rPr>
      </w:pPr>
      <w:r>
        <w:rPr>
          <w:i/>
          <w:noProof/>
          <w:lang w:val="it-IT"/>
        </w:rPr>
        <w:t xml:space="preserve">Tabella 1. </w:t>
      </w:r>
      <w:del w:id="3414" w:author="Author">
        <w:r>
          <w:rPr>
            <w:i/>
            <w:noProof/>
            <w:lang w:val="it-IT"/>
          </w:rPr>
          <w:delText xml:space="preserve">Sintesi </w:delText>
        </w:r>
      </w:del>
      <w:ins w:id="3415" w:author="Author">
        <w:r>
          <w:rPr>
            <w:i/>
            <w:noProof/>
            <w:lang w:val="it-IT"/>
          </w:rPr>
          <w:t xml:space="preserve">Elenco </w:t>
        </w:r>
      </w:ins>
      <w:r>
        <w:rPr>
          <w:i/>
          <w:noProof/>
          <w:lang w:val="it-IT"/>
        </w:rPr>
        <w:t xml:space="preserve">delle reazioni avverse verificatesi nei pazienti trattati con </w:t>
      </w:r>
      <w:r>
        <w:rPr>
          <w:i/>
          <w:noProof/>
          <w:szCs w:val="22"/>
          <w:lang w:val="it-IT"/>
        </w:rPr>
        <w:t>tocilizumab</w:t>
      </w:r>
    </w:p>
    <w:p>
      <w:pPr>
        <w:keepNext/>
        <w:keepLines/>
        <w:widowControl w:val="0"/>
        <w:tabs>
          <w:tab w:val="left" w:pos="180"/>
        </w:tabs>
        <w:rPr>
          <w:i/>
          <w:noProof/>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675"/>
        <w:gridCol w:w="1848"/>
        <w:gridCol w:w="1716"/>
        <w:gridCol w:w="1685"/>
        <w:gridCol w:w="1022"/>
        <w:gridCol w:w="1115"/>
        <w:tblGridChange w:id="3416">
          <w:tblGrid>
            <w:gridCol w:w="1674"/>
            <w:gridCol w:w="1"/>
            <w:gridCol w:w="1847"/>
            <w:gridCol w:w="1"/>
            <w:gridCol w:w="1715"/>
            <w:gridCol w:w="1"/>
            <w:gridCol w:w="1844"/>
            <w:gridCol w:w="1"/>
            <w:gridCol w:w="862"/>
            <w:gridCol w:w="272"/>
            <w:gridCol w:w="843"/>
          </w:tblGrid>
        </w:tblGridChange>
      </w:tblGrid>
      <w:tr>
        <w:trPr>
          <w:cantSplit/>
          <w:tblHeader/>
        </w:trPr>
        <w:tc>
          <w:tcPr>
            <w:tcW w:w="924" w:type="pct"/>
            <w:vMerge w:val="restart"/>
          </w:tcPr>
          <w:p>
            <w:pPr>
              <w:keepNext/>
              <w:widowControl w:val="0"/>
              <w:tabs>
                <w:tab w:val="left" w:pos="180"/>
              </w:tabs>
              <w:suppressAutoHyphens/>
              <w:rPr>
                <w:b/>
                <w:noProof/>
                <w:sz w:val="20"/>
                <w:lang w:val="it-IT"/>
                <w:rPrChange w:id="3417" w:author="Author">
                  <w:rPr>
                    <w:b/>
                    <w:sz w:val="21"/>
                    <w:szCs w:val="21"/>
                    <w:lang w:val="it-IT"/>
                  </w:rPr>
                </w:rPrChange>
              </w:rPr>
              <w:pPrChange w:id="3418" w:author="Author">
                <w:pPr>
                  <w:widowControl w:val="0"/>
                  <w:tabs>
                    <w:tab w:val="left" w:pos="180"/>
                  </w:tabs>
                  <w:spacing w:line="220" w:lineRule="exact"/>
                  <w:jc w:val="center"/>
                </w:pPr>
              </w:pPrChange>
            </w:pPr>
            <w:r>
              <w:rPr>
                <w:b/>
                <w:noProof/>
                <w:sz w:val="20"/>
                <w:lang w:val="it-IT"/>
                <w:rPrChange w:id="3419" w:author="Author">
                  <w:rPr>
                    <w:b/>
                    <w:sz w:val="21"/>
                    <w:szCs w:val="21"/>
                    <w:lang w:val="it-IT"/>
                  </w:rPr>
                </w:rPrChange>
              </w:rPr>
              <w:t>SOC</w:t>
            </w:r>
            <w:del w:id="3420" w:author="Author">
              <w:r>
                <w:rPr>
                  <w:b/>
                  <w:noProof/>
                  <w:sz w:val="20"/>
                  <w:lang w:val="it-IT"/>
                  <w:rPrChange w:id="3421" w:author="Author">
                    <w:rPr>
                      <w:b/>
                      <w:sz w:val="21"/>
                      <w:szCs w:val="21"/>
                      <w:lang w:val="it-IT"/>
                    </w:rPr>
                  </w:rPrChange>
                </w:rPr>
                <w:delText xml:space="preserve"> </w:delText>
              </w:r>
            </w:del>
            <w:r>
              <w:rPr>
                <w:b/>
                <w:noProof/>
                <w:sz w:val="20"/>
                <w:lang w:val="it-IT"/>
                <w:rPrChange w:id="3422" w:author="Author">
                  <w:rPr>
                    <w:b/>
                    <w:sz w:val="21"/>
                    <w:szCs w:val="21"/>
                    <w:lang w:val="it-IT"/>
                  </w:rPr>
                </w:rPrChange>
              </w:rPr>
              <w:t xml:space="preserve"> MedDRA</w:t>
            </w:r>
          </w:p>
        </w:tc>
        <w:tc>
          <w:tcPr>
            <w:tcW w:w="4076" w:type="pct"/>
            <w:gridSpan w:val="5"/>
          </w:tcPr>
          <w:p>
            <w:pPr>
              <w:keepNext/>
              <w:widowControl w:val="0"/>
              <w:tabs>
                <w:tab w:val="left" w:pos="180"/>
              </w:tabs>
              <w:suppressAutoHyphens/>
              <w:jc w:val="center"/>
              <w:rPr>
                <w:b/>
                <w:noProof/>
                <w:sz w:val="20"/>
                <w:lang w:val="it-IT"/>
                <w:rPrChange w:id="3423" w:author="Author">
                  <w:rPr>
                    <w:b/>
                    <w:sz w:val="21"/>
                    <w:szCs w:val="21"/>
                    <w:lang w:val="it-IT"/>
                  </w:rPr>
                </w:rPrChange>
              </w:rPr>
              <w:pPrChange w:id="3424" w:author="Author">
                <w:pPr>
                  <w:widowControl w:val="0"/>
                  <w:tabs>
                    <w:tab w:val="left" w:pos="180"/>
                  </w:tabs>
                  <w:spacing w:line="220" w:lineRule="exact"/>
                  <w:jc w:val="center"/>
                </w:pPr>
              </w:pPrChange>
            </w:pPr>
            <w:r>
              <w:rPr>
                <w:b/>
                <w:noProof/>
                <w:sz w:val="20"/>
                <w:lang w:val="it-IT"/>
                <w:rPrChange w:id="3425" w:author="Author">
                  <w:rPr>
                    <w:b/>
                    <w:sz w:val="21"/>
                    <w:szCs w:val="21"/>
                    <w:lang w:val="it-IT"/>
                  </w:rPr>
                </w:rPrChange>
              </w:rPr>
              <w:t>Categori</w:t>
            </w:r>
            <w:ins w:id="3426" w:author="Author">
              <w:r>
                <w:rPr>
                  <w:b/>
                  <w:noProof/>
                  <w:sz w:val="20"/>
                  <w:lang w:val="it-IT"/>
                  <w:rPrChange w:id="3427" w:author="Author">
                    <w:rPr>
                      <w:b/>
                      <w:sz w:val="21"/>
                      <w:szCs w:val="21"/>
                      <w:lang w:val="it-IT"/>
                    </w:rPr>
                  </w:rPrChange>
                </w:rPr>
                <w:t>a</w:t>
              </w:r>
            </w:ins>
            <w:del w:id="3428" w:author="Author">
              <w:r>
                <w:rPr>
                  <w:b/>
                  <w:noProof/>
                  <w:sz w:val="20"/>
                  <w:lang w:val="it-IT"/>
                  <w:rPrChange w:id="3429" w:author="Author">
                    <w:rPr>
                      <w:b/>
                      <w:sz w:val="21"/>
                      <w:szCs w:val="21"/>
                      <w:lang w:val="it-IT"/>
                    </w:rPr>
                  </w:rPrChange>
                </w:rPr>
                <w:delText>e</w:delText>
              </w:r>
            </w:del>
            <w:r>
              <w:rPr>
                <w:b/>
                <w:noProof/>
                <w:sz w:val="20"/>
                <w:lang w:val="it-IT"/>
                <w:rPrChange w:id="3430" w:author="Author">
                  <w:rPr>
                    <w:b/>
                    <w:sz w:val="21"/>
                    <w:szCs w:val="21"/>
                    <w:lang w:val="it-IT"/>
                  </w:rPr>
                </w:rPrChange>
              </w:rPr>
              <w:t xml:space="preserve"> di frequenze con termin</w:t>
            </w:r>
            <w:ins w:id="3431" w:author="Author">
              <w:r>
                <w:rPr>
                  <w:b/>
                  <w:noProof/>
                  <w:sz w:val="20"/>
                  <w:lang w:val="it-IT"/>
                  <w:rPrChange w:id="3432" w:author="Author">
                    <w:rPr>
                      <w:b/>
                      <w:sz w:val="21"/>
                      <w:szCs w:val="21"/>
                      <w:lang w:val="it-IT"/>
                    </w:rPr>
                  </w:rPrChange>
                </w:rPr>
                <w:t>e</w:t>
              </w:r>
            </w:ins>
            <w:del w:id="3433" w:author="Author">
              <w:r>
                <w:rPr>
                  <w:b/>
                  <w:noProof/>
                  <w:sz w:val="20"/>
                  <w:lang w:val="it-IT"/>
                  <w:rPrChange w:id="3434" w:author="Author">
                    <w:rPr>
                      <w:b/>
                      <w:sz w:val="21"/>
                      <w:szCs w:val="21"/>
                      <w:lang w:val="it-IT"/>
                    </w:rPr>
                  </w:rPrChange>
                </w:rPr>
                <w:delText>i</w:delText>
              </w:r>
            </w:del>
            <w:r>
              <w:rPr>
                <w:b/>
                <w:noProof/>
                <w:sz w:val="20"/>
                <w:lang w:val="it-IT"/>
                <w:rPrChange w:id="3435" w:author="Author">
                  <w:rPr>
                    <w:b/>
                    <w:sz w:val="21"/>
                    <w:szCs w:val="21"/>
                    <w:lang w:val="it-IT"/>
                  </w:rPr>
                </w:rPrChange>
              </w:rPr>
              <w:t xml:space="preserve"> preferit</w:t>
            </w:r>
            <w:ins w:id="3436" w:author="Author">
              <w:r>
                <w:rPr>
                  <w:b/>
                  <w:noProof/>
                  <w:sz w:val="20"/>
                  <w:lang w:val="it-IT"/>
                  <w:rPrChange w:id="3437" w:author="Author">
                    <w:rPr>
                      <w:b/>
                      <w:sz w:val="21"/>
                      <w:szCs w:val="21"/>
                      <w:lang w:val="it-IT"/>
                    </w:rPr>
                  </w:rPrChange>
                </w:rPr>
                <w:t>o</w:t>
              </w:r>
            </w:ins>
            <w:del w:id="3438" w:author="Author">
              <w:r>
                <w:rPr>
                  <w:b/>
                  <w:noProof/>
                  <w:sz w:val="20"/>
                  <w:lang w:val="it-IT"/>
                  <w:rPrChange w:id="3439" w:author="Author">
                    <w:rPr>
                      <w:b/>
                      <w:sz w:val="21"/>
                      <w:szCs w:val="21"/>
                      <w:lang w:val="it-IT"/>
                    </w:rPr>
                  </w:rPrChange>
                </w:rPr>
                <w:delText>i</w:delText>
              </w:r>
            </w:del>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Change w:id="3440"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
          </w:tblPrExChange>
        </w:tblPrEx>
        <w:trPr>
          <w:cantSplit/>
          <w:tblHeader/>
          <w:trPrChange w:id="3441" w:author="Author">
            <w:trPr>
              <w:cantSplit/>
              <w:tblHeader/>
            </w:trPr>
          </w:trPrChange>
        </w:trPr>
        <w:tc>
          <w:tcPr>
            <w:tcW w:w="924" w:type="pct"/>
            <w:vMerge/>
            <w:tcPrChange w:id="3442" w:author="Author">
              <w:tcPr>
                <w:tcW w:w="924" w:type="pct"/>
                <w:gridSpan w:val="2"/>
                <w:vMerge/>
              </w:tcPr>
            </w:tcPrChange>
          </w:tcPr>
          <w:p>
            <w:pPr>
              <w:keepNext/>
              <w:widowControl w:val="0"/>
              <w:tabs>
                <w:tab w:val="left" w:pos="180"/>
              </w:tabs>
              <w:suppressAutoHyphens/>
              <w:rPr>
                <w:b/>
                <w:noProof/>
                <w:sz w:val="20"/>
                <w:lang w:val="it-IT"/>
                <w:rPrChange w:id="3443" w:author="Author">
                  <w:rPr>
                    <w:b/>
                    <w:sz w:val="21"/>
                    <w:szCs w:val="21"/>
                    <w:lang w:val="it-IT"/>
                  </w:rPr>
                </w:rPrChange>
              </w:rPr>
              <w:pPrChange w:id="3444" w:author="Author">
                <w:pPr>
                  <w:widowControl w:val="0"/>
                  <w:tabs>
                    <w:tab w:val="left" w:pos="180"/>
                  </w:tabs>
                  <w:spacing w:line="220" w:lineRule="exact"/>
                  <w:jc w:val="center"/>
                </w:pPr>
              </w:pPrChange>
            </w:pPr>
          </w:p>
        </w:tc>
        <w:tc>
          <w:tcPr>
            <w:tcW w:w="1020" w:type="pct"/>
            <w:tcPrChange w:id="3445" w:author="Author">
              <w:tcPr>
                <w:tcW w:w="1020" w:type="pct"/>
                <w:gridSpan w:val="2"/>
              </w:tcPr>
            </w:tcPrChange>
          </w:tcPr>
          <w:p>
            <w:pPr>
              <w:keepNext/>
              <w:widowControl w:val="0"/>
              <w:tabs>
                <w:tab w:val="left" w:pos="180"/>
              </w:tabs>
              <w:suppressAutoHyphens/>
              <w:jc w:val="center"/>
              <w:rPr>
                <w:del w:id="3446" w:author="Author"/>
                <w:b/>
                <w:noProof/>
                <w:sz w:val="20"/>
                <w:lang w:val="it-IT"/>
                <w:rPrChange w:id="3447" w:author="Author">
                  <w:rPr>
                    <w:del w:id="3448" w:author="Author"/>
                    <w:b/>
                    <w:sz w:val="21"/>
                    <w:szCs w:val="21"/>
                    <w:lang w:val="it-IT"/>
                  </w:rPr>
                </w:rPrChange>
              </w:rPr>
              <w:pPrChange w:id="3449" w:author="Author">
                <w:pPr>
                  <w:widowControl w:val="0"/>
                  <w:tabs>
                    <w:tab w:val="left" w:pos="180"/>
                  </w:tabs>
                  <w:spacing w:line="220" w:lineRule="exact"/>
                  <w:jc w:val="center"/>
                </w:pPr>
              </w:pPrChange>
            </w:pPr>
            <w:r>
              <w:rPr>
                <w:b/>
                <w:noProof/>
                <w:sz w:val="20"/>
                <w:lang w:val="it-IT"/>
                <w:rPrChange w:id="3450" w:author="Author">
                  <w:rPr>
                    <w:b/>
                    <w:sz w:val="21"/>
                    <w:szCs w:val="21"/>
                    <w:lang w:val="it-IT"/>
                  </w:rPr>
                </w:rPrChange>
              </w:rPr>
              <w:t>Molto comune</w:t>
            </w:r>
          </w:p>
          <w:p>
            <w:pPr>
              <w:keepNext/>
              <w:widowControl w:val="0"/>
              <w:tabs>
                <w:tab w:val="left" w:pos="180"/>
              </w:tabs>
              <w:suppressAutoHyphens/>
              <w:jc w:val="center"/>
              <w:rPr>
                <w:b/>
                <w:noProof/>
                <w:sz w:val="20"/>
                <w:lang w:val="it-IT"/>
                <w:rPrChange w:id="3451" w:author="Author">
                  <w:rPr>
                    <w:b/>
                    <w:sz w:val="21"/>
                    <w:szCs w:val="21"/>
                    <w:lang w:val="it-IT"/>
                  </w:rPr>
                </w:rPrChange>
              </w:rPr>
              <w:pPrChange w:id="3452" w:author="Author">
                <w:pPr>
                  <w:widowControl w:val="0"/>
                  <w:tabs>
                    <w:tab w:val="left" w:pos="180"/>
                  </w:tabs>
                  <w:spacing w:line="220" w:lineRule="exact"/>
                  <w:jc w:val="center"/>
                </w:pPr>
              </w:pPrChange>
            </w:pPr>
          </w:p>
        </w:tc>
        <w:tc>
          <w:tcPr>
            <w:tcW w:w="947" w:type="pct"/>
            <w:tcPrChange w:id="3453" w:author="Author">
              <w:tcPr>
                <w:tcW w:w="947" w:type="pct"/>
                <w:gridSpan w:val="2"/>
              </w:tcPr>
            </w:tcPrChange>
          </w:tcPr>
          <w:p>
            <w:pPr>
              <w:keepNext/>
              <w:widowControl w:val="0"/>
              <w:tabs>
                <w:tab w:val="left" w:pos="180"/>
              </w:tabs>
              <w:suppressAutoHyphens/>
              <w:jc w:val="center"/>
              <w:rPr>
                <w:del w:id="3454" w:author="Author"/>
                <w:b/>
                <w:noProof/>
                <w:sz w:val="20"/>
                <w:lang w:val="it-IT"/>
                <w:rPrChange w:id="3455" w:author="Author">
                  <w:rPr>
                    <w:del w:id="3456" w:author="Author"/>
                    <w:b/>
                    <w:sz w:val="21"/>
                    <w:szCs w:val="21"/>
                    <w:lang w:val="it-IT"/>
                  </w:rPr>
                </w:rPrChange>
              </w:rPr>
              <w:pPrChange w:id="3457" w:author="Author">
                <w:pPr>
                  <w:widowControl w:val="0"/>
                  <w:tabs>
                    <w:tab w:val="left" w:pos="180"/>
                  </w:tabs>
                  <w:spacing w:line="220" w:lineRule="exact"/>
                  <w:jc w:val="center"/>
                </w:pPr>
              </w:pPrChange>
            </w:pPr>
            <w:r>
              <w:rPr>
                <w:b/>
                <w:noProof/>
                <w:sz w:val="20"/>
                <w:lang w:val="it-IT"/>
                <w:rPrChange w:id="3458" w:author="Author">
                  <w:rPr>
                    <w:b/>
                    <w:sz w:val="21"/>
                    <w:szCs w:val="21"/>
                    <w:lang w:val="it-IT"/>
                  </w:rPr>
                </w:rPrChange>
              </w:rPr>
              <w:t>Comune</w:t>
            </w:r>
          </w:p>
          <w:p>
            <w:pPr>
              <w:keepNext/>
              <w:widowControl w:val="0"/>
              <w:tabs>
                <w:tab w:val="left" w:pos="180"/>
              </w:tabs>
              <w:suppressAutoHyphens/>
              <w:jc w:val="center"/>
              <w:rPr>
                <w:b/>
                <w:noProof/>
                <w:sz w:val="20"/>
                <w:lang w:val="it-IT"/>
                <w:rPrChange w:id="3459" w:author="Author">
                  <w:rPr>
                    <w:b/>
                    <w:sz w:val="21"/>
                    <w:szCs w:val="21"/>
                    <w:lang w:val="it-IT"/>
                  </w:rPr>
                </w:rPrChange>
              </w:rPr>
              <w:pPrChange w:id="3460" w:author="Author">
                <w:pPr>
                  <w:widowControl w:val="0"/>
                  <w:tabs>
                    <w:tab w:val="left" w:pos="180"/>
                  </w:tabs>
                  <w:spacing w:line="220" w:lineRule="exact"/>
                  <w:jc w:val="center"/>
                </w:pPr>
              </w:pPrChange>
            </w:pPr>
          </w:p>
        </w:tc>
        <w:tc>
          <w:tcPr>
            <w:tcW w:w="930" w:type="pct"/>
            <w:tcPrChange w:id="3461" w:author="Author">
              <w:tcPr>
                <w:tcW w:w="1018" w:type="pct"/>
                <w:gridSpan w:val="2"/>
              </w:tcPr>
            </w:tcPrChange>
          </w:tcPr>
          <w:p>
            <w:pPr>
              <w:keepNext/>
              <w:widowControl w:val="0"/>
              <w:tabs>
                <w:tab w:val="left" w:pos="180"/>
              </w:tabs>
              <w:suppressAutoHyphens/>
              <w:jc w:val="center"/>
              <w:rPr>
                <w:del w:id="3462" w:author="Author"/>
                <w:b/>
                <w:noProof/>
                <w:sz w:val="20"/>
                <w:lang w:val="it-IT"/>
                <w:rPrChange w:id="3463" w:author="Author">
                  <w:rPr>
                    <w:del w:id="3464" w:author="Author"/>
                    <w:b/>
                    <w:sz w:val="21"/>
                    <w:szCs w:val="21"/>
                    <w:lang w:val="it-IT"/>
                  </w:rPr>
                </w:rPrChange>
              </w:rPr>
              <w:pPrChange w:id="3465" w:author="Author">
                <w:pPr>
                  <w:widowControl w:val="0"/>
                  <w:tabs>
                    <w:tab w:val="left" w:pos="180"/>
                  </w:tabs>
                  <w:spacing w:line="220" w:lineRule="exact"/>
                  <w:jc w:val="center"/>
                </w:pPr>
              </w:pPrChange>
            </w:pPr>
            <w:r>
              <w:rPr>
                <w:b/>
                <w:noProof/>
                <w:sz w:val="20"/>
                <w:lang w:val="it-IT"/>
                <w:rPrChange w:id="3466" w:author="Author">
                  <w:rPr>
                    <w:b/>
                    <w:sz w:val="21"/>
                    <w:szCs w:val="21"/>
                    <w:lang w:val="it-IT"/>
                  </w:rPr>
                </w:rPrChange>
              </w:rPr>
              <w:t>Non comune</w:t>
            </w:r>
          </w:p>
          <w:p>
            <w:pPr>
              <w:keepNext/>
              <w:widowControl w:val="0"/>
              <w:tabs>
                <w:tab w:val="left" w:pos="180"/>
              </w:tabs>
              <w:suppressAutoHyphens/>
              <w:jc w:val="center"/>
              <w:rPr>
                <w:b/>
                <w:noProof/>
                <w:sz w:val="20"/>
                <w:lang w:val="it-IT"/>
                <w:rPrChange w:id="3467" w:author="Author">
                  <w:rPr>
                    <w:b/>
                    <w:sz w:val="21"/>
                    <w:szCs w:val="21"/>
                    <w:lang w:val="it-IT"/>
                  </w:rPr>
                </w:rPrChange>
              </w:rPr>
              <w:pPrChange w:id="3468" w:author="Author">
                <w:pPr>
                  <w:widowControl w:val="0"/>
                  <w:tabs>
                    <w:tab w:val="left" w:pos="180"/>
                  </w:tabs>
                  <w:spacing w:line="220" w:lineRule="exact"/>
                  <w:jc w:val="center"/>
                </w:pPr>
              </w:pPrChange>
            </w:pPr>
          </w:p>
        </w:tc>
        <w:tc>
          <w:tcPr>
            <w:tcW w:w="564" w:type="pct"/>
            <w:tcPrChange w:id="3469" w:author="Author">
              <w:tcPr>
                <w:tcW w:w="626" w:type="pct"/>
                <w:gridSpan w:val="2"/>
              </w:tcPr>
            </w:tcPrChange>
          </w:tcPr>
          <w:p>
            <w:pPr>
              <w:keepNext/>
              <w:widowControl w:val="0"/>
              <w:tabs>
                <w:tab w:val="left" w:pos="180"/>
              </w:tabs>
              <w:suppressAutoHyphens/>
              <w:jc w:val="center"/>
              <w:rPr>
                <w:del w:id="3470" w:author="Author"/>
                <w:b/>
                <w:noProof/>
                <w:sz w:val="20"/>
                <w:lang w:val="it-IT"/>
                <w:rPrChange w:id="3471" w:author="Author">
                  <w:rPr>
                    <w:del w:id="3472" w:author="Author"/>
                    <w:b/>
                    <w:sz w:val="21"/>
                    <w:szCs w:val="21"/>
                    <w:lang w:val="it-IT"/>
                  </w:rPr>
                </w:rPrChange>
              </w:rPr>
              <w:pPrChange w:id="3473" w:author="Author">
                <w:pPr>
                  <w:widowControl w:val="0"/>
                  <w:tabs>
                    <w:tab w:val="left" w:pos="180"/>
                  </w:tabs>
                  <w:spacing w:line="220" w:lineRule="exact"/>
                  <w:jc w:val="center"/>
                </w:pPr>
              </w:pPrChange>
            </w:pPr>
            <w:r>
              <w:rPr>
                <w:b/>
                <w:noProof/>
                <w:sz w:val="20"/>
                <w:lang w:val="it-IT"/>
                <w:rPrChange w:id="3474" w:author="Author">
                  <w:rPr>
                    <w:b/>
                    <w:sz w:val="21"/>
                    <w:szCs w:val="21"/>
                    <w:lang w:val="it-IT"/>
                  </w:rPr>
                </w:rPrChange>
              </w:rPr>
              <w:t>Raro</w:t>
            </w:r>
          </w:p>
          <w:p>
            <w:pPr>
              <w:keepNext/>
              <w:widowControl w:val="0"/>
              <w:tabs>
                <w:tab w:val="left" w:pos="180"/>
              </w:tabs>
              <w:suppressAutoHyphens/>
              <w:jc w:val="center"/>
              <w:rPr>
                <w:b/>
                <w:noProof/>
                <w:sz w:val="20"/>
                <w:lang w:val="it-IT"/>
                <w:rPrChange w:id="3475" w:author="Author">
                  <w:rPr>
                    <w:b/>
                    <w:sz w:val="21"/>
                    <w:szCs w:val="21"/>
                    <w:lang w:val="it-IT"/>
                  </w:rPr>
                </w:rPrChange>
              </w:rPr>
              <w:pPrChange w:id="3476" w:author="Author">
                <w:pPr>
                  <w:widowControl w:val="0"/>
                  <w:tabs>
                    <w:tab w:val="left" w:pos="180"/>
                  </w:tabs>
                  <w:spacing w:line="220" w:lineRule="exact"/>
                  <w:jc w:val="center"/>
                </w:pPr>
              </w:pPrChange>
            </w:pPr>
          </w:p>
        </w:tc>
        <w:tc>
          <w:tcPr>
            <w:tcW w:w="615" w:type="pct"/>
            <w:tcPrChange w:id="3477" w:author="Author">
              <w:tcPr>
                <w:tcW w:w="466" w:type="pct"/>
              </w:tcPr>
            </w:tcPrChange>
          </w:tcPr>
          <w:p>
            <w:pPr>
              <w:keepNext/>
              <w:widowControl w:val="0"/>
              <w:tabs>
                <w:tab w:val="left" w:pos="180"/>
              </w:tabs>
              <w:suppressAutoHyphens/>
              <w:jc w:val="center"/>
              <w:rPr>
                <w:b/>
                <w:noProof/>
                <w:sz w:val="20"/>
                <w:lang w:val="it-IT"/>
                <w:rPrChange w:id="3478" w:author="Author">
                  <w:rPr>
                    <w:b/>
                    <w:sz w:val="21"/>
                    <w:szCs w:val="21"/>
                    <w:lang w:val="it-IT"/>
                  </w:rPr>
                </w:rPrChange>
              </w:rPr>
              <w:pPrChange w:id="3479" w:author="Author">
                <w:pPr>
                  <w:widowControl w:val="0"/>
                  <w:tabs>
                    <w:tab w:val="left" w:pos="180"/>
                  </w:tabs>
                  <w:spacing w:line="220" w:lineRule="exact"/>
                  <w:jc w:val="center"/>
                </w:pPr>
              </w:pPrChange>
            </w:pPr>
            <w:r>
              <w:rPr>
                <w:b/>
                <w:noProof/>
                <w:sz w:val="20"/>
                <w:lang w:val="it-IT"/>
                <w:rPrChange w:id="3480" w:author="Author">
                  <w:rPr>
                    <w:b/>
                    <w:sz w:val="21"/>
                    <w:szCs w:val="21"/>
                    <w:lang w:val="it-IT"/>
                  </w:rPr>
                </w:rPrChange>
              </w:rPr>
              <w:t>Molto raro</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Change w:id="3481"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
          </w:tblPrExChange>
        </w:tblPrEx>
        <w:trPr>
          <w:cantSplit/>
          <w:trPrChange w:id="3482" w:author="Author">
            <w:trPr>
              <w:cantSplit/>
            </w:trPr>
          </w:trPrChange>
        </w:trPr>
        <w:tc>
          <w:tcPr>
            <w:tcW w:w="924" w:type="pct"/>
            <w:tcBorders>
              <w:top w:val="single" w:sz="4" w:space="0" w:color="auto"/>
              <w:left w:val="single" w:sz="4" w:space="0" w:color="auto"/>
              <w:bottom w:val="single" w:sz="4" w:space="0" w:color="auto"/>
              <w:right w:val="single" w:sz="4" w:space="0" w:color="auto"/>
            </w:tcBorders>
            <w:tcPrChange w:id="3483" w:author="Author">
              <w:tcPr>
                <w:tcW w:w="924" w:type="pct"/>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484" w:author="Author">
                  <w:rPr>
                    <w:sz w:val="21"/>
                    <w:szCs w:val="21"/>
                    <w:lang w:val="it-IT"/>
                  </w:rPr>
                </w:rPrChange>
              </w:rPr>
              <w:pPrChange w:id="3485" w:author="Author">
                <w:pPr>
                  <w:widowControl w:val="0"/>
                  <w:tabs>
                    <w:tab w:val="left" w:pos="180"/>
                  </w:tabs>
                  <w:spacing w:line="220" w:lineRule="exact"/>
                </w:pPr>
              </w:pPrChange>
            </w:pPr>
            <w:r>
              <w:rPr>
                <w:noProof/>
                <w:sz w:val="20"/>
                <w:lang w:val="it-IT"/>
                <w:rPrChange w:id="3486" w:author="Author">
                  <w:rPr>
                    <w:sz w:val="21"/>
                    <w:szCs w:val="21"/>
                    <w:lang w:val="it-IT"/>
                  </w:rPr>
                </w:rPrChange>
              </w:rPr>
              <w:t>Infezioni ed infestazioni</w:t>
            </w:r>
          </w:p>
        </w:tc>
        <w:tc>
          <w:tcPr>
            <w:tcW w:w="1020" w:type="pct"/>
            <w:tcBorders>
              <w:top w:val="single" w:sz="4" w:space="0" w:color="auto"/>
              <w:left w:val="single" w:sz="4" w:space="0" w:color="auto"/>
              <w:bottom w:val="single" w:sz="4" w:space="0" w:color="auto"/>
              <w:right w:val="single" w:sz="4" w:space="0" w:color="auto"/>
            </w:tcBorders>
            <w:tcPrChange w:id="3487" w:author="Author">
              <w:tcPr>
                <w:tcW w:w="1020"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488" w:author="Author">
                  <w:rPr>
                    <w:sz w:val="21"/>
                    <w:szCs w:val="21"/>
                    <w:lang w:val="it-IT"/>
                  </w:rPr>
                </w:rPrChange>
              </w:rPr>
              <w:pPrChange w:id="3489" w:author="Author">
                <w:pPr>
                  <w:widowControl w:val="0"/>
                  <w:tabs>
                    <w:tab w:val="left" w:pos="180"/>
                  </w:tabs>
                  <w:spacing w:line="220" w:lineRule="exact"/>
                </w:pPr>
              </w:pPrChange>
            </w:pPr>
            <w:r>
              <w:rPr>
                <w:noProof/>
                <w:sz w:val="20"/>
                <w:lang w:val="it-IT"/>
                <w:rPrChange w:id="3490" w:author="Author">
                  <w:rPr>
                    <w:sz w:val="21"/>
                    <w:szCs w:val="21"/>
                    <w:lang w:val="it-IT"/>
                  </w:rPr>
                </w:rPrChange>
              </w:rPr>
              <w:t xml:space="preserve">Infezioni delle vie </w:t>
            </w:r>
            <w:r>
              <w:rPr>
                <w:noProof/>
                <w:sz w:val="20"/>
                <w:lang w:val="it-IT"/>
                <w:rPrChange w:id="3491" w:author="Author">
                  <w:rPr>
                    <w:lang w:val="it-IT"/>
                  </w:rPr>
                </w:rPrChange>
              </w:rPr>
              <w:t xml:space="preserve">aeree </w:t>
            </w:r>
            <w:r>
              <w:rPr>
                <w:noProof/>
                <w:sz w:val="20"/>
                <w:lang w:val="it-IT"/>
                <w:rPrChange w:id="3492" w:author="Author">
                  <w:rPr>
                    <w:sz w:val="21"/>
                    <w:szCs w:val="21"/>
                    <w:lang w:val="it-IT"/>
                  </w:rPr>
                </w:rPrChange>
              </w:rPr>
              <w:t>superiori</w:t>
            </w:r>
          </w:p>
        </w:tc>
        <w:tc>
          <w:tcPr>
            <w:tcW w:w="947" w:type="pct"/>
            <w:tcBorders>
              <w:top w:val="single" w:sz="4" w:space="0" w:color="auto"/>
              <w:left w:val="single" w:sz="4" w:space="0" w:color="auto"/>
              <w:bottom w:val="single" w:sz="4" w:space="0" w:color="auto"/>
              <w:right w:val="single" w:sz="4" w:space="0" w:color="auto"/>
            </w:tcBorders>
            <w:tcPrChange w:id="3493" w:author="Author">
              <w:tcPr>
                <w:tcW w:w="947"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494" w:author="Author">
                  <w:rPr>
                    <w:sz w:val="21"/>
                    <w:szCs w:val="21"/>
                    <w:lang w:val="it-IT"/>
                  </w:rPr>
                </w:rPrChange>
              </w:rPr>
              <w:pPrChange w:id="3495" w:author="Author">
                <w:pPr>
                  <w:widowControl w:val="0"/>
                  <w:tabs>
                    <w:tab w:val="left" w:pos="180"/>
                  </w:tabs>
                  <w:spacing w:line="220" w:lineRule="exact"/>
                </w:pPr>
              </w:pPrChange>
            </w:pPr>
            <w:r>
              <w:rPr>
                <w:noProof/>
                <w:sz w:val="20"/>
                <w:lang w:val="it-IT"/>
                <w:rPrChange w:id="3496" w:author="Author">
                  <w:rPr>
                    <w:sz w:val="21"/>
                    <w:szCs w:val="21"/>
                    <w:lang w:val="it-IT"/>
                  </w:rPr>
                </w:rPrChange>
              </w:rPr>
              <w:t>Cellulite, polmonite, herpes simplex orale, herpes zoster</w:t>
            </w:r>
          </w:p>
        </w:tc>
        <w:tc>
          <w:tcPr>
            <w:tcW w:w="930" w:type="pct"/>
            <w:tcBorders>
              <w:top w:val="single" w:sz="4" w:space="0" w:color="auto"/>
              <w:left w:val="single" w:sz="4" w:space="0" w:color="auto"/>
              <w:bottom w:val="single" w:sz="4" w:space="0" w:color="auto"/>
              <w:right w:val="single" w:sz="4" w:space="0" w:color="auto"/>
            </w:tcBorders>
            <w:tcPrChange w:id="3497" w:author="Author">
              <w:tcPr>
                <w:tcW w:w="1018"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498" w:author="Author">
                  <w:rPr>
                    <w:sz w:val="21"/>
                    <w:szCs w:val="21"/>
                    <w:lang w:val="it-IT"/>
                  </w:rPr>
                </w:rPrChange>
              </w:rPr>
              <w:pPrChange w:id="3499" w:author="Author">
                <w:pPr>
                  <w:widowControl w:val="0"/>
                  <w:tabs>
                    <w:tab w:val="left" w:pos="180"/>
                  </w:tabs>
                  <w:spacing w:line="220" w:lineRule="exact"/>
                </w:pPr>
              </w:pPrChange>
            </w:pPr>
            <w:r>
              <w:rPr>
                <w:noProof/>
                <w:sz w:val="20"/>
                <w:lang w:val="it-IT"/>
                <w:rPrChange w:id="3500" w:author="Author">
                  <w:rPr>
                    <w:sz w:val="21"/>
                    <w:szCs w:val="21"/>
                    <w:lang w:val="it-IT"/>
                  </w:rPr>
                </w:rPrChange>
              </w:rPr>
              <w:t>Diverticolite</w:t>
            </w:r>
          </w:p>
        </w:tc>
        <w:tc>
          <w:tcPr>
            <w:tcW w:w="564" w:type="pct"/>
            <w:tcBorders>
              <w:top w:val="single" w:sz="4" w:space="0" w:color="auto"/>
              <w:left w:val="single" w:sz="4" w:space="0" w:color="auto"/>
              <w:bottom w:val="single" w:sz="4" w:space="0" w:color="auto"/>
              <w:right w:val="single" w:sz="4" w:space="0" w:color="auto"/>
            </w:tcBorders>
            <w:tcPrChange w:id="3501" w:author="Author">
              <w:tcPr>
                <w:tcW w:w="476"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502" w:author="Author">
                  <w:rPr>
                    <w:sz w:val="21"/>
                    <w:szCs w:val="21"/>
                    <w:lang w:val="it-IT"/>
                  </w:rPr>
                </w:rPrChange>
              </w:rPr>
              <w:pPrChange w:id="3503" w:author="Author">
                <w:pPr>
                  <w:widowControl w:val="0"/>
                  <w:tabs>
                    <w:tab w:val="left" w:pos="180"/>
                  </w:tabs>
                  <w:spacing w:line="220" w:lineRule="exact"/>
                </w:pPr>
              </w:pPrChange>
            </w:pPr>
          </w:p>
        </w:tc>
        <w:tc>
          <w:tcPr>
            <w:tcW w:w="615" w:type="pct"/>
            <w:tcBorders>
              <w:top w:val="single" w:sz="4" w:space="0" w:color="auto"/>
              <w:left w:val="single" w:sz="4" w:space="0" w:color="auto"/>
              <w:bottom w:val="single" w:sz="4" w:space="0" w:color="auto"/>
              <w:right w:val="single" w:sz="4" w:space="0" w:color="auto"/>
            </w:tcBorders>
            <w:tcPrChange w:id="3504" w:author="Author">
              <w:tcPr>
                <w:tcW w:w="615"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505" w:author="Author">
                  <w:rPr>
                    <w:sz w:val="21"/>
                    <w:szCs w:val="21"/>
                    <w:lang w:val="it-IT"/>
                  </w:rPr>
                </w:rPrChange>
              </w:rPr>
              <w:pPrChange w:id="3506" w:author="Author">
                <w:pPr>
                  <w:widowControl w:val="0"/>
                  <w:tabs>
                    <w:tab w:val="left" w:pos="180"/>
                  </w:tabs>
                  <w:spacing w:line="220" w:lineRule="exact"/>
                </w:pPr>
              </w:pPrChange>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Change w:id="3507"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
          </w:tblPrExChange>
        </w:tblPrEx>
        <w:trPr>
          <w:cantSplit/>
          <w:trPrChange w:id="3508" w:author="Author">
            <w:trPr>
              <w:cantSplit/>
            </w:trPr>
          </w:trPrChange>
        </w:trPr>
        <w:tc>
          <w:tcPr>
            <w:tcW w:w="924" w:type="pct"/>
            <w:tcBorders>
              <w:top w:val="single" w:sz="4" w:space="0" w:color="auto"/>
              <w:left w:val="single" w:sz="4" w:space="0" w:color="auto"/>
              <w:bottom w:val="single" w:sz="4" w:space="0" w:color="auto"/>
              <w:right w:val="single" w:sz="4" w:space="0" w:color="auto"/>
            </w:tcBorders>
            <w:tcPrChange w:id="3509" w:author="Author">
              <w:tcPr>
                <w:tcW w:w="924" w:type="pct"/>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510" w:author="Author">
                  <w:rPr>
                    <w:sz w:val="21"/>
                    <w:szCs w:val="21"/>
                    <w:lang w:val="it-IT"/>
                  </w:rPr>
                </w:rPrChange>
              </w:rPr>
              <w:pPrChange w:id="3511" w:author="Author">
                <w:pPr>
                  <w:widowControl w:val="0"/>
                  <w:tabs>
                    <w:tab w:val="left" w:pos="180"/>
                  </w:tabs>
                  <w:spacing w:line="220" w:lineRule="exact"/>
                </w:pPr>
              </w:pPrChange>
            </w:pPr>
            <w:r>
              <w:rPr>
                <w:noProof/>
                <w:sz w:val="20"/>
                <w:lang w:val="it-IT"/>
                <w:rPrChange w:id="3512" w:author="Author">
                  <w:rPr>
                    <w:sz w:val="21"/>
                    <w:szCs w:val="21"/>
                    <w:lang w:val="it-IT"/>
                  </w:rPr>
                </w:rPrChange>
              </w:rPr>
              <w:t>Patologie del sistema emolinfopoietico</w:t>
            </w:r>
          </w:p>
        </w:tc>
        <w:tc>
          <w:tcPr>
            <w:tcW w:w="1020" w:type="pct"/>
            <w:tcBorders>
              <w:top w:val="single" w:sz="4" w:space="0" w:color="auto"/>
              <w:left w:val="single" w:sz="4" w:space="0" w:color="auto"/>
              <w:bottom w:val="single" w:sz="4" w:space="0" w:color="auto"/>
              <w:right w:val="single" w:sz="4" w:space="0" w:color="auto"/>
            </w:tcBorders>
            <w:tcPrChange w:id="3513" w:author="Author">
              <w:tcPr>
                <w:tcW w:w="1020"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514" w:author="Author">
                  <w:rPr>
                    <w:sz w:val="21"/>
                    <w:szCs w:val="21"/>
                    <w:lang w:val="it-IT"/>
                  </w:rPr>
                </w:rPrChange>
              </w:rPr>
              <w:pPrChange w:id="3515" w:author="Author">
                <w:pPr>
                  <w:widowControl w:val="0"/>
                  <w:tabs>
                    <w:tab w:val="left" w:pos="180"/>
                  </w:tabs>
                  <w:spacing w:line="220" w:lineRule="exact"/>
                </w:pPr>
              </w:pPrChange>
            </w:pPr>
          </w:p>
        </w:tc>
        <w:tc>
          <w:tcPr>
            <w:tcW w:w="947" w:type="pct"/>
            <w:tcBorders>
              <w:top w:val="single" w:sz="4" w:space="0" w:color="auto"/>
              <w:left w:val="single" w:sz="4" w:space="0" w:color="auto"/>
              <w:bottom w:val="single" w:sz="4" w:space="0" w:color="auto"/>
              <w:right w:val="single" w:sz="4" w:space="0" w:color="auto"/>
            </w:tcBorders>
            <w:tcPrChange w:id="3516" w:author="Author">
              <w:tcPr>
                <w:tcW w:w="947"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517" w:author="Author">
                  <w:rPr>
                    <w:sz w:val="21"/>
                    <w:szCs w:val="21"/>
                    <w:lang w:val="it-IT"/>
                  </w:rPr>
                </w:rPrChange>
              </w:rPr>
              <w:pPrChange w:id="3518" w:author="Author">
                <w:pPr>
                  <w:widowControl w:val="0"/>
                  <w:tabs>
                    <w:tab w:val="left" w:pos="180"/>
                  </w:tabs>
                  <w:spacing w:line="220" w:lineRule="exact"/>
                </w:pPr>
              </w:pPrChange>
            </w:pPr>
            <w:r>
              <w:rPr>
                <w:noProof/>
                <w:sz w:val="20"/>
                <w:lang w:val="it-IT"/>
                <w:rPrChange w:id="3519" w:author="Author">
                  <w:rPr>
                    <w:sz w:val="21"/>
                    <w:szCs w:val="21"/>
                    <w:lang w:val="it-IT"/>
                  </w:rPr>
                </w:rPrChange>
              </w:rPr>
              <w:t xml:space="preserve">Leucopenia, </w:t>
            </w:r>
          </w:p>
          <w:p>
            <w:pPr>
              <w:widowControl w:val="0"/>
              <w:tabs>
                <w:tab w:val="left" w:pos="180"/>
              </w:tabs>
              <w:suppressAutoHyphens/>
              <w:rPr>
                <w:noProof/>
                <w:sz w:val="20"/>
                <w:lang w:val="it-IT"/>
                <w:rPrChange w:id="3520" w:author="Author">
                  <w:rPr>
                    <w:sz w:val="21"/>
                    <w:szCs w:val="21"/>
                    <w:lang w:val="it-IT"/>
                  </w:rPr>
                </w:rPrChange>
              </w:rPr>
              <w:pPrChange w:id="3521" w:author="Author">
                <w:pPr>
                  <w:widowControl w:val="0"/>
                  <w:tabs>
                    <w:tab w:val="left" w:pos="180"/>
                  </w:tabs>
                  <w:spacing w:line="220" w:lineRule="exact"/>
                </w:pPr>
              </w:pPrChange>
            </w:pPr>
            <w:r>
              <w:rPr>
                <w:noProof/>
                <w:sz w:val="20"/>
                <w:lang w:val="it-IT"/>
                <w:rPrChange w:id="3522" w:author="Author">
                  <w:rPr>
                    <w:sz w:val="21"/>
                    <w:szCs w:val="21"/>
                    <w:lang w:val="it-IT"/>
                  </w:rPr>
                </w:rPrChange>
              </w:rPr>
              <w:t>neutropenia</w:t>
            </w:r>
          </w:p>
          <w:p>
            <w:pPr>
              <w:widowControl w:val="0"/>
              <w:tabs>
                <w:tab w:val="left" w:pos="180"/>
              </w:tabs>
              <w:suppressAutoHyphens/>
              <w:rPr>
                <w:noProof/>
                <w:sz w:val="20"/>
                <w:lang w:val="it-IT"/>
                <w:rPrChange w:id="3523" w:author="Author">
                  <w:rPr>
                    <w:sz w:val="21"/>
                    <w:szCs w:val="21"/>
                    <w:lang w:val="it-IT"/>
                  </w:rPr>
                </w:rPrChange>
              </w:rPr>
              <w:pPrChange w:id="3524" w:author="Author">
                <w:pPr>
                  <w:widowControl w:val="0"/>
                  <w:tabs>
                    <w:tab w:val="left" w:pos="180"/>
                  </w:tabs>
                  <w:spacing w:line="220" w:lineRule="exact"/>
                </w:pPr>
              </w:pPrChange>
            </w:pPr>
            <w:r>
              <w:rPr>
                <w:noProof/>
                <w:sz w:val="20"/>
                <w:lang w:val="it-IT"/>
                <w:rPrChange w:id="3525" w:author="Author">
                  <w:rPr>
                    <w:sz w:val="21"/>
                    <w:szCs w:val="21"/>
                    <w:lang w:val="it-IT"/>
                  </w:rPr>
                </w:rPrChange>
              </w:rPr>
              <w:t>ipofibrinogenemia</w:t>
            </w:r>
          </w:p>
        </w:tc>
        <w:tc>
          <w:tcPr>
            <w:tcW w:w="930" w:type="pct"/>
            <w:tcBorders>
              <w:top w:val="single" w:sz="4" w:space="0" w:color="auto"/>
              <w:left w:val="single" w:sz="4" w:space="0" w:color="auto"/>
              <w:bottom w:val="single" w:sz="4" w:space="0" w:color="auto"/>
              <w:right w:val="single" w:sz="4" w:space="0" w:color="auto"/>
            </w:tcBorders>
            <w:tcPrChange w:id="3526" w:author="Author">
              <w:tcPr>
                <w:tcW w:w="1018"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527" w:author="Author">
                  <w:rPr>
                    <w:sz w:val="21"/>
                    <w:szCs w:val="21"/>
                    <w:lang w:val="it-IT"/>
                  </w:rPr>
                </w:rPrChange>
              </w:rPr>
              <w:pPrChange w:id="3528" w:author="Author">
                <w:pPr>
                  <w:widowControl w:val="0"/>
                  <w:tabs>
                    <w:tab w:val="left" w:pos="180"/>
                  </w:tabs>
                  <w:spacing w:line="220" w:lineRule="exact"/>
                </w:pPr>
              </w:pPrChange>
            </w:pPr>
          </w:p>
        </w:tc>
        <w:tc>
          <w:tcPr>
            <w:tcW w:w="564" w:type="pct"/>
            <w:tcBorders>
              <w:top w:val="single" w:sz="4" w:space="0" w:color="auto"/>
              <w:left w:val="single" w:sz="4" w:space="0" w:color="auto"/>
              <w:bottom w:val="single" w:sz="4" w:space="0" w:color="auto"/>
              <w:right w:val="single" w:sz="4" w:space="0" w:color="auto"/>
            </w:tcBorders>
            <w:tcPrChange w:id="3529" w:author="Author">
              <w:tcPr>
                <w:tcW w:w="476"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530" w:author="Author">
                  <w:rPr>
                    <w:sz w:val="21"/>
                    <w:szCs w:val="21"/>
                    <w:lang w:val="it-IT"/>
                  </w:rPr>
                </w:rPrChange>
              </w:rPr>
              <w:pPrChange w:id="3531" w:author="Author">
                <w:pPr>
                  <w:widowControl w:val="0"/>
                  <w:tabs>
                    <w:tab w:val="left" w:pos="180"/>
                  </w:tabs>
                  <w:spacing w:line="220" w:lineRule="exact"/>
                </w:pPr>
              </w:pPrChange>
            </w:pPr>
          </w:p>
        </w:tc>
        <w:tc>
          <w:tcPr>
            <w:tcW w:w="615" w:type="pct"/>
            <w:tcBorders>
              <w:top w:val="single" w:sz="4" w:space="0" w:color="auto"/>
              <w:left w:val="single" w:sz="4" w:space="0" w:color="auto"/>
              <w:bottom w:val="single" w:sz="4" w:space="0" w:color="auto"/>
              <w:right w:val="single" w:sz="4" w:space="0" w:color="auto"/>
            </w:tcBorders>
            <w:tcPrChange w:id="3532" w:author="Author">
              <w:tcPr>
                <w:tcW w:w="615"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533" w:author="Author">
                  <w:rPr>
                    <w:sz w:val="21"/>
                    <w:szCs w:val="21"/>
                    <w:lang w:val="it-IT"/>
                  </w:rPr>
                </w:rPrChange>
              </w:rPr>
              <w:pPrChange w:id="3534" w:author="Author">
                <w:pPr>
                  <w:widowControl w:val="0"/>
                  <w:tabs>
                    <w:tab w:val="left" w:pos="180"/>
                  </w:tabs>
                  <w:spacing w:line="220" w:lineRule="exact"/>
                </w:pPr>
              </w:pPrChange>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Change w:id="3535"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
          </w:tblPrExChange>
        </w:tblPrEx>
        <w:trPr>
          <w:cantSplit/>
          <w:trPrChange w:id="3536" w:author="Author">
            <w:trPr>
              <w:cantSplit/>
            </w:trPr>
          </w:trPrChange>
        </w:trPr>
        <w:tc>
          <w:tcPr>
            <w:tcW w:w="924" w:type="pct"/>
            <w:tcBorders>
              <w:top w:val="single" w:sz="4" w:space="0" w:color="auto"/>
              <w:left w:val="single" w:sz="4" w:space="0" w:color="auto"/>
              <w:bottom w:val="single" w:sz="4" w:space="0" w:color="auto"/>
              <w:right w:val="single" w:sz="4" w:space="0" w:color="auto"/>
            </w:tcBorders>
            <w:tcPrChange w:id="3537" w:author="Author">
              <w:tcPr>
                <w:tcW w:w="924" w:type="pct"/>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538" w:author="Author">
                  <w:rPr>
                    <w:sz w:val="21"/>
                    <w:szCs w:val="21"/>
                    <w:lang w:val="it-IT"/>
                  </w:rPr>
                </w:rPrChange>
              </w:rPr>
              <w:pPrChange w:id="3539" w:author="Author">
                <w:pPr>
                  <w:widowControl w:val="0"/>
                  <w:tabs>
                    <w:tab w:val="left" w:pos="180"/>
                  </w:tabs>
                  <w:spacing w:line="220" w:lineRule="exact"/>
                </w:pPr>
              </w:pPrChange>
            </w:pPr>
            <w:r>
              <w:rPr>
                <w:noProof/>
                <w:sz w:val="20"/>
                <w:lang w:val="it-IT"/>
                <w:rPrChange w:id="3540" w:author="Author">
                  <w:rPr>
                    <w:sz w:val="21"/>
                    <w:szCs w:val="21"/>
                    <w:lang w:val="it-IT"/>
                  </w:rPr>
                </w:rPrChange>
              </w:rPr>
              <w:t>Disturbi del sistema immunitario</w:t>
            </w:r>
          </w:p>
        </w:tc>
        <w:tc>
          <w:tcPr>
            <w:tcW w:w="1020" w:type="pct"/>
            <w:tcBorders>
              <w:top w:val="single" w:sz="4" w:space="0" w:color="auto"/>
              <w:left w:val="single" w:sz="4" w:space="0" w:color="auto"/>
              <w:bottom w:val="single" w:sz="4" w:space="0" w:color="auto"/>
              <w:right w:val="single" w:sz="4" w:space="0" w:color="auto"/>
            </w:tcBorders>
            <w:tcPrChange w:id="3541" w:author="Author">
              <w:tcPr>
                <w:tcW w:w="1020"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542" w:author="Author">
                  <w:rPr>
                    <w:sz w:val="21"/>
                    <w:szCs w:val="21"/>
                    <w:lang w:val="it-IT"/>
                  </w:rPr>
                </w:rPrChange>
              </w:rPr>
              <w:pPrChange w:id="3543" w:author="Author">
                <w:pPr>
                  <w:widowControl w:val="0"/>
                  <w:tabs>
                    <w:tab w:val="left" w:pos="180"/>
                  </w:tabs>
                  <w:spacing w:line="220" w:lineRule="exact"/>
                </w:pPr>
              </w:pPrChange>
            </w:pPr>
          </w:p>
        </w:tc>
        <w:tc>
          <w:tcPr>
            <w:tcW w:w="947" w:type="pct"/>
            <w:tcBorders>
              <w:top w:val="single" w:sz="4" w:space="0" w:color="auto"/>
              <w:left w:val="single" w:sz="4" w:space="0" w:color="auto"/>
              <w:bottom w:val="single" w:sz="4" w:space="0" w:color="auto"/>
              <w:right w:val="single" w:sz="4" w:space="0" w:color="auto"/>
            </w:tcBorders>
            <w:tcPrChange w:id="3544" w:author="Author">
              <w:tcPr>
                <w:tcW w:w="947"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545" w:author="Author">
                  <w:rPr>
                    <w:sz w:val="21"/>
                    <w:szCs w:val="21"/>
                    <w:lang w:val="it-IT"/>
                  </w:rPr>
                </w:rPrChange>
              </w:rPr>
              <w:pPrChange w:id="3546" w:author="Author">
                <w:pPr>
                  <w:widowControl w:val="0"/>
                  <w:tabs>
                    <w:tab w:val="left" w:pos="180"/>
                  </w:tabs>
                  <w:spacing w:line="220" w:lineRule="exact"/>
                </w:pPr>
              </w:pPrChange>
            </w:pPr>
          </w:p>
        </w:tc>
        <w:tc>
          <w:tcPr>
            <w:tcW w:w="930" w:type="pct"/>
            <w:tcBorders>
              <w:top w:val="single" w:sz="4" w:space="0" w:color="auto"/>
              <w:left w:val="single" w:sz="4" w:space="0" w:color="auto"/>
              <w:bottom w:val="single" w:sz="4" w:space="0" w:color="auto"/>
              <w:right w:val="single" w:sz="4" w:space="0" w:color="auto"/>
            </w:tcBorders>
            <w:tcPrChange w:id="3547" w:author="Author">
              <w:tcPr>
                <w:tcW w:w="1018"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548" w:author="Author">
                  <w:rPr>
                    <w:sz w:val="21"/>
                    <w:szCs w:val="21"/>
                    <w:lang w:val="it-IT"/>
                  </w:rPr>
                </w:rPrChange>
              </w:rPr>
              <w:pPrChange w:id="3549" w:author="Author">
                <w:pPr>
                  <w:widowControl w:val="0"/>
                  <w:tabs>
                    <w:tab w:val="left" w:pos="180"/>
                  </w:tabs>
                  <w:spacing w:line="220" w:lineRule="exact"/>
                </w:pPr>
              </w:pPrChange>
            </w:pPr>
          </w:p>
        </w:tc>
        <w:tc>
          <w:tcPr>
            <w:tcW w:w="564" w:type="pct"/>
            <w:tcBorders>
              <w:top w:val="single" w:sz="4" w:space="0" w:color="auto"/>
              <w:left w:val="single" w:sz="4" w:space="0" w:color="auto"/>
              <w:bottom w:val="single" w:sz="4" w:space="0" w:color="auto"/>
              <w:right w:val="single" w:sz="4" w:space="0" w:color="auto"/>
            </w:tcBorders>
            <w:tcPrChange w:id="3550" w:author="Author">
              <w:tcPr>
                <w:tcW w:w="476"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551" w:author="Author">
                  <w:rPr>
                    <w:sz w:val="21"/>
                    <w:szCs w:val="21"/>
                    <w:lang w:val="it-IT"/>
                  </w:rPr>
                </w:rPrChange>
              </w:rPr>
              <w:pPrChange w:id="3552" w:author="Author">
                <w:pPr>
                  <w:widowControl w:val="0"/>
                  <w:tabs>
                    <w:tab w:val="left" w:pos="180"/>
                  </w:tabs>
                  <w:spacing w:line="220" w:lineRule="exact"/>
                </w:pPr>
              </w:pPrChange>
            </w:pPr>
            <w:r>
              <w:rPr>
                <w:noProof/>
                <w:sz w:val="20"/>
                <w:lang w:val="it-IT"/>
                <w:rPrChange w:id="3553" w:author="Author">
                  <w:rPr>
                    <w:szCs w:val="22"/>
                    <w:lang w:val="it-IT"/>
                  </w:rPr>
                </w:rPrChange>
              </w:rPr>
              <w:t>Anafilassi (fatale)</w:t>
            </w:r>
            <w:r>
              <w:rPr>
                <w:noProof/>
                <w:sz w:val="20"/>
                <w:vertAlign w:val="superscript"/>
                <w:lang w:val="it-IT"/>
                <w:rPrChange w:id="3554" w:author="Author">
                  <w:rPr>
                    <w:szCs w:val="22"/>
                    <w:vertAlign w:val="superscript"/>
                    <w:lang w:val="it-IT"/>
                  </w:rPr>
                </w:rPrChange>
              </w:rPr>
              <w:t>1, 2, 3</w:t>
            </w:r>
          </w:p>
        </w:tc>
        <w:tc>
          <w:tcPr>
            <w:tcW w:w="615" w:type="pct"/>
            <w:tcBorders>
              <w:top w:val="single" w:sz="4" w:space="0" w:color="auto"/>
              <w:left w:val="single" w:sz="4" w:space="0" w:color="auto"/>
              <w:bottom w:val="single" w:sz="4" w:space="0" w:color="auto"/>
              <w:right w:val="single" w:sz="4" w:space="0" w:color="auto"/>
            </w:tcBorders>
            <w:tcPrChange w:id="3555" w:author="Author">
              <w:tcPr>
                <w:tcW w:w="615"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556" w:author="Author">
                  <w:rPr>
                    <w:szCs w:val="22"/>
                    <w:lang w:val="it-IT"/>
                  </w:rPr>
                </w:rPrChange>
              </w:rPr>
              <w:pPrChange w:id="3557" w:author="Author">
                <w:pPr>
                  <w:widowControl w:val="0"/>
                  <w:tabs>
                    <w:tab w:val="left" w:pos="180"/>
                  </w:tabs>
                  <w:spacing w:line="220" w:lineRule="exact"/>
                </w:pPr>
              </w:pPrChange>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Change w:id="3558"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
          </w:tblPrExChange>
        </w:tblPrEx>
        <w:trPr>
          <w:cantSplit/>
          <w:trPrChange w:id="3559" w:author="Author">
            <w:trPr>
              <w:cantSplit/>
            </w:trPr>
          </w:trPrChange>
        </w:trPr>
        <w:tc>
          <w:tcPr>
            <w:tcW w:w="924" w:type="pct"/>
            <w:tcPrChange w:id="3560" w:author="Author">
              <w:tcPr>
                <w:tcW w:w="924" w:type="pct"/>
              </w:tcPr>
            </w:tcPrChange>
          </w:tcPr>
          <w:p>
            <w:pPr>
              <w:widowControl w:val="0"/>
              <w:tabs>
                <w:tab w:val="left" w:pos="180"/>
              </w:tabs>
              <w:suppressAutoHyphens/>
              <w:rPr>
                <w:noProof/>
                <w:sz w:val="20"/>
                <w:lang w:val="it-IT"/>
                <w:rPrChange w:id="3561" w:author="Author">
                  <w:rPr>
                    <w:sz w:val="21"/>
                    <w:szCs w:val="21"/>
                    <w:lang w:val="it-IT"/>
                  </w:rPr>
                </w:rPrChange>
              </w:rPr>
              <w:pPrChange w:id="3562" w:author="Author">
                <w:pPr>
                  <w:widowControl w:val="0"/>
                  <w:tabs>
                    <w:tab w:val="left" w:pos="180"/>
                  </w:tabs>
                  <w:spacing w:line="220" w:lineRule="exact"/>
                </w:pPr>
              </w:pPrChange>
            </w:pPr>
            <w:r>
              <w:rPr>
                <w:noProof/>
                <w:sz w:val="20"/>
                <w:lang w:val="it-IT"/>
                <w:rPrChange w:id="3563" w:author="Author">
                  <w:rPr>
                    <w:sz w:val="21"/>
                    <w:szCs w:val="21"/>
                    <w:lang w:val="it-IT"/>
                  </w:rPr>
                </w:rPrChange>
              </w:rPr>
              <w:t>Patologie endocrine</w:t>
            </w:r>
          </w:p>
        </w:tc>
        <w:tc>
          <w:tcPr>
            <w:tcW w:w="1020" w:type="pct"/>
            <w:tcPrChange w:id="3564" w:author="Author">
              <w:tcPr>
                <w:tcW w:w="1020" w:type="pct"/>
                <w:gridSpan w:val="2"/>
              </w:tcPr>
            </w:tcPrChange>
          </w:tcPr>
          <w:p>
            <w:pPr>
              <w:widowControl w:val="0"/>
              <w:tabs>
                <w:tab w:val="left" w:pos="180"/>
              </w:tabs>
              <w:suppressAutoHyphens/>
              <w:rPr>
                <w:noProof/>
                <w:sz w:val="20"/>
                <w:lang w:val="it-IT"/>
                <w:rPrChange w:id="3565" w:author="Author">
                  <w:rPr>
                    <w:sz w:val="21"/>
                    <w:szCs w:val="21"/>
                    <w:lang w:val="it-IT"/>
                  </w:rPr>
                </w:rPrChange>
              </w:rPr>
              <w:pPrChange w:id="3566" w:author="Author">
                <w:pPr>
                  <w:widowControl w:val="0"/>
                  <w:tabs>
                    <w:tab w:val="left" w:pos="180"/>
                  </w:tabs>
                  <w:spacing w:line="220" w:lineRule="exact"/>
                </w:pPr>
              </w:pPrChange>
            </w:pPr>
          </w:p>
        </w:tc>
        <w:tc>
          <w:tcPr>
            <w:tcW w:w="947" w:type="pct"/>
            <w:tcPrChange w:id="3567" w:author="Author">
              <w:tcPr>
                <w:tcW w:w="947" w:type="pct"/>
                <w:gridSpan w:val="2"/>
              </w:tcPr>
            </w:tcPrChange>
          </w:tcPr>
          <w:p>
            <w:pPr>
              <w:widowControl w:val="0"/>
              <w:tabs>
                <w:tab w:val="left" w:pos="180"/>
              </w:tabs>
              <w:suppressAutoHyphens/>
              <w:rPr>
                <w:noProof/>
                <w:sz w:val="20"/>
                <w:lang w:val="it-IT"/>
                <w:rPrChange w:id="3568" w:author="Author">
                  <w:rPr>
                    <w:sz w:val="21"/>
                    <w:szCs w:val="21"/>
                    <w:lang w:val="it-IT"/>
                  </w:rPr>
                </w:rPrChange>
              </w:rPr>
              <w:pPrChange w:id="3569" w:author="Author">
                <w:pPr>
                  <w:widowControl w:val="0"/>
                  <w:tabs>
                    <w:tab w:val="left" w:pos="180"/>
                  </w:tabs>
                  <w:spacing w:line="220" w:lineRule="exact"/>
                </w:pPr>
              </w:pPrChange>
            </w:pPr>
          </w:p>
        </w:tc>
        <w:tc>
          <w:tcPr>
            <w:tcW w:w="930" w:type="pct"/>
            <w:tcPrChange w:id="3570" w:author="Author">
              <w:tcPr>
                <w:tcW w:w="1018" w:type="pct"/>
                <w:gridSpan w:val="2"/>
              </w:tcPr>
            </w:tcPrChange>
          </w:tcPr>
          <w:p>
            <w:pPr>
              <w:widowControl w:val="0"/>
              <w:tabs>
                <w:tab w:val="left" w:pos="180"/>
              </w:tabs>
              <w:suppressAutoHyphens/>
              <w:rPr>
                <w:noProof/>
                <w:sz w:val="20"/>
                <w:lang w:val="it-IT"/>
                <w:rPrChange w:id="3571" w:author="Author">
                  <w:rPr>
                    <w:sz w:val="21"/>
                    <w:szCs w:val="21"/>
                    <w:lang w:val="it-IT"/>
                  </w:rPr>
                </w:rPrChange>
              </w:rPr>
              <w:pPrChange w:id="3572" w:author="Author">
                <w:pPr>
                  <w:widowControl w:val="0"/>
                  <w:tabs>
                    <w:tab w:val="left" w:pos="180"/>
                  </w:tabs>
                  <w:spacing w:line="220" w:lineRule="exact"/>
                </w:pPr>
              </w:pPrChange>
            </w:pPr>
            <w:r>
              <w:rPr>
                <w:noProof/>
                <w:sz w:val="20"/>
                <w:lang w:val="it-IT"/>
                <w:rPrChange w:id="3573" w:author="Author">
                  <w:rPr>
                    <w:sz w:val="21"/>
                    <w:szCs w:val="21"/>
                    <w:lang w:val="it-IT"/>
                  </w:rPr>
                </w:rPrChange>
              </w:rPr>
              <w:t>Ipotiroidismo</w:t>
            </w:r>
          </w:p>
        </w:tc>
        <w:tc>
          <w:tcPr>
            <w:tcW w:w="564" w:type="pct"/>
            <w:tcPrChange w:id="3574" w:author="Author">
              <w:tcPr>
                <w:tcW w:w="476" w:type="pct"/>
                <w:gridSpan w:val="2"/>
              </w:tcPr>
            </w:tcPrChange>
          </w:tcPr>
          <w:p>
            <w:pPr>
              <w:widowControl w:val="0"/>
              <w:tabs>
                <w:tab w:val="left" w:pos="180"/>
              </w:tabs>
              <w:suppressAutoHyphens/>
              <w:rPr>
                <w:noProof/>
                <w:sz w:val="20"/>
                <w:lang w:val="it-IT"/>
                <w:rPrChange w:id="3575" w:author="Author">
                  <w:rPr>
                    <w:sz w:val="21"/>
                    <w:szCs w:val="21"/>
                    <w:lang w:val="it-IT"/>
                  </w:rPr>
                </w:rPrChange>
              </w:rPr>
              <w:pPrChange w:id="3576" w:author="Author">
                <w:pPr>
                  <w:widowControl w:val="0"/>
                  <w:tabs>
                    <w:tab w:val="left" w:pos="180"/>
                  </w:tabs>
                  <w:spacing w:line="220" w:lineRule="exact"/>
                </w:pPr>
              </w:pPrChange>
            </w:pPr>
          </w:p>
        </w:tc>
        <w:tc>
          <w:tcPr>
            <w:tcW w:w="615" w:type="pct"/>
            <w:tcPrChange w:id="3577" w:author="Author">
              <w:tcPr>
                <w:tcW w:w="615" w:type="pct"/>
                <w:gridSpan w:val="2"/>
              </w:tcPr>
            </w:tcPrChange>
          </w:tcPr>
          <w:p>
            <w:pPr>
              <w:widowControl w:val="0"/>
              <w:tabs>
                <w:tab w:val="left" w:pos="180"/>
              </w:tabs>
              <w:suppressAutoHyphens/>
              <w:rPr>
                <w:noProof/>
                <w:sz w:val="20"/>
                <w:lang w:val="it-IT"/>
                <w:rPrChange w:id="3578" w:author="Author">
                  <w:rPr>
                    <w:sz w:val="21"/>
                    <w:szCs w:val="21"/>
                    <w:lang w:val="it-IT"/>
                  </w:rPr>
                </w:rPrChange>
              </w:rPr>
              <w:pPrChange w:id="3579" w:author="Author">
                <w:pPr>
                  <w:widowControl w:val="0"/>
                  <w:tabs>
                    <w:tab w:val="left" w:pos="180"/>
                  </w:tabs>
                  <w:spacing w:line="220" w:lineRule="exact"/>
                </w:pPr>
              </w:pPrChange>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Change w:id="3580"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
          </w:tblPrExChange>
        </w:tblPrEx>
        <w:trPr>
          <w:cantSplit/>
          <w:trPrChange w:id="3581" w:author="Author">
            <w:trPr>
              <w:cantSplit/>
            </w:trPr>
          </w:trPrChange>
        </w:trPr>
        <w:tc>
          <w:tcPr>
            <w:tcW w:w="924" w:type="pct"/>
            <w:tcPrChange w:id="3582" w:author="Author">
              <w:tcPr>
                <w:tcW w:w="924" w:type="pct"/>
              </w:tcPr>
            </w:tcPrChange>
          </w:tcPr>
          <w:p>
            <w:pPr>
              <w:widowControl w:val="0"/>
              <w:tabs>
                <w:tab w:val="left" w:pos="180"/>
              </w:tabs>
              <w:suppressAutoHyphens/>
              <w:rPr>
                <w:noProof/>
                <w:sz w:val="20"/>
                <w:lang w:val="it-IT"/>
                <w:rPrChange w:id="3583" w:author="Author">
                  <w:rPr>
                    <w:sz w:val="21"/>
                    <w:szCs w:val="21"/>
                    <w:lang w:val="it-IT"/>
                  </w:rPr>
                </w:rPrChange>
              </w:rPr>
              <w:pPrChange w:id="3584" w:author="Author">
                <w:pPr>
                  <w:widowControl w:val="0"/>
                  <w:tabs>
                    <w:tab w:val="left" w:pos="180"/>
                  </w:tabs>
                  <w:spacing w:line="220" w:lineRule="exact"/>
                </w:pPr>
              </w:pPrChange>
            </w:pPr>
            <w:r>
              <w:rPr>
                <w:noProof/>
                <w:sz w:val="20"/>
                <w:lang w:val="it-IT"/>
                <w:rPrChange w:id="3585" w:author="Author">
                  <w:rPr>
                    <w:sz w:val="21"/>
                    <w:szCs w:val="21"/>
                    <w:lang w:val="it-IT"/>
                  </w:rPr>
                </w:rPrChange>
              </w:rPr>
              <w:t>Disturbi del metabolismo e della nutrizione</w:t>
            </w:r>
          </w:p>
        </w:tc>
        <w:tc>
          <w:tcPr>
            <w:tcW w:w="1020" w:type="pct"/>
            <w:tcPrChange w:id="3586" w:author="Author">
              <w:tcPr>
                <w:tcW w:w="1020" w:type="pct"/>
                <w:gridSpan w:val="2"/>
              </w:tcPr>
            </w:tcPrChange>
          </w:tcPr>
          <w:p>
            <w:pPr>
              <w:widowControl w:val="0"/>
              <w:tabs>
                <w:tab w:val="left" w:pos="180"/>
              </w:tabs>
              <w:suppressAutoHyphens/>
              <w:rPr>
                <w:noProof/>
                <w:sz w:val="20"/>
                <w:lang w:val="it-IT"/>
                <w:rPrChange w:id="3587" w:author="Author">
                  <w:rPr>
                    <w:sz w:val="21"/>
                    <w:szCs w:val="21"/>
                    <w:lang w:val="it-IT"/>
                  </w:rPr>
                </w:rPrChange>
              </w:rPr>
              <w:pPrChange w:id="3588" w:author="Author">
                <w:pPr>
                  <w:widowControl w:val="0"/>
                  <w:tabs>
                    <w:tab w:val="left" w:pos="180"/>
                  </w:tabs>
                  <w:spacing w:line="220" w:lineRule="exact"/>
                </w:pPr>
              </w:pPrChange>
            </w:pPr>
            <w:r>
              <w:rPr>
                <w:noProof/>
                <w:sz w:val="20"/>
                <w:lang w:val="it-IT"/>
                <w:rPrChange w:id="3589" w:author="Author">
                  <w:rPr>
                    <w:sz w:val="21"/>
                    <w:szCs w:val="21"/>
                    <w:lang w:val="it-IT"/>
                  </w:rPr>
                </w:rPrChange>
              </w:rPr>
              <w:t>Ipercolesterolemia*</w:t>
            </w:r>
          </w:p>
        </w:tc>
        <w:tc>
          <w:tcPr>
            <w:tcW w:w="947" w:type="pct"/>
            <w:tcPrChange w:id="3590" w:author="Author">
              <w:tcPr>
                <w:tcW w:w="947" w:type="pct"/>
                <w:gridSpan w:val="2"/>
              </w:tcPr>
            </w:tcPrChange>
          </w:tcPr>
          <w:p>
            <w:pPr>
              <w:widowControl w:val="0"/>
              <w:tabs>
                <w:tab w:val="left" w:pos="180"/>
              </w:tabs>
              <w:suppressAutoHyphens/>
              <w:rPr>
                <w:noProof/>
                <w:sz w:val="20"/>
                <w:lang w:val="it-IT"/>
                <w:rPrChange w:id="3591" w:author="Author">
                  <w:rPr>
                    <w:sz w:val="21"/>
                    <w:szCs w:val="21"/>
                    <w:lang w:val="it-IT"/>
                  </w:rPr>
                </w:rPrChange>
              </w:rPr>
              <w:pPrChange w:id="3592" w:author="Author">
                <w:pPr>
                  <w:widowControl w:val="0"/>
                  <w:tabs>
                    <w:tab w:val="left" w:pos="180"/>
                  </w:tabs>
                  <w:spacing w:line="220" w:lineRule="exact"/>
                </w:pPr>
              </w:pPrChange>
            </w:pPr>
          </w:p>
        </w:tc>
        <w:tc>
          <w:tcPr>
            <w:tcW w:w="930" w:type="pct"/>
            <w:tcPrChange w:id="3593" w:author="Author">
              <w:tcPr>
                <w:tcW w:w="1018" w:type="pct"/>
                <w:gridSpan w:val="2"/>
              </w:tcPr>
            </w:tcPrChange>
          </w:tcPr>
          <w:p>
            <w:pPr>
              <w:widowControl w:val="0"/>
              <w:tabs>
                <w:tab w:val="left" w:pos="180"/>
              </w:tabs>
              <w:suppressAutoHyphens/>
              <w:rPr>
                <w:noProof/>
                <w:sz w:val="20"/>
                <w:lang w:val="it-IT"/>
                <w:rPrChange w:id="3594" w:author="Author">
                  <w:rPr>
                    <w:sz w:val="21"/>
                    <w:szCs w:val="21"/>
                    <w:lang w:val="it-IT"/>
                  </w:rPr>
                </w:rPrChange>
              </w:rPr>
              <w:pPrChange w:id="3595" w:author="Author">
                <w:pPr>
                  <w:widowControl w:val="0"/>
                  <w:tabs>
                    <w:tab w:val="left" w:pos="180"/>
                  </w:tabs>
                  <w:spacing w:line="220" w:lineRule="exact"/>
                </w:pPr>
              </w:pPrChange>
            </w:pPr>
            <w:r>
              <w:rPr>
                <w:noProof/>
                <w:sz w:val="20"/>
                <w:lang w:val="it-IT"/>
                <w:rPrChange w:id="3596" w:author="Author">
                  <w:rPr>
                    <w:sz w:val="21"/>
                    <w:szCs w:val="21"/>
                    <w:lang w:val="it-IT"/>
                  </w:rPr>
                </w:rPrChange>
              </w:rPr>
              <w:t>Ipertrigliceridemia</w:t>
            </w:r>
          </w:p>
        </w:tc>
        <w:tc>
          <w:tcPr>
            <w:tcW w:w="564" w:type="pct"/>
            <w:tcPrChange w:id="3597" w:author="Author">
              <w:tcPr>
                <w:tcW w:w="476" w:type="pct"/>
                <w:gridSpan w:val="2"/>
              </w:tcPr>
            </w:tcPrChange>
          </w:tcPr>
          <w:p>
            <w:pPr>
              <w:widowControl w:val="0"/>
              <w:tabs>
                <w:tab w:val="left" w:pos="180"/>
              </w:tabs>
              <w:suppressAutoHyphens/>
              <w:rPr>
                <w:noProof/>
                <w:sz w:val="20"/>
                <w:lang w:val="it-IT"/>
                <w:rPrChange w:id="3598" w:author="Author">
                  <w:rPr>
                    <w:sz w:val="21"/>
                    <w:szCs w:val="21"/>
                    <w:lang w:val="it-IT"/>
                  </w:rPr>
                </w:rPrChange>
              </w:rPr>
              <w:pPrChange w:id="3599" w:author="Author">
                <w:pPr>
                  <w:widowControl w:val="0"/>
                  <w:tabs>
                    <w:tab w:val="left" w:pos="180"/>
                  </w:tabs>
                  <w:spacing w:line="220" w:lineRule="exact"/>
                </w:pPr>
              </w:pPrChange>
            </w:pPr>
          </w:p>
        </w:tc>
        <w:tc>
          <w:tcPr>
            <w:tcW w:w="615" w:type="pct"/>
            <w:tcPrChange w:id="3600" w:author="Author">
              <w:tcPr>
                <w:tcW w:w="615" w:type="pct"/>
                <w:gridSpan w:val="2"/>
              </w:tcPr>
            </w:tcPrChange>
          </w:tcPr>
          <w:p>
            <w:pPr>
              <w:widowControl w:val="0"/>
              <w:tabs>
                <w:tab w:val="left" w:pos="180"/>
              </w:tabs>
              <w:suppressAutoHyphens/>
              <w:rPr>
                <w:noProof/>
                <w:sz w:val="20"/>
                <w:lang w:val="it-IT"/>
                <w:rPrChange w:id="3601" w:author="Author">
                  <w:rPr>
                    <w:sz w:val="21"/>
                    <w:szCs w:val="21"/>
                    <w:lang w:val="it-IT"/>
                  </w:rPr>
                </w:rPrChange>
              </w:rPr>
              <w:pPrChange w:id="3602" w:author="Author">
                <w:pPr>
                  <w:widowControl w:val="0"/>
                  <w:tabs>
                    <w:tab w:val="left" w:pos="180"/>
                  </w:tabs>
                  <w:spacing w:line="220" w:lineRule="exact"/>
                </w:pPr>
              </w:pPrChange>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Change w:id="3603"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
          </w:tblPrExChange>
        </w:tblPrEx>
        <w:trPr>
          <w:cantSplit/>
          <w:trPrChange w:id="3604" w:author="Author">
            <w:trPr>
              <w:cantSplit/>
            </w:trPr>
          </w:trPrChange>
        </w:trPr>
        <w:tc>
          <w:tcPr>
            <w:tcW w:w="924" w:type="pct"/>
            <w:tcBorders>
              <w:top w:val="single" w:sz="4" w:space="0" w:color="auto"/>
              <w:left w:val="single" w:sz="4" w:space="0" w:color="auto"/>
              <w:bottom w:val="single" w:sz="4" w:space="0" w:color="auto"/>
              <w:right w:val="single" w:sz="4" w:space="0" w:color="auto"/>
            </w:tcBorders>
            <w:tcPrChange w:id="3605" w:author="Author">
              <w:tcPr>
                <w:tcW w:w="924" w:type="pct"/>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606" w:author="Author">
                  <w:rPr>
                    <w:sz w:val="21"/>
                    <w:szCs w:val="21"/>
                    <w:lang w:val="it-IT"/>
                  </w:rPr>
                </w:rPrChange>
              </w:rPr>
              <w:pPrChange w:id="3607" w:author="Author">
                <w:pPr>
                  <w:widowControl w:val="0"/>
                  <w:tabs>
                    <w:tab w:val="left" w:pos="180"/>
                  </w:tabs>
                  <w:spacing w:line="220" w:lineRule="exact"/>
                </w:pPr>
              </w:pPrChange>
            </w:pPr>
            <w:r>
              <w:rPr>
                <w:noProof/>
                <w:sz w:val="20"/>
                <w:lang w:val="it-IT"/>
                <w:rPrChange w:id="3608" w:author="Author">
                  <w:rPr>
                    <w:sz w:val="21"/>
                    <w:szCs w:val="21"/>
                    <w:lang w:val="it-IT"/>
                  </w:rPr>
                </w:rPrChange>
              </w:rPr>
              <w:t>Patologie del sistema nervoso</w:t>
            </w:r>
          </w:p>
        </w:tc>
        <w:tc>
          <w:tcPr>
            <w:tcW w:w="1020" w:type="pct"/>
            <w:tcBorders>
              <w:top w:val="single" w:sz="4" w:space="0" w:color="auto"/>
              <w:left w:val="single" w:sz="4" w:space="0" w:color="auto"/>
              <w:bottom w:val="single" w:sz="4" w:space="0" w:color="auto"/>
              <w:right w:val="single" w:sz="4" w:space="0" w:color="auto"/>
            </w:tcBorders>
            <w:tcPrChange w:id="3609" w:author="Author">
              <w:tcPr>
                <w:tcW w:w="1020"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610" w:author="Author">
                  <w:rPr>
                    <w:sz w:val="21"/>
                    <w:szCs w:val="21"/>
                    <w:lang w:val="it-IT"/>
                  </w:rPr>
                </w:rPrChange>
              </w:rPr>
              <w:pPrChange w:id="3611" w:author="Author">
                <w:pPr>
                  <w:widowControl w:val="0"/>
                  <w:tabs>
                    <w:tab w:val="left" w:pos="180"/>
                  </w:tabs>
                  <w:spacing w:line="220" w:lineRule="exact"/>
                </w:pPr>
              </w:pPrChange>
            </w:pPr>
          </w:p>
        </w:tc>
        <w:tc>
          <w:tcPr>
            <w:tcW w:w="947" w:type="pct"/>
            <w:tcBorders>
              <w:top w:val="single" w:sz="4" w:space="0" w:color="auto"/>
              <w:left w:val="single" w:sz="4" w:space="0" w:color="auto"/>
              <w:bottom w:val="single" w:sz="4" w:space="0" w:color="auto"/>
              <w:right w:val="single" w:sz="4" w:space="0" w:color="auto"/>
            </w:tcBorders>
            <w:tcPrChange w:id="3612" w:author="Author">
              <w:tcPr>
                <w:tcW w:w="947"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613" w:author="Author">
                  <w:rPr>
                    <w:sz w:val="21"/>
                    <w:szCs w:val="21"/>
                    <w:lang w:val="it-IT"/>
                  </w:rPr>
                </w:rPrChange>
              </w:rPr>
              <w:pPrChange w:id="3614" w:author="Author">
                <w:pPr>
                  <w:widowControl w:val="0"/>
                  <w:tabs>
                    <w:tab w:val="left" w:pos="180"/>
                  </w:tabs>
                  <w:spacing w:line="220" w:lineRule="exact"/>
                </w:pPr>
              </w:pPrChange>
            </w:pPr>
            <w:r>
              <w:rPr>
                <w:noProof/>
                <w:sz w:val="20"/>
                <w:lang w:val="it-IT"/>
                <w:rPrChange w:id="3615" w:author="Author">
                  <w:rPr>
                    <w:sz w:val="21"/>
                    <w:szCs w:val="21"/>
                    <w:lang w:val="it-IT"/>
                  </w:rPr>
                </w:rPrChange>
              </w:rPr>
              <w:t>Cefalea, capogiro</w:t>
            </w:r>
          </w:p>
        </w:tc>
        <w:tc>
          <w:tcPr>
            <w:tcW w:w="930" w:type="pct"/>
            <w:tcPrChange w:id="3616" w:author="Author">
              <w:tcPr>
                <w:tcW w:w="1018" w:type="pct"/>
                <w:gridSpan w:val="2"/>
              </w:tcPr>
            </w:tcPrChange>
          </w:tcPr>
          <w:p>
            <w:pPr>
              <w:widowControl w:val="0"/>
              <w:tabs>
                <w:tab w:val="left" w:pos="180"/>
              </w:tabs>
              <w:suppressAutoHyphens/>
              <w:rPr>
                <w:noProof/>
                <w:sz w:val="20"/>
                <w:lang w:val="it-IT"/>
                <w:rPrChange w:id="3617" w:author="Author">
                  <w:rPr>
                    <w:sz w:val="21"/>
                    <w:szCs w:val="21"/>
                    <w:lang w:val="it-IT"/>
                  </w:rPr>
                </w:rPrChange>
              </w:rPr>
              <w:pPrChange w:id="3618" w:author="Author">
                <w:pPr>
                  <w:widowControl w:val="0"/>
                  <w:tabs>
                    <w:tab w:val="left" w:pos="180"/>
                  </w:tabs>
                  <w:spacing w:line="220" w:lineRule="exact"/>
                </w:pPr>
              </w:pPrChange>
            </w:pPr>
          </w:p>
        </w:tc>
        <w:tc>
          <w:tcPr>
            <w:tcW w:w="564" w:type="pct"/>
            <w:tcPrChange w:id="3619" w:author="Author">
              <w:tcPr>
                <w:tcW w:w="476" w:type="pct"/>
                <w:gridSpan w:val="2"/>
              </w:tcPr>
            </w:tcPrChange>
          </w:tcPr>
          <w:p>
            <w:pPr>
              <w:widowControl w:val="0"/>
              <w:tabs>
                <w:tab w:val="left" w:pos="180"/>
              </w:tabs>
              <w:suppressAutoHyphens/>
              <w:rPr>
                <w:noProof/>
                <w:sz w:val="20"/>
                <w:lang w:val="it-IT"/>
                <w:rPrChange w:id="3620" w:author="Author">
                  <w:rPr>
                    <w:sz w:val="21"/>
                    <w:szCs w:val="21"/>
                    <w:lang w:val="it-IT"/>
                  </w:rPr>
                </w:rPrChange>
              </w:rPr>
              <w:pPrChange w:id="3621" w:author="Author">
                <w:pPr>
                  <w:widowControl w:val="0"/>
                  <w:tabs>
                    <w:tab w:val="left" w:pos="180"/>
                  </w:tabs>
                  <w:spacing w:line="220" w:lineRule="exact"/>
                </w:pPr>
              </w:pPrChange>
            </w:pPr>
          </w:p>
        </w:tc>
        <w:tc>
          <w:tcPr>
            <w:tcW w:w="615" w:type="pct"/>
            <w:tcPrChange w:id="3622" w:author="Author">
              <w:tcPr>
                <w:tcW w:w="615" w:type="pct"/>
                <w:gridSpan w:val="2"/>
              </w:tcPr>
            </w:tcPrChange>
          </w:tcPr>
          <w:p>
            <w:pPr>
              <w:widowControl w:val="0"/>
              <w:tabs>
                <w:tab w:val="left" w:pos="180"/>
              </w:tabs>
              <w:suppressAutoHyphens/>
              <w:rPr>
                <w:noProof/>
                <w:sz w:val="20"/>
                <w:lang w:val="it-IT"/>
                <w:rPrChange w:id="3623" w:author="Author">
                  <w:rPr>
                    <w:sz w:val="21"/>
                    <w:szCs w:val="21"/>
                    <w:lang w:val="it-IT"/>
                  </w:rPr>
                </w:rPrChange>
              </w:rPr>
              <w:pPrChange w:id="3624" w:author="Author">
                <w:pPr>
                  <w:widowControl w:val="0"/>
                  <w:tabs>
                    <w:tab w:val="left" w:pos="180"/>
                  </w:tabs>
                  <w:spacing w:line="220" w:lineRule="exact"/>
                </w:pPr>
              </w:pPrChange>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Change w:id="3625"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
          </w:tblPrExChange>
        </w:tblPrEx>
        <w:trPr>
          <w:cantSplit/>
          <w:trPrChange w:id="3626" w:author="Author">
            <w:trPr>
              <w:cantSplit/>
            </w:trPr>
          </w:trPrChange>
        </w:trPr>
        <w:tc>
          <w:tcPr>
            <w:tcW w:w="924" w:type="pct"/>
            <w:tcPrChange w:id="3627" w:author="Author">
              <w:tcPr>
                <w:tcW w:w="924" w:type="pct"/>
              </w:tcPr>
            </w:tcPrChange>
          </w:tcPr>
          <w:p>
            <w:pPr>
              <w:widowControl w:val="0"/>
              <w:tabs>
                <w:tab w:val="left" w:pos="180"/>
              </w:tabs>
              <w:suppressAutoHyphens/>
              <w:rPr>
                <w:noProof/>
                <w:sz w:val="20"/>
                <w:lang w:val="it-IT"/>
                <w:rPrChange w:id="3628" w:author="Author">
                  <w:rPr>
                    <w:sz w:val="21"/>
                    <w:szCs w:val="21"/>
                    <w:lang w:val="it-IT"/>
                  </w:rPr>
                </w:rPrChange>
              </w:rPr>
              <w:pPrChange w:id="3629" w:author="Author">
                <w:pPr>
                  <w:widowControl w:val="0"/>
                  <w:tabs>
                    <w:tab w:val="left" w:pos="180"/>
                  </w:tabs>
                  <w:spacing w:line="220" w:lineRule="exact"/>
                </w:pPr>
              </w:pPrChange>
            </w:pPr>
            <w:r>
              <w:rPr>
                <w:noProof/>
                <w:sz w:val="20"/>
                <w:lang w:val="it-IT"/>
                <w:rPrChange w:id="3630" w:author="Author">
                  <w:rPr>
                    <w:sz w:val="21"/>
                    <w:szCs w:val="21"/>
                    <w:lang w:val="it-IT"/>
                  </w:rPr>
                </w:rPrChange>
              </w:rPr>
              <w:t>Patologie dell’occhio</w:t>
            </w:r>
          </w:p>
        </w:tc>
        <w:tc>
          <w:tcPr>
            <w:tcW w:w="1020" w:type="pct"/>
            <w:tcPrChange w:id="3631" w:author="Author">
              <w:tcPr>
                <w:tcW w:w="1020" w:type="pct"/>
                <w:gridSpan w:val="2"/>
              </w:tcPr>
            </w:tcPrChange>
          </w:tcPr>
          <w:p>
            <w:pPr>
              <w:widowControl w:val="0"/>
              <w:tabs>
                <w:tab w:val="left" w:pos="180"/>
              </w:tabs>
              <w:suppressAutoHyphens/>
              <w:rPr>
                <w:noProof/>
                <w:sz w:val="20"/>
                <w:lang w:val="it-IT"/>
                <w:rPrChange w:id="3632" w:author="Author">
                  <w:rPr>
                    <w:sz w:val="21"/>
                    <w:szCs w:val="21"/>
                    <w:lang w:val="it-IT"/>
                  </w:rPr>
                </w:rPrChange>
              </w:rPr>
              <w:pPrChange w:id="3633" w:author="Author">
                <w:pPr>
                  <w:widowControl w:val="0"/>
                  <w:tabs>
                    <w:tab w:val="left" w:pos="180"/>
                  </w:tabs>
                  <w:spacing w:line="220" w:lineRule="exact"/>
                </w:pPr>
              </w:pPrChange>
            </w:pPr>
          </w:p>
        </w:tc>
        <w:tc>
          <w:tcPr>
            <w:tcW w:w="947" w:type="pct"/>
            <w:tcPrChange w:id="3634" w:author="Author">
              <w:tcPr>
                <w:tcW w:w="947" w:type="pct"/>
                <w:gridSpan w:val="2"/>
              </w:tcPr>
            </w:tcPrChange>
          </w:tcPr>
          <w:p>
            <w:pPr>
              <w:widowControl w:val="0"/>
              <w:tabs>
                <w:tab w:val="left" w:pos="180"/>
              </w:tabs>
              <w:suppressAutoHyphens/>
              <w:rPr>
                <w:noProof/>
                <w:sz w:val="20"/>
                <w:lang w:val="it-IT"/>
                <w:rPrChange w:id="3635" w:author="Author">
                  <w:rPr>
                    <w:sz w:val="21"/>
                    <w:szCs w:val="21"/>
                    <w:lang w:val="it-IT"/>
                  </w:rPr>
                </w:rPrChange>
              </w:rPr>
              <w:pPrChange w:id="3636" w:author="Author">
                <w:pPr>
                  <w:widowControl w:val="0"/>
                  <w:tabs>
                    <w:tab w:val="left" w:pos="180"/>
                  </w:tabs>
                  <w:spacing w:line="220" w:lineRule="exact"/>
                </w:pPr>
              </w:pPrChange>
            </w:pPr>
            <w:r>
              <w:rPr>
                <w:noProof/>
                <w:sz w:val="20"/>
                <w:lang w:val="it-IT"/>
                <w:rPrChange w:id="3637" w:author="Author">
                  <w:rPr>
                    <w:sz w:val="21"/>
                    <w:szCs w:val="21"/>
                    <w:lang w:val="it-IT"/>
                  </w:rPr>
                </w:rPrChange>
              </w:rPr>
              <w:t>Congiuntivite</w:t>
            </w:r>
          </w:p>
        </w:tc>
        <w:tc>
          <w:tcPr>
            <w:tcW w:w="930" w:type="pct"/>
            <w:tcPrChange w:id="3638" w:author="Author">
              <w:tcPr>
                <w:tcW w:w="1018" w:type="pct"/>
                <w:gridSpan w:val="2"/>
              </w:tcPr>
            </w:tcPrChange>
          </w:tcPr>
          <w:p>
            <w:pPr>
              <w:widowControl w:val="0"/>
              <w:tabs>
                <w:tab w:val="left" w:pos="180"/>
              </w:tabs>
              <w:suppressAutoHyphens/>
              <w:rPr>
                <w:noProof/>
                <w:sz w:val="20"/>
                <w:lang w:val="it-IT"/>
                <w:rPrChange w:id="3639" w:author="Author">
                  <w:rPr>
                    <w:sz w:val="21"/>
                    <w:szCs w:val="21"/>
                    <w:lang w:val="it-IT"/>
                  </w:rPr>
                </w:rPrChange>
              </w:rPr>
              <w:pPrChange w:id="3640" w:author="Author">
                <w:pPr>
                  <w:widowControl w:val="0"/>
                  <w:tabs>
                    <w:tab w:val="left" w:pos="180"/>
                  </w:tabs>
                  <w:spacing w:line="220" w:lineRule="exact"/>
                </w:pPr>
              </w:pPrChange>
            </w:pPr>
          </w:p>
        </w:tc>
        <w:tc>
          <w:tcPr>
            <w:tcW w:w="564" w:type="pct"/>
            <w:tcPrChange w:id="3641" w:author="Author">
              <w:tcPr>
                <w:tcW w:w="476" w:type="pct"/>
                <w:gridSpan w:val="2"/>
              </w:tcPr>
            </w:tcPrChange>
          </w:tcPr>
          <w:p>
            <w:pPr>
              <w:widowControl w:val="0"/>
              <w:tabs>
                <w:tab w:val="left" w:pos="180"/>
              </w:tabs>
              <w:suppressAutoHyphens/>
              <w:rPr>
                <w:noProof/>
                <w:sz w:val="20"/>
                <w:lang w:val="it-IT"/>
                <w:rPrChange w:id="3642" w:author="Author">
                  <w:rPr>
                    <w:sz w:val="21"/>
                    <w:szCs w:val="21"/>
                    <w:lang w:val="it-IT"/>
                  </w:rPr>
                </w:rPrChange>
              </w:rPr>
              <w:pPrChange w:id="3643" w:author="Author">
                <w:pPr>
                  <w:widowControl w:val="0"/>
                  <w:tabs>
                    <w:tab w:val="left" w:pos="180"/>
                  </w:tabs>
                  <w:spacing w:line="220" w:lineRule="exact"/>
                </w:pPr>
              </w:pPrChange>
            </w:pPr>
          </w:p>
        </w:tc>
        <w:tc>
          <w:tcPr>
            <w:tcW w:w="615" w:type="pct"/>
            <w:tcPrChange w:id="3644" w:author="Author">
              <w:tcPr>
                <w:tcW w:w="615" w:type="pct"/>
                <w:gridSpan w:val="2"/>
              </w:tcPr>
            </w:tcPrChange>
          </w:tcPr>
          <w:p>
            <w:pPr>
              <w:widowControl w:val="0"/>
              <w:tabs>
                <w:tab w:val="left" w:pos="180"/>
              </w:tabs>
              <w:suppressAutoHyphens/>
              <w:rPr>
                <w:noProof/>
                <w:sz w:val="20"/>
                <w:lang w:val="it-IT"/>
                <w:rPrChange w:id="3645" w:author="Author">
                  <w:rPr>
                    <w:sz w:val="21"/>
                    <w:szCs w:val="21"/>
                    <w:lang w:val="it-IT"/>
                  </w:rPr>
                </w:rPrChange>
              </w:rPr>
              <w:pPrChange w:id="3646" w:author="Author">
                <w:pPr>
                  <w:widowControl w:val="0"/>
                  <w:tabs>
                    <w:tab w:val="left" w:pos="180"/>
                  </w:tabs>
                  <w:spacing w:line="220" w:lineRule="exact"/>
                </w:pPr>
              </w:pPrChange>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Change w:id="3647"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
          </w:tblPrExChange>
        </w:tblPrEx>
        <w:trPr>
          <w:cantSplit/>
          <w:trPrChange w:id="3648" w:author="Author">
            <w:trPr>
              <w:cantSplit/>
            </w:trPr>
          </w:trPrChange>
        </w:trPr>
        <w:tc>
          <w:tcPr>
            <w:tcW w:w="924" w:type="pct"/>
            <w:tcBorders>
              <w:top w:val="single" w:sz="4" w:space="0" w:color="auto"/>
              <w:left w:val="single" w:sz="4" w:space="0" w:color="auto"/>
              <w:bottom w:val="single" w:sz="4" w:space="0" w:color="auto"/>
              <w:right w:val="single" w:sz="4" w:space="0" w:color="auto"/>
            </w:tcBorders>
            <w:tcPrChange w:id="3649" w:author="Author">
              <w:tcPr>
                <w:tcW w:w="924" w:type="pct"/>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650" w:author="Author">
                  <w:rPr>
                    <w:sz w:val="21"/>
                    <w:szCs w:val="21"/>
                    <w:lang w:val="it-IT"/>
                  </w:rPr>
                </w:rPrChange>
              </w:rPr>
              <w:pPrChange w:id="3651" w:author="Author">
                <w:pPr>
                  <w:widowControl w:val="0"/>
                  <w:tabs>
                    <w:tab w:val="left" w:pos="180"/>
                  </w:tabs>
                  <w:spacing w:line="220" w:lineRule="exact"/>
                </w:pPr>
              </w:pPrChange>
            </w:pPr>
            <w:r>
              <w:rPr>
                <w:noProof/>
                <w:sz w:val="20"/>
                <w:lang w:val="it-IT"/>
                <w:rPrChange w:id="3652" w:author="Author">
                  <w:rPr>
                    <w:sz w:val="21"/>
                    <w:szCs w:val="21"/>
                    <w:lang w:val="it-IT"/>
                  </w:rPr>
                </w:rPrChange>
              </w:rPr>
              <w:t>Patologie vascolari</w:t>
            </w:r>
          </w:p>
        </w:tc>
        <w:tc>
          <w:tcPr>
            <w:tcW w:w="1020" w:type="pct"/>
            <w:tcBorders>
              <w:top w:val="single" w:sz="4" w:space="0" w:color="auto"/>
              <w:left w:val="single" w:sz="4" w:space="0" w:color="auto"/>
              <w:bottom w:val="single" w:sz="4" w:space="0" w:color="auto"/>
              <w:right w:val="single" w:sz="4" w:space="0" w:color="auto"/>
            </w:tcBorders>
            <w:tcPrChange w:id="3653" w:author="Author">
              <w:tcPr>
                <w:tcW w:w="1020"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654" w:author="Author">
                  <w:rPr>
                    <w:sz w:val="21"/>
                    <w:szCs w:val="21"/>
                    <w:lang w:val="it-IT"/>
                  </w:rPr>
                </w:rPrChange>
              </w:rPr>
              <w:pPrChange w:id="3655" w:author="Author">
                <w:pPr>
                  <w:widowControl w:val="0"/>
                  <w:tabs>
                    <w:tab w:val="left" w:pos="180"/>
                  </w:tabs>
                  <w:spacing w:line="220" w:lineRule="exact"/>
                </w:pPr>
              </w:pPrChange>
            </w:pPr>
          </w:p>
        </w:tc>
        <w:tc>
          <w:tcPr>
            <w:tcW w:w="947" w:type="pct"/>
            <w:tcBorders>
              <w:top w:val="single" w:sz="4" w:space="0" w:color="auto"/>
              <w:left w:val="single" w:sz="4" w:space="0" w:color="auto"/>
              <w:bottom w:val="single" w:sz="4" w:space="0" w:color="auto"/>
              <w:right w:val="single" w:sz="4" w:space="0" w:color="auto"/>
            </w:tcBorders>
            <w:tcPrChange w:id="3656" w:author="Author">
              <w:tcPr>
                <w:tcW w:w="947"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657" w:author="Author">
                  <w:rPr>
                    <w:sz w:val="21"/>
                    <w:szCs w:val="21"/>
                    <w:lang w:val="it-IT"/>
                  </w:rPr>
                </w:rPrChange>
              </w:rPr>
              <w:pPrChange w:id="3658" w:author="Author">
                <w:pPr>
                  <w:widowControl w:val="0"/>
                  <w:tabs>
                    <w:tab w:val="left" w:pos="180"/>
                  </w:tabs>
                  <w:spacing w:line="220" w:lineRule="exact"/>
                </w:pPr>
              </w:pPrChange>
            </w:pPr>
            <w:r>
              <w:rPr>
                <w:noProof/>
                <w:sz w:val="20"/>
                <w:lang w:val="it-IT"/>
                <w:rPrChange w:id="3659" w:author="Author">
                  <w:rPr>
                    <w:sz w:val="21"/>
                    <w:szCs w:val="21"/>
                    <w:lang w:val="it-IT"/>
                  </w:rPr>
                </w:rPrChange>
              </w:rPr>
              <w:t>Ipertensione</w:t>
            </w:r>
          </w:p>
        </w:tc>
        <w:tc>
          <w:tcPr>
            <w:tcW w:w="930" w:type="pct"/>
            <w:tcPrChange w:id="3660" w:author="Author">
              <w:tcPr>
                <w:tcW w:w="1018" w:type="pct"/>
                <w:gridSpan w:val="2"/>
              </w:tcPr>
            </w:tcPrChange>
          </w:tcPr>
          <w:p>
            <w:pPr>
              <w:widowControl w:val="0"/>
              <w:tabs>
                <w:tab w:val="left" w:pos="180"/>
              </w:tabs>
              <w:suppressAutoHyphens/>
              <w:rPr>
                <w:noProof/>
                <w:sz w:val="20"/>
                <w:lang w:val="it-IT"/>
                <w:rPrChange w:id="3661" w:author="Author">
                  <w:rPr>
                    <w:sz w:val="21"/>
                    <w:szCs w:val="21"/>
                    <w:lang w:val="it-IT"/>
                  </w:rPr>
                </w:rPrChange>
              </w:rPr>
              <w:pPrChange w:id="3662" w:author="Author">
                <w:pPr>
                  <w:widowControl w:val="0"/>
                  <w:tabs>
                    <w:tab w:val="left" w:pos="180"/>
                  </w:tabs>
                  <w:spacing w:line="220" w:lineRule="exact"/>
                </w:pPr>
              </w:pPrChange>
            </w:pPr>
          </w:p>
        </w:tc>
        <w:tc>
          <w:tcPr>
            <w:tcW w:w="564" w:type="pct"/>
            <w:tcPrChange w:id="3663" w:author="Author">
              <w:tcPr>
                <w:tcW w:w="476" w:type="pct"/>
                <w:gridSpan w:val="2"/>
              </w:tcPr>
            </w:tcPrChange>
          </w:tcPr>
          <w:p>
            <w:pPr>
              <w:widowControl w:val="0"/>
              <w:tabs>
                <w:tab w:val="left" w:pos="180"/>
              </w:tabs>
              <w:suppressAutoHyphens/>
              <w:rPr>
                <w:noProof/>
                <w:sz w:val="20"/>
                <w:lang w:val="it-IT"/>
                <w:rPrChange w:id="3664" w:author="Author">
                  <w:rPr>
                    <w:sz w:val="21"/>
                    <w:szCs w:val="21"/>
                    <w:lang w:val="it-IT"/>
                  </w:rPr>
                </w:rPrChange>
              </w:rPr>
              <w:pPrChange w:id="3665" w:author="Author">
                <w:pPr>
                  <w:widowControl w:val="0"/>
                  <w:tabs>
                    <w:tab w:val="left" w:pos="180"/>
                  </w:tabs>
                  <w:spacing w:line="220" w:lineRule="exact"/>
                </w:pPr>
              </w:pPrChange>
            </w:pPr>
          </w:p>
        </w:tc>
        <w:tc>
          <w:tcPr>
            <w:tcW w:w="615" w:type="pct"/>
            <w:tcPrChange w:id="3666" w:author="Author">
              <w:tcPr>
                <w:tcW w:w="615" w:type="pct"/>
                <w:gridSpan w:val="2"/>
              </w:tcPr>
            </w:tcPrChange>
          </w:tcPr>
          <w:p>
            <w:pPr>
              <w:widowControl w:val="0"/>
              <w:tabs>
                <w:tab w:val="left" w:pos="180"/>
              </w:tabs>
              <w:suppressAutoHyphens/>
              <w:rPr>
                <w:noProof/>
                <w:sz w:val="20"/>
                <w:lang w:val="it-IT"/>
                <w:rPrChange w:id="3667" w:author="Author">
                  <w:rPr>
                    <w:sz w:val="21"/>
                    <w:szCs w:val="21"/>
                    <w:lang w:val="it-IT"/>
                  </w:rPr>
                </w:rPrChange>
              </w:rPr>
              <w:pPrChange w:id="3668" w:author="Author">
                <w:pPr>
                  <w:widowControl w:val="0"/>
                  <w:tabs>
                    <w:tab w:val="left" w:pos="180"/>
                  </w:tabs>
                  <w:spacing w:line="220" w:lineRule="exact"/>
                </w:pPr>
              </w:pPrChange>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Change w:id="3669"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
          </w:tblPrExChange>
        </w:tblPrEx>
        <w:trPr>
          <w:cantSplit/>
          <w:trPrChange w:id="3670" w:author="Author">
            <w:trPr>
              <w:cantSplit/>
            </w:trPr>
          </w:trPrChange>
        </w:trPr>
        <w:tc>
          <w:tcPr>
            <w:tcW w:w="924" w:type="pct"/>
            <w:tcBorders>
              <w:top w:val="single" w:sz="4" w:space="0" w:color="auto"/>
              <w:left w:val="single" w:sz="4" w:space="0" w:color="auto"/>
              <w:bottom w:val="single" w:sz="4" w:space="0" w:color="auto"/>
              <w:right w:val="single" w:sz="4" w:space="0" w:color="auto"/>
            </w:tcBorders>
            <w:tcPrChange w:id="3671" w:author="Author">
              <w:tcPr>
                <w:tcW w:w="924" w:type="pct"/>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672" w:author="Author">
                  <w:rPr>
                    <w:sz w:val="21"/>
                    <w:szCs w:val="21"/>
                    <w:lang w:val="it-IT"/>
                  </w:rPr>
                </w:rPrChange>
              </w:rPr>
              <w:pPrChange w:id="3673" w:author="Author">
                <w:pPr>
                  <w:widowControl w:val="0"/>
                  <w:tabs>
                    <w:tab w:val="left" w:pos="180"/>
                  </w:tabs>
                  <w:spacing w:line="220" w:lineRule="exact"/>
                </w:pPr>
              </w:pPrChange>
            </w:pPr>
            <w:r>
              <w:rPr>
                <w:noProof/>
                <w:sz w:val="20"/>
                <w:lang w:val="it-IT"/>
                <w:rPrChange w:id="3674" w:author="Author">
                  <w:rPr>
                    <w:sz w:val="21"/>
                    <w:szCs w:val="21"/>
                    <w:lang w:val="it-IT"/>
                  </w:rPr>
                </w:rPrChange>
              </w:rPr>
              <w:t>Patologie respiratorie, toraciche e mediastiniche</w:t>
            </w:r>
          </w:p>
        </w:tc>
        <w:tc>
          <w:tcPr>
            <w:tcW w:w="1020" w:type="pct"/>
            <w:tcBorders>
              <w:top w:val="single" w:sz="4" w:space="0" w:color="auto"/>
              <w:left w:val="single" w:sz="4" w:space="0" w:color="auto"/>
              <w:bottom w:val="single" w:sz="4" w:space="0" w:color="auto"/>
              <w:right w:val="single" w:sz="4" w:space="0" w:color="auto"/>
            </w:tcBorders>
            <w:tcPrChange w:id="3675" w:author="Author">
              <w:tcPr>
                <w:tcW w:w="1020"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676" w:author="Author">
                  <w:rPr>
                    <w:sz w:val="21"/>
                    <w:szCs w:val="21"/>
                    <w:lang w:val="it-IT"/>
                  </w:rPr>
                </w:rPrChange>
              </w:rPr>
              <w:pPrChange w:id="3677" w:author="Author">
                <w:pPr>
                  <w:widowControl w:val="0"/>
                  <w:tabs>
                    <w:tab w:val="left" w:pos="180"/>
                  </w:tabs>
                  <w:spacing w:line="220" w:lineRule="exact"/>
                </w:pPr>
              </w:pPrChange>
            </w:pPr>
          </w:p>
        </w:tc>
        <w:tc>
          <w:tcPr>
            <w:tcW w:w="947" w:type="pct"/>
            <w:tcBorders>
              <w:top w:val="single" w:sz="4" w:space="0" w:color="auto"/>
              <w:left w:val="single" w:sz="4" w:space="0" w:color="auto"/>
              <w:bottom w:val="single" w:sz="4" w:space="0" w:color="auto"/>
              <w:right w:val="single" w:sz="4" w:space="0" w:color="auto"/>
            </w:tcBorders>
            <w:tcPrChange w:id="3678" w:author="Author">
              <w:tcPr>
                <w:tcW w:w="947"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679" w:author="Author">
                  <w:rPr>
                    <w:sz w:val="21"/>
                    <w:szCs w:val="21"/>
                    <w:lang w:val="it-IT"/>
                  </w:rPr>
                </w:rPrChange>
              </w:rPr>
              <w:pPrChange w:id="3680" w:author="Author">
                <w:pPr>
                  <w:widowControl w:val="0"/>
                  <w:tabs>
                    <w:tab w:val="left" w:pos="180"/>
                  </w:tabs>
                  <w:spacing w:line="220" w:lineRule="exact"/>
                </w:pPr>
              </w:pPrChange>
            </w:pPr>
            <w:r>
              <w:rPr>
                <w:noProof/>
                <w:sz w:val="20"/>
                <w:lang w:val="it-IT"/>
                <w:rPrChange w:id="3681" w:author="Author">
                  <w:rPr>
                    <w:sz w:val="21"/>
                    <w:szCs w:val="21"/>
                    <w:lang w:val="it-IT"/>
                  </w:rPr>
                </w:rPrChange>
              </w:rPr>
              <w:t>Tosse, dispnea</w:t>
            </w:r>
          </w:p>
        </w:tc>
        <w:tc>
          <w:tcPr>
            <w:tcW w:w="930" w:type="pct"/>
            <w:tcPrChange w:id="3682" w:author="Author">
              <w:tcPr>
                <w:tcW w:w="1018" w:type="pct"/>
                <w:gridSpan w:val="2"/>
              </w:tcPr>
            </w:tcPrChange>
          </w:tcPr>
          <w:p>
            <w:pPr>
              <w:widowControl w:val="0"/>
              <w:tabs>
                <w:tab w:val="left" w:pos="180"/>
              </w:tabs>
              <w:suppressAutoHyphens/>
              <w:rPr>
                <w:noProof/>
                <w:sz w:val="20"/>
                <w:lang w:val="it-IT"/>
                <w:rPrChange w:id="3683" w:author="Author">
                  <w:rPr>
                    <w:sz w:val="21"/>
                    <w:szCs w:val="21"/>
                    <w:lang w:val="it-IT"/>
                  </w:rPr>
                </w:rPrChange>
              </w:rPr>
              <w:pPrChange w:id="3684" w:author="Author">
                <w:pPr>
                  <w:widowControl w:val="0"/>
                  <w:tabs>
                    <w:tab w:val="left" w:pos="180"/>
                  </w:tabs>
                  <w:spacing w:line="220" w:lineRule="exact"/>
                </w:pPr>
              </w:pPrChange>
            </w:pPr>
          </w:p>
        </w:tc>
        <w:tc>
          <w:tcPr>
            <w:tcW w:w="564" w:type="pct"/>
            <w:tcPrChange w:id="3685" w:author="Author">
              <w:tcPr>
                <w:tcW w:w="476" w:type="pct"/>
                <w:gridSpan w:val="2"/>
              </w:tcPr>
            </w:tcPrChange>
          </w:tcPr>
          <w:p>
            <w:pPr>
              <w:widowControl w:val="0"/>
              <w:tabs>
                <w:tab w:val="left" w:pos="180"/>
              </w:tabs>
              <w:suppressAutoHyphens/>
              <w:rPr>
                <w:noProof/>
                <w:sz w:val="20"/>
                <w:lang w:val="it-IT"/>
                <w:rPrChange w:id="3686" w:author="Author">
                  <w:rPr>
                    <w:sz w:val="21"/>
                    <w:szCs w:val="21"/>
                    <w:lang w:val="it-IT"/>
                  </w:rPr>
                </w:rPrChange>
              </w:rPr>
              <w:pPrChange w:id="3687" w:author="Author">
                <w:pPr>
                  <w:widowControl w:val="0"/>
                  <w:tabs>
                    <w:tab w:val="left" w:pos="180"/>
                  </w:tabs>
                  <w:spacing w:line="220" w:lineRule="exact"/>
                </w:pPr>
              </w:pPrChange>
            </w:pPr>
          </w:p>
        </w:tc>
        <w:tc>
          <w:tcPr>
            <w:tcW w:w="615" w:type="pct"/>
            <w:tcPrChange w:id="3688" w:author="Author">
              <w:tcPr>
                <w:tcW w:w="615" w:type="pct"/>
                <w:gridSpan w:val="2"/>
              </w:tcPr>
            </w:tcPrChange>
          </w:tcPr>
          <w:p>
            <w:pPr>
              <w:widowControl w:val="0"/>
              <w:tabs>
                <w:tab w:val="left" w:pos="180"/>
              </w:tabs>
              <w:suppressAutoHyphens/>
              <w:rPr>
                <w:noProof/>
                <w:sz w:val="20"/>
                <w:lang w:val="it-IT"/>
                <w:rPrChange w:id="3689" w:author="Author">
                  <w:rPr>
                    <w:sz w:val="21"/>
                    <w:szCs w:val="21"/>
                    <w:lang w:val="it-IT"/>
                  </w:rPr>
                </w:rPrChange>
              </w:rPr>
              <w:pPrChange w:id="3690" w:author="Author">
                <w:pPr>
                  <w:widowControl w:val="0"/>
                  <w:tabs>
                    <w:tab w:val="left" w:pos="180"/>
                  </w:tabs>
                  <w:spacing w:line="220" w:lineRule="exact"/>
                </w:pPr>
              </w:pPrChange>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Change w:id="3691"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
          </w:tblPrExChange>
        </w:tblPrEx>
        <w:trPr>
          <w:cantSplit/>
          <w:trPrChange w:id="3692" w:author="Author">
            <w:trPr>
              <w:cantSplit/>
            </w:trPr>
          </w:trPrChange>
        </w:trPr>
        <w:tc>
          <w:tcPr>
            <w:tcW w:w="924" w:type="pct"/>
            <w:tcBorders>
              <w:top w:val="single" w:sz="4" w:space="0" w:color="auto"/>
              <w:left w:val="single" w:sz="4" w:space="0" w:color="auto"/>
              <w:bottom w:val="single" w:sz="4" w:space="0" w:color="auto"/>
              <w:right w:val="single" w:sz="4" w:space="0" w:color="auto"/>
            </w:tcBorders>
            <w:tcPrChange w:id="3693" w:author="Author">
              <w:tcPr>
                <w:tcW w:w="924" w:type="pct"/>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694" w:author="Author">
                  <w:rPr>
                    <w:sz w:val="21"/>
                    <w:szCs w:val="21"/>
                    <w:lang w:val="it-IT"/>
                  </w:rPr>
                </w:rPrChange>
              </w:rPr>
              <w:pPrChange w:id="3695" w:author="Author">
                <w:pPr>
                  <w:widowControl w:val="0"/>
                  <w:tabs>
                    <w:tab w:val="left" w:pos="180"/>
                  </w:tabs>
                  <w:spacing w:line="220" w:lineRule="exact"/>
                </w:pPr>
              </w:pPrChange>
            </w:pPr>
            <w:r>
              <w:rPr>
                <w:noProof/>
                <w:sz w:val="20"/>
                <w:lang w:val="it-IT"/>
                <w:rPrChange w:id="3696" w:author="Author">
                  <w:rPr>
                    <w:sz w:val="21"/>
                    <w:szCs w:val="21"/>
                    <w:lang w:val="it-IT"/>
                  </w:rPr>
                </w:rPrChange>
              </w:rPr>
              <w:t>Patologie gastrointestinali</w:t>
            </w:r>
          </w:p>
        </w:tc>
        <w:tc>
          <w:tcPr>
            <w:tcW w:w="1020" w:type="pct"/>
            <w:tcBorders>
              <w:top w:val="single" w:sz="4" w:space="0" w:color="auto"/>
              <w:left w:val="single" w:sz="4" w:space="0" w:color="auto"/>
              <w:bottom w:val="single" w:sz="4" w:space="0" w:color="auto"/>
              <w:right w:val="single" w:sz="4" w:space="0" w:color="auto"/>
            </w:tcBorders>
            <w:tcPrChange w:id="3697" w:author="Author">
              <w:tcPr>
                <w:tcW w:w="1020"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698" w:author="Author">
                  <w:rPr>
                    <w:sz w:val="21"/>
                    <w:szCs w:val="21"/>
                    <w:lang w:val="it-IT"/>
                  </w:rPr>
                </w:rPrChange>
              </w:rPr>
              <w:pPrChange w:id="3699" w:author="Author">
                <w:pPr>
                  <w:widowControl w:val="0"/>
                  <w:tabs>
                    <w:tab w:val="left" w:pos="180"/>
                  </w:tabs>
                  <w:spacing w:line="220" w:lineRule="exact"/>
                </w:pPr>
              </w:pPrChange>
            </w:pPr>
          </w:p>
        </w:tc>
        <w:tc>
          <w:tcPr>
            <w:tcW w:w="947" w:type="pct"/>
            <w:tcBorders>
              <w:top w:val="single" w:sz="4" w:space="0" w:color="auto"/>
              <w:left w:val="single" w:sz="4" w:space="0" w:color="auto"/>
              <w:bottom w:val="single" w:sz="4" w:space="0" w:color="auto"/>
              <w:right w:val="single" w:sz="4" w:space="0" w:color="auto"/>
            </w:tcBorders>
            <w:tcPrChange w:id="3700" w:author="Author">
              <w:tcPr>
                <w:tcW w:w="947"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01" w:author="Author">
                  <w:rPr>
                    <w:sz w:val="21"/>
                    <w:szCs w:val="21"/>
                    <w:lang w:val="it-IT"/>
                  </w:rPr>
                </w:rPrChange>
              </w:rPr>
              <w:pPrChange w:id="3702" w:author="Author">
                <w:pPr>
                  <w:widowControl w:val="0"/>
                  <w:tabs>
                    <w:tab w:val="left" w:pos="180"/>
                  </w:tabs>
                  <w:spacing w:line="220" w:lineRule="exact"/>
                </w:pPr>
              </w:pPrChange>
            </w:pPr>
            <w:r>
              <w:rPr>
                <w:noProof/>
                <w:sz w:val="20"/>
                <w:lang w:val="it-IT"/>
                <w:rPrChange w:id="3703" w:author="Author">
                  <w:rPr>
                    <w:sz w:val="21"/>
                    <w:szCs w:val="21"/>
                    <w:lang w:val="it-IT"/>
                  </w:rPr>
                </w:rPrChange>
              </w:rPr>
              <w:t>Dolore addominale, ulcerazione della bocca, gastrite</w:t>
            </w:r>
          </w:p>
        </w:tc>
        <w:tc>
          <w:tcPr>
            <w:tcW w:w="930" w:type="pct"/>
            <w:tcBorders>
              <w:top w:val="single" w:sz="4" w:space="0" w:color="auto"/>
              <w:left w:val="single" w:sz="4" w:space="0" w:color="auto"/>
              <w:bottom w:val="single" w:sz="4" w:space="0" w:color="auto"/>
              <w:right w:val="single" w:sz="4" w:space="0" w:color="auto"/>
            </w:tcBorders>
            <w:tcPrChange w:id="3704" w:author="Author">
              <w:tcPr>
                <w:tcW w:w="1018"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05" w:author="Author">
                  <w:rPr>
                    <w:sz w:val="21"/>
                    <w:szCs w:val="21"/>
                    <w:lang w:val="it-IT"/>
                  </w:rPr>
                </w:rPrChange>
              </w:rPr>
              <w:pPrChange w:id="3706" w:author="Author">
                <w:pPr>
                  <w:widowControl w:val="0"/>
                  <w:tabs>
                    <w:tab w:val="left" w:pos="180"/>
                  </w:tabs>
                  <w:spacing w:line="220" w:lineRule="exact"/>
                </w:pPr>
              </w:pPrChange>
            </w:pPr>
            <w:r>
              <w:rPr>
                <w:noProof/>
                <w:sz w:val="20"/>
                <w:lang w:val="it-IT"/>
                <w:rPrChange w:id="3707" w:author="Author">
                  <w:rPr>
                    <w:sz w:val="21"/>
                    <w:szCs w:val="21"/>
                    <w:lang w:val="it-IT"/>
                  </w:rPr>
                </w:rPrChange>
              </w:rPr>
              <w:t>Stomatite, ulcera gastrica</w:t>
            </w:r>
          </w:p>
        </w:tc>
        <w:tc>
          <w:tcPr>
            <w:tcW w:w="564" w:type="pct"/>
            <w:tcBorders>
              <w:top w:val="single" w:sz="4" w:space="0" w:color="auto"/>
              <w:left w:val="single" w:sz="4" w:space="0" w:color="auto"/>
              <w:bottom w:val="single" w:sz="4" w:space="0" w:color="auto"/>
              <w:right w:val="single" w:sz="4" w:space="0" w:color="auto"/>
            </w:tcBorders>
            <w:tcPrChange w:id="3708" w:author="Author">
              <w:tcPr>
                <w:tcW w:w="476"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09" w:author="Author">
                  <w:rPr>
                    <w:sz w:val="21"/>
                    <w:szCs w:val="21"/>
                    <w:lang w:val="it-IT"/>
                  </w:rPr>
                </w:rPrChange>
              </w:rPr>
              <w:pPrChange w:id="3710" w:author="Author">
                <w:pPr>
                  <w:widowControl w:val="0"/>
                  <w:tabs>
                    <w:tab w:val="left" w:pos="180"/>
                  </w:tabs>
                  <w:spacing w:line="220" w:lineRule="exact"/>
                </w:pPr>
              </w:pPrChange>
            </w:pPr>
          </w:p>
        </w:tc>
        <w:tc>
          <w:tcPr>
            <w:tcW w:w="615" w:type="pct"/>
            <w:tcBorders>
              <w:top w:val="single" w:sz="4" w:space="0" w:color="auto"/>
              <w:left w:val="single" w:sz="4" w:space="0" w:color="auto"/>
              <w:bottom w:val="single" w:sz="4" w:space="0" w:color="auto"/>
              <w:right w:val="single" w:sz="4" w:space="0" w:color="auto"/>
            </w:tcBorders>
            <w:tcPrChange w:id="3711" w:author="Author">
              <w:tcPr>
                <w:tcW w:w="615"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12" w:author="Author">
                  <w:rPr>
                    <w:sz w:val="21"/>
                    <w:szCs w:val="21"/>
                    <w:lang w:val="it-IT"/>
                  </w:rPr>
                </w:rPrChange>
              </w:rPr>
              <w:pPrChange w:id="3713" w:author="Author">
                <w:pPr>
                  <w:widowControl w:val="0"/>
                  <w:tabs>
                    <w:tab w:val="left" w:pos="180"/>
                  </w:tabs>
                  <w:spacing w:line="220" w:lineRule="exact"/>
                </w:pPr>
              </w:pPrChange>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Change w:id="3714"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
          </w:tblPrExChange>
        </w:tblPrEx>
        <w:trPr>
          <w:cantSplit/>
          <w:trPrChange w:id="3715" w:author="Author">
            <w:trPr>
              <w:cantSplit/>
            </w:trPr>
          </w:trPrChange>
        </w:trPr>
        <w:tc>
          <w:tcPr>
            <w:tcW w:w="924" w:type="pct"/>
            <w:tcBorders>
              <w:top w:val="single" w:sz="4" w:space="0" w:color="auto"/>
              <w:left w:val="single" w:sz="4" w:space="0" w:color="auto"/>
              <w:bottom w:val="single" w:sz="4" w:space="0" w:color="auto"/>
              <w:right w:val="single" w:sz="4" w:space="0" w:color="auto"/>
            </w:tcBorders>
            <w:tcPrChange w:id="3716" w:author="Author">
              <w:tcPr>
                <w:tcW w:w="924" w:type="pct"/>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17" w:author="Author">
                  <w:rPr>
                    <w:sz w:val="21"/>
                    <w:szCs w:val="21"/>
                    <w:lang w:val="it-IT"/>
                  </w:rPr>
                </w:rPrChange>
              </w:rPr>
              <w:pPrChange w:id="3718" w:author="Author">
                <w:pPr>
                  <w:widowControl w:val="0"/>
                  <w:tabs>
                    <w:tab w:val="left" w:pos="180"/>
                  </w:tabs>
                  <w:spacing w:line="220" w:lineRule="exact"/>
                </w:pPr>
              </w:pPrChange>
            </w:pPr>
            <w:r>
              <w:rPr>
                <w:noProof/>
                <w:sz w:val="20"/>
                <w:lang w:val="it-IT"/>
                <w:rPrChange w:id="3719" w:author="Author">
                  <w:rPr>
                    <w:sz w:val="21"/>
                    <w:szCs w:val="21"/>
                    <w:lang w:val="it-IT"/>
                  </w:rPr>
                </w:rPrChange>
              </w:rPr>
              <w:t>Patologie epatobiliari</w:t>
            </w:r>
          </w:p>
        </w:tc>
        <w:tc>
          <w:tcPr>
            <w:tcW w:w="1020" w:type="pct"/>
            <w:tcBorders>
              <w:top w:val="single" w:sz="4" w:space="0" w:color="auto"/>
              <w:left w:val="single" w:sz="4" w:space="0" w:color="auto"/>
              <w:bottom w:val="single" w:sz="4" w:space="0" w:color="auto"/>
              <w:right w:val="single" w:sz="4" w:space="0" w:color="auto"/>
            </w:tcBorders>
            <w:tcPrChange w:id="3720" w:author="Author">
              <w:tcPr>
                <w:tcW w:w="1020"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21" w:author="Author">
                  <w:rPr>
                    <w:sz w:val="21"/>
                    <w:szCs w:val="21"/>
                    <w:lang w:val="it-IT"/>
                  </w:rPr>
                </w:rPrChange>
              </w:rPr>
              <w:pPrChange w:id="3722" w:author="Author">
                <w:pPr>
                  <w:widowControl w:val="0"/>
                  <w:tabs>
                    <w:tab w:val="left" w:pos="180"/>
                  </w:tabs>
                  <w:spacing w:line="220" w:lineRule="exact"/>
                </w:pPr>
              </w:pPrChange>
            </w:pPr>
          </w:p>
        </w:tc>
        <w:tc>
          <w:tcPr>
            <w:tcW w:w="947" w:type="pct"/>
            <w:tcBorders>
              <w:top w:val="single" w:sz="4" w:space="0" w:color="auto"/>
              <w:left w:val="single" w:sz="4" w:space="0" w:color="auto"/>
              <w:bottom w:val="single" w:sz="4" w:space="0" w:color="auto"/>
              <w:right w:val="single" w:sz="4" w:space="0" w:color="auto"/>
            </w:tcBorders>
            <w:tcPrChange w:id="3723" w:author="Author">
              <w:tcPr>
                <w:tcW w:w="947"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24" w:author="Author">
                  <w:rPr>
                    <w:sz w:val="21"/>
                    <w:szCs w:val="21"/>
                    <w:lang w:val="it-IT"/>
                  </w:rPr>
                </w:rPrChange>
              </w:rPr>
              <w:pPrChange w:id="3725" w:author="Author">
                <w:pPr>
                  <w:widowControl w:val="0"/>
                  <w:tabs>
                    <w:tab w:val="left" w:pos="180"/>
                  </w:tabs>
                  <w:spacing w:line="220" w:lineRule="exact"/>
                </w:pPr>
              </w:pPrChange>
            </w:pPr>
          </w:p>
        </w:tc>
        <w:tc>
          <w:tcPr>
            <w:tcW w:w="930" w:type="pct"/>
            <w:tcBorders>
              <w:top w:val="single" w:sz="4" w:space="0" w:color="auto"/>
              <w:left w:val="single" w:sz="4" w:space="0" w:color="auto"/>
              <w:bottom w:val="single" w:sz="4" w:space="0" w:color="auto"/>
              <w:right w:val="single" w:sz="4" w:space="0" w:color="auto"/>
            </w:tcBorders>
            <w:tcPrChange w:id="3726" w:author="Author">
              <w:tcPr>
                <w:tcW w:w="1018"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27" w:author="Author">
                  <w:rPr>
                    <w:sz w:val="21"/>
                    <w:szCs w:val="21"/>
                    <w:lang w:val="it-IT"/>
                  </w:rPr>
                </w:rPrChange>
              </w:rPr>
              <w:pPrChange w:id="3728" w:author="Author">
                <w:pPr>
                  <w:widowControl w:val="0"/>
                  <w:tabs>
                    <w:tab w:val="left" w:pos="180"/>
                  </w:tabs>
                  <w:spacing w:line="220" w:lineRule="exact"/>
                </w:pPr>
              </w:pPrChange>
            </w:pPr>
          </w:p>
        </w:tc>
        <w:tc>
          <w:tcPr>
            <w:tcW w:w="564" w:type="pct"/>
            <w:tcBorders>
              <w:top w:val="single" w:sz="4" w:space="0" w:color="auto"/>
              <w:left w:val="single" w:sz="4" w:space="0" w:color="auto"/>
              <w:bottom w:val="single" w:sz="4" w:space="0" w:color="auto"/>
              <w:right w:val="single" w:sz="4" w:space="0" w:color="auto"/>
            </w:tcBorders>
            <w:tcPrChange w:id="3729" w:author="Author">
              <w:tcPr>
                <w:tcW w:w="476"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del w:id="3730" w:author="Author"/>
                <w:noProof/>
                <w:sz w:val="20"/>
                <w:lang w:val="it-IT"/>
                <w:rPrChange w:id="3731" w:author="Author">
                  <w:rPr>
                    <w:del w:id="3732" w:author="Author"/>
                    <w:sz w:val="21"/>
                    <w:szCs w:val="21"/>
                    <w:lang w:val="it-IT"/>
                  </w:rPr>
                </w:rPrChange>
              </w:rPr>
              <w:pPrChange w:id="3733" w:author="Author">
                <w:pPr>
                  <w:widowControl w:val="0"/>
                  <w:tabs>
                    <w:tab w:val="left" w:pos="180"/>
                  </w:tabs>
                </w:pPr>
              </w:pPrChange>
            </w:pPr>
            <w:r>
              <w:rPr>
                <w:noProof/>
                <w:sz w:val="20"/>
                <w:lang w:val="it-IT"/>
                <w:rPrChange w:id="3734" w:author="Author">
                  <w:rPr>
                    <w:sz w:val="21"/>
                    <w:szCs w:val="21"/>
                    <w:lang w:val="it-IT"/>
                  </w:rPr>
                </w:rPrChange>
              </w:rPr>
              <w:t>Danno epatico da farmaci, epatite, ittero</w:t>
            </w:r>
          </w:p>
          <w:p>
            <w:pPr>
              <w:widowControl w:val="0"/>
              <w:tabs>
                <w:tab w:val="left" w:pos="180"/>
              </w:tabs>
              <w:suppressAutoHyphens/>
              <w:rPr>
                <w:noProof/>
                <w:sz w:val="20"/>
                <w:lang w:val="it-IT"/>
                <w:rPrChange w:id="3735" w:author="Author">
                  <w:rPr>
                    <w:sz w:val="21"/>
                    <w:szCs w:val="21"/>
                    <w:lang w:val="it-IT"/>
                  </w:rPr>
                </w:rPrChange>
              </w:rPr>
              <w:pPrChange w:id="3736" w:author="Author">
                <w:pPr>
                  <w:widowControl w:val="0"/>
                  <w:tabs>
                    <w:tab w:val="left" w:pos="180"/>
                  </w:tabs>
                  <w:spacing w:line="220" w:lineRule="exact"/>
                </w:pPr>
              </w:pPrChange>
            </w:pPr>
          </w:p>
        </w:tc>
        <w:tc>
          <w:tcPr>
            <w:tcW w:w="615" w:type="pct"/>
            <w:tcBorders>
              <w:top w:val="single" w:sz="4" w:space="0" w:color="auto"/>
              <w:left w:val="single" w:sz="4" w:space="0" w:color="auto"/>
              <w:bottom w:val="single" w:sz="4" w:space="0" w:color="auto"/>
              <w:right w:val="single" w:sz="4" w:space="0" w:color="auto"/>
            </w:tcBorders>
            <w:tcPrChange w:id="3737" w:author="Author">
              <w:tcPr>
                <w:tcW w:w="615"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38" w:author="Author">
                  <w:rPr>
                    <w:sz w:val="21"/>
                    <w:szCs w:val="21"/>
                    <w:lang w:val="it-IT"/>
                  </w:rPr>
                </w:rPrChange>
              </w:rPr>
              <w:pPrChange w:id="3739" w:author="Author">
                <w:pPr>
                  <w:widowControl w:val="0"/>
                  <w:tabs>
                    <w:tab w:val="left" w:pos="180"/>
                  </w:tabs>
                </w:pPr>
              </w:pPrChange>
            </w:pPr>
            <w:r>
              <w:rPr>
                <w:noProof/>
                <w:sz w:val="20"/>
                <w:lang w:val="it-IT"/>
                <w:rPrChange w:id="3740" w:author="Author">
                  <w:rPr>
                    <w:sz w:val="21"/>
                    <w:szCs w:val="21"/>
                    <w:lang w:val="it-IT"/>
                  </w:rPr>
                </w:rPrChange>
              </w:rPr>
              <w:t>insufficienza epatica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Change w:id="3741"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
          </w:tblPrExChange>
        </w:tblPrEx>
        <w:trPr>
          <w:cantSplit/>
          <w:trPrChange w:id="3742" w:author="Author">
            <w:trPr>
              <w:cantSplit/>
            </w:trPr>
          </w:trPrChange>
        </w:trPr>
        <w:tc>
          <w:tcPr>
            <w:tcW w:w="924" w:type="pct"/>
            <w:tcBorders>
              <w:top w:val="single" w:sz="4" w:space="0" w:color="auto"/>
              <w:left w:val="single" w:sz="4" w:space="0" w:color="auto"/>
              <w:bottom w:val="single" w:sz="4" w:space="0" w:color="auto"/>
              <w:right w:val="single" w:sz="4" w:space="0" w:color="auto"/>
            </w:tcBorders>
            <w:tcPrChange w:id="3743" w:author="Author">
              <w:tcPr>
                <w:tcW w:w="924" w:type="pct"/>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44" w:author="Author">
                  <w:rPr>
                    <w:sz w:val="21"/>
                    <w:szCs w:val="21"/>
                    <w:lang w:val="it-IT"/>
                  </w:rPr>
                </w:rPrChange>
              </w:rPr>
              <w:pPrChange w:id="3745" w:author="Author">
                <w:pPr>
                  <w:widowControl w:val="0"/>
                  <w:tabs>
                    <w:tab w:val="left" w:pos="180"/>
                  </w:tabs>
                  <w:spacing w:line="220" w:lineRule="exact"/>
                </w:pPr>
              </w:pPrChange>
            </w:pPr>
            <w:r>
              <w:rPr>
                <w:noProof/>
                <w:sz w:val="20"/>
                <w:lang w:val="it-IT"/>
                <w:rPrChange w:id="3746" w:author="Author">
                  <w:rPr>
                    <w:sz w:val="21"/>
                    <w:szCs w:val="21"/>
                    <w:lang w:val="it-IT"/>
                  </w:rPr>
                </w:rPrChange>
              </w:rPr>
              <w:t>Patologie della cute e del tessuto sottocutaneo</w:t>
            </w:r>
          </w:p>
        </w:tc>
        <w:tc>
          <w:tcPr>
            <w:tcW w:w="1020" w:type="pct"/>
            <w:tcBorders>
              <w:top w:val="single" w:sz="4" w:space="0" w:color="auto"/>
              <w:left w:val="single" w:sz="4" w:space="0" w:color="auto"/>
              <w:bottom w:val="single" w:sz="4" w:space="0" w:color="auto"/>
              <w:right w:val="single" w:sz="4" w:space="0" w:color="auto"/>
            </w:tcBorders>
            <w:tcPrChange w:id="3747" w:author="Author">
              <w:tcPr>
                <w:tcW w:w="1020"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48" w:author="Author">
                  <w:rPr>
                    <w:sz w:val="21"/>
                    <w:szCs w:val="21"/>
                    <w:lang w:val="it-IT"/>
                  </w:rPr>
                </w:rPrChange>
              </w:rPr>
              <w:pPrChange w:id="3749" w:author="Author">
                <w:pPr>
                  <w:widowControl w:val="0"/>
                  <w:tabs>
                    <w:tab w:val="left" w:pos="180"/>
                  </w:tabs>
                  <w:spacing w:line="220" w:lineRule="exact"/>
                </w:pPr>
              </w:pPrChange>
            </w:pPr>
          </w:p>
        </w:tc>
        <w:tc>
          <w:tcPr>
            <w:tcW w:w="947" w:type="pct"/>
            <w:tcBorders>
              <w:top w:val="single" w:sz="4" w:space="0" w:color="auto"/>
              <w:left w:val="single" w:sz="4" w:space="0" w:color="auto"/>
              <w:bottom w:val="single" w:sz="4" w:space="0" w:color="auto"/>
              <w:right w:val="single" w:sz="4" w:space="0" w:color="auto"/>
            </w:tcBorders>
            <w:tcPrChange w:id="3750" w:author="Author">
              <w:tcPr>
                <w:tcW w:w="947"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51" w:author="Author">
                  <w:rPr>
                    <w:sz w:val="21"/>
                    <w:szCs w:val="21"/>
                    <w:lang w:val="it-IT"/>
                  </w:rPr>
                </w:rPrChange>
              </w:rPr>
              <w:pPrChange w:id="3752" w:author="Author">
                <w:pPr>
                  <w:widowControl w:val="0"/>
                  <w:tabs>
                    <w:tab w:val="left" w:pos="180"/>
                  </w:tabs>
                  <w:spacing w:line="220" w:lineRule="exact"/>
                </w:pPr>
              </w:pPrChange>
            </w:pPr>
            <w:r>
              <w:rPr>
                <w:noProof/>
                <w:sz w:val="20"/>
                <w:lang w:val="it-IT"/>
                <w:rPrChange w:id="3753" w:author="Author">
                  <w:rPr>
                    <w:sz w:val="21"/>
                    <w:szCs w:val="21"/>
                    <w:lang w:val="it-IT"/>
                  </w:rPr>
                </w:rPrChange>
              </w:rPr>
              <w:t>Eruzione cutanea, prurito, orticaria</w:t>
            </w:r>
          </w:p>
        </w:tc>
        <w:tc>
          <w:tcPr>
            <w:tcW w:w="930" w:type="pct"/>
            <w:tcBorders>
              <w:top w:val="single" w:sz="4" w:space="0" w:color="auto"/>
              <w:left w:val="single" w:sz="4" w:space="0" w:color="auto"/>
              <w:bottom w:val="single" w:sz="4" w:space="0" w:color="auto"/>
              <w:right w:val="single" w:sz="4" w:space="0" w:color="auto"/>
            </w:tcBorders>
            <w:tcPrChange w:id="3754" w:author="Author">
              <w:tcPr>
                <w:tcW w:w="1018"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55" w:author="Author">
                  <w:rPr>
                    <w:sz w:val="21"/>
                    <w:szCs w:val="21"/>
                    <w:lang w:val="it-IT"/>
                  </w:rPr>
                </w:rPrChange>
              </w:rPr>
              <w:pPrChange w:id="3756" w:author="Author">
                <w:pPr>
                  <w:widowControl w:val="0"/>
                  <w:tabs>
                    <w:tab w:val="left" w:pos="180"/>
                  </w:tabs>
                  <w:spacing w:line="220" w:lineRule="exact"/>
                </w:pPr>
              </w:pPrChange>
            </w:pPr>
          </w:p>
        </w:tc>
        <w:tc>
          <w:tcPr>
            <w:tcW w:w="564" w:type="pct"/>
            <w:tcBorders>
              <w:top w:val="single" w:sz="4" w:space="0" w:color="auto"/>
              <w:left w:val="single" w:sz="4" w:space="0" w:color="auto"/>
              <w:bottom w:val="single" w:sz="4" w:space="0" w:color="auto"/>
              <w:right w:val="single" w:sz="4" w:space="0" w:color="auto"/>
            </w:tcBorders>
            <w:tcPrChange w:id="3757" w:author="Author">
              <w:tcPr>
                <w:tcW w:w="476"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58" w:author="Author">
                  <w:rPr>
                    <w:sz w:val="21"/>
                    <w:szCs w:val="21"/>
                    <w:lang w:val="it-IT"/>
                  </w:rPr>
                </w:rPrChange>
              </w:rPr>
              <w:pPrChange w:id="3759" w:author="Author">
                <w:pPr>
                  <w:widowControl w:val="0"/>
                  <w:tabs>
                    <w:tab w:val="left" w:pos="180"/>
                  </w:tabs>
                  <w:spacing w:line="220" w:lineRule="exact"/>
                </w:pPr>
              </w:pPrChange>
            </w:pPr>
            <w:r>
              <w:rPr>
                <w:noProof/>
                <w:sz w:val="20"/>
                <w:lang w:val="it-IT"/>
                <w:rPrChange w:id="3760" w:author="Author">
                  <w:rPr>
                    <w:sz w:val="21"/>
                    <w:szCs w:val="21"/>
                    <w:lang w:val="it-IT"/>
                  </w:rPr>
                </w:rPrChange>
              </w:rPr>
              <w:t xml:space="preserve">Sindrome di </w:t>
            </w:r>
            <w:r>
              <w:rPr>
                <w:noProof/>
                <w:sz w:val="20"/>
                <w:lang w:val="it-IT"/>
                <w:rPrChange w:id="3761" w:author="Author">
                  <w:rPr>
                    <w:szCs w:val="22"/>
                    <w:lang w:val="it-IT"/>
                  </w:rPr>
                </w:rPrChange>
              </w:rPr>
              <w:t>Stevens-Johnson</w:t>
            </w:r>
            <w:r>
              <w:rPr>
                <w:noProof/>
                <w:sz w:val="20"/>
                <w:vertAlign w:val="superscript"/>
                <w:lang w:val="it-IT"/>
                <w:rPrChange w:id="3762" w:author="Author">
                  <w:rPr>
                    <w:szCs w:val="22"/>
                    <w:vertAlign w:val="superscript"/>
                    <w:lang w:val="it-IT"/>
                  </w:rPr>
                </w:rPrChange>
              </w:rPr>
              <w:t>3</w:t>
            </w:r>
          </w:p>
        </w:tc>
        <w:tc>
          <w:tcPr>
            <w:tcW w:w="615" w:type="pct"/>
            <w:tcBorders>
              <w:top w:val="single" w:sz="4" w:space="0" w:color="auto"/>
              <w:left w:val="single" w:sz="4" w:space="0" w:color="auto"/>
              <w:bottom w:val="single" w:sz="4" w:space="0" w:color="auto"/>
              <w:right w:val="single" w:sz="4" w:space="0" w:color="auto"/>
            </w:tcBorders>
            <w:tcPrChange w:id="3763" w:author="Author">
              <w:tcPr>
                <w:tcW w:w="615"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64" w:author="Author">
                  <w:rPr>
                    <w:sz w:val="21"/>
                    <w:szCs w:val="21"/>
                    <w:lang w:val="it-IT"/>
                  </w:rPr>
                </w:rPrChange>
              </w:rPr>
              <w:pPrChange w:id="3765" w:author="Author">
                <w:pPr>
                  <w:widowControl w:val="0"/>
                  <w:tabs>
                    <w:tab w:val="left" w:pos="180"/>
                  </w:tabs>
                  <w:spacing w:line="220" w:lineRule="exact"/>
                </w:pPr>
              </w:pPrChange>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Change w:id="3766"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
          </w:tblPrExChange>
        </w:tblPrEx>
        <w:trPr>
          <w:cantSplit/>
          <w:trPrChange w:id="3767" w:author="Author">
            <w:trPr>
              <w:cantSplit/>
            </w:trPr>
          </w:trPrChange>
        </w:trPr>
        <w:tc>
          <w:tcPr>
            <w:tcW w:w="924" w:type="pct"/>
            <w:tcBorders>
              <w:top w:val="single" w:sz="4" w:space="0" w:color="auto"/>
              <w:left w:val="single" w:sz="4" w:space="0" w:color="auto"/>
              <w:bottom w:val="single" w:sz="4" w:space="0" w:color="auto"/>
              <w:right w:val="single" w:sz="4" w:space="0" w:color="auto"/>
            </w:tcBorders>
            <w:tcPrChange w:id="3768" w:author="Author">
              <w:tcPr>
                <w:tcW w:w="924" w:type="pct"/>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69" w:author="Author">
                  <w:rPr>
                    <w:sz w:val="21"/>
                    <w:szCs w:val="21"/>
                    <w:lang w:val="it-IT"/>
                  </w:rPr>
                </w:rPrChange>
              </w:rPr>
              <w:pPrChange w:id="3770" w:author="Author">
                <w:pPr>
                  <w:widowControl w:val="0"/>
                  <w:tabs>
                    <w:tab w:val="left" w:pos="180"/>
                  </w:tabs>
                  <w:spacing w:line="220" w:lineRule="exact"/>
                </w:pPr>
              </w:pPrChange>
            </w:pPr>
            <w:r>
              <w:rPr>
                <w:noProof/>
                <w:sz w:val="20"/>
                <w:lang w:val="it-IT"/>
                <w:rPrChange w:id="3771" w:author="Author">
                  <w:rPr>
                    <w:sz w:val="21"/>
                    <w:szCs w:val="21"/>
                    <w:lang w:val="it-IT"/>
                  </w:rPr>
                </w:rPrChange>
              </w:rPr>
              <w:t>Patologie renali e urinarie</w:t>
            </w:r>
          </w:p>
        </w:tc>
        <w:tc>
          <w:tcPr>
            <w:tcW w:w="1020" w:type="pct"/>
            <w:tcBorders>
              <w:top w:val="single" w:sz="4" w:space="0" w:color="auto"/>
              <w:left w:val="single" w:sz="4" w:space="0" w:color="auto"/>
              <w:bottom w:val="single" w:sz="4" w:space="0" w:color="auto"/>
              <w:right w:val="single" w:sz="4" w:space="0" w:color="auto"/>
            </w:tcBorders>
            <w:tcPrChange w:id="3772" w:author="Author">
              <w:tcPr>
                <w:tcW w:w="1020"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73" w:author="Author">
                  <w:rPr>
                    <w:sz w:val="21"/>
                    <w:szCs w:val="21"/>
                    <w:lang w:val="it-IT"/>
                  </w:rPr>
                </w:rPrChange>
              </w:rPr>
              <w:pPrChange w:id="3774" w:author="Author">
                <w:pPr>
                  <w:widowControl w:val="0"/>
                  <w:tabs>
                    <w:tab w:val="left" w:pos="180"/>
                  </w:tabs>
                  <w:spacing w:line="220" w:lineRule="exact"/>
                </w:pPr>
              </w:pPrChange>
            </w:pPr>
          </w:p>
        </w:tc>
        <w:tc>
          <w:tcPr>
            <w:tcW w:w="947" w:type="pct"/>
            <w:tcBorders>
              <w:top w:val="single" w:sz="4" w:space="0" w:color="auto"/>
              <w:left w:val="single" w:sz="4" w:space="0" w:color="auto"/>
              <w:bottom w:val="single" w:sz="4" w:space="0" w:color="auto"/>
              <w:right w:val="single" w:sz="4" w:space="0" w:color="auto"/>
            </w:tcBorders>
            <w:tcPrChange w:id="3775" w:author="Author">
              <w:tcPr>
                <w:tcW w:w="947"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76" w:author="Author">
                  <w:rPr>
                    <w:sz w:val="21"/>
                    <w:szCs w:val="21"/>
                    <w:lang w:val="it-IT"/>
                  </w:rPr>
                </w:rPrChange>
              </w:rPr>
              <w:pPrChange w:id="3777" w:author="Author">
                <w:pPr>
                  <w:widowControl w:val="0"/>
                  <w:tabs>
                    <w:tab w:val="left" w:pos="180"/>
                  </w:tabs>
                  <w:spacing w:line="220" w:lineRule="exact"/>
                </w:pPr>
              </w:pPrChange>
            </w:pPr>
          </w:p>
        </w:tc>
        <w:tc>
          <w:tcPr>
            <w:tcW w:w="930" w:type="pct"/>
            <w:tcBorders>
              <w:top w:val="single" w:sz="4" w:space="0" w:color="auto"/>
              <w:left w:val="single" w:sz="4" w:space="0" w:color="auto"/>
              <w:bottom w:val="single" w:sz="4" w:space="0" w:color="auto"/>
              <w:right w:val="single" w:sz="4" w:space="0" w:color="auto"/>
            </w:tcBorders>
            <w:tcPrChange w:id="3778" w:author="Author">
              <w:tcPr>
                <w:tcW w:w="1018"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79" w:author="Author">
                  <w:rPr>
                    <w:sz w:val="21"/>
                    <w:szCs w:val="21"/>
                    <w:lang w:val="it-IT"/>
                  </w:rPr>
                </w:rPrChange>
              </w:rPr>
              <w:pPrChange w:id="3780" w:author="Author">
                <w:pPr>
                  <w:widowControl w:val="0"/>
                  <w:tabs>
                    <w:tab w:val="left" w:pos="180"/>
                  </w:tabs>
                  <w:spacing w:line="220" w:lineRule="exact"/>
                </w:pPr>
              </w:pPrChange>
            </w:pPr>
            <w:ins w:id="3781" w:author="Author">
              <w:r>
                <w:rPr>
                  <w:noProof/>
                  <w:sz w:val="20"/>
                  <w:lang w:val="it-IT"/>
                </w:rPr>
                <w:t xml:space="preserve">Nefrolitiasi </w:t>
              </w:r>
            </w:ins>
            <w:del w:id="3782" w:author="Author">
              <w:r>
                <w:rPr>
                  <w:noProof/>
                  <w:sz w:val="20"/>
                  <w:lang w:val="it-IT"/>
                  <w:rPrChange w:id="3783" w:author="Author">
                    <w:rPr>
                      <w:sz w:val="21"/>
                      <w:szCs w:val="21"/>
                      <w:lang w:val="it-IT"/>
                    </w:rPr>
                  </w:rPrChange>
                </w:rPr>
                <w:delText>Litiasi renale</w:delText>
              </w:r>
            </w:del>
          </w:p>
        </w:tc>
        <w:tc>
          <w:tcPr>
            <w:tcW w:w="564" w:type="pct"/>
            <w:tcBorders>
              <w:top w:val="single" w:sz="4" w:space="0" w:color="auto"/>
              <w:left w:val="single" w:sz="4" w:space="0" w:color="auto"/>
              <w:bottom w:val="single" w:sz="4" w:space="0" w:color="auto"/>
              <w:right w:val="single" w:sz="4" w:space="0" w:color="auto"/>
            </w:tcBorders>
            <w:tcPrChange w:id="3784" w:author="Author">
              <w:tcPr>
                <w:tcW w:w="476"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85" w:author="Author">
                  <w:rPr>
                    <w:sz w:val="21"/>
                    <w:szCs w:val="21"/>
                    <w:lang w:val="it-IT"/>
                  </w:rPr>
                </w:rPrChange>
              </w:rPr>
              <w:pPrChange w:id="3786" w:author="Author">
                <w:pPr>
                  <w:widowControl w:val="0"/>
                  <w:tabs>
                    <w:tab w:val="left" w:pos="180"/>
                  </w:tabs>
                  <w:spacing w:line="220" w:lineRule="exact"/>
                </w:pPr>
              </w:pPrChange>
            </w:pPr>
          </w:p>
        </w:tc>
        <w:tc>
          <w:tcPr>
            <w:tcW w:w="615" w:type="pct"/>
            <w:tcBorders>
              <w:top w:val="single" w:sz="4" w:space="0" w:color="auto"/>
              <w:left w:val="single" w:sz="4" w:space="0" w:color="auto"/>
              <w:bottom w:val="single" w:sz="4" w:space="0" w:color="auto"/>
              <w:right w:val="single" w:sz="4" w:space="0" w:color="auto"/>
            </w:tcBorders>
            <w:tcPrChange w:id="3787" w:author="Author">
              <w:tcPr>
                <w:tcW w:w="615"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88" w:author="Author">
                  <w:rPr>
                    <w:sz w:val="21"/>
                    <w:szCs w:val="21"/>
                    <w:lang w:val="it-IT"/>
                  </w:rPr>
                </w:rPrChange>
              </w:rPr>
              <w:pPrChange w:id="3789" w:author="Author">
                <w:pPr>
                  <w:widowControl w:val="0"/>
                  <w:tabs>
                    <w:tab w:val="left" w:pos="180"/>
                  </w:tabs>
                  <w:spacing w:line="220" w:lineRule="exact"/>
                </w:pPr>
              </w:pPrChange>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Change w:id="3790"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
          </w:tblPrExChange>
        </w:tblPrEx>
        <w:trPr>
          <w:cantSplit/>
          <w:trPrChange w:id="3791" w:author="Author">
            <w:trPr>
              <w:cantSplit/>
            </w:trPr>
          </w:trPrChange>
        </w:trPr>
        <w:tc>
          <w:tcPr>
            <w:tcW w:w="924" w:type="pct"/>
            <w:tcBorders>
              <w:top w:val="single" w:sz="4" w:space="0" w:color="auto"/>
              <w:left w:val="single" w:sz="4" w:space="0" w:color="auto"/>
              <w:bottom w:val="single" w:sz="4" w:space="0" w:color="auto"/>
              <w:right w:val="single" w:sz="4" w:space="0" w:color="auto"/>
            </w:tcBorders>
            <w:tcPrChange w:id="3792" w:author="Author">
              <w:tcPr>
                <w:tcW w:w="924" w:type="pct"/>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93" w:author="Author">
                  <w:rPr>
                    <w:sz w:val="21"/>
                    <w:szCs w:val="21"/>
                    <w:lang w:val="it-IT"/>
                  </w:rPr>
                </w:rPrChange>
              </w:rPr>
              <w:pPrChange w:id="3794" w:author="Author">
                <w:pPr>
                  <w:widowControl w:val="0"/>
                  <w:tabs>
                    <w:tab w:val="left" w:pos="180"/>
                  </w:tabs>
                  <w:spacing w:line="280" w:lineRule="atLeast"/>
                </w:pPr>
              </w:pPrChange>
            </w:pPr>
            <w:r>
              <w:rPr>
                <w:noProof/>
                <w:sz w:val="20"/>
                <w:lang w:val="it-IT"/>
                <w:rPrChange w:id="3795" w:author="Author">
                  <w:rPr>
                    <w:sz w:val="21"/>
                    <w:szCs w:val="21"/>
                    <w:lang w:val="it-IT"/>
                  </w:rPr>
                </w:rPrChange>
              </w:rPr>
              <w:lastRenderedPageBreak/>
              <w:t>Patologie generali e condizioni relative alla sede di somministrazione</w:t>
            </w:r>
          </w:p>
        </w:tc>
        <w:tc>
          <w:tcPr>
            <w:tcW w:w="1020" w:type="pct"/>
            <w:tcBorders>
              <w:top w:val="single" w:sz="4" w:space="0" w:color="auto"/>
              <w:left w:val="single" w:sz="4" w:space="0" w:color="auto"/>
              <w:bottom w:val="single" w:sz="4" w:space="0" w:color="auto"/>
              <w:right w:val="single" w:sz="4" w:space="0" w:color="auto"/>
            </w:tcBorders>
            <w:tcPrChange w:id="3796" w:author="Author">
              <w:tcPr>
                <w:tcW w:w="1020"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797" w:author="Author">
                  <w:rPr>
                    <w:sz w:val="21"/>
                    <w:szCs w:val="21"/>
                    <w:lang w:val="it-IT"/>
                  </w:rPr>
                </w:rPrChange>
              </w:rPr>
              <w:pPrChange w:id="3798" w:author="Author">
                <w:pPr>
                  <w:widowControl w:val="0"/>
                  <w:tabs>
                    <w:tab w:val="left" w:pos="180"/>
                  </w:tabs>
                  <w:spacing w:line="220" w:lineRule="exact"/>
                </w:pPr>
              </w:pPrChange>
            </w:pPr>
            <w:r>
              <w:rPr>
                <w:noProof/>
                <w:sz w:val="20"/>
                <w:lang w:val="it-IT"/>
                <w:rPrChange w:id="3799" w:author="Author">
                  <w:rPr>
                    <w:sz w:val="21"/>
                    <w:szCs w:val="21"/>
                    <w:lang w:val="it-IT"/>
                  </w:rPr>
                </w:rPrChange>
              </w:rPr>
              <w:t>Reazione in sede di iniezione</w:t>
            </w:r>
          </w:p>
        </w:tc>
        <w:tc>
          <w:tcPr>
            <w:tcW w:w="947" w:type="pct"/>
            <w:tcBorders>
              <w:top w:val="single" w:sz="4" w:space="0" w:color="auto"/>
              <w:left w:val="single" w:sz="4" w:space="0" w:color="auto"/>
              <w:bottom w:val="single" w:sz="4" w:space="0" w:color="auto"/>
              <w:right w:val="single" w:sz="4" w:space="0" w:color="auto"/>
            </w:tcBorders>
            <w:tcPrChange w:id="3800" w:author="Author">
              <w:tcPr>
                <w:tcW w:w="947"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801" w:author="Author">
                  <w:rPr>
                    <w:sz w:val="21"/>
                    <w:szCs w:val="21"/>
                    <w:lang w:val="it-IT"/>
                  </w:rPr>
                </w:rPrChange>
              </w:rPr>
              <w:pPrChange w:id="3802" w:author="Author">
                <w:pPr>
                  <w:widowControl w:val="0"/>
                  <w:tabs>
                    <w:tab w:val="left" w:pos="180"/>
                  </w:tabs>
                  <w:spacing w:line="220" w:lineRule="exact"/>
                </w:pPr>
              </w:pPrChange>
            </w:pPr>
            <w:r>
              <w:rPr>
                <w:noProof/>
                <w:sz w:val="20"/>
                <w:lang w:val="it-IT"/>
                <w:rPrChange w:id="3803" w:author="Author">
                  <w:rPr>
                    <w:sz w:val="21"/>
                    <w:szCs w:val="21"/>
                    <w:lang w:val="it-IT"/>
                  </w:rPr>
                </w:rPrChange>
              </w:rPr>
              <w:t>Edema periferico, reazioni di ipersensibilità</w:t>
            </w:r>
          </w:p>
        </w:tc>
        <w:tc>
          <w:tcPr>
            <w:tcW w:w="930" w:type="pct"/>
            <w:tcBorders>
              <w:top w:val="single" w:sz="4" w:space="0" w:color="auto"/>
              <w:left w:val="single" w:sz="4" w:space="0" w:color="auto"/>
              <w:bottom w:val="single" w:sz="4" w:space="0" w:color="auto"/>
              <w:right w:val="single" w:sz="4" w:space="0" w:color="auto"/>
            </w:tcBorders>
            <w:tcPrChange w:id="3804" w:author="Author">
              <w:tcPr>
                <w:tcW w:w="1018"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805" w:author="Author">
                  <w:rPr>
                    <w:sz w:val="21"/>
                    <w:szCs w:val="21"/>
                    <w:lang w:val="it-IT"/>
                  </w:rPr>
                </w:rPrChange>
              </w:rPr>
              <w:pPrChange w:id="3806" w:author="Author">
                <w:pPr>
                  <w:widowControl w:val="0"/>
                  <w:tabs>
                    <w:tab w:val="left" w:pos="180"/>
                  </w:tabs>
                  <w:spacing w:line="220" w:lineRule="exact"/>
                </w:pPr>
              </w:pPrChange>
            </w:pPr>
          </w:p>
        </w:tc>
        <w:tc>
          <w:tcPr>
            <w:tcW w:w="564" w:type="pct"/>
            <w:tcBorders>
              <w:top w:val="single" w:sz="4" w:space="0" w:color="auto"/>
              <w:left w:val="single" w:sz="4" w:space="0" w:color="auto"/>
              <w:bottom w:val="single" w:sz="4" w:space="0" w:color="auto"/>
              <w:right w:val="single" w:sz="4" w:space="0" w:color="auto"/>
            </w:tcBorders>
            <w:tcPrChange w:id="3807" w:author="Author">
              <w:tcPr>
                <w:tcW w:w="476"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808" w:author="Author">
                  <w:rPr>
                    <w:sz w:val="21"/>
                    <w:szCs w:val="21"/>
                    <w:lang w:val="it-IT"/>
                  </w:rPr>
                </w:rPrChange>
              </w:rPr>
              <w:pPrChange w:id="3809" w:author="Author">
                <w:pPr>
                  <w:widowControl w:val="0"/>
                  <w:tabs>
                    <w:tab w:val="left" w:pos="180"/>
                  </w:tabs>
                  <w:spacing w:line="220" w:lineRule="exact"/>
                </w:pPr>
              </w:pPrChange>
            </w:pPr>
          </w:p>
        </w:tc>
        <w:tc>
          <w:tcPr>
            <w:tcW w:w="615" w:type="pct"/>
            <w:tcBorders>
              <w:top w:val="single" w:sz="4" w:space="0" w:color="auto"/>
              <w:left w:val="single" w:sz="4" w:space="0" w:color="auto"/>
              <w:bottom w:val="single" w:sz="4" w:space="0" w:color="auto"/>
              <w:right w:val="single" w:sz="4" w:space="0" w:color="auto"/>
            </w:tcBorders>
            <w:tcPrChange w:id="3810" w:author="Author">
              <w:tcPr>
                <w:tcW w:w="615" w:type="pct"/>
                <w:gridSpan w:val="2"/>
                <w:tcBorders>
                  <w:top w:val="single" w:sz="4" w:space="0" w:color="auto"/>
                  <w:left w:val="single" w:sz="4" w:space="0" w:color="auto"/>
                  <w:bottom w:val="single" w:sz="4" w:space="0" w:color="auto"/>
                  <w:right w:val="single" w:sz="4" w:space="0" w:color="auto"/>
                </w:tcBorders>
              </w:tcPr>
            </w:tcPrChange>
          </w:tcPr>
          <w:p>
            <w:pPr>
              <w:widowControl w:val="0"/>
              <w:tabs>
                <w:tab w:val="left" w:pos="180"/>
              </w:tabs>
              <w:suppressAutoHyphens/>
              <w:rPr>
                <w:noProof/>
                <w:sz w:val="20"/>
                <w:lang w:val="it-IT"/>
                <w:rPrChange w:id="3811" w:author="Author">
                  <w:rPr>
                    <w:sz w:val="21"/>
                    <w:szCs w:val="21"/>
                    <w:lang w:val="it-IT"/>
                  </w:rPr>
                </w:rPrChange>
              </w:rPr>
              <w:pPrChange w:id="3812" w:author="Author">
                <w:pPr>
                  <w:widowControl w:val="0"/>
                  <w:tabs>
                    <w:tab w:val="left" w:pos="180"/>
                  </w:tabs>
                  <w:spacing w:line="220" w:lineRule="exact"/>
                </w:pPr>
              </w:pPrChange>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Change w:id="3813" w:author="Autho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Ex>
          </w:tblPrExChange>
        </w:tblPrEx>
        <w:trPr>
          <w:cantSplit/>
          <w:trPrChange w:id="3814" w:author="Author">
            <w:trPr>
              <w:cantSplit/>
            </w:trPr>
          </w:trPrChange>
        </w:trPr>
        <w:tc>
          <w:tcPr>
            <w:tcW w:w="924" w:type="pct"/>
            <w:tcBorders>
              <w:top w:val="single" w:sz="4" w:space="0" w:color="auto"/>
              <w:left w:val="single" w:sz="4" w:space="0" w:color="auto"/>
              <w:bottom w:val="single" w:sz="4" w:space="0" w:color="auto"/>
              <w:right w:val="single" w:sz="4" w:space="0" w:color="auto"/>
            </w:tcBorders>
            <w:tcPrChange w:id="3815" w:author="Author">
              <w:tcPr>
                <w:tcW w:w="924" w:type="pct"/>
                <w:tcBorders>
                  <w:top w:val="single" w:sz="4" w:space="0" w:color="auto"/>
                  <w:left w:val="single" w:sz="4" w:space="0" w:color="auto"/>
                  <w:bottom w:val="single" w:sz="4" w:space="0" w:color="auto"/>
                  <w:right w:val="single" w:sz="4" w:space="0" w:color="auto"/>
                </w:tcBorders>
              </w:tcPr>
            </w:tcPrChange>
          </w:tcPr>
          <w:p>
            <w:pPr>
              <w:keepNext/>
              <w:widowControl w:val="0"/>
              <w:tabs>
                <w:tab w:val="left" w:pos="180"/>
              </w:tabs>
              <w:suppressAutoHyphens/>
              <w:rPr>
                <w:noProof/>
                <w:sz w:val="20"/>
                <w:lang w:val="it-IT"/>
                <w:rPrChange w:id="3816" w:author="Author">
                  <w:rPr>
                    <w:sz w:val="21"/>
                    <w:szCs w:val="21"/>
                    <w:lang w:val="it-IT"/>
                  </w:rPr>
                </w:rPrChange>
              </w:rPr>
              <w:pPrChange w:id="3817" w:author="Author">
                <w:pPr>
                  <w:widowControl w:val="0"/>
                  <w:tabs>
                    <w:tab w:val="left" w:pos="180"/>
                  </w:tabs>
                  <w:spacing w:line="220" w:lineRule="exact"/>
                </w:pPr>
              </w:pPrChange>
            </w:pPr>
            <w:r>
              <w:rPr>
                <w:noProof/>
                <w:sz w:val="20"/>
                <w:lang w:val="it-IT"/>
                <w:rPrChange w:id="3818" w:author="Author">
                  <w:rPr>
                    <w:sz w:val="21"/>
                    <w:szCs w:val="21"/>
                    <w:lang w:val="it-IT"/>
                  </w:rPr>
                </w:rPrChange>
              </w:rPr>
              <w:t>Esami diagnostici</w:t>
            </w:r>
          </w:p>
        </w:tc>
        <w:tc>
          <w:tcPr>
            <w:tcW w:w="1020" w:type="pct"/>
            <w:tcBorders>
              <w:top w:val="single" w:sz="4" w:space="0" w:color="auto"/>
              <w:left w:val="single" w:sz="4" w:space="0" w:color="auto"/>
              <w:bottom w:val="single" w:sz="4" w:space="0" w:color="auto"/>
              <w:right w:val="single" w:sz="4" w:space="0" w:color="auto"/>
            </w:tcBorders>
            <w:tcPrChange w:id="3819" w:author="Author">
              <w:tcPr>
                <w:tcW w:w="1020" w:type="pct"/>
                <w:gridSpan w:val="2"/>
                <w:tcBorders>
                  <w:top w:val="single" w:sz="4" w:space="0" w:color="auto"/>
                  <w:left w:val="single" w:sz="4" w:space="0" w:color="auto"/>
                  <w:bottom w:val="single" w:sz="4" w:space="0" w:color="auto"/>
                  <w:right w:val="single" w:sz="4" w:space="0" w:color="auto"/>
                </w:tcBorders>
              </w:tcPr>
            </w:tcPrChange>
          </w:tcPr>
          <w:p>
            <w:pPr>
              <w:keepNext/>
              <w:widowControl w:val="0"/>
              <w:tabs>
                <w:tab w:val="left" w:pos="180"/>
              </w:tabs>
              <w:suppressAutoHyphens/>
              <w:rPr>
                <w:noProof/>
                <w:sz w:val="20"/>
                <w:lang w:val="it-IT"/>
                <w:rPrChange w:id="3820" w:author="Author">
                  <w:rPr>
                    <w:sz w:val="21"/>
                    <w:szCs w:val="21"/>
                    <w:lang w:val="it-IT"/>
                  </w:rPr>
                </w:rPrChange>
              </w:rPr>
              <w:pPrChange w:id="3821" w:author="Author">
                <w:pPr>
                  <w:widowControl w:val="0"/>
                  <w:tabs>
                    <w:tab w:val="left" w:pos="180"/>
                  </w:tabs>
                  <w:spacing w:line="220" w:lineRule="exact"/>
                </w:pPr>
              </w:pPrChange>
            </w:pPr>
          </w:p>
        </w:tc>
        <w:tc>
          <w:tcPr>
            <w:tcW w:w="947" w:type="pct"/>
            <w:tcBorders>
              <w:top w:val="single" w:sz="4" w:space="0" w:color="auto"/>
              <w:left w:val="single" w:sz="4" w:space="0" w:color="auto"/>
              <w:bottom w:val="single" w:sz="4" w:space="0" w:color="auto"/>
              <w:right w:val="single" w:sz="4" w:space="0" w:color="auto"/>
            </w:tcBorders>
            <w:tcPrChange w:id="3822" w:author="Author">
              <w:tcPr>
                <w:tcW w:w="947" w:type="pct"/>
                <w:gridSpan w:val="2"/>
                <w:tcBorders>
                  <w:top w:val="single" w:sz="4" w:space="0" w:color="auto"/>
                  <w:left w:val="single" w:sz="4" w:space="0" w:color="auto"/>
                  <w:bottom w:val="single" w:sz="4" w:space="0" w:color="auto"/>
                  <w:right w:val="single" w:sz="4" w:space="0" w:color="auto"/>
                </w:tcBorders>
              </w:tcPr>
            </w:tcPrChange>
          </w:tcPr>
          <w:p>
            <w:pPr>
              <w:keepNext/>
              <w:widowControl w:val="0"/>
              <w:tabs>
                <w:tab w:val="left" w:pos="180"/>
              </w:tabs>
              <w:suppressAutoHyphens/>
              <w:rPr>
                <w:noProof/>
                <w:sz w:val="20"/>
                <w:lang w:val="it-IT"/>
                <w:rPrChange w:id="3823" w:author="Author">
                  <w:rPr>
                    <w:sz w:val="21"/>
                    <w:szCs w:val="21"/>
                    <w:lang w:val="it-IT"/>
                  </w:rPr>
                </w:rPrChange>
              </w:rPr>
              <w:pPrChange w:id="3824" w:author="Author">
                <w:pPr>
                  <w:widowControl w:val="0"/>
                  <w:tabs>
                    <w:tab w:val="left" w:pos="180"/>
                  </w:tabs>
                  <w:spacing w:line="260" w:lineRule="atLeast"/>
                </w:pPr>
              </w:pPrChange>
            </w:pPr>
            <w:r>
              <w:rPr>
                <w:noProof/>
                <w:sz w:val="20"/>
                <w:lang w:val="it-IT"/>
                <w:rPrChange w:id="3825" w:author="Author">
                  <w:rPr>
                    <w:sz w:val="21"/>
                    <w:szCs w:val="21"/>
                    <w:lang w:val="it-IT"/>
                  </w:rPr>
                </w:rPrChange>
              </w:rPr>
              <w:t>Transaminasi epatiche aumentate,</w:t>
            </w:r>
            <w:del w:id="3826" w:author="Author">
              <w:r>
                <w:rPr>
                  <w:noProof/>
                  <w:sz w:val="20"/>
                  <w:lang w:val="it-IT"/>
                  <w:rPrChange w:id="3827" w:author="Author">
                    <w:rPr>
                      <w:sz w:val="21"/>
                      <w:szCs w:val="21"/>
                      <w:lang w:val="it-IT"/>
                    </w:rPr>
                  </w:rPrChange>
                </w:rPr>
                <w:delText xml:space="preserve"> </w:delText>
              </w:r>
            </w:del>
            <w:r>
              <w:rPr>
                <w:noProof/>
                <w:sz w:val="20"/>
                <w:lang w:val="it-IT"/>
                <w:rPrChange w:id="3828" w:author="Author">
                  <w:rPr>
                    <w:sz w:val="21"/>
                    <w:szCs w:val="21"/>
                    <w:lang w:val="it-IT"/>
                  </w:rPr>
                </w:rPrChange>
              </w:rPr>
              <w:t xml:space="preserve"> peso aumentato, </w:t>
            </w:r>
            <w:del w:id="3829" w:author="Author">
              <w:r>
                <w:rPr>
                  <w:noProof/>
                  <w:sz w:val="20"/>
                  <w:lang w:val="it-IT"/>
                  <w:rPrChange w:id="3830" w:author="Author">
                    <w:rPr>
                      <w:sz w:val="21"/>
                      <w:szCs w:val="21"/>
                      <w:lang w:val="it-IT"/>
                    </w:rPr>
                  </w:rPrChange>
                </w:rPr>
                <w:delText xml:space="preserve"> </w:delText>
              </w:r>
            </w:del>
            <w:r>
              <w:rPr>
                <w:noProof/>
                <w:sz w:val="20"/>
                <w:lang w:val="it-IT"/>
                <w:rPrChange w:id="3831" w:author="Author">
                  <w:rPr>
                    <w:sz w:val="21"/>
                    <w:szCs w:val="21"/>
                    <w:lang w:val="it-IT"/>
                  </w:rPr>
                </w:rPrChange>
              </w:rPr>
              <w:t>bilirubina totale aumentata*</w:t>
            </w:r>
          </w:p>
        </w:tc>
        <w:tc>
          <w:tcPr>
            <w:tcW w:w="930" w:type="pct"/>
            <w:tcBorders>
              <w:top w:val="single" w:sz="4" w:space="0" w:color="auto"/>
              <w:left w:val="single" w:sz="4" w:space="0" w:color="auto"/>
              <w:bottom w:val="single" w:sz="4" w:space="0" w:color="auto"/>
              <w:right w:val="single" w:sz="4" w:space="0" w:color="auto"/>
            </w:tcBorders>
            <w:tcPrChange w:id="3832" w:author="Author">
              <w:tcPr>
                <w:tcW w:w="1018" w:type="pct"/>
                <w:gridSpan w:val="2"/>
                <w:tcBorders>
                  <w:top w:val="single" w:sz="4" w:space="0" w:color="auto"/>
                  <w:left w:val="single" w:sz="4" w:space="0" w:color="auto"/>
                  <w:bottom w:val="single" w:sz="4" w:space="0" w:color="auto"/>
                  <w:right w:val="single" w:sz="4" w:space="0" w:color="auto"/>
                </w:tcBorders>
              </w:tcPr>
            </w:tcPrChange>
          </w:tcPr>
          <w:p>
            <w:pPr>
              <w:keepNext/>
              <w:widowControl w:val="0"/>
              <w:tabs>
                <w:tab w:val="left" w:pos="180"/>
              </w:tabs>
              <w:suppressAutoHyphens/>
              <w:rPr>
                <w:noProof/>
                <w:sz w:val="20"/>
                <w:lang w:val="it-IT"/>
                <w:rPrChange w:id="3833" w:author="Author">
                  <w:rPr>
                    <w:sz w:val="21"/>
                    <w:szCs w:val="21"/>
                    <w:lang w:val="it-IT"/>
                  </w:rPr>
                </w:rPrChange>
              </w:rPr>
              <w:pPrChange w:id="3834" w:author="Author">
                <w:pPr>
                  <w:widowControl w:val="0"/>
                  <w:tabs>
                    <w:tab w:val="left" w:pos="180"/>
                  </w:tabs>
                  <w:spacing w:line="220" w:lineRule="exact"/>
                </w:pPr>
              </w:pPrChange>
            </w:pPr>
          </w:p>
        </w:tc>
        <w:tc>
          <w:tcPr>
            <w:tcW w:w="564" w:type="pct"/>
            <w:tcBorders>
              <w:top w:val="single" w:sz="4" w:space="0" w:color="auto"/>
              <w:left w:val="single" w:sz="4" w:space="0" w:color="auto"/>
              <w:bottom w:val="single" w:sz="4" w:space="0" w:color="auto"/>
              <w:right w:val="single" w:sz="4" w:space="0" w:color="auto"/>
            </w:tcBorders>
            <w:tcPrChange w:id="3835" w:author="Author">
              <w:tcPr>
                <w:tcW w:w="476" w:type="pct"/>
                <w:gridSpan w:val="2"/>
                <w:tcBorders>
                  <w:top w:val="single" w:sz="4" w:space="0" w:color="auto"/>
                  <w:left w:val="single" w:sz="4" w:space="0" w:color="auto"/>
                  <w:bottom w:val="single" w:sz="4" w:space="0" w:color="auto"/>
                  <w:right w:val="single" w:sz="4" w:space="0" w:color="auto"/>
                </w:tcBorders>
              </w:tcPr>
            </w:tcPrChange>
          </w:tcPr>
          <w:p>
            <w:pPr>
              <w:keepNext/>
              <w:widowControl w:val="0"/>
              <w:tabs>
                <w:tab w:val="left" w:pos="180"/>
              </w:tabs>
              <w:suppressAutoHyphens/>
              <w:rPr>
                <w:noProof/>
                <w:sz w:val="20"/>
                <w:lang w:val="it-IT"/>
                <w:rPrChange w:id="3836" w:author="Author">
                  <w:rPr>
                    <w:sz w:val="21"/>
                    <w:szCs w:val="21"/>
                    <w:lang w:val="it-IT"/>
                  </w:rPr>
                </w:rPrChange>
              </w:rPr>
              <w:pPrChange w:id="3837" w:author="Author">
                <w:pPr>
                  <w:widowControl w:val="0"/>
                  <w:tabs>
                    <w:tab w:val="left" w:pos="180"/>
                  </w:tabs>
                  <w:spacing w:line="220" w:lineRule="exact"/>
                </w:pPr>
              </w:pPrChange>
            </w:pPr>
          </w:p>
        </w:tc>
        <w:tc>
          <w:tcPr>
            <w:tcW w:w="615" w:type="pct"/>
            <w:tcBorders>
              <w:top w:val="single" w:sz="4" w:space="0" w:color="auto"/>
              <w:left w:val="single" w:sz="4" w:space="0" w:color="auto"/>
              <w:bottom w:val="single" w:sz="4" w:space="0" w:color="auto"/>
              <w:right w:val="single" w:sz="4" w:space="0" w:color="auto"/>
            </w:tcBorders>
            <w:tcPrChange w:id="3838" w:author="Author">
              <w:tcPr>
                <w:tcW w:w="615" w:type="pct"/>
                <w:gridSpan w:val="2"/>
                <w:tcBorders>
                  <w:top w:val="single" w:sz="4" w:space="0" w:color="auto"/>
                  <w:left w:val="single" w:sz="4" w:space="0" w:color="auto"/>
                  <w:bottom w:val="single" w:sz="4" w:space="0" w:color="auto"/>
                  <w:right w:val="single" w:sz="4" w:space="0" w:color="auto"/>
                </w:tcBorders>
              </w:tcPr>
            </w:tcPrChange>
          </w:tcPr>
          <w:p>
            <w:pPr>
              <w:keepNext/>
              <w:widowControl w:val="0"/>
              <w:tabs>
                <w:tab w:val="left" w:pos="180"/>
              </w:tabs>
              <w:suppressAutoHyphens/>
              <w:rPr>
                <w:noProof/>
                <w:sz w:val="20"/>
                <w:lang w:val="it-IT"/>
                <w:rPrChange w:id="3839" w:author="Author">
                  <w:rPr>
                    <w:sz w:val="21"/>
                    <w:szCs w:val="21"/>
                    <w:lang w:val="it-IT"/>
                  </w:rPr>
                </w:rPrChange>
              </w:rPr>
              <w:pPrChange w:id="3840" w:author="Author">
                <w:pPr>
                  <w:widowControl w:val="0"/>
                  <w:tabs>
                    <w:tab w:val="left" w:pos="180"/>
                  </w:tabs>
                  <w:spacing w:line="220" w:lineRule="exact"/>
                </w:pPr>
              </w:pPrChange>
            </w:pPr>
          </w:p>
        </w:tc>
      </w:tr>
    </w:tbl>
    <w:p>
      <w:pPr>
        <w:pStyle w:val="Standard"/>
        <w:keepNext/>
        <w:keepLines/>
        <w:ind w:left="142" w:hanging="142"/>
        <w:rPr>
          <w:noProof/>
          <w:sz w:val="18"/>
          <w:szCs w:val="18"/>
          <w:lang w:val="it-IT"/>
          <w:rPrChange w:id="3841" w:author="Author">
            <w:rPr>
              <w:sz w:val="19"/>
              <w:szCs w:val="19"/>
              <w:lang w:val="it-IT"/>
            </w:rPr>
          </w:rPrChange>
        </w:rPr>
      </w:pPr>
      <w:r>
        <w:rPr>
          <w:noProof/>
          <w:sz w:val="18"/>
          <w:szCs w:val="18"/>
          <w:lang w:val="it-IT"/>
          <w:rPrChange w:id="3842" w:author="Author">
            <w:rPr>
              <w:sz w:val="19"/>
              <w:szCs w:val="19"/>
              <w:lang w:val="it-IT"/>
            </w:rPr>
          </w:rPrChange>
        </w:rPr>
        <w:t>*</w:t>
      </w:r>
      <w:ins w:id="3843" w:author="Author">
        <w:r>
          <w:rPr>
            <w:noProof/>
            <w:sz w:val="18"/>
            <w:szCs w:val="18"/>
            <w:lang w:val="it-IT"/>
          </w:rPr>
          <w:t xml:space="preserve"> </w:t>
        </w:r>
      </w:ins>
      <w:r>
        <w:rPr>
          <w:noProof/>
          <w:sz w:val="18"/>
          <w:szCs w:val="18"/>
          <w:lang w:val="it-IT"/>
          <w:rPrChange w:id="3844" w:author="Author">
            <w:rPr>
              <w:sz w:val="19"/>
              <w:szCs w:val="19"/>
              <w:lang w:val="it-IT"/>
            </w:rPr>
          </w:rPrChange>
        </w:rPr>
        <w:t xml:space="preserve">Include aumenti </w:t>
      </w:r>
      <w:del w:id="3845" w:author="Author">
        <w:r>
          <w:rPr>
            <w:noProof/>
            <w:sz w:val="18"/>
            <w:szCs w:val="18"/>
            <w:lang w:val="it-IT"/>
            <w:rPrChange w:id="3846" w:author="Author">
              <w:rPr>
                <w:sz w:val="19"/>
                <w:szCs w:val="19"/>
                <w:lang w:val="it-IT"/>
              </w:rPr>
            </w:rPrChange>
          </w:rPr>
          <w:delText xml:space="preserve">raccolti </w:delText>
        </w:r>
      </w:del>
      <w:ins w:id="3847" w:author="Author">
        <w:r>
          <w:rPr>
            <w:noProof/>
            <w:sz w:val="18"/>
            <w:szCs w:val="18"/>
            <w:lang w:val="it-IT"/>
          </w:rPr>
          <w:t>rilevati</w:t>
        </w:r>
        <w:r>
          <w:rPr>
            <w:noProof/>
            <w:sz w:val="18"/>
            <w:szCs w:val="18"/>
            <w:lang w:val="it-IT"/>
            <w:rPrChange w:id="3848" w:author="Author">
              <w:rPr>
                <w:sz w:val="19"/>
                <w:szCs w:val="19"/>
                <w:lang w:val="it-IT"/>
              </w:rPr>
            </w:rPrChange>
          </w:rPr>
          <w:t xml:space="preserve"> </w:t>
        </w:r>
      </w:ins>
      <w:r>
        <w:rPr>
          <w:noProof/>
          <w:sz w:val="18"/>
          <w:szCs w:val="18"/>
          <w:lang w:val="it-IT"/>
          <w:rPrChange w:id="3849" w:author="Author">
            <w:rPr>
              <w:sz w:val="19"/>
              <w:szCs w:val="19"/>
              <w:lang w:val="it-IT"/>
            </w:rPr>
          </w:rPrChange>
        </w:rPr>
        <w:t>nelle analisi di laboratorio abituali (vedere testo riportato sotto)</w:t>
      </w:r>
    </w:p>
    <w:p>
      <w:pPr>
        <w:pStyle w:val="Standard"/>
        <w:keepNext/>
        <w:keepLines/>
        <w:ind w:left="142" w:hanging="142"/>
        <w:rPr>
          <w:noProof/>
          <w:sz w:val="18"/>
          <w:szCs w:val="18"/>
          <w:lang w:val="it-IT"/>
          <w:rPrChange w:id="3850" w:author="Author">
            <w:rPr>
              <w:sz w:val="19"/>
              <w:szCs w:val="19"/>
              <w:lang w:val="it-IT"/>
            </w:rPr>
          </w:rPrChange>
        </w:rPr>
      </w:pPr>
      <w:r>
        <w:rPr>
          <w:noProof/>
          <w:sz w:val="18"/>
          <w:szCs w:val="18"/>
          <w:vertAlign w:val="superscript"/>
          <w:lang w:val="it-IT"/>
          <w:rPrChange w:id="3851" w:author="Author">
            <w:rPr>
              <w:sz w:val="19"/>
              <w:szCs w:val="19"/>
              <w:vertAlign w:val="superscript"/>
              <w:lang w:val="it-IT"/>
            </w:rPr>
          </w:rPrChange>
        </w:rPr>
        <w:t>1</w:t>
      </w:r>
      <w:r>
        <w:rPr>
          <w:noProof/>
          <w:sz w:val="18"/>
          <w:szCs w:val="18"/>
          <w:lang w:val="it-IT"/>
          <w:rPrChange w:id="3852" w:author="Author">
            <w:rPr>
              <w:sz w:val="19"/>
              <w:szCs w:val="19"/>
              <w:lang w:val="it-IT"/>
            </w:rPr>
          </w:rPrChange>
        </w:rPr>
        <w:t xml:space="preserve"> Vedere paragrafo 4.3</w:t>
      </w:r>
    </w:p>
    <w:p>
      <w:pPr>
        <w:pStyle w:val="Standard"/>
        <w:keepNext/>
        <w:keepLines/>
        <w:widowControl w:val="0"/>
        <w:ind w:left="142" w:hanging="142"/>
        <w:rPr>
          <w:noProof/>
          <w:sz w:val="18"/>
          <w:szCs w:val="18"/>
          <w:lang w:val="it-IT"/>
          <w:rPrChange w:id="3853" w:author="Author">
            <w:rPr>
              <w:sz w:val="19"/>
              <w:szCs w:val="19"/>
              <w:lang w:val="it-IT"/>
            </w:rPr>
          </w:rPrChange>
        </w:rPr>
      </w:pPr>
      <w:r>
        <w:rPr>
          <w:noProof/>
          <w:sz w:val="18"/>
          <w:szCs w:val="18"/>
          <w:vertAlign w:val="superscript"/>
          <w:lang w:val="it-IT"/>
          <w:rPrChange w:id="3854" w:author="Author">
            <w:rPr>
              <w:sz w:val="19"/>
              <w:szCs w:val="19"/>
              <w:vertAlign w:val="superscript"/>
              <w:lang w:val="it-IT"/>
            </w:rPr>
          </w:rPrChange>
        </w:rPr>
        <w:t>2</w:t>
      </w:r>
      <w:r>
        <w:rPr>
          <w:noProof/>
          <w:sz w:val="18"/>
          <w:szCs w:val="18"/>
          <w:lang w:val="it-IT"/>
          <w:rPrChange w:id="3855" w:author="Author">
            <w:rPr>
              <w:sz w:val="19"/>
              <w:szCs w:val="19"/>
              <w:lang w:val="it-IT"/>
            </w:rPr>
          </w:rPrChange>
        </w:rPr>
        <w:t xml:space="preserve"> Vedere paragrafo 4.4</w:t>
      </w:r>
    </w:p>
    <w:p>
      <w:pPr>
        <w:keepNext/>
        <w:keepLines/>
        <w:widowControl w:val="0"/>
        <w:tabs>
          <w:tab w:val="left" w:pos="180"/>
        </w:tabs>
        <w:rPr>
          <w:noProof/>
          <w:sz w:val="18"/>
          <w:szCs w:val="18"/>
          <w:lang w:val="it-IT"/>
          <w:rPrChange w:id="3856" w:author="Author">
            <w:rPr>
              <w:sz w:val="19"/>
              <w:szCs w:val="19"/>
              <w:lang w:val="it-IT"/>
            </w:rPr>
          </w:rPrChange>
        </w:rPr>
      </w:pPr>
      <w:r>
        <w:rPr>
          <w:noProof/>
          <w:sz w:val="18"/>
          <w:szCs w:val="18"/>
          <w:vertAlign w:val="superscript"/>
          <w:lang w:val="it-IT"/>
          <w:rPrChange w:id="3857" w:author="Author">
            <w:rPr>
              <w:sz w:val="19"/>
              <w:szCs w:val="19"/>
              <w:vertAlign w:val="superscript"/>
              <w:lang w:val="it-IT"/>
            </w:rPr>
          </w:rPrChange>
        </w:rPr>
        <w:t>3</w:t>
      </w:r>
      <w:r>
        <w:rPr>
          <w:noProof/>
          <w:sz w:val="18"/>
          <w:szCs w:val="18"/>
          <w:lang w:val="it-IT"/>
          <w:rPrChange w:id="3858" w:author="Author">
            <w:rPr>
              <w:sz w:val="19"/>
              <w:szCs w:val="19"/>
              <w:lang w:val="it-IT"/>
            </w:rPr>
          </w:rPrChange>
        </w:rPr>
        <w:t xml:space="preserve"> Questa reazione avversa è stata identificata attraverso la sorveglianza post-marketing ma non è stata osservata negli studi clinici controllati. La categoria di frequenza è stata stimata come limite superiore dell’intervallo di confidenza al 95% calcolato sulla base del numero totale di pazienti esposti a tocilizumab negli studi clinici.</w:t>
      </w:r>
    </w:p>
    <w:p>
      <w:pPr>
        <w:widowControl w:val="0"/>
        <w:tabs>
          <w:tab w:val="left" w:pos="180"/>
        </w:tabs>
        <w:rPr>
          <w:noProof/>
          <w:lang w:val="it-IT"/>
        </w:rPr>
        <w:pPrChange w:id="3859" w:author="Author">
          <w:pPr>
            <w:keepNext/>
            <w:keepLines/>
            <w:widowControl w:val="0"/>
            <w:tabs>
              <w:tab w:val="left" w:pos="180"/>
            </w:tabs>
          </w:pPr>
        </w:pPrChange>
      </w:pPr>
    </w:p>
    <w:p>
      <w:pPr>
        <w:keepNext/>
        <w:keepLines/>
        <w:tabs>
          <w:tab w:val="left" w:pos="180"/>
        </w:tabs>
        <w:autoSpaceDE w:val="0"/>
        <w:autoSpaceDN w:val="0"/>
        <w:adjustRightInd w:val="0"/>
        <w:rPr>
          <w:del w:id="3860" w:author="Author"/>
          <w:noProof/>
          <w:szCs w:val="22"/>
          <w:u w:val="single"/>
          <w:lang w:val="it-IT"/>
        </w:rPr>
      </w:pPr>
      <w:r>
        <w:rPr>
          <w:noProof/>
          <w:szCs w:val="22"/>
          <w:u w:val="single"/>
          <w:lang w:val="it-IT"/>
        </w:rPr>
        <w:t>Descrizione delle reazioni avverse selezionate (uso sottocutaneo)</w:t>
      </w:r>
    </w:p>
    <w:p>
      <w:pPr>
        <w:keepNext/>
        <w:keepLines/>
        <w:tabs>
          <w:tab w:val="left" w:pos="180"/>
        </w:tabs>
        <w:autoSpaceDE w:val="0"/>
        <w:autoSpaceDN w:val="0"/>
        <w:adjustRightInd w:val="0"/>
        <w:rPr>
          <w:rFonts w:eastAsia="SimSun"/>
          <w:noProof/>
          <w:szCs w:val="22"/>
          <w:u w:val="single"/>
          <w:lang w:val="it-IT"/>
        </w:rPr>
      </w:pPr>
    </w:p>
    <w:p>
      <w:pPr>
        <w:keepNext/>
        <w:keepLines/>
        <w:tabs>
          <w:tab w:val="left" w:pos="180"/>
        </w:tabs>
        <w:rPr>
          <w:bCs/>
          <w:i/>
          <w:iCs/>
          <w:noProof/>
          <w:lang w:val="it-IT"/>
        </w:rPr>
      </w:pPr>
      <w:r>
        <w:rPr>
          <w:bCs/>
          <w:i/>
          <w:iCs/>
          <w:noProof/>
          <w:lang w:val="it-IT"/>
        </w:rPr>
        <w:t>Pazienti aaffetti da AR</w:t>
      </w:r>
    </w:p>
    <w:p>
      <w:pPr>
        <w:keepNext/>
        <w:keepLines/>
        <w:tabs>
          <w:tab w:val="left" w:pos="180"/>
        </w:tabs>
        <w:rPr>
          <w:noProof/>
          <w:lang w:val="it-IT"/>
        </w:rPr>
      </w:pPr>
      <w:r>
        <w:rPr>
          <w:noProof/>
          <w:lang w:val="it-IT"/>
        </w:rPr>
        <w:t xml:space="preserve">La sicurezza di </w:t>
      </w:r>
      <w:r>
        <w:rPr>
          <w:noProof/>
          <w:szCs w:val="22"/>
          <w:lang w:val="it-IT"/>
        </w:rPr>
        <w:t xml:space="preserve">tocilizumab </w:t>
      </w:r>
      <w:r>
        <w:rPr>
          <w:noProof/>
          <w:lang w:val="it-IT"/>
        </w:rPr>
        <w:t>in formulazione sottocutanea nel trattamento dell’AR comprende uno studio in doppio cieco, controllato e multicentrico, denominato SC-I. SC-I è stato uno studio di non inferiorità che ha confrontato l’efficacia e la sicurezza di 162 mg somministrati ogni settimana rispetto a 8 mg/kg somministrato per via endovenosa in 1</w:t>
      </w:r>
      <w:ins w:id="3861" w:author="Author">
        <w:r>
          <w:rPr>
            <w:noProof/>
            <w:lang w:val="it-IT"/>
          </w:rPr>
          <w:t> </w:t>
        </w:r>
      </w:ins>
      <w:r>
        <w:rPr>
          <w:noProof/>
          <w:lang w:val="it-IT"/>
        </w:rPr>
        <w:t xml:space="preserve">262 pazienti affetti da AR. A tutti i pazienti sono stati somministrati DMARD non biologici come terapia di fondo. La sicurezza e l’immunogenicità osservate con </w:t>
      </w:r>
      <w:r>
        <w:rPr>
          <w:noProof/>
          <w:szCs w:val="22"/>
          <w:lang w:val="it-IT"/>
        </w:rPr>
        <w:t xml:space="preserve">tocilizumab </w:t>
      </w:r>
      <w:r>
        <w:rPr>
          <w:noProof/>
          <w:lang w:val="it-IT"/>
        </w:rPr>
        <w:t xml:space="preserve">somministrato per via sottocutanea erano in linea con il profilo di sicurezza noto di </w:t>
      </w:r>
      <w:r>
        <w:rPr>
          <w:noProof/>
          <w:szCs w:val="22"/>
          <w:lang w:val="it-IT"/>
        </w:rPr>
        <w:t xml:space="preserve">tocilizumab </w:t>
      </w:r>
      <w:r>
        <w:rPr>
          <w:noProof/>
          <w:lang w:val="it-IT"/>
        </w:rPr>
        <w:t>in formulazione endovenosa e non sono state osservate nuove o inattese reazioni avverse al farmaco (vedere Tabella 1). Nei bracci s.c. è stata riscontrata una frequenza maggiore di reazioni correlate al sito di iniezione rispetto alle iniezioni sottocutanee di placebo nei bracci e.v.</w:t>
      </w:r>
    </w:p>
    <w:p>
      <w:pPr>
        <w:tabs>
          <w:tab w:val="left" w:pos="180"/>
        </w:tabs>
        <w:rPr>
          <w:noProof/>
          <w:lang w:val="it-IT"/>
        </w:rPr>
      </w:pPr>
    </w:p>
    <w:p>
      <w:pPr>
        <w:tabs>
          <w:tab w:val="left" w:pos="180"/>
        </w:tabs>
        <w:spacing w:line="280" w:lineRule="atLeast"/>
        <w:rPr>
          <w:rFonts w:eastAsia="MS Mincho"/>
          <w:i/>
          <w:noProof/>
          <w:szCs w:val="22"/>
          <w:u w:val="single"/>
          <w:lang w:val="it-IT"/>
        </w:rPr>
      </w:pPr>
      <w:r>
        <w:rPr>
          <w:i/>
          <w:noProof/>
          <w:szCs w:val="22"/>
          <w:u w:val="single"/>
          <w:lang w:val="it-IT"/>
        </w:rPr>
        <w:t>Reazioni correlate al sito di iniezione</w:t>
      </w:r>
    </w:p>
    <w:p>
      <w:pPr>
        <w:tabs>
          <w:tab w:val="left" w:pos="180"/>
        </w:tabs>
        <w:rPr>
          <w:noProof/>
          <w:lang w:val="it-IT"/>
        </w:rPr>
      </w:pPr>
      <w:r>
        <w:rPr>
          <w:noProof/>
          <w:lang w:val="it-IT"/>
        </w:rPr>
        <w:t xml:space="preserve">Nello </w:t>
      </w:r>
      <w:del w:id="3862" w:author="Author">
        <w:r>
          <w:rPr>
            <w:noProof/>
            <w:lang w:val="it-IT"/>
          </w:rPr>
          <w:delText xml:space="preserve">studio </w:delText>
        </w:r>
      </w:del>
      <w:ins w:id="3863" w:author="Author">
        <w:r>
          <w:rPr>
            <w:noProof/>
            <w:lang w:val="it-IT"/>
          </w:rPr>
          <w:t xml:space="preserve">Studio </w:t>
        </w:r>
      </w:ins>
      <w:r>
        <w:rPr>
          <w:noProof/>
          <w:lang w:val="it-IT"/>
        </w:rPr>
        <w:t>SC-I, durante la fase controllata di 6 mesi, la frequenza delle reazioni correlate al sito di iniezione è risultata pari al 10,1% (64/631) e al 2,4% (15/631) rispettivamente per le iniezioni settimanali di tocilizumab in formulazione sottocutanea e di placebo in formulazione sottocutanea (gruppo e.v.). Tali reazioni (comprendenti eritema, prurito, dolore ed ematoma) sono state di gravità da lieve a moderata. Per la maggior parte si sono risolte senza ricorrere ad alcun trattamento e per nessuna di queste si è resa necessaria l’interruzione della terapia.</w:t>
      </w:r>
    </w:p>
    <w:p>
      <w:pPr>
        <w:tabs>
          <w:tab w:val="left" w:pos="180"/>
        </w:tabs>
        <w:rPr>
          <w:noProof/>
          <w:lang w:val="it-IT"/>
        </w:rPr>
      </w:pPr>
    </w:p>
    <w:p>
      <w:pPr>
        <w:keepNext/>
        <w:keepLines/>
        <w:tabs>
          <w:tab w:val="left" w:pos="180"/>
        </w:tabs>
        <w:spacing w:line="280" w:lineRule="atLeast"/>
        <w:rPr>
          <w:rFonts w:eastAsia="MS Mincho"/>
          <w:i/>
          <w:noProof/>
          <w:szCs w:val="22"/>
          <w:u w:val="single"/>
          <w:lang w:val="it-IT"/>
        </w:rPr>
      </w:pPr>
      <w:r>
        <w:rPr>
          <w:i/>
          <w:noProof/>
          <w:szCs w:val="22"/>
          <w:u w:val="single"/>
          <w:lang w:val="it-IT"/>
        </w:rPr>
        <w:t>Immunogenicità</w:t>
      </w:r>
    </w:p>
    <w:p>
      <w:pPr>
        <w:tabs>
          <w:tab w:val="left" w:pos="180"/>
        </w:tabs>
        <w:rPr>
          <w:noProof/>
          <w:lang w:val="it-IT"/>
        </w:rPr>
      </w:pPr>
      <w:r>
        <w:rPr>
          <w:noProof/>
          <w:lang w:val="it-IT"/>
        </w:rPr>
        <w:t xml:space="preserve">Nello </w:t>
      </w:r>
      <w:del w:id="3864" w:author="Author">
        <w:r>
          <w:rPr>
            <w:noProof/>
            <w:lang w:val="it-IT"/>
          </w:rPr>
          <w:delText xml:space="preserve">studio </w:delText>
        </w:r>
      </w:del>
      <w:ins w:id="3865" w:author="Author">
        <w:r>
          <w:rPr>
            <w:noProof/>
            <w:lang w:val="it-IT"/>
          </w:rPr>
          <w:t xml:space="preserve">Studio </w:t>
        </w:r>
      </w:ins>
      <w:r>
        <w:rPr>
          <w:noProof/>
          <w:lang w:val="it-IT"/>
        </w:rPr>
        <w:t xml:space="preserve">SC-I, durante la fase controllata di 6 mesi, sono stati complessivamente analizzati 625 pazienti trattati con </w:t>
      </w:r>
      <w:r>
        <w:rPr>
          <w:noProof/>
          <w:szCs w:val="22"/>
          <w:lang w:val="it-IT"/>
        </w:rPr>
        <w:t xml:space="preserve">tocilizumab </w:t>
      </w:r>
      <w:r>
        <w:rPr>
          <w:noProof/>
          <w:lang w:val="it-IT"/>
        </w:rPr>
        <w:t xml:space="preserve">162 mg </w:t>
      </w:r>
      <w:del w:id="3866" w:author="Author">
        <w:r>
          <w:rPr>
            <w:noProof/>
            <w:lang w:val="it-IT"/>
          </w:rPr>
          <w:delText xml:space="preserve">ogni </w:delText>
        </w:r>
      </w:del>
      <w:ins w:id="3867" w:author="Author">
        <w:r>
          <w:rPr>
            <w:noProof/>
            <w:lang w:val="it-IT"/>
          </w:rPr>
          <w:t xml:space="preserve">una volta a </w:t>
        </w:r>
      </w:ins>
      <w:r>
        <w:rPr>
          <w:noProof/>
          <w:lang w:val="it-IT"/>
        </w:rPr>
        <w:t>settimana al fine di rilevare anticorpi anti-tocilizumab. Dei cinque pazienti (0,8%) che hanno presentato positività agli anticorpi anti-tocilizumab, tutti hanno sviluppato anticorpi neutralizzanti anti-</w:t>
      </w:r>
      <w:r>
        <w:rPr>
          <w:noProof/>
          <w:szCs w:val="22"/>
          <w:lang w:val="it-IT"/>
        </w:rPr>
        <w:t>tocilizumab</w:t>
      </w:r>
      <w:r>
        <w:rPr>
          <w:noProof/>
          <w:lang w:val="it-IT"/>
        </w:rPr>
        <w:t>. Un paziente è risultato positivo al test per l’isotipo IgE (0,2%).</w:t>
      </w:r>
    </w:p>
    <w:p>
      <w:pPr>
        <w:tabs>
          <w:tab w:val="left" w:pos="180"/>
        </w:tabs>
        <w:rPr>
          <w:noProof/>
          <w:lang w:val="it-IT"/>
        </w:rPr>
      </w:pPr>
    </w:p>
    <w:p>
      <w:pPr>
        <w:tabs>
          <w:tab w:val="left" w:pos="180"/>
        </w:tabs>
        <w:rPr>
          <w:noProof/>
          <w:lang w:val="it-IT"/>
        </w:rPr>
      </w:pPr>
      <w:r>
        <w:rPr>
          <w:noProof/>
          <w:lang w:val="it-IT"/>
        </w:rPr>
        <w:t xml:space="preserve">Nello studio SC-II, durante la fase controllata di 6 mesi, sono stati complessivamente analizzati 434 pazienti trattati con </w:t>
      </w:r>
      <w:r>
        <w:rPr>
          <w:noProof/>
          <w:szCs w:val="22"/>
          <w:lang w:val="it-IT"/>
        </w:rPr>
        <w:t>tocilizumab</w:t>
      </w:r>
      <w:r>
        <w:rPr>
          <w:noProof/>
          <w:lang w:val="it-IT"/>
        </w:rPr>
        <w:t xml:space="preserve"> 162 mg </w:t>
      </w:r>
      <w:ins w:id="3868" w:author="Author">
        <w:r>
          <w:rPr>
            <w:noProof/>
            <w:lang w:val="it-IT"/>
          </w:rPr>
          <w:t>ogni due</w:t>
        </w:r>
      </w:ins>
      <w:del w:id="3869" w:author="Author">
        <w:r>
          <w:rPr>
            <w:noProof/>
            <w:lang w:val="it-IT"/>
          </w:rPr>
          <w:delText>a</w:delText>
        </w:r>
      </w:del>
      <w:r>
        <w:rPr>
          <w:noProof/>
          <w:lang w:val="it-IT"/>
        </w:rPr>
        <w:t xml:space="preserve"> settimane </w:t>
      </w:r>
      <w:del w:id="3870" w:author="Author">
        <w:r>
          <w:rPr>
            <w:noProof/>
            <w:lang w:val="it-IT"/>
          </w:rPr>
          <w:delText xml:space="preserve">alterne </w:delText>
        </w:r>
      </w:del>
      <w:r>
        <w:rPr>
          <w:noProof/>
          <w:lang w:val="it-IT"/>
        </w:rPr>
        <w:t>al fine di rilevare anticorpi anti-tocilizumab. Dei sette pazienti (1,6%) che hanno presentato positività agli anticorpi anti-tocilizumab, sei (1,4%) hanno sviluppato anticorpi neutralizzanti anti-</w:t>
      </w:r>
      <w:r>
        <w:rPr>
          <w:noProof/>
          <w:szCs w:val="22"/>
          <w:lang w:val="it-IT"/>
        </w:rPr>
        <w:t>tocilizumab</w:t>
      </w:r>
      <w:r>
        <w:rPr>
          <w:noProof/>
          <w:lang w:val="it-IT"/>
        </w:rPr>
        <w:t>. Quattro pazienti sono risultati positivi al test per l’isotipo IgE (0,9%).</w:t>
      </w:r>
    </w:p>
    <w:p>
      <w:pPr>
        <w:tabs>
          <w:tab w:val="left" w:pos="180"/>
        </w:tabs>
        <w:rPr>
          <w:noProof/>
          <w:lang w:val="it-IT"/>
        </w:rPr>
      </w:pPr>
    </w:p>
    <w:p>
      <w:pPr>
        <w:tabs>
          <w:tab w:val="left" w:pos="180"/>
        </w:tabs>
        <w:rPr>
          <w:noProof/>
          <w:lang w:val="it-IT"/>
        </w:rPr>
      </w:pPr>
      <w:r>
        <w:rPr>
          <w:noProof/>
          <w:lang w:val="it-IT"/>
        </w:rPr>
        <w:t>Non è stata osservata alcuna correlazione tra la produzione di anticorpi e la risposta clinica o gli eventi avversi.</w:t>
      </w:r>
    </w:p>
    <w:p>
      <w:pPr>
        <w:tabs>
          <w:tab w:val="left" w:pos="180"/>
        </w:tabs>
        <w:ind w:left="567" w:hanging="567"/>
        <w:outlineLvl w:val="0"/>
        <w:rPr>
          <w:rFonts w:eastAsia="MS Mincho"/>
          <w:noProof/>
          <w:szCs w:val="22"/>
          <w:lang w:val="it-IT" w:eastAsia="zh-CN"/>
        </w:rPr>
      </w:pPr>
    </w:p>
    <w:p>
      <w:pPr>
        <w:keepNext/>
        <w:keepLines/>
        <w:tabs>
          <w:tab w:val="left" w:pos="180"/>
        </w:tabs>
        <w:autoSpaceDE w:val="0"/>
        <w:autoSpaceDN w:val="0"/>
        <w:adjustRightInd w:val="0"/>
        <w:rPr>
          <w:rFonts w:eastAsia="SimSun"/>
          <w:noProof/>
          <w:szCs w:val="22"/>
          <w:u w:val="single"/>
          <w:lang w:val="it-IT"/>
        </w:rPr>
      </w:pPr>
      <w:r>
        <w:rPr>
          <w:i/>
          <w:noProof/>
          <w:szCs w:val="22"/>
          <w:u w:val="single"/>
          <w:lang w:val="it-IT"/>
        </w:rPr>
        <w:lastRenderedPageBreak/>
        <w:t>Neutrofili</w:t>
      </w:r>
    </w:p>
    <w:p>
      <w:pPr>
        <w:keepNext/>
        <w:keepLines/>
        <w:tabs>
          <w:tab w:val="left" w:pos="180"/>
        </w:tabs>
        <w:spacing w:line="0" w:lineRule="atLeast"/>
        <w:rPr>
          <w:noProof/>
          <w:szCs w:val="22"/>
          <w:lang w:val="it-IT"/>
        </w:rPr>
      </w:pPr>
      <w:r>
        <w:rPr>
          <w:noProof/>
          <w:szCs w:val="22"/>
          <w:lang w:val="it-IT"/>
        </w:rPr>
        <w:t xml:space="preserve">Durante il monitoraggio di routine degli esami di laboratorio eseguito </w:t>
      </w:r>
      <w:r>
        <w:rPr>
          <w:noProof/>
          <w:lang w:val="it-IT"/>
        </w:rPr>
        <w:t xml:space="preserve">nello studio clinico SC-I controllato di 6 mesi su </w:t>
      </w:r>
      <w:r>
        <w:rPr>
          <w:noProof/>
          <w:szCs w:val="22"/>
          <w:lang w:val="it-IT"/>
        </w:rPr>
        <w:t xml:space="preserve">tocilizumab, è stata registrata una riduzione della conta dei neutrofili al di sotto di 1 </w:t>
      </w:r>
      <w:r>
        <w:rPr>
          <w:noProof/>
          <w:szCs w:val="22"/>
          <w:lang w:val="it-IT"/>
        </w:rPr>
        <w:sym w:font="Symbol" w:char="F0B4"/>
      </w:r>
      <w:r>
        <w:rPr>
          <w:noProof/>
          <w:szCs w:val="22"/>
          <w:lang w:val="it-IT"/>
        </w:rPr>
        <w:t>10</w:t>
      </w:r>
      <w:r>
        <w:rPr>
          <w:noProof/>
          <w:szCs w:val="22"/>
          <w:vertAlign w:val="superscript"/>
          <w:lang w:val="it-IT"/>
        </w:rPr>
        <w:t>9</w:t>
      </w:r>
      <w:r>
        <w:rPr>
          <w:noProof/>
          <w:szCs w:val="22"/>
          <w:lang w:val="it-IT"/>
        </w:rPr>
        <w:t xml:space="preserve">/L nel 2,9% dei pazienti </w:t>
      </w:r>
      <w:r>
        <w:rPr>
          <w:noProof/>
          <w:lang w:val="it-IT"/>
        </w:rPr>
        <w:t>in trattamento con la dose sottocutanea settimanale.</w:t>
      </w:r>
    </w:p>
    <w:p>
      <w:pPr>
        <w:tabs>
          <w:tab w:val="left" w:pos="180"/>
        </w:tabs>
        <w:spacing w:line="0" w:lineRule="atLeast"/>
        <w:rPr>
          <w:noProof/>
          <w:szCs w:val="22"/>
          <w:lang w:val="it-IT" w:eastAsia="de-DE"/>
        </w:rPr>
      </w:pPr>
    </w:p>
    <w:p>
      <w:pPr>
        <w:tabs>
          <w:tab w:val="left" w:pos="180"/>
        </w:tabs>
        <w:spacing w:line="0" w:lineRule="atLeast"/>
        <w:rPr>
          <w:noProof/>
          <w:szCs w:val="22"/>
          <w:lang w:val="it-IT"/>
        </w:rPr>
      </w:pPr>
      <w:r>
        <w:rPr>
          <w:noProof/>
          <w:szCs w:val="22"/>
          <w:lang w:val="it-IT"/>
        </w:rPr>
        <w:t xml:space="preserve">Non è emersa una chiara associazione tra le riduzioni della conta dei neutrofili al di sotto di 1 </w:t>
      </w:r>
      <w:r>
        <w:rPr>
          <w:noProof/>
          <w:szCs w:val="22"/>
          <w:lang w:val="it-IT"/>
        </w:rPr>
        <w:sym w:font="Symbol" w:char="F0B4"/>
      </w:r>
      <w:r>
        <w:rPr>
          <w:noProof/>
          <w:szCs w:val="22"/>
          <w:lang w:val="it-IT"/>
        </w:rPr>
        <w:t>10</w:t>
      </w:r>
      <w:r>
        <w:rPr>
          <w:noProof/>
          <w:szCs w:val="22"/>
          <w:vertAlign w:val="superscript"/>
          <w:lang w:val="it-IT"/>
        </w:rPr>
        <w:t>9</w:t>
      </w:r>
      <w:r>
        <w:rPr>
          <w:noProof/>
          <w:szCs w:val="22"/>
          <w:lang w:val="it-IT"/>
        </w:rPr>
        <w:t>/L e la comparsa di infezioni gravi.</w:t>
      </w:r>
    </w:p>
    <w:p>
      <w:pPr>
        <w:tabs>
          <w:tab w:val="left" w:pos="180"/>
        </w:tabs>
        <w:spacing w:line="0" w:lineRule="atLeast"/>
        <w:rPr>
          <w:i/>
          <w:noProof/>
          <w:szCs w:val="22"/>
          <w:lang w:val="it-IT" w:eastAsia="de-DE"/>
        </w:rPr>
      </w:pPr>
    </w:p>
    <w:p>
      <w:pPr>
        <w:tabs>
          <w:tab w:val="left" w:pos="180"/>
        </w:tabs>
        <w:spacing w:line="0" w:lineRule="atLeast"/>
        <w:rPr>
          <w:i/>
          <w:noProof/>
          <w:szCs w:val="22"/>
          <w:u w:val="single"/>
          <w:lang w:val="it-IT"/>
        </w:rPr>
      </w:pPr>
      <w:r>
        <w:rPr>
          <w:i/>
          <w:noProof/>
          <w:szCs w:val="22"/>
          <w:u w:val="single"/>
          <w:lang w:val="it-IT"/>
        </w:rPr>
        <w:t>Piastrine</w:t>
      </w:r>
    </w:p>
    <w:p>
      <w:pPr>
        <w:tabs>
          <w:tab w:val="left" w:pos="180"/>
        </w:tabs>
        <w:rPr>
          <w:noProof/>
          <w:lang w:val="it-IT"/>
        </w:rPr>
      </w:pPr>
      <w:r>
        <w:rPr>
          <w:noProof/>
          <w:lang w:val="it-IT"/>
        </w:rPr>
        <w:t xml:space="preserve">Durante il monitoraggio di routine degli esami di laboratorio eseguito nello studio clinico SC-I controllato di 6 mesi su </w:t>
      </w:r>
      <w:r>
        <w:rPr>
          <w:noProof/>
          <w:szCs w:val="22"/>
          <w:lang w:val="it-IT"/>
        </w:rPr>
        <w:t>tocilizumab</w:t>
      </w:r>
      <w:r>
        <w:rPr>
          <w:noProof/>
          <w:lang w:val="it-IT"/>
        </w:rPr>
        <w:t xml:space="preserve">, in nessuno dei pazienti in trattamento con la dose sottocutanea settimanale si è verificata una riduzione della conta piastrinica </w:t>
      </w:r>
      <w:r>
        <w:rPr>
          <w:noProof/>
          <w:szCs w:val="22"/>
          <w:lang w:val="it-IT" w:eastAsia="de-DE"/>
        </w:rPr>
        <w:t>≤</w:t>
      </w:r>
      <w:r>
        <w:rPr>
          <w:noProof/>
          <w:lang w:val="it-IT"/>
        </w:rPr>
        <w:t xml:space="preserve"> 50 </w:t>
      </w:r>
      <w:r>
        <w:rPr>
          <w:noProof/>
          <w:lang w:val="it-IT"/>
        </w:rPr>
        <w:sym w:font="Symbol" w:char="F0B4"/>
      </w:r>
      <w:r>
        <w:rPr>
          <w:noProof/>
          <w:lang w:val="it-IT"/>
        </w:rPr>
        <w:t>10</w:t>
      </w:r>
      <w:r>
        <w:rPr>
          <w:noProof/>
          <w:vertAlign w:val="superscript"/>
          <w:lang w:val="it-IT"/>
        </w:rPr>
        <w:t>3</w:t>
      </w:r>
      <w:r>
        <w:rPr>
          <w:noProof/>
          <w:lang w:val="it-IT"/>
        </w:rPr>
        <w:t>/μL.</w:t>
      </w:r>
    </w:p>
    <w:p>
      <w:pPr>
        <w:tabs>
          <w:tab w:val="left" w:pos="180"/>
        </w:tabs>
        <w:spacing w:line="0" w:lineRule="atLeast"/>
        <w:rPr>
          <w:noProof/>
          <w:szCs w:val="22"/>
          <w:lang w:val="it-IT" w:eastAsia="de-DE"/>
        </w:rPr>
      </w:pPr>
    </w:p>
    <w:p>
      <w:pPr>
        <w:keepNext/>
        <w:keepLines/>
        <w:tabs>
          <w:tab w:val="left" w:pos="180"/>
        </w:tabs>
        <w:rPr>
          <w:i/>
          <w:noProof/>
          <w:szCs w:val="22"/>
          <w:u w:val="single"/>
          <w:lang w:val="it-IT"/>
        </w:rPr>
      </w:pPr>
      <w:r>
        <w:rPr>
          <w:i/>
          <w:noProof/>
          <w:szCs w:val="22"/>
          <w:u w:val="single"/>
          <w:lang w:val="it-IT"/>
        </w:rPr>
        <w:t>Aumenti delle transaminasi epatiche</w:t>
      </w:r>
    </w:p>
    <w:p>
      <w:pPr>
        <w:tabs>
          <w:tab w:val="left" w:pos="180"/>
        </w:tabs>
        <w:autoSpaceDE w:val="0"/>
        <w:autoSpaceDN w:val="0"/>
        <w:adjustRightInd w:val="0"/>
        <w:rPr>
          <w:noProof/>
          <w:lang w:val="it-IT"/>
        </w:rPr>
      </w:pPr>
      <w:r>
        <w:rPr>
          <w:noProof/>
          <w:lang w:val="it-IT"/>
        </w:rPr>
        <w:t xml:space="preserve">Durante il monitoraggio di routine degli esami di laboratorio eseguito nello studio clinico SC-I controllato di 6 mesi su </w:t>
      </w:r>
      <w:r>
        <w:rPr>
          <w:noProof/>
          <w:szCs w:val="22"/>
          <w:lang w:val="it-IT"/>
        </w:rPr>
        <w:t>tocilizumab</w:t>
      </w:r>
      <w:r>
        <w:rPr>
          <w:noProof/>
          <w:lang w:val="it-IT"/>
        </w:rPr>
        <w:t>, è stato registrato un aumento di ALT e AST ≥ 3 volte ULN rispettivamente nel 6,5% e nell’1,4% dei pazienti in trattamento con la dose sottocutanea settimanale.</w:t>
      </w:r>
    </w:p>
    <w:p>
      <w:pPr>
        <w:tabs>
          <w:tab w:val="left" w:pos="180"/>
        </w:tabs>
        <w:autoSpaceDE w:val="0"/>
        <w:autoSpaceDN w:val="0"/>
        <w:adjustRightInd w:val="0"/>
        <w:rPr>
          <w:noProof/>
          <w:szCs w:val="22"/>
          <w:lang w:val="it-IT" w:eastAsia="de-DE"/>
        </w:rPr>
      </w:pPr>
    </w:p>
    <w:p>
      <w:pPr>
        <w:keepNext/>
        <w:keepLines/>
        <w:tabs>
          <w:tab w:val="left" w:pos="180"/>
        </w:tabs>
        <w:autoSpaceDE w:val="0"/>
        <w:autoSpaceDN w:val="0"/>
        <w:adjustRightInd w:val="0"/>
        <w:rPr>
          <w:i/>
          <w:noProof/>
          <w:szCs w:val="22"/>
          <w:u w:val="single"/>
          <w:lang w:val="it-IT"/>
        </w:rPr>
      </w:pPr>
      <w:r>
        <w:rPr>
          <w:i/>
          <w:noProof/>
          <w:szCs w:val="22"/>
          <w:u w:val="single"/>
          <w:lang w:val="it-IT"/>
        </w:rPr>
        <w:t>Parametri lipidici</w:t>
      </w:r>
    </w:p>
    <w:p>
      <w:pPr>
        <w:keepNext/>
        <w:keepLines/>
        <w:tabs>
          <w:tab w:val="left" w:pos="180"/>
        </w:tabs>
        <w:autoSpaceDE w:val="0"/>
        <w:autoSpaceDN w:val="0"/>
        <w:adjustRightInd w:val="0"/>
        <w:rPr>
          <w:noProof/>
          <w:lang w:val="it-IT"/>
        </w:rPr>
      </w:pPr>
      <w:r>
        <w:rPr>
          <w:noProof/>
          <w:lang w:val="it-IT"/>
        </w:rPr>
        <w:t xml:space="preserve">Durante il monitoraggio di routine degli esami di laboratorio eseguito nello studio clinico SC-I controllato di 6 mesi su tocilizumab, il 19% dei pazienti ha presentato aumenti sostenuti del colesterolo totale &gt; 6,2 mmol/L (240 mg/dL), con un 9% in trattamento con la dose sottocutanea settimanale che ha manifestato un incremento sostenuto dell’LDL </w:t>
      </w:r>
      <w:r>
        <w:rPr>
          <w:noProof/>
          <w:lang w:val="it-IT"/>
        </w:rPr>
        <w:sym w:font="Symbol" w:char="F0B3"/>
      </w:r>
      <w:r>
        <w:rPr>
          <w:noProof/>
          <w:lang w:val="it-IT"/>
        </w:rPr>
        <w:t xml:space="preserve"> 4,1 mmol/L (160 mg/dL).</w:t>
      </w:r>
    </w:p>
    <w:p>
      <w:pPr>
        <w:keepNext/>
        <w:keepLines/>
        <w:tabs>
          <w:tab w:val="left" w:pos="180"/>
        </w:tabs>
        <w:autoSpaceDE w:val="0"/>
        <w:autoSpaceDN w:val="0"/>
        <w:adjustRightInd w:val="0"/>
        <w:rPr>
          <w:noProof/>
          <w:lang w:val="it-IT"/>
        </w:rPr>
      </w:pPr>
    </w:p>
    <w:p>
      <w:pPr>
        <w:keepNext/>
        <w:keepLines/>
        <w:autoSpaceDE w:val="0"/>
        <w:autoSpaceDN w:val="0"/>
        <w:adjustRightInd w:val="0"/>
        <w:rPr>
          <w:rFonts w:eastAsia="SimSun"/>
          <w:bCs/>
          <w:i/>
          <w:iCs/>
          <w:noProof/>
          <w:szCs w:val="22"/>
          <w:lang w:val="it-IT" w:eastAsia="zh-CN"/>
          <w:rPrChange w:id="3871" w:author="Author">
            <w:rPr>
              <w:rFonts w:eastAsia="SimSun"/>
              <w:bCs/>
              <w:i/>
              <w:iCs/>
              <w:szCs w:val="22"/>
              <w:u w:val="single"/>
              <w:lang w:val="it-IT" w:eastAsia="zh-CN"/>
            </w:rPr>
          </w:rPrChange>
        </w:rPr>
      </w:pPr>
      <w:r>
        <w:rPr>
          <w:rFonts w:eastAsia="SimSun"/>
          <w:bCs/>
          <w:i/>
          <w:iCs/>
          <w:noProof/>
          <w:szCs w:val="22"/>
          <w:lang w:val="it-IT" w:eastAsia="zh-CN"/>
          <w:rPrChange w:id="3872" w:author="Author">
            <w:rPr>
              <w:rFonts w:eastAsia="SimSun"/>
              <w:bCs/>
              <w:i/>
              <w:iCs/>
              <w:szCs w:val="22"/>
              <w:u w:val="single"/>
              <w:lang w:val="it-IT" w:eastAsia="zh-CN"/>
            </w:rPr>
          </w:rPrChange>
        </w:rPr>
        <w:t xml:space="preserve">Pazienti affetti da AIGs </w:t>
      </w:r>
    </w:p>
    <w:p>
      <w:pPr>
        <w:keepNext/>
        <w:keepLines/>
        <w:rPr>
          <w:noProof/>
          <w:lang w:val="it-IT"/>
        </w:rPr>
      </w:pPr>
      <w:r>
        <w:rPr>
          <w:noProof/>
          <w:lang w:val="it-IT"/>
        </w:rPr>
        <w:t>Il profilo di sicurezza di tocilizumab in formulazione sottocutanea è stato valutato in 51 pazienti pediatrici (di età compresa tra 1 e 17 anni) affetti da AIGs. In generale, i tipi di reazioni avverse al farmaco registrate nei pazienti affetti da AIGs sono risultati simili a quelli osservati nei pazienti affetti da AR (vedere paragrafo</w:t>
      </w:r>
      <w:ins w:id="3873" w:author="Author">
        <w:r>
          <w:rPr>
            <w:noProof/>
            <w:lang w:val="it-IT"/>
          </w:rPr>
          <w:t> 4.8</w:t>
        </w:r>
      </w:ins>
      <w:del w:id="3874" w:author="Author">
        <w:r>
          <w:rPr>
            <w:noProof/>
            <w:lang w:val="it-IT"/>
          </w:rPr>
          <w:delText xml:space="preserve"> “Effetti indesiderati” di cui sopra</w:delText>
        </w:r>
      </w:del>
      <w:r>
        <w:rPr>
          <w:noProof/>
          <w:lang w:val="it-IT"/>
        </w:rPr>
        <w:t xml:space="preserve">). </w:t>
      </w:r>
    </w:p>
    <w:p>
      <w:pPr>
        <w:rPr>
          <w:noProof/>
          <w:lang w:val="it-IT"/>
        </w:rPr>
      </w:pPr>
    </w:p>
    <w:p>
      <w:pPr>
        <w:rPr>
          <w:i/>
          <w:noProof/>
          <w:u w:val="single"/>
          <w:lang w:val="it-IT"/>
        </w:rPr>
      </w:pPr>
      <w:r>
        <w:rPr>
          <w:i/>
          <w:noProof/>
          <w:u w:val="single"/>
          <w:lang w:val="it-IT"/>
        </w:rPr>
        <w:t>Infezioni</w:t>
      </w:r>
    </w:p>
    <w:p>
      <w:pPr>
        <w:rPr>
          <w:noProof/>
          <w:lang w:val="it-IT"/>
        </w:rPr>
      </w:pPr>
      <w:r>
        <w:rPr>
          <w:noProof/>
          <w:lang w:val="it-IT"/>
        </w:rPr>
        <w:t>Il tasso di infezioni nei pazienti affetti da AIGs trattati con tocilizumab per via sottocutanea è risultato sovrapponibile a quello dei pazienti affetti da AIGs trattati con tocilizumab per via endovenosa.</w:t>
      </w:r>
    </w:p>
    <w:p>
      <w:pPr>
        <w:rPr>
          <w:noProof/>
          <w:lang w:val="it-IT"/>
        </w:rPr>
      </w:pPr>
    </w:p>
    <w:p>
      <w:pPr>
        <w:rPr>
          <w:i/>
          <w:noProof/>
          <w:u w:val="single"/>
          <w:lang w:val="it-IT"/>
        </w:rPr>
      </w:pPr>
      <w:r>
        <w:rPr>
          <w:i/>
          <w:noProof/>
          <w:u w:val="single"/>
          <w:lang w:val="it-IT"/>
        </w:rPr>
        <w:t>Reazioni correlate al sito di iniezione (ISR)</w:t>
      </w:r>
    </w:p>
    <w:p>
      <w:pPr>
        <w:rPr>
          <w:noProof/>
          <w:lang w:val="it-IT"/>
        </w:rPr>
      </w:pPr>
      <w:r>
        <w:rPr>
          <w:noProof/>
          <w:lang w:val="it-IT"/>
        </w:rPr>
        <w:t xml:space="preserve">Nello studio sulla formulazione sottocutanea (WA28118), complessivamente il 41,2% </w:t>
      </w:r>
      <w:r>
        <w:rPr>
          <w:rFonts w:eastAsia="MS Mincho"/>
          <w:noProof/>
          <w:lang w:val="it-IT" w:eastAsia="zh-CN"/>
        </w:rPr>
        <w:t xml:space="preserve">(21/51) dei pazienti affetti da AIGs ha manifestato ISR a </w:t>
      </w:r>
      <w:r>
        <w:rPr>
          <w:noProof/>
          <w:lang w:val="it-IT"/>
        </w:rPr>
        <w:t>tocilizumab per via sottocutanea. Le ISR più comuni sono state eritema, prurito, dolore e gonfiore in corrispondenza del sito di iniezione. La maggior parte delle ISR segnalate era rappresentata da eventi di grado 1. Tutte le ISR riferite sono state non gravi e nessuna di esse ha richiesto che il paziente interrompesse il trattamento o sospendesse la somministrazione.</w:t>
      </w:r>
    </w:p>
    <w:p>
      <w:pPr>
        <w:rPr>
          <w:noProof/>
          <w:lang w:val="it-IT"/>
        </w:rPr>
      </w:pPr>
    </w:p>
    <w:p>
      <w:pPr>
        <w:rPr>
          <w:i/>
          <w:noProof/>
          <w:u w:val="single"/>
          <w:lang w:val="it-IT"/>
        </w:rPr>
      </w:pPr>
      <w:r>
        <w:rPr>
          <w:i/>
          <w:noProof/>
          <w:u w:val="single"/>
          <w:lang w:val="it-IT"/>
        </w:rPr>
        <w:t>Immunogenicità</w:t>
      </w:r>
    </w:p>
    <w:p>
      <w:pPr>
        <w:rPr>
          <w:noProof/>
          <w:lang w:val="it-IT"/>
        </w:rPr>
      </w:pPr>
      <w:r>
        <w:rPr>
          <w:noProof/>
          <w:lang w:val="it-IT"/>
        </w:rPr>
        <w:t>Nello studio sulla formulazione sottocutanea (WA28118), 46 dei 51 (90,2%) pazienti testati per gli anticorpi anti-tocilizumab al basale presentavano almeno un risultato analitico di screening post-basale. Nessun paziente ha sviluppato positività agli anticorpi anti-tocilizumab post-basale.</w:t>
      </w:r>
    </w:p>
    <w:p>
      <w:pPr>
        <w:rPr>
          <w:noProof/>
          <w:lang w:val="it-IT"/>
        </w:rPr>
      </w:pPr>
    </w:p>
    <w:p>
      <w:pPr>
        <w:rPr>
          <w:noProof/>
          <w:u w:val="single"/>
          <w:lang w:val="it-IT"/>
        </w:rPr>
      </w:pPr>
      <w:r>
        <w:rPr>
          <w:i/>
          <w:noProof/>
          <w:u w:val="single"/>
          <w:lang w:val="it-IT"/>
        </w:rPr>
        <w:t>Anomalie di laboratorio</w:t>
      </w:r>
    </w:p>
    <w:p>
      <w:pPr>
        <w:rPr>
          <w:rFonts w:eastAsia="SimSun"/>
          <w:noProof/>
          <w:lang w:val="it-IT"/>
        </w:rPr>
      </w:pPr>
      <w:r>
        <w:rPr>
          <w:noProof/>
          <w:lang w:val="it-IT"/>
        </w:rPr>
        <w:t xml:space="preserve">Nello studio in aperto della durata di 52 settimane sulla formulazione sottocutanea (WA28118), il 23,5% dei pazienti trattati con tocilizumab per via sottocutanea ha evidenziato una riduzione della conta dei neutrofili al di sotto di </w:t>
      </w:r>
      <w:r>
        <w:rPr>
          <w:rFonts w:eastAsia="SimSun"/>
          <w:noProof/>
          <w:lang w:val="it-IT" w:eastAsia="zh-CN"/>
        </w:rPr>
        <w:t xml:space="preserve">1 </w:t>
      </w:r>
      <w:r>
        <w:rPr>
          <w:rFonts w:eastAsia="SimSun"/>
          <w:noProof/>
          <w:lang w:val="it-IT" w:eastAsia="zh-CN"/>
        </w:rPr>
        <w:sym w:font="Symbol" w:char="F0B4"/>
      </w:r>
      <w:r>
        <w:rPr>
          <w:rFonts w:eastAsia="SimSun"/>
          <w:noProof/>
          <w:lang w:val="it-IT" w:eastAsia="zh-CN"/>
        </w:rPr>
        <w:t>10</w:t>
      </w:r>
      <w:r>
        <w:rPr>
          <w:rFonts w:eastAsia="SimSun"/>
          <w:noProof/>
          <w:vertAlign w:val="superscript"/>
          <w:lang w:val="it-IT" w:eastAsia="zh-CN"/>
        </w:rPr>
        <w:t>9</w:t>
      </w:r>
      <w:r>
        <w:rPr>
          <w:rFonts w:eastAsia="SimSun"/>
          <w:noProof/>
          <w:lang w:val="it-IT" w:eastAsia="zh-CN"/>
        </w:rPr>
        <w:t xml:space="preserve">/L. Nel 2% </w:t>
      </w:r>
      <w:r>
        <w:rPr>
          <w:noProof/>
          <w:lang w:val="it-IT"/>
        </w:rPr>
        <w:t xml:space="preserve">dei pazienti trattati con tocilizumab per via sottocutanea è stata registrata una riduzione delle conte piastriniche al di sotto di </w:t>
      </w:r>
      <w:r>
        <w:rPr>
          <w:rFonts w:eastAsia="SimSun"/>
          <w:noProof/>
          <w:lang w:val="it-IT"/>
        </w:rPr>
        <w:t>100</w:t>
      </w:r>
      <w:del w:id="3875" w:author="Author">
        <w:r>
          <w:rPr>
            <w:rFonts w:eastAsia="SimSun"/>
            <w:noProof/>
            <w:lang w:val="it-IT"/>
          </w:rPr>
          <w:delText xml:space="preserve"> </w:delText>
        </w:r>
      </w:del>
      <w:ins w:id="3876" w:author="Author">
        <w:r>
          <w:rPr>
            <w:rFonts w:eastAsia="SimSun"/>
            <w:noProof/>
            <w:lang w:val="it-IT"/>
          </w:rPr>
          <w:t> </w:t>
        </w:r>
      </w:ins>
      <w:r>
        <w:rPr>
          <w:rFonts w:eastAsia="SimSun"/>
          <w:noProof/>
          <w:lang w:val="it-IT" w:eastAsia="zh-CN"/>
        </w:rPr>
        <w:sym w:font="Symbol" w:char="F0B4"/>
      </w:r>
      <w:ins w:id="3877" w:author="Author">
        <w:r>
          <w:rPr>
            <w:rFonts w:eastAsia="SimSun"/>
            <w:noProof/>
            <w:lang w:val="it-IT" w:eastAsia="zh-CN"/>
          </w:rPr>
          <w:t> </w:t>
        </w:r>
      </w:ins>
      <w:del w:id="3878" w:author="Author">
        <w:r>
          <w:rPr>
            <w:rFonts w:eastAsia="SimSun"/>
            <w:noProof/>
            <w:lang w:val="it-IT"/>
          </w:rPr>
          <w:delText xml:space="preserve"> </w:delText>
        </w:r>
      </w:del>
      <w:r>
        <w:rPr>
          <w:rFonts w:eastAsia="SimSun"/>
          <w:noProof/>
          <w:lang w:val="it-IT"/>
        </w:rPr>
        <w:t>10</w:t>
      </w:r>
      <w:r>
        <w:rPr>
          <w:rFonts w:eastAsia="SimSun"/>
          <w:noProof/>
          <w:vertAlign w:val="superscript"/>
          <w:lang w:val="it-IT"/>
        </w:rPr>
        <w:t>3</w:t>
      </w:r>
      <w:r>
        <w:rPr>
          <w:rFonts w:eastAsia="SimSun"/>
          <w:noProof/>
          <w:lang w:val="it-IT"/>
        </w:rPr>
        <w:t xml:space="preserve">/μL. Il 9,8% e il 4,0% dei pazienti </w:t>
      </w:r>
      <w:r>
        <w:rPr>
          <w:noProof/>
          <w:lang w:val="it-IT"/>
        </w:rPr>
        <w:t xml:space="preserve">trattati con tocilizumab per via sottocutanea hanno manifestato un aumento rispettivamente di ALT o AST </w:t>
      </w:r>
      <w:r>
        <w:rPr>
          <w:rFonts w:eastAsia="SimSun"/>
          <w:noProof/>
          <w:lang w:val="it-IT"/>
        </w:rPr>
        <w:t>≥ 3 volte ULN.</w:t>
      </w:r>
    </w:p>
    <w:p>
      <w:pPr>
        <w:rPr>
          <w:rFonts w:eastAsia="SimSun"/>
          <w:noProof/>
          <w:lang w:val="it-IT"/>
        </w:rPr>
      </w:pPr>
    </w:p>
    <w:p>
      <w:pPr>
        <w:keepNext/>
        <w:rPr>
          <w:rFonts w:eastAsia="SimSun"/>
          <w:i/>
          <w:noProof/>
          <w:u w:val="single"/>
          <w:lang w:val="it-IT"/>
        </w:rPr>
      </w:pPr>
      <w:r>
        <w:rPr>
          <w:rFonts w:eastAsia="SimSun"/>
          <w:i/>
          <w:noProof/>
          <w:u w:val="single"/>
          <w:lang w:val="it-IT"/>
        </w:rPr>
        <w:lastRenderedPageBreak/>
        <w:t>Parametri lipidici</w:t>
      </w:r>
    </w:p>
    <w:p>
      <w:pPr>
        <w:rPr>
          <w:rFonts w:eastAsia="SimSun"/>
          <w:noProof/>
          <w:szCs w:val="22"/>
          <w:lang w:val="it-IT" w:eastAsia="zh-CN"/>
        </w:rPr>
      </w:pPr>
      <w:r>
        <w:rPr>
          <w:noProof/>
          <w:lang w:val="it-IT"/>
        </w:rPr>
        <w:t xml:space="preserve">Nello studio in aperto della durata di 52 settimane sulla formulazione sottocutanea (WA28118), </w:t>
      </w:r>
      <w:r>
        <w:rPr>
          <w:rFonts w:eastAsia="SimSun"/>
          <w:noProof/>
          <w:szCs w:val="22"/>
          <w:lang w:val="it-IT" w:eastAsia="zh-CN"/>
        </w:rPr>
        <w:t>il 23,4% e il 35,4% dei pazienti hanno manifestato un aumento post-basale del valore rispettivamente di colesterolo LDL ≥ 130 mg/dL e di colesterolo totale ≥ 200 mg/dL in qualsiasi momento nel corso del trattamento in studio.</w:t>
      </w:r>
    </w:p>
    <w:p>
      <w:pPr>
        <w:rPr>
          <w:rFonts w:eastAsia="SimSun"/>
          <w:noProof/>
          <w:szCs w:val="22"/>
          <w:lang w:val="it-IT" w:eastAsia="zh-CN"/>
        </w:rPr>
      </w:pPr>
    </w:p>
    <w:p>
      <w:pPr>
        <w:keepNext/>
        <w:keepLines/>
        <w:autoSpaceDE w:val="0"/>
        <w:autoSpaceDN w:val="0"/>
        <w:adjustRightInd w:val="0"/>
        <w:rPr>
          <w:rFonts w:eastAsia="SimSun"/>
          <w:bCs/>
          <w:i/>
          <w:iCs/>
          <w:noProof/>
          <w:szCs w:val="22"/>
          <w:lang w:val="it-IT" w:eastAsia="zh-CN"/>
          <w:rPrChange w:id="3879" w:author="Author">
            <w:rPr>
              <w:rFonts w:eastAsia="SimSun"/>
              <w:bCs/>
              <w:i/>
              <w:iCs/>
              <w:szCs w:val="22"/>
              <w:u w:val="single"/>
              <w:lang w:val="it-IT" w:eastAsia="zh-CN"/>
            </w:rPr>
          </w:rPrChange>
        </w:rPr>
      </w:pPr>
      <w:r>
        <w:rPr>
          <w:rFonts w:eastAsia="SimSun"/>
          <w:bCs/>
          <w:i/>
          <w:iCs/>
          <w:noProof/>
          <w:szCs w:val="22"/>
          <w:lang w:val="it-IT" w:eastAsia="zh-CN"/>
          <w:rPrChange w:id="3880" w:author="Author">
            <w:rPr>
              <w:rFonts w:eastAsia="SimSun"/>
              <w:bCs/>
              <w:i/>
              <w:iCs/>
              <w:szCs w:val="22"/>
              <w:u w:val="single"/>
              <w:lang w:val="it-IT" w:eastAsia="zh-CN"/>
            </w:rPr>
          </w:rPrChange>
        </w:rPr>
        <w:t xml:space="preserve">Pazienti affetti da AIGp </w:t>
      </w:r>
    </w:p>
    <w:p>
      <w:pPr>
        <w:tabs>
          <w:tab w:val="left" w:pos="180"/>
        </w:tabs>
        <w:autoSpaceDE w:val="0"/>
        <w:autoSpaceDN w:val="0"/>
        <w:adjustRightInd w:val="0"/>
        <w:rPr>
          <w:noProof/>
          <w:lang w:val="it-IT"/>
        </w:rPr>
      </w:pPr>
      <w:r>
        <w:rPr>
          <w:noProof/>
          <w:szCs w:val="22"/>
          <w:lang w:val="it-IT"/>
        </w:rPr>
        <w:t xml:space="preserve">Il profilo di sicurezza di tocilizumab in formulazione sottocutanea è stato anche valutato in 52 pazienti pediatrici affetti da AIGp. L’esposizione totale dei pazienti a tocilizumab </w:t>
      </w:r>
      <w:r>
        <w:rPr>
          <w:noProof/>
          <w:lang w:val="it-IT"/>
        </w:rPr>
        <w:t>in tutta la popolazione esposta affetta da AIGp si è attestata a 184,4</w:t>
      </w:r>
      <w:ins w:id="3881" w:author="Author">
        <w:r>
          <w:rPr>
            <w:noProof/>
            <w:lang w:val="it-IT"/>
          </w:rPr>
          <w:t> </w:t>
        </w:r>
      </w:ins>
      <w:del w:id="3882" w:author="Author">
        <w:r>
          <w:rPr>
            <w:noProof/>
            <w:lang w:val="it-IT"/>
          </w:rPr>
          <w:delText xml:space="preserve"> </w:delText>
        </w:r>
      </w:del>
      <w:r>
        <w:rPr>
          <w:noProof/>
          <w:lang w:val="it-IT"/>
        </w:rPr>
        <w:t>anni-paziente con tocilizumab endovena e a 50,4</w:t>
      </w:r>
      <w:ins w:id="3883" w:author="Author">
        <w:r>
          <w:rPr>
            <w:noProof/>
            <w:lang w:val="it-IT"/>
          </w:rPr>
          <w:t> </w:t>
        </w:r>
      </w:ins>
      <w:del w:id="3884" w:author="Author">
        <w:r>
          <w:rPr>
            <w:noProof/>
            <w:lang w:val="it-IT"/>
          </w:rPr>
          <w:delText xml:space="preserve"> </w:delText>
        </w:r>
      </w:del>
      <w:r>
        <w:rPr>
          <w:noProof/>
          <w:lang w:val="it-IT"/>
        </w:rPr>
        <w:t>anni-paziente con tocilizumab sottocute. In generale, il profilo di sicurezza osservato nei pazienti affetti da AIGp è risultato in linea con il profilo di sicurezza noto di tocilizumab, fatta eccezione per le ISR (vedere Tabella</w:t>
      </w:r>
      <w:ins w:id="3885" w:author="Author">
        <w:r>
          <w:rPr>
            <w:noProof/>
            <w:lang w:val="it-IT"/>
          </w:rPr>
          <w:t> </w:t>
        </w:r>
      </w:ins>
      <w:del w:id="3886" w:author="Author">
        <w:r>
          <w:rPr>
            <w:noProof/>
            <w:lang w:val="it-IT"/>
          </w:rPr>
          <w:delText xml:space="preserve"> </w:delText>
        </w:r>
      </w:del>
      <w:r>
        <w:rPr>
          <w:noProof/>
          <w:lang w:val="it-IT"/>
        </w:rPr>
        <w:t>1). I pazienti affetti da AIGp hanno manifestato ISR dopo le iniezioni sottocutanea con maggiore frequenza rispetto ai pazienti affetti da AR dell’adulto.</w:t>
      </w:r>
    </w:p>
    <w:p>
      <w:pPr>
        <w:tabs>
          <w:tab w:val="left" w:pos="180"/>
        </w:tabs>
        <w:autoSpaceDE w:val="0"/>
        <w:autoSpaceDN w:val="0"/>
        <w:adjustRightInd w:val="0"/>
        <w:rPr>
          <w:noProof/>
          <w:lang w:val="it-IT"/>
        </w:rPr>
      </w:pPr>
    </w:p>
    <w:p>
      <w:pPr>
        <w:keepNext/>
        <w:keepLines/>
        <w:tabs>
          <w:tab w:val="left" w:pos="180"/>
        </w:tabs>
        <w:autoSpaceDE w:val="0"/>
        <w:autoSpaceDN w:val="0"/>
        <w:adjustRightInd w:val="0"/>
        <w:rPr>
          <w:i/>
          <w:noProof/>
          <w:u w:val="single"/>
          <w:lang w:val="it-IT"/>
        </w:rPr>
        <w:pPrChange w:id="3887" w:author="Author">
          <w:pPr>
            <w:tabs>
              <w:tab w:val="left" w:pos="180"/>
            </w:tabs>
            <w:autoSpaceDE w:val="0"/>
            <w:autoSpaceDN w:val="0"/>
            <w:adjustRightInd w:val="0"/>
          </w:pPr>
        </w:pPrChange>
      </w:pPr>
      <w:r>
        <w:rPr>
          <w:i/>
          <w:noProof/>
          <w:u w:val="single"/>
          <w:lang w:val="it-IT"/>
        </w:rPr>
        <w:t>Infezioni</w:t>
      </w:r>
    </w:p>
    <w:p>
      <w:pPr>
        <w:tabs>
          <w:tab w:val="left" w:pos="180"/>
        </w:tabs>
        <w:autoSpaceDE w:val="0"/>
        <w:autoSpaceDN w:val="0"/>
        <w:adjustRightInd w:val="0"/>
        <w:rPr>
          <w:noProof/>
          <w:lang w:val="it-IT"/>
        </w:rPr>
      </w:pPr>
      <w:r>
        <w:rPr>
          <w:noProof/>
          <w:lang w:val="it-IT"/>
        </w:rPr>
        <w:t xml:space="preserve">Nello studio </w:t>
      </w:r>
      <w:ins w:id="3888" w:author="Author">
        <w:del w:id="3889" w:author="Author">
          <w:r>
            <w:rPr>
              <w:noProof/>
              <w:lang w:val="it-IT"/>
            </w:rPr>
            <w:delText xml:space="preserve">clinico </w:delText>
          </w:r>
        </w:del>
      </w:ins>
      <w:r>
        <w:rPr>
          <w:noProof/>
          <w:lang w:val="it-IT"/>
        </w:rPr>
        <w:t xml:space="preserve">su tocilizumab </w:t>
      </w:r>
      <w:del w:id="3890" w:author="Author">
        <w:r>
          <w:rPr>
            <w:lang w:val="it-IT"/>
            <w:rPrChange w:id="3891" w:author="Author">
              <w:rPr/>
            </w:rPrChange>
          </w:rPr>
          <w:delText xml:space="preserve">     </w:delText>
        </w:r>
      </w:del>
      <w:ins w:id="3892" w:author="Author">
        <w:del w:id="3893" w:author="Author">
          <w:r>
            <w:rPr>
              <w:lang w:val="it-IT"/>
            </w:rPr>
            <w:delText>sulla</w:delText>
          </w:r>
        </w:del>
        <w:r>
          <w:rPr>
            <w:lang w:val="it-IT"/>
          </w:rPr>
          <w:t>in formulazione sottocutanea</w:t>
        </w:r>
      </w:ins>
      <w:del w:id="3894" w:author="Author">
        <w:r>
          <w:rPr>
            <w:noProof/>
            <w:lang w:val="it-IT"/>
          </w:rPr>
          <w:delText>sottocute</w:delText>
        </w:r>
      </w:del>
      <w:r>
        <w:rPr>
          <w:noProof/>
          <w:lang w:val="it-IT"/>
        </w:rPr>
        <w:t>, il tasso di infezioni nei pazienti affetti da AIGp trattati con tocilizumab per via sottocutanea è risultato sovrapponibile a quello dei pazienti affetti da AIGp trattati con t</w:t>
      </w:r>
      <w:del w:id="3895" w:author="Author">
        <w:r>
          <w:rPr>
            <w:noProof/>
            <w:lang w:val="it-IT"/>
          </w:rPr>
          <w:delText>erapia</w:delText>
        </w:r>
      </w:del>
      <w:ins w:id="3896" w:author="Author">
        <w:r>
          <w:rPr>
            <w:noProof/>
            <w:lang w:val="it-IT"/>
          </w:rPr>
          <w:t>ocilizumab per via</w:t>
        </w:r>
      </w:ins>
      <w:r>
        <w:rPr>
          <w:noProof/>
          <w:lang w:val="it-IT"/>
        </w:rPr>
        <w:t xml:space="preserve"> endovenosa.</w:t>
      </w:r>
    </w:p>
    <w:p>
      <w:pPr>
        <w:tabs>
          <w:tab w:val="left" w:pos="180"/>
        </w:tabs>
        <w:autoSpaceDE w:val="0"/>
        <w:autoSpaceDN w:val="0"/>
        <w:adjustRightInd w:val="0"/>
        <w:rPr>
          <w:noProof/>
          <w:lang w:val="it-IT"/>
        </w:rPr>
      </w:pPr>
    </w:p>
    <w:p>
      <w:pPr>
        <w:keepNext/>
        <w:keepLines/>
        <w:tabs>
          <w:tab w:val="left" w:pos="180"/>
        </w:tabs>
        <w:autoSpaceDE w:val="0"/>
        <w:autoSpaceDN w:val="0"/>
        <w:adjustRightInd w:val="0"/>
        <w:rPr>
          <w:i/>
          <w:noProof/>
          <w:u w:val="single"/>
          <w:lang w:val="it-IT"/>
        </w:rPr>
      </w:pPr>
      <w:r>
        <w:rPr>
          <w:i/>
          <w:noProof/>
          <w:u w:val="single"/>
          <w:lang w:val="it-IT"/>
        </w:rPr>
        <w:t>Reazioni correlate al sito di iniezione</w:t>
      </w:r>
    </w:p>
    <w:p>
      <w:pPr>
        <w:keepNext/>
        <w:keepLines/>
        <w:tabs>
          <w:tab w:val="left" w:pos="180"/>
        </w:tabs>
        <w:autoSpaceDE w:val="0"/>
        <w:autoSpaceDN w:val="0"/>
        <w:adjustRightInd w:val="0"/>
        <w:rPr>
          <w:noProof/>
          <w:lang w:val="it-IT"/>
        </w:rPr>
      </w:pPr>
      <w:r>
        <w:rPr>
          <w:noProof/>
          <w:lang w:val="it-IT"/>
        </w:rPr>
        <w:t>Nel complesso, il 28,8% (15/52) dei pazienti affetti da AIGp ha manifestato ISR alla somministrazione sottocutanea di tocilizumab.Queste ISR si sono verificate nel 44% dei pazienti di peso ≥ 30 kg, contro il 14,8% dei pazienti di peso inferiore a 30 kg. Le ISR più comuni sono state eritema in corrispondenza del sito di iniezione, gonfiore, ematoma, dolore e prurito. Tutte le ISR segnalate erano eventi non gravi di grado 1 e nessuna di esse ha richiesto che il paziente interrompesse il trattamento o sospendesse la somministrazione.</w:t>
      </w:r>
    </w:p>
    <w:p>
      <w:pPr>
        <w:tabs>
          <w:tab w:val="left" w:pos="180"/>
        </w:tabs>
        <w:autoSpaceDE w:val="0"/>
        <w:autoSpaceDN w:val="0"/>
        <w:adjustRightInd w:val="0"/>
        <w:rPr>
          <w:noProof/>
          <w:lang w:val="it-IT"/>
        </w:rPr>
      </w:pPr>
    </w:p>
    <w:p>
      <w:pPr>
        <w:tabs>
          <w:tab w:val="left" w:pos="180"/>
        </w:tabs>
        <w:autoSpaceDE w:val="0"/>
        <w:autoSpaceDN w:val="0"/>
        <w:adjustRightInd w:val="0"/>
        <w:rPr>
          <w:i/>
          <w:noProof/>
          <w:u w:val="single"/>
          <w:lang w:val="it-IT"/>
        </w:rPr>
      </w:pPr>
      <w:r>
        <w:rPr>
          <w:i/>
          <w:noProof/>
          <w:u w:val="single"/>
          <w:lang w:val="it-IT"/>
        </w:rPr>
        <w:t>Immunogenicità</w:t>
      </w:r>
    </w:p>
    <w:p>
      <w:pPr>
        <w:tabs>
          <w:tab w:val="left" w:pos="180"/>
        </w:tabs>
        <w:autoSpaceDE w:val="0"/>
        <w:autoSpaceDN w:val="0"/>
        <w:adjustRightInd w:val="0"/>
        <w:rPr>
          <w:noProof/>
          <w:lang w:val="it-IT"/>
        </w:rPr>
      </w:pPr>
      <w:r>
        <w:rPr>
          <w:noProof/>
          <w:lang w:val="it-IT"/>
        </w:rPr>
        <w:t xml:space="preserve">Nello studio </w:t>
      </w:r>
      <w:ins w:id="3897" w:author="Author">
        <w:r>
          <w:rPr>
            <w:noProof/>
            <w:lang w:val="it-IT"/>
          </w:rPr>
          <w:t xml:space="preserve">clinico </w:t>
        </w:r>
      </w:ins>
      <w:r>
        <w:rPr>
          <w:noProof/>
          <w:lang w:val="it-IT"/>
        </w:rPr>
        <w:t>sulla formulazione sottocutanea, il 5,8% [3/52] dei pazienti ha sviluppato positività agli anticorpi neutralizzanti anti-tocilizumab senza manifestare una reazione di ipersensibilità severa o clinicamente significativa. Di questi 3</w:t>
      </w:r>
      <w:ins w:id="3898" w:author="Author">
        <w:r>
          <w:rPr>
            <w:noProof/>
            <w:lang w:val="it-IT"/>
          </w:rPr>
          <w:t> </w:t>
        </w:r>
      </w:ins>
      <w:del w:id="3899" w:author="Author">
        <w:r>
          <w:rPr>
            <w:noProof/>
            <w:lang w:val="it-IT"/>
          </w:rPr>
          <w:delText xml:space="preserve"> </w:delText>
        </w:r>
      </w:del>
      <w:r>
        <w:rPr>
          <w:noProof/>
          <w:lang w:val="it-IT"/>
        </w:rPr>
        <w:t>pazienti, 1 si è successivamente ritirato dallo studio. Non è stata osservata alcuna correlazione tra la produzione di anticorpi e la risposta clinica o gli eventi avversi.</w:t>
      </w:r>
    </w:p>
    <w:p>
      <w:pPr>
        <w:tabs>
          <w:tab w:val="left" w:pos="180"/>
        </w:tabs>
        <w:autoSpaceDE w:val="0"/>
        <w:autoSpaceDN w:val="0"/>
        <w:adjustRightInd w:val="0"/>
        <w:rPr>
          <w:noProof/>
          <w:lang w:val="it-IT"/>
        </w:rPr>
      </w:pPr>
    </w:p>
    <w:p>
      <w:pPr>
        <w:tabs>
          <w:tab w:val="left" w:pos="180"/>
        </w:tabs>
        <w:autoSpaceDE w:val="0"/>
        <w:autoSpaceDN w:val="0"/>
        <w:adjustRightInd w:val="0"/>
        <w:rPr>
          <w:i/>
          <w:noProof/>
          <w:u w:val="single"/>
          <w:lang w:val="it-IT"/>
        </w:rPr>
      </w:pPr>
      <w:r>
        <w:rPr>
          <w:i/>
          <w:noProof/>
          <w:u w:val="single"/>
          <w:lang w:val="it-IT"/>
        </w:rPr>
        <w:t>Anomalie di laboratorio</w:t>
      </w:r>
    </w:p>
    <w:p>
      <w:pPr>
        <w:tabs>
          <w:tab w:val="left" w:pos="180"/>
        </w:tabs>
        <w:autoSpaceDE w:val="0"/>
        <w:autoSpaceDN w:val="0"/>
        <w:adjustRightInd w:val="0"/>
        <w:rPr>
          <w:noProof/>
          <w:lang w:val="it-IT"/>
        </w:rPr>
      </w:pPr>
      <w:r>
        <w:rPr>
          <w:noProof/>
          <w:lang w:val="it-IT"/>
        </w:rPr>
        <w:t>Durante il monitoraggio di routine degli esami di laboratorio eseguito in tutta la popolazione esposta a tocilizumab è stata registrata una riduzione della conta dei neutrofili al di sotto di 1 x 10</w:t>
      </w:r>
      <w:r>
        <w:rPr>
          <w:noProof/>
          <w:vertAlign w:val="superscript"/>
          <w:lang w:val="it-IT"/>
        </w:rPr>
        <w:t>9</w:t>
      </w:r>
      <w:r>
        <w:rPr>
          <w:noProof/>
          <w:lang w:val="it-IT"/>
        </w:rPr>
        <w:t xml:space="preserve">/L nel 15,4% dei pazienti trattati con tocilizumab per via sottocutanea. Il 9,6% e il 3,8% dei pazienti trattati con tocilizumab sottocute. hanno manifestato un aumento rispettivamente di ALT o AST ≥ 3 volte ULN. Nessun paziente trattato con tocilizumab sottocute ha evidenziato una riduzione della conta piastrinica </w:t>
      </w:r>
      <w:r>
        <w:rPr>
          <w:noProof/>
          <w:lang w:val="it-IT"/>
        </w:rPr>
        <w:sym w:font="Symbol" w:char="F0A3"/>
      </w:r>
      <w:ins w:id="3900" w:author="Author">
        <w:r>
          <w:rPr>
            <w:noProof/>
            <w:lang w:val="it-IT"/>
          </w:rPr>
          <w:t> </w:t>
        </w:r>
      </w:ins>
      <w:del w:id="3901" w:author="Author">
        <w:r>
          <w:rPr>
            <w:noProof/>
            <w:lang w:val="it-IT"/>
          </w:rPr>
          <w:delText xml:space="preserve"> </w:delText>
        </w:r>
      </w:del>
      <w:r>
        <w:rPr>
          <w:noProof/>
          <w:lang w:val="it-IT"/>
        </w:rPr>
        <w:t>50</w:t>
      </w:r>
      <w:ins w:id="3902" w:author="Author">
        <w:r>
          <w:rPr>
            <w:noProof/>
            <w:lang w:val="it-IT"/>
          </w:rPr>
          <w:t> </w:t>
        </w:r>
      </w:ins>
      <w:del w:id="3903" w:author="Author">
        <w:r>
          <w:rPr>
            <w:noProof/>
            <w:lang w:val="it-IT"/>
          </w:rPr>
          <w:delText xml:space="preserve"> </w:delText>
        </w:r>
      </w:del>
      <w:r>
        <w:rPr>
          <w:noProof/>
          <w:lang w:val="it-IT"/>
        </w:rPr>
        <w:t>×</w:t>
      </w:r>
      <w:ins w:id="3904" w:author="Author">
        <w:r>
          <w:rPr>
            <w:noProof/>
            <w:lang w:val="it-IT"/>
          </w:rPr>
          <w:t> </w:t>
        </w:r>
      </w:ins>
      <w:del w:id="3905" w:author="Author">
        <w:r>
          <w:rPr>
            <w:noProof/>
            <w:lang w:val="it-IT"/>
          </w:rPr>
          <w:delText xml:space="preserve"> </w:delText>
        </w:r>
      </w:del>
      <w:r>
        <w:rPr>
          <w:noProof/>
          <w:lang w:val="it-IT"/>
        </w:rPr>
        <w:t>10</w:t>
      </w:r>
      <w:r>
        <w:rPr>
          <w:noProof/>
          <w:vertAlign w:val="superscript"/>
          <w:lang w:val="it-IT"/>
        </w:rPr>
        <w:t>3</w:t>
      </w:r>
      <w:r>
        <w:rPr>
          <w:noProof/>
          <w:lang w:val="it-IT"/>
        </w:rPr>
        <w:t>/μL.</w:t>
      </w:r>
    </w:p>
    <w:p>
      <w:pPr>
        <w:tabs>
          <w:tab w:val="left" w:pos="180"/>
        </w:tabs>
        <w:autoSpaceDE w:val="0"/>
        <w:autoSpaceDN w:val="0"/>
        <w:adjustRightInd w:val="0"/>
        <w:rPr>
          <w:noProof/>
          <w:lang w:val="it-IT"/>
        </w:rPr>
      </w:pPr>
    </w:p>
    <w:p>
      <w:pPr>
        <w:keepNext/>
        <w:keepLines/>
        <w:tabs>
          <w:tab w:val="left" w:pos="180"/>
        </w:tabs>
        <w:autoSpaceDE w:val="0"/>
        <w:autoSpaceDN w:val="0"/>
        <w:adjustRightInd w:val="0"/>
        <w:rPr>
          <w:i/>
          <w:noProof/>
          <w:u w:val="single"/>
          <w:lang w:val="it-IT"/>
        </w:rPr>
      </w:pPr>
      <w:r>
        <w:rPr>
          <w:i/>
          <w:noProof/>
          <w:u w:val="single"/>
          <w:lang w:val="it-IT"/>
        </w:rPr>
        <w:t>Parametri lipidici</w:t>
      </w:r>
    </w:p>
    <w:p>
      <w:pPr>
        <w:keepNext/>
        <w:keepLines/>
        <w:spacing w:line="0" w:lineRule="atLeast"/>
        <w:rPr>
          <w:noProof/>
          <w:lang w:val="it-IT"/>
        </w:rPr>
      </w:pPr>
      <w:r>
        <w:rPr>
          <w:noProof/>
          <w:lang w:val="it-IT"/>
        </w:rPr>
        <w:t xml:space="preserve">Nello studio </w:t>
      </w:r>
      <w:ins w:id="3906" w:author="Author">
        <w:del w:id="3907" w:author="Author">
          <w:r>
            <w:rPr>
              <w:noProof/>
              <w:lang w:val="it-IT"/>
            </w:rPr>
            <w:delText xml:space="preserve">clinico </w:delText>
          </w:r>
        </w:del>
      </w:ins>
      <w:r>
        <w:rPr>
          <w:noProof/>
          <w:lang w:val="it-IT"/>
        </w:rPr>
        <w:t xml:space="preserve">sulla formulazione sottocutanea, il 14,3% e il 12,8% dei pazienti </w:t>
      </w:r>
      <w:r>
        <w:rPr>
          <w:rFonts w:eastAsia="SimSun"/>
          <w:noProof/>
          <w:szCs w:val="22"/>
          <w:lang w:val="it-IT" w:eastAsia="zh-CN"/>
        </w:rPr>
        <w:t>hanno manifestato un aumento post-basale del valore rispettivamente di</w:t>
      </w:r>
      <w:r>
        <w:rPr>
          <w:noProof/>
          <w:lang w:val="it-IT"/>
        </w:rPr>
        <w:t xml:space="preserve"> colesterolo LDL ≥ 130 mg/dL e di colesterolo totale ≥ 200 mg/dL in qualsiasi momento durante il trattamento in studio.</w:t>
      </w:r>
    </w:p>
    <w:p>
      <w:pPr>
        <w:tabs>
          <w:tab w:val="left" w:pos="180"/>
        </w:tabs>
        <w:autoSpaceDE w:val="0"/>
        <w:autoSpaceDN w:val="0"/>
        <w:adjustRightInd w:val="0"/>
        <w:rPr>
          <w:rFonts w:eastAsia="SimSun"/>
          <w:i/>
          <w:noProof/>
          <w:szCs w:val="22"/>
          <w:lang w:val="it-IT" w:eastAsia="zh-CN"/>
        </w:rPr>
      </w:pPr>
    </w:p>
    <w:p>
      <w:pPr>
        <w:autoSpaceDE w:val="0"/>
        <w:autoSpaceDN w:val="0"/>
        <w:adjustRightInd w:val="0"/>
        <w:rPr>
          <w:rFonts w:eastAsia="SimSun"/>
          <w:bCs/>
          <w:i/>
          <w:iCs/>
          <w:noProof/>
          <w:lang w:val="it-IT"/>
          <w:rPrChange w:id="3908" w:author="Author">
            <w:rPr>
              <w:rFonts w:eastAsia="SimSun"/>
              <w:bCs/>
              <w:i/>
              <w:iCs/>
              <w:u w:val="single"/>
              <w:lang w:val="it-IT"/>
            </w:rPr>
          </w:rPrChange>
        </w:rPr>
      </w:pPr>
      <w:r>
        <w:rPr>
          <w:bCs/>
          <w:i/>
          <w:iCs/>
          <w:noProof/>
          <w:lang w:val="it-IT"/>
          <w:rPrChange w:id="3909" w:author="Author">
            <w:rPr>
              <w:bCs/>
              <w:i/>
              <w:iCs/>
              <w:u w:val="single"/>
              <w:lang w:val="it-IT"/>
            </w:rPr>
          </w:rPrChange>
        </w:rPr>
        <w:t xml:space="preserve">Pazienti affetti da ACG </w:t>
      </w:r>
    </w:p>
    <w:p>
      <w:pPr>
        <w:autoSpaceDE w:val="0"/>
        <w:autoSpaceDN w:val="0"/>
        <w:adjustRightInd w:val="0"/>
        <w:rPr>
          <w:rFonts w:eastAsia="SimSun"/>
          <w:noProof/>
          <w:lang w:val="it-IT"/>
        </w:rPr>
      </w:pPr>
      <w:r>
        <w:rPr>
          <w:noProof/>
          <w:lang w:val="it-IT"/>
        </w:rPr>
        <w:t>La sicurezza di tocilizumab in formulazione sottocutanea è stata valutata in uno studio</w:t>
      </w:r>
      <w:ins w:id="3910" w:author="Author">
        <w:r>
          <w:rPr>
            <w:noProof/>
            <w:lang w:val="it-IT"/>
          </w:rPr>
          <w:t xml:space="preserve"> clinico</w:t>
        </w:r>
      </w:ins>
      <w:r>
        <w:rPr>
          <w:noProof/>
          <w:lang w:val="it-IT"/>
        </w:rPr>
        <w:t xml:space="preserve"> di fase III (WA28119) condotto su 251 pazienti affetti da ACG. La durata totale in anni-paziente nell’intera popolazione esposta a tocilizumab è stata di 138,5 anni-paziente durante la fase dello studio controllata con placebo e in doppio cieco della durata di 12 mesi. Il profilo di sicurezza complessivo osservato nei gruppi trattati è risultato in linea con il profilo di sicurezza noto di tocilizumab (vedere Tabella 1).</w:t>
      </w:r>
    </w:p>
    <w:p>
      <w:pPr>
        <w:autoSpaceDE w:val="0"/>
        <w:autoSpaceDN w:val="0"/>
        <w:adjustRightInd w:val="0"/>
        <w:rPr>
          <w:rFonts w:eastAsia="SimSun"/>
          <w:noProof/>
          <w:u w:val="single"/>
          <w:lang w:val="it-IT" w:eastAsia="zh-CN"/>
        </w:rPr>
      </w:pPr>
    </w:p>
    <w:p>
      <w:pPr>
        <w:keepNext/>
        <w:rPr>
          <w:i/>
          <w:noProof/>
          <w:u w:val="single"/>
          <w:lang w:val="it-IT"/>
        </w:rPr>
      </w:pPr>
      <w:r>
        <w:rPr>
          <w:i/>
          <w:noProof/>
          <w:u w:val="single"/>
          <w:lang w:val="it-IT"/>
        </w:rPr>
        <w:lastRenderedPageBreak/>
        <w:t>Infezioni</w:t>
      </w:r>
    </w:p>
    <w:p>
      <w:pPr>
        <w:rPr>
          <w:noProof/>
          <w:lang w:val="it-IT"/>
        </w:rPr>
      </w:pPr>
      <w:r>
        <w:rPr>
          <w:noProof/>
          <w:lang w:val="it-IT"/>
        </w:rPr>
        <w:t>La frequenza di eventi di infezione/infezione severa è risultata ben bilanciata tra il gruppo tocilizumab settimanale (200,2/9,7 eventi ogni 100 anni-paziente) vs. gruppo placebo più 26 settimane di prednisone a scalare (156,0/4,2 eventi ogni 100 anni-paziente) e il gruppo placebo più 52 settimane di prednisone a scalare (210,2/12,5 eventi ogni 100 anni paziente).</w:t>
      </w:r>
    </w:p>
    <w:p>
      <w:pPr>
        <w:rPr>
          <w:b/>
          <w:noProof/>
          <w:lang w:val="it-IT" w:eastAsia="de-DE"/>
        </w:rPr>
      </w:pPr>
    </w:p>
    <w:p>
      <w:pPr>
        <w:keepNext/>
        <w:keepLines/>
        <w:rPr>
          <w:i/>
          <w:noProof/>
          <w:u w:val="single"/>
          <w:lang w:val="it-IT"/>
        </w:rPr>
      </w:pPr>
      <w:r>
        <w:rPr>
          <w:i/>
          <w:noProof/>
          <w:u w:val="single"/>
          <w:lang w:val="it-IT"/>
        </w:rPr>
        <w:t>Reazioni correlate al sito di iniezione</w:t>
      </w:r>
    </w:p>
    <w:p>
      <w:pPr>
        <w:keepNext/>
        <w:keepLines/>
        <w:rPr>
          <w:noProof/>
          <w:lang w:val="it-IT"/>
        </w:rPr>
      </w:pPr>
      <w:r>
        <w:rPr>
          <w:noProof/>
          <w:lang w:val="it-IT"/>
        </w:rPr>
        <w:t>Nel gruppo tocilizumab in formulazione sottocutanea settimanale, complessivamente il 6% (6/100) dei pazienti ha segnalato una reazione avversa in corrispondenza del sito dell’iniezione sottocutanea. Nessuna reazione correlata al sito di iniezione è stata riferita come evento avverso severo o ha imposto l’interruzione del trattamento.</w:t>
      </w:r>
    </w:p>
    <w:p>
      <w:pPr>
        <w:rPr>
          <w:noProof/>
          <w:lang w:val="it-IT" w:eastAsia="de-DE"/>
        </w:rPr>
      </w:pPr>
    </w:p>
    <w:p>
      <w:pPr>
        <w:keepNext/>
        <w:keepLines/>
        <w:spacing w:line="280" w:lineRule="atLeast"/>
        <w:jc w:val="both"/>
        <w:rPr>
          <w:i/>
          <w:noProof/>
          <w:u w:val="single"/>
          <w:lang w:val="it-IT"/>
        </w:rPr>
      </w:pPr>
      <w:r>
        <w:rPr>
          <w:i/>
          <w:noProof/>
          <w:u w:val="single"/>
          <w:lang w:val="it-IT"/>
        </w:rPr>
        <w:t>Immunogenicità</w:t>
      </w:r>
    </w:p>
    <w:p>
      <w:pPr>
        <w:keepNext/>
        <w:keepLines/>
        <w:rPr>
          <w:noProof/>
          <w:lang w:val="it-IT"/>
        </w:rPr>
      </w:pPr>
      <w:r>
        <w:rPr>
          <w:noProof/>
          <w:lang w:val="it-IT"/>
        </w:rPr>
        <w:t>Nel gruppo tocilizumab in formulazione sottocutanea settimanale, un paziente (1,1%, 1/95) è risultato positivo agli anticorpi neutralizzanti anti- tocilizumab, sebbene non dell’isotipo IgE. Questo paziente non ha manifestato una reazione di ipersensibilità né una reazione correlata al sito di iniezione.</w:t>
      </w:r>
    </w:p>
    <w:p>
      <w:pPr>
        <w:rPr>
          <w:noProof/>
          <w:lang w:val="it-IT" w:eastAsia="de-DE"/>
        </w:rPr>
      </w:pPr>
    </w:p>
    <w:p>
      <w:pPr>
        <w:keepNext/>
        <w:keepLines/>
        <w:autoSpaceDE w:val="0"/>
        <w:autoSpaceDN w:val="0"/>
        <w:adjustRightInd w:val="0"/>
        <w:rPr>
          <w:rFonts w:eastAsia="SimSun"/>
          <w:noProof/>
          <w:u w:val="single"/>
          <w:lang w:val="it-IT"/>
        </w:rPr>
      </w:pPr>
      <w:r>
        <w:rPr>
          <w:i/>
          <w:noProof/>
          <w:u w:val="single"/>
          <w:lang w:val="it-IT"/>
        </w:rPr>
        <w:t>Neutrofili</w:t>
      </w:r>
    </w:p>
    <w:p>
      <w:pPr>
        <w:spacing w:line="0" w:lineRule="atLeast"/>
        <w:rPr>
          <w:noProof/>
          <w:lang w:val="it-IT"/>
        </w:rPr>
        <w:pPrChange w:id="3911" w:author="Author">
          <w:pPr>
            <w:keepNext/>
            <w:keepLines/>
            <w:spacing w:line="0" w:lineRule="atLeast"/>
          </w:pPr>
        </w:pPrChange>
      </w:pPr>
      <w:r>
        <w:rPr>
          <w:noProof/>
          <w:lang w:val="it-IT"/>
        </w:rPr>
        <w:t>Durante il monitoraggio di routine degli esami di laboratorio eseguito nello studio clinico controllato di 12 mesi su tocilizumab, è stata rilevata una riduzione della conta dei neutrofili al di sotto di 1 × 10</w:t>
      </w:r>
      <w:r>
        <w:rPr>
          <w:noProof/>
          <w:vertAlign w:val="superscript"/>
          <w:lang w:val="it-IT"/>
        </w:rPr>
        <w:t>9</w:t>
      </w:r>
      <w:r>
        <w:rPr>
          <w:noProof/>
          <w:lang w:val="it-IT"/>
        </w:rPr>
        <w:t>/L nel 4% dei pazienti del gruppo tocilizumab in formulazione sottocutanea settimanale. Questo dato non è stato osservato in nessuno dei gruppi placebo più prednisone a scalare.</w:t>
      </w:r>
    </w:p>
    <w:p>
      <w:pPr>
        <w:spacing w:line="0" w:lineRule="atLeast"/>
        <w:rPr>
          <w:noProof/>
          <w:lang w:val="it-IT" w:eastAsia="de-DE"/>
        </w:rPr>
      </w:pPr>
    </w:p>
    <w:p>
      <w:pPr>
        <w:spacing w:line="0" w:lineRule="atLeast"/>
        <w:rPr>
          <w:i/>
          <w:noProof/>
          <w:u w:val="single"/>
          <w:lang w:val="it-IT"/>
        </w:rPr>
      </w:pPr>
      <w:r>
        <w:rPr>
          <w:i/>
          <w:noProof/>
          <w:u w:val="single"/>
          <w:lang w:val="it-IT"/>
        </w:rPr>
        <w:t>Piastrine</w:t>
      </w:r>
    </w:p>
    <w:p>
      <w:pPr>
        <w:spacing w:line="0" w:lineRule="atLeast"/>
        <w:rPr>
          <w:noProof/>
          <w:lang w:val="it-IT"/>
        </w:rPr>
      </w:pPr>
      <w:r>
        <w:rPr>
          <w:noProof/>
          <w:lang w:val="it-IT"/>
        </w:rPr>
        <w:t>Durante il monitoraggio di routine degli esami di laboratorio eseguito nello studio clinico controllato di 12 mesi su tocilizumab, un paziente (1%, 1/100) del gruppo tocilizumab in formulazione sottocutanea settimanale ha fatto rilevare un singolo evento transitorio di riduzione della conta piastrinica &lt; 100 × 10</w:t>
      </w:r>
      <w:r>
        <w:rPr>
          <w:noProof/>
          <w:vertAlign w:val="superscript"/>
          <w:lang w:val="it-IT"/>
        </w:rPr>
        <w:t>3</w:t>
      </w:r>
      <w:r>
        <w:rPr>
          <w:noProof/>
          <w:lang w:val="it-IT"/>
        </w:rPr>
        <w:t>/μL che non si è associato a eventi emorragici. La riduzione della conta piastrinica al di sotto di 100 × 10</w:t>
      </w:r>
      <w:r>
        <w:rPr>
          <w:noProof/>
          <w:vertAlign w:val="superscript"/>
          <w:lang w:val="it-IT"/>
        </w:rPr>
        <w:t>3</w:t>
      </w:r>
      <w:r>
        <w:rPr>
          <w:noProof/>
          <w:lang w:val="it-IT"/>
        </w:rPr>
        <w:t>/μL non è stata osservata in nessuno dei gruppi placebo più prednisone a scalare.</w:t>
      </w:r>
    </w:p>
    <w:p>
      <w:pPr>
        <w:spacing w:line="0" w:lineRule="atLeast"/>
        <w:rPr>
          <w:noProof/>
          <w:lang w:val="it-IT" w:eastAsia="de-DE"/>
        </w:rPr>
      </w:pPr>
    </w:p>
    <w:p>
      <w:pPr>
        <w:rPr>
          <w:i/>
          <w:noProof/>
          <w:u w:val="single"/>
          <w:lang w:val="it-IT"/>
        </w:rPr>
      </w:pPr>
      <w:r>
        <w:rPr>
          <w:i/>
          <w:noProof/>
          <w:u w:val="single"/>
          <w:lang w:val="it-IT"/>
        </w:rPr>
        <w:t>Aumenti delle transaminasi epatiche</w:t>
      </w:r>
    </w:p>
    <w:p>
      <w:pPr>
        <w:autoSpaceDE w:val="0"/>
        <w:autoSpaceDN w:val="0"/>
        <w:adjustRightInd w:val="0"/>
        <w:rPr>
          <w:noProof/>
          <w:lang w:val="it-IT"/>
        </w:rPr>
      </w:pPr>
      <w:r>
        <w:rPr>
          <w:noProof/>
          <w:lang w:val="it-IT"/>
        </w:rPr>
        <w:t>Durante il monitoraggio di routine degli esami di laboratorio eseguito nello studio clinico controllato di 12 mesi su tocilizumab, il 3% dei pazienti del gruppo tocilizumab in formulazione sottocutanea settimanale ha evidenziato un aumento di ALT ≥ 3 volte ULN, contro il 2% dei pazienti del gruppo placebo più 52 settimane di prednisone a scalare e nessun paziente del gruppo placebo più 26 settimane di prednisone a scalare. L’1% dei pazienti del gruppo tocilizumab in formulazione sottocutanea settimanale ha evidenziato un aumento di AST &gt; 3 volte ULN, contro nessun paziente dei gruppi placebo più prednisone a scalare.</w:t>
      </w:r>
    </w:p>
    <w:p>
      <w:pPr>
        <w:rPr>
          <w:i/>
          <w:noProof/>
          <w:lang w:val="it-IT"/>
        </w:rPr>
      </w:pPr>
    </w:p>
    <w:p>
      <w:pPr>
        <w:autoSpaceDE w:val="0"/>
        <w:autoSpaceDN w:val="0"/>
        <w:adjustRightInd w:val="0"/>
        <w:rPr>
          <w:i/>
          <w:noProof/>
          <w:u w:val="single"/>
          <w:lang w:val="it-IT"/>
        </w:rPr>
      </w:pPr>
      <w:r>
        <w:rPr>
          <w:i/>
          <w:noProof/>
          <w:u w:val="single"/>
          <w:lang w:val="it-IT"/>
        </w:rPr>
        <w:t>Parametri lipidici</w:t>
      </w:r>
    </w:p>
    <w:p>
      <w:pPr>
        <w:pStyle w:val="Standard"/>
        <w:autoSpaceDE w:val="0"/>
        <w:autoSpaceDN w:val="0"/>
        <w:adjustRightInd w:val="0"/>
        <w:rPr>
          <w:noProof/>
          <w:lang w:val="it-IT"/>
        </w:rPr>
      </w:pPr>
      <w:r>
        <w:rPr>
          <w:noProof/>
          <w:lang w:val="it-IT"/>
        </w:rPr>
        <w:t xml:space="preserve">Durante il monitoraggio di routine degli esami di laboratorio eseguito nello studio clinico controllato di 12 mesi su tocilizumab, il 34% dei pazienti ha presentato aumenti sostenuti del colesterolo totale </w:t>
      </w:r>
      <w:r>
        <w:rPr>
          <w:noProof/>
          <w:lang w:val="it-IT"/>
        </w:rPr>
        <w:sym w:font="Symbol" w:char="F03E"/>
      </w:r>
      <w:r>
        <w:rPr>
          <w:noProof/>
          <w:lang w:val="it-IT"/>
        </w:rPr>
        <w:t xml:space="preserve"> 6,2 mmol/L (240 mg/dL), con un 15% che ha manifestato un incremento sostenuto dell’LDL </w:t>
      </w:r>
      <w:r>
        <w:rPr>
          <w:noProof/>
          <w:lang w:val="it-IT"/>
        </w:rPr>
        <w:sym w:font="Symbol" w:char="F0B3"/>
      </w:r>
      <w:r>
        <w:rPr>
          <w:noProof/>
          <w:lang w:val="it-IT"/>
        </w:rPr>
        <w:t> 4,1 mmol/L (160 mg/dL) nel braccio tocilizumab in formulazione sottocutanea settimanale.</w:t>
      </w:r>
    </w:p>
    <w:p>
      <w:pPr>
        <w:pStyle w:val="Standard"/>
        <w:autoSpaceDE w:val="0"/>
        <w:autoSpaceDN w:val="0"/>
        <w:adjustRightInd w:val="0"/>
        <w:rPr>
          <w:rFonts w:eastAsia="SimSun"/>
          <w:noProof/>
          <w:szCs w:val="22"/>
          <w:u w:val="single"/>
          <w:lang w:val="it-IT" w:eastAsia="zh-CN"/>
        </w:rPr>
      </w:pPr>
    </w:p>
    <w:p>
      <w:pPr>
        <w:keepNext/>
        <w:keepLines/>
        <w:rPr>
          <w:del w:id="3912" w:author="Author"/>
          <w:iCs/>
          <w:noProof/>
          <w:szCs w:val="22"/>
          <w:u w:val="single"/>
          <w:lang w:val="it-IT"/>
          <w:rPrChange w:id="3913" w:author="Author">
            <w:rPr>
              <w:del w:id="3914" w:author="Author"/>
              <w:i/>
              <w:szCs w:val="22"/>
              <w:u w:val="single"/>
              <w:lang w:val="it-IT"/>
            </w:rPr>
          </w:rPrChange>
        </w:rPr>
      </w:pPr>
      <w:r>
        <w:rPr>
          <w:iCs/>
          <w:noProof/>
          <w:szCs w:val="22"/>
          <w:u w:val="single"/>
          <w:lang w:val="it-IT"/>
          <w:rPrChange w:id="3915" w:author="Author">
            <w:rPr>
              <w:i/>
              <w:szCs w:val="22"/>
              <w:u w:val="single"/>
              <w:lang w:val="it-IT"/>
            </w:rPr>
          </w:rPrChange>
        </w:rPr>
        <w:t>Descrizione delle reazioni avverse selezionate (uso endovenoso)</w:t>
      </w:r>
    </w:p>
    <w:p>
      <w:pPr>
        <w:keepNext/>
        <w:keepLines/>
        <w:rPr>
          <w:noProof/>
          <w:lang w:val="it-IT"/>
        </w:rPr>
      </w:pPr>
    </w:p>
    <w:p>
      <w:pPr>
        <w:keepNext/>
        <w:keepLines/>
        <w:ind w:left="567" w:hanging="567"/>
        <w:outlineLvl w:val="0"/>
        <w:rPr>
          <w:bCs/>
          <w:i/>
          <w:iCs/>
          <w:noProof/>
          <w:szCs w:val="22"/>
          <w:lang w:val="it-IT"/>
          <w:rPrChange w:id="3916" w:author="Author">
            <w:rPr>
              <w:bCs/>
              <w:i/>
              <w:iCs/>
              <w:szCs w:val="22"/>
              <w:u w:val="single"/>
              <w:lang w:val="it-IT"/>
            </w:rPr>
          </w:rPrChange>
        </w:rPr>
      </w:pPr>
      <w:r>
        <w:rPr>
          <w:bCs/>
          <w:i/>
          <w:iCs/>
          <w:noProof/>
          <w:szCs w:val="22"/>
          <w:lang w:val="it-IT"/>
          <w:rPrChange w:id="3917" w:author="Author">
            <w:rPr>
              <w:bCs/>
              <w:i/>
              <w:iCs/>
              <w:szCs w:val="22"/>
              <w:u w:val="single"/>
              <w:lang w:val="it-IT"/>
            </w:rPr>
          </w:rPrChange>
        </w:rPr>
        <w:t>Pazienti affetti da AR</w:t>
      </w:r>
    </w:p>
    <w:p>
      <w:pPr>
        <w:rPr>
          <w:noProof/>
          <w:szCs w:val="22"/>
          <w:lang w:val="it-IT"/>
        </w:rPr>
      </w:pPr>
      <w:r>
        <w:rPr>
          <w:noProof/>
          <w:szCs w:val="22"/>
          <w:lang w:val="it-IT"/>
        </w:rPr>
        <w:t xml:space="preserve">La sicurezza di </w:t>
      </w:r>
      <w:r>
        <w:rPr>
          <w:noProof/>
          <w:lang w:val="it-IT"/>
        </w:rPr>
        <w:t xml:space="preserve">tocilizumab </w:t>
      </w:r>
      <w:r>
        <w:rPr>
          <w:noProof/>
          <w:szCs w:val="22"/>
          <w:lang w:val="it-IT"/>
        </w:rPr>
        <w:t>è stata studiata in 5 studi clinici di Fase III, controllati in doppio cieco e relativi periodi di estensione</w:t>
      </w:r>
      <w:ins w:id="3918" w:author="Author">
        <w:r>
          <w:rPr>
            <w:noProof/>
            <w:szCs w:val="22"/>
            <w:lang w:val="it-IT"/>
          </w:rPr>
          <w:t xml:space="preserve"> (vedere paragrafo 5.1)</w:t>
        </w:r>
      </w:ins>
      <w:r>
        <w:rPr>
          <w:noProof/>
          <w:szCs w:val="22"/>
          <w:lang w:val="it-IT"/>
        </w:rPr>
        <w:t>.</w:t>
      </w:r>
    </w:p>
    <w:p>
      <w:pPr>
        <w:rPr>
          <w:noProof/>
          <w:szCs w:val="22"/>
          <w:lang w:val="it-IT"/>
        </w:rPr>
      </w:pPr>
    </w:p>
    <w:p>
      <w:pPr>
        <w:rPr>
          <w:noProof/>
          <w:szCs w:val="22"/>
          <w:lang w:val="it-IT"/>
        </w:rPr>
      </w:pPr>
      <w:r>
        <w:rPr>
          <w:noProof/>
          <w:szCs w:val="22"/>
          <w:lang w:val="it-IT"/>
        </w:rPr>
        <w:t>L</w:t>
      </w:r>
      <w:ins w:id="3919" w:author="Author">
        <w:r>
          <w:rPr>
            <w:noProof/>
            <w:szCs w:val="22"/>
            <w:lang w:val="it-IT"/>
          </w:rPr>
          <w:t>’intera popolazione di controllo</w:t>
        </w:r>
      </w:ins>
      <w:del w:id="3920" w:author="Author">
        <w:r>
          <w:rPr>
            <w:noProof/>
            <w:szCs w:val="22"/>
            <w:lang w:val="it-IT"/>
          </w:rPr>
          <w:delText xml:space="preserve">a popolazione </w:delText>
        </w:r>
        <w:r>
          <w:rPr>
            <w:i/>
            <w:noProof/>
            <w:szCs w:val="22"/>
            <w:lang w:val="it-IT"/>
          </w:rPr>
          <w:delText>all control</w:delText>
        </w:r>
      </w:del>
      <w:r>
        <w:rPr>
          <w:noProof/>
          <w:szCs w:val="22"/>
          <w:lang w:val="it-IT"/>
        </w:rPr>
        <w:t xml:space="preserve"> comprende tutti i pazienti dalle fasi in doppio cieco di ciascuno studio principale dalla randomizzazione fino al raggiungimento del primo cambiamento nel regime di trattamento o ai 2 anni. Il periodo di controllo in 4 degli studi era di 6 mesi e in 1 studio era di 2 anni. Negli studi controllati in doppio cieco 774 pazienti hanno ricevuto </w:t>
      </w:r>
      <w:r>
        <w:rPr>
          <w:noProof/>
          <w:lang w:val="it-IT"/>
        </w:rPr>
        <w:t xml:space="preserve">tocilizumab </w:t>
      </w:r>
      <w:r>
        <w:rPr>
          <w:noProof/>
          <w:szCs w:val="22"/>
          <w:lang w:val="it-IT"/>
        </w:rPr>
        <w:t>4 mg/kg in associazione con MTX, 1</w:t>
      </w:r>
      <w:ins w:id="3921" w:author="Author">
        <w:r>
          <w:rPr>
            <w:noProof/>
            <w:szCs w:val="22"/>
            <w:lang w:val="it-IT"/>
          </w:rPr>
          <w:t> </w:t>
        </w:r>
      </w:ins>
      <w:r>
        <w:rPr>
          <w:noProof/>
          <w:szCs w:val="22"/>
          <w:lang w:val="it-IT"/>
        </w:rPr>
        <w:t>870</w:t>
      </w:r>
      <w:ins w:id="3922" w:author="Author">
        <w:r>
          <w:rPr>
            <w:noProof/>
            <w:szCs w:val="22"/>
            <w:lang w:val="it-IT"/>
          </w:rPr>
          <w:t> </w:t>
        </w:r>
      </w:ins>
      <w:del w:id="3923" w:author="Author">
        <w:r>
          <w:rPr>
            <w:noProof/>
            <w:szCs w:val="22"/>
            <w:lang w:val="it-IT"/>
          </w:rPr>
          <w:delText xml:space="preserve"> </w:delText>
        </w:r>
      </w:del>
      <w:r>
        <w:rPr>
          <w:noProof/>
          <w:szCs w:val="22"/>
          <w:lang w:val="it-IT"/>
        </w:rPr>
        <w:t>pazienti hanno ricevuto tocilizumab 8 mg/kg in associazione con MTX/altri DMARD e 288 pazienti hanno ricevuto tocilizumab 8 mg/kg in monoterapia.</w:t>
      </w:r>
    </w:p>
    <w:p>
      <w:pPr>
        <w:rPr>
          <w:noProof/>
          <w:szCs w:val="22"/>
          <w:lang w:val="it-IT"/>
        </w:rPr>
      </w:pPr>
    </w:p>
    <w:p>
      <w:pPr>
        <w:rPr>
          <w:noProof/>
          <w:lang w:val="it-IT"/>
        </w:rPr>
      </w:pPr>
      <w:r>
        <w:rPr>
          <w:noProof/>
          <w:lang w:val="it-IT"/>
        </w:rPr>
        <w:t>L</w:t>
      </w:r>
      <w:ins w:id="3924" w:author="Author">
        <w:r>
          <w:rPr>
            <w:noProof/>
            <w:lang w:val="it-IT"/>
          </w:rPr>
          <w:t>’intera</w:t>
        </w:r>
      </w:ins>
      <w:del w:id="3925" w:author="Author">
        <w:r>
          <w:rPr>
            <w:noProof/>
            <w:lang w:val="it-IT"/>
          </w:rPr>
          <w:delText>a</w:delText>
        </w:r>
      </w:del>
      <w:r>
        <w:rPr>
          <w:noProof/>
          <w:lang w:val="it-IT"/>
        </w:rPr>
        <w:t xml:space="preserve"> popolazione </w:t>
      </w:r>
      <w:ins w:id="3926" w:author="Author">
        <w:r>
          <w:rPr>
            <w:noProof/>
            <w:lang w:val="it-IT"/>
          </w:rPr>
          <w:t>esposta</w:t>
        </w:r>
      </w:ins>
      <w:del w:id="3927" w:author="Author">
        <w:r>
          <w:rPr>
            <w:noProof/>
            <w:lang w:val="it-IT"/>
          </w:rPr>
          <w:delText>con esposizione totale</w:delText>
        </w:r>
      </w:del>
      <w:r>
        <w:rPr>
          <w:noProof/>
          <w:lang w:val="it-IT"/>
        </w:rPr>
        <w:t xml:space="preserve"> </w:t>
      </w:r>
      <w:del w:id="3928" w:author="Author">
        <w:r>
          <w:rPr>
            <w:noProof/>
            <w:lang w:val="it-IT"/>
          </w:rPr>
          <w:delText xml:space="preserve">comprende </w:delText>
        </w:r>
      </w:del>
      <w:ins w:id="3929" w:author="Author">
        <w:r>
          <w:rPr>
            <w:noProof/>
            <w:lang w:val="it-IT"/>
          </w:rPr>
          <w:t xml:space="preserve">include </w:t>
        </w:r>
      </w:ins>
      <w:r>
        <w:rPr>
          <w:noProof/>
          <w:lang w:val="it-IT"/>
        </w:rPr>
        <w:t>tutti i pazienti che hanno ricevuto almeno una dose di tocilizumab nel periodo di controllo in doppio cieco o in fase di estensione in aperto degli studi. Dei 4</w:t>
      </w:r>
      <w:ins w:id="3930" w:author="Author">
        <w:r>
          <w:rPr>
            <w:noProof/>
            <w:lang w:val="it-IT"/>
          </w:rPr>
          <w:t> </w:t>
        </w:r>
      </w:ins>
      <w:r>
        <w:rPr>
          <w:noProof/>
          <w:lang w:val="it-IT"/>
        </w:rPr>
        <w:t>009</w:t>
      </w:r>
      <w:ins w:id="3931" w:author="Author">
        <w:r>
          <w:rPr>
            <w:noProof/>
            <w:lang w:val="it-IT"/>
          </w:rPr>
          <w:t> </w:t>
        </w:r>
      </w:ins>
      <w:del w:id="3932" w:author="Author">
        <w:r>
          <w:rPr>
            <w:noProof/>
            <w:lang w:val="it-IT"/>
          </w:rPr>
          <w:delText xml:space="preserve"> </w:delText>
        </w:r>
      </w:del>
      <w:r>
        <w:rPr>
          <w:noProof/>
          <w:lang w:val="it-IT"/>
        </w:rPr>
        <w:t>pazienti in questa popolazione, 3</w:t>
      </w:r>
      <w:ins w:id="3933" w:author="Author">
        <w:r>
          <w:rPr>
            <w:noProof/>
            <w:lang w:val="it-IT"/>
          </w:rPr>
          <w:t> </w:t>
        </w:r>
      </w:ins>
      <w:r>
        <w:rPr>
          <w:noProof/>
          <w:lang w:val="it-IT"/>
        </w:rPr>
        <w:t>577</w:t>
      </w:r>
      <w:ins w:id="3934" w:author="Author">
        <w:r>
          <w:rPr>
            <w:noProof/>
            <w:lang w:val="it-IT"/>
          </w:rPr>
          <w:t> </w:t>
        </w:r>
      </w:ins>
      <w:del w:id="3935" w:author="Author">
        <w:r>
          <w:rPr>
            <w:noProof/>
            <w:lang w:val="it-IT"/>
          </w:rPr>
          <w:delText xml:space="preserve"> </w:delText>
        </w:r>
      </w:del>
      <w:r>
        <w:rPr>
          <w:noProof/>
          <w:lang w:val="it-IT"/>
        </w:rPr>
        <w:t>hanno ricevuto un trattamento per almeno 6 mesi, 3</w:t>
      </w:r>
      <w:ins w:id="3936" w:author="Author">
        <w:r>
          <w:rPr>
            <w:noProof/>
            <w:lang w:val="it-IT"/>
          </w:rPr>
          <w:t> </w:t>
        </w:r>
      </w:ins>
      <w:r>
        <w:rPr>
          <w:noProof/>
          <w:lang w:val="it-IT"/>
        </w:rPr>
        <w:t>296 per almeno un anno; 2</w:t>
      </w:r>
      <w:ins w:id="3937" w:author="Author">
        <w:r>
          <w:rPr>
            <w:noProof/>
            <w:lang w:val="it-IT"/>
          </w:rPr>
          <w:t> </w:t>
        </w:r>
      </w:ins>
      <w:r>
        <w:rPr>
          <w:noProof/>
          <w:lang w:val="it-IT"/>
        </w:rPr>
        <w:t>806 hanno ricevuto un trattamento per almeno 2 anni e 1</w:t>
      </w:r>
      <w:ins w:id="3938" w:author="Author">
        <w:r>
          <w:rPr>
            <w:noProof/>
            <w:lang w:val="it-IT"/>
          </w:rPr>
          <w:t> </w:t>
        </w:r>
      </w:ins>
      <w:r>
        <w:rPr>
          <w:noProof/>
          <w:lang w:val="it-IT"/>
        </w:rPr>
        <w:t>222 per 3 anni</w:t>
      </w:r>
    </w:p>
    <w:p>
      <w:pPr>
        <w:rPr>
          <w:i/>
          <w:noProof/>
          <w:szCs w:val="22"/>
          <w:lang w:val="it-IT"/>
        </w:rPr>
      </w:pPr>
    </w:p>
    <w:p>
      <w:pPr>
        <w:tabs>
          <w:tab w:val="left" w:pos="180"/>
        </w:tabs>
        <w:ind w:left="567" w:hanging="567"/>
        <w:outlineLvl w:val="0"/>
        <w:rPr>
          <w:i/>
          <w:noProof/>
          <w:u w:val="single"/>
          <w:lang w:val="it-IT"/>
        </w:rPr>
      </w:pPr>
      <w:r>
        <w:rPr>
          <w:i/>
          <w:noProof/>
          <w:u w:val="single"/>
          <w:lang w:val="it-IT"/>
        </w:rPr>
        <w:t xml:space="preserve">Infezioni </w:t>
      </w:r>
    </w:p>
    <w:p>
      <w:pPr>
        <w:tabs>
          <w:tab w:val="left" w:pos="180"/>
        </w:tabs>
        <w:rPr>
          <w:noProof/>
          <w:lang w:val="it-IT"/>
        </w:rPr>
      </w:pPr>
      <w:r>
        <w:rPr>
          <w:noProof/>
          <w:lang w:val="it-IT"/>
        </w:rPr>
        <w:t>Negli studi controllati a 6 mesi, la frequenza di infezioni di tutti i tipi riferite con tocilizumab alla dose di 8 mg/kg associato al trattamento con un DMARD è stata di 127 eventi ogni 100 anni-paziente rispetto a 112 eventi ogni 100 anni-paziente nel gruppo trattato con placebo più DMARD. Nella popolazione esposta a lungo termine, la frequenza complessiva di infezioni associate all’utilizzo di tocilizumab è stata di 108 eventi ogni 100 anni-paziente.</w:t>
      </w:r>
    </w:p>
    <w:p>
      <w:pPr>
        <w:tabs>
          <w:tab w:val="left" w:pos="180"/>
        </w:tabs>
        <w:rPr>
          <w:noProof/>
          <w:lang w:val="it-IT"/>
        </w:rPr>
        <w:pPrChange w:id="3939" w:author="Author">
          <w:pPr>
            <w:keepNext/>
            <w:keepLines/>
            <w:tabs>
              <w:tab w:val="left" w:pos="180"/>
            </w:tabs>
          </w:pPr>
        </w:pPrChange>
      </w:pPr>
    </w:p>
    <w:p>
      <w:pPr>
        <w:tabs>
          <w:tab w:val="left" w:pos="180"/>
        </w:tabs>
        <w:rPr>
          <w:noProof/>
          <w:lang w:val="it-IT"/>
        </w:rPr>
        <w:pPrChange w:id="3940" w:author="Author">
          <w:pPr>
            <w:keepNext/>
            <w:keepLines/>
            <w:tabs>
              <w:tab w:val="left" w:pos="180"/>
            </w:tabs>
          </w:pPr>
        </w:pPrChange>
      </w:pPr>
      <w:r>
        <w:rPr>
          <w:noProof/>
          <w:lang w:val="it-IT"/>
        </w:rPr>
        <w:t xml:space="preserve">Negli studi clinici controllati a sei mesi, la frequenza di infezioni gravi riferite con tocilizumab alla dose di 8 mg/kg associato al trattamento con DMARD è stata di 5,3 eventi ogni 100 anni-paziente rispetto a 3,9 eventi ogni 100 anni-paziente nel gruppo trattato con placebo più DMARD. Nello studio sulla monoterapia, la frequenza di infezioni gravi è stata di 3,6 eventi ogni 100 anni-paziente nel gruppo trattato con tocilizumab e di 1,5 eventi ogni 100 anni-paziente nel gruppo trattato con MTX. </w:t>
      </w:r>
    </w:p>
    <w:p>
      <w:pPr>
        <w:tabs>
          <w:tab w:val="left" w:pos="180"/>
        </w:tabs>
        <w:rPr>
          <w:noProof/>
          <w:lang w:val="it-IT"/>
        </w:rPr>
        <w:pPrChange w:id="3941" w:author="Author">
          <w:pPr>
            <w:keepNext/>
            <w:keepLines/>
            <w:tabs>
              <w:tab w:val="left" w:pos="180"/>
            </w:tabs>
          </w:pPr>
        </w:pPrChange>
      </w:pPr>
    </w:p>
    <w:p>
      <w:pPr>
        <w:tabs>
          <w:tab w:val="left" w:pos="180"/>
        </w:tabs>
        <w:rPr>
          <w:noProof/>
          <w:lang w:val="it-IT"/>
        </w:rPr>
        <w:pPrChange w:id="3942" w:author="Author">
          <w:pPr>
            <w:keepNext/>
            <w:keepLines/>
            <w:tabs>
              <w:tab w:val="left" w:pos="180"/>
            </w:tabs>
          </w:pPr>
        </w:pPrChange>
      </w:pPr>
      <w:r>
        <w:rPr>
          <w:noProof/>
          <w:lang w:val="it-IT"/>
        </w:rPr>
        <w:t xml:space="preserve">Nella popolazione </w:t>
      </w:r>
      <w:del w:id="3943" w:author="Author">
        <w:r>
          <w:rPr>
            <w:noProof/>
            <w:lang w:val="it-IT"/>
          </w:rPr>
          <w:delText xml:space="preserve">con </w:delText>
        </w:r>
      </w:del>
      <w:r>
        <w:rPr>
          <w:noProof/>
          <w:lang w:val="it-IT"/>
        </w:rPr>
        <w:t>espos</w:t>
      </w:r>
      <w:ins w:id="3944" w:author="Author">
        <w:r>
          <w:rPr>
            <w:noProof/>
            <w:lang w:val="it-IT"/>
          </w:rPr>
          <w:t>ta</w:t>
        </w:r>
      </w:ins>
      <w:del w:id="3945" w:author="Author">
        <w:r>
          <w:rPr>
            <w:noProof/>
            <w:lang w:val="it-IT"/>
          </w:rPr>
          <w:delText>izione</w:delText>
        </w:r>
      </w:del>
      <w:r>
        <w:rPr>
          <w:noProof/>
          <w:lang w:val="it-IT"/>
        </w:rPr>
        <w:t xml:space="preserve"> </w:t>
      </w:r>
      <w:ins w:id="3946" w:author="Author">
        <w:r>
          <w:rPr>
            <w:noProof/>
            <w:lang w:val="it-IT"/>
          </w:rPr>
          <w:t>a lungo termine</w:t>
        </w:r>
      </w:ins>
      <w:del w:id="3947" w:author="Author">
        <w:r>
          <w:rPr>
            <w:noProof/>
            <w:lang w:val="it-IT"/>
          </w:rPr>
          <w:delText>totale</w:delText>
        </w:r>
      </w:del>
      <w:r>
        <w:rPr>
          <w:noProof/>
          <w:lang w:val="it-IT"/>
        </w:rPr>
        <w:t xml:space="preserve">, la frequenza complessiva di infezioni gravi </w:t>
      </w:r>
      <w:ins w:id="3948" w:author="Author">
        <w:r>
          <w:rPr>
            <w:noProof/>
            <w:lang w:val="it-IT"/>
          </w:rPr>
          <w:t xml:space="preserve">(batteriche, virali e fungine) </w:t>
        </w:r>
      </w:ins>
      <w:r>
        <w:rPr>
          <w:noProof/>
          <w:lang w:val="it-IT"/>
        </w:rPr>
        <w:t xml:space="preserve">è stata di 4,7 eventi per 100 anni-paziente. </w:t>
      </w:r>
      <w:del w:id="3949" w:author="Author">
        <w:r>
          <w:rPr>
            <w:noProof/>
            <w:lang w:val="it-IT"/>
          </w:rPr>
          <w:delText>Tra l</w:delText>
        </w:r>
      </w:del>
      <w:ins w:id="3950" w:author="Author">
        <w:r>
          <w:rPr>
            <w:noProof/>
            <w:lang w:val="it-IT"/>
          </w:rPr>
          <w:t>L</w:t>
        </w:r>
      </w:ins>
      <w:r>
        <w:rPr>
          <w:noProof/>
          <w:lang w:val="it-IT"/>
        </w:rPr>
        <w:t xml:space="preserve">e infezioni gravi </w:t>
      </w:r>
      <w:del w:id="3951" w:author="Author">
        <w:r>
          <w:rPr>
            <w:noProof/>
            <w:lang w:val="it-IT"/>
          </w:rPr>
          <w:delText>riferite</w:delText>
        </w:r>
      </w:del>
      <w:ins w:id="3952" w:author="Author">
        <w:r>
          <w:rPr>
            <w:noProof/>
            <w:lang w:val="it-IT"/>
          </w:rPr>
          <w:t>riportate</w:t>
        </w:r>
      </w:ins>
      <w:r>
        <w:rPr>
          <w:noProof/>
          <w:lang w:val="it-IT"/>
        </w:rPr>
        <w:t xml:space="preserve">, alcune con esito fatale, </w:t>
      </w:r>
      <w:del w:id="3953" w:author="Author">
        <w:r>
          <w:rPr>
            <w:noProof/>
            <w:lang w:val="it-IT"/>
          </w:rPr>
          <w:delText xml:space="preserve">vi </w:delText>
        </w:r>
      </w:del>
      <w:r>
        <w:rPr>
          <w:noProof/>
          <w:lang w:val="it-IT"/>
        </w:rPr>
        <w:t xml:space="preserve">sono state </w:t>
      </w:r>
      <w:ins w:id="3954" w:author="Author">
        <w:r>
          <w:rPr>
            <w:noProof/>
            <w:lang w:val="it-IT"/>
          </w:rPr>
          <w:t xml:space="preserve">tubercolosi attiva, che si poteva presentare con malattia intrapolmonare o extrapolmonare, infezioni polmonari invasive, incluse la candidosi, l’aspergillosi, la coccidioidomicosi e la pneumocistosi </w:t>
        </w:r>
      </w:ins>
      <w:customXmlInsRangeStart w:id="3955" w:author="Author"/>
      <w:sdt>
        <w:sdtPr>
          <w:tag w:val="goog_rdk_410"/>
          <w:id w:val="1509869613"/>
        </w:sdtPr>
        <w:sdtContent>
          <w:customXmlInsRangeEnd w:id="3955"/>
          <w:ins w:id="3956" w:author="Author">
            <w:del w:id="3957" w:author="Author">
              <w:r>
                <w:rPr>
                  <w:lang w:val="it-IT"/>
                </w:rPr>
                <w:delText>jirovecii</w:delText>
              </w:r>
            </w:del>
          </w:ins>
          <w:customXmlInsRangeStart w:id="3958" w:author="Author"/>
        </w:sdtContent>
      </w:sdt>
      <w:customXmlInsRangeEnd w:id="3958"/>
      <w:ins w:id="3959" w:author="Author">
        <w:r>
          <w:rPr>
            <w:noProof/>
            <w:lang w:val="it-IT"/>
          </w:rPr>
          <w:t xml:space="preserve">, </w:t>
        </w:r>
      </w:ins>
      <w:r>
        <w:rPr>
          <w:noProof/>
          <w:lang w:val="it-IT"/>
        </w:rPr>
        <w:t>polmonite, cellulite, herpes zoster, gastroenterite, diverticolite, sepsi</w:t>
      </w:r>
      <w:del w:id="3960" w:author="Author">
        <w:r>
          <w:rPr>
            <w:noProof/>
            <w:lang w:val="it-IT"/>
          </w:rPr>
          <w:delText>,</w:delText>
        </w:r>
      </w:del>
      <w:ins w:id="3961" w:author="Author">
        <w:r>
          <w:rPr>
            <w:noProof/>
            <w:lang w:val="it-IT"/>
          </w:rPr>
          <w:t xml:space="preserve"> e</w:t>
        </w:r>
      </w:ins>
      <w:r>
        <w:rPr>
          <w:noProof/>
          <w:lang w:val="it-IT"/>
        </w:rPr>
        <w:t xml:space="preserve"> artrite batterica. Sono stati segnalati anche casi di infezioni opportunistiche.</w:t>
      </w:r>
    </w:p>
    <w:p>
      <w:pPr>
        <w:tabs>
          <w:tab w:val="left" w:pos="180"/>
        </w:tabs>
        <w:rPr>
          <w:noProof/>
          <w:lang w:val="it-IT"/>
        </w:rPr>
        <w:pPrChange w:id="3962" w:author="Author">
          <w:pPr>
            <w:keepNext/>
            <w:keepLines/>
            <w:tabs>
              <w:tab w:val="left" w:pos="180"/>
            </w:tabs>
          </w:pPr>
        </w:pPrChange>
      </w:pPr>
    </w:p>
    <w:p>
      <w:pPr>
        <w:keepNext/>
        <w:keepLines/>
        <w:tabs>
          <w:tab w:val="left" w:pos="180"/>
        </w:tabs>
        <w:autoSpaceDE w:val="0"/>
        <w:autoSpaceDN w:val="0"/>
        <w:adjustRightInd w:val="0"/>
        <w:rPr>
          <w:rFonts w:eastAsia="SimSun"/>
          <w:i/>
          <w:noProof/>
          <w:szCs w:val="22"/>
          <w:u w:val="single"/>
          <w:lang w:val="it-IT"/>
        </w:rPr>
      </w:pPr>
      <w:r>
        <w:rPr>
          <w:i/>
          <w:noProof/>
          <w:szCs w:val="22"/>
          <w:u w:val="single"/>
          <w:lang w:val="it-IT"/>
        </w:rPr>
        <w:t>Patologia polmonare interstiziale</w:t>
      </w:r>
    </w:p>
    <w:p>
      <w:pPr>
        <w:keepNext/>
        <w:keepLines/>
        <w:tabs>
          <w:tab w:val="left" w:pos="180"/>
        </w:tabs>
        <w:autoSpaceDE w:val="0"/>
        <w:autoSpaceDN w:val="0"/>
        <w:adjustRightInd w:val="0"/>
        <w:rPr>
          <w:rFonts w:eastAsia="SimSun"/>
          <w:noProof/>
          <w:szCs w:val="22"/>
          <w:lang w:val="it-IT"/>
        </w:rPr>
      </w:pPr>
      <w:r>
        <w:rPr>
          <w:noProof/>
          <w:szCs w:val="22"/>
          <w:lang w:val="it-IT"/>
        </w:rPr>
        <w:t xml:space="preserve">La funzionalità polmonare compromessa può aumentare il rischio di sviluppare infezioni. Vi sono state segnalazioni </w:t>
      </w:r>
      <w:r>
        <w:rPr>
          <w:i/>
          <w:noProof/>
          <w:szCs w:val="22"/>
          <w:lang w:val="it-IT"/>
          <w:rPrChange w:id="3963" w:author="Author">
            <w:rPr>
              <w:noProof/>
              <w:szCs w:val="22"/>
              <w:lang w:val="it-IT"/>
            </w:rPr>
          </w:rPrChange>
        </w:rPr>
        <w:t>post-marketing</w:t>
      </w:r>
      <w:r>
        <w:rPr>
          <w:noProof/>
          <w:szCs w:val="22"/>
          <w:lang w:val="it-IT"/>
        </w:rPr>
        <w:t xml:space="preserve"> di patologie polmonari interstiziali (incluse polmonite e fibrosi polmonare), alcune delle quali con esito fatale.</w:t>
      </w:r>
    </w:p>
    <w:p>
      <w:pPr>
        <w:tabs>
          <w:tab w:val="left" w:pos="180"/>
        </w:tabs>
        <w:rPr>
          <w:noProof/>
          <w:lang w:val="it-IT"/>
        </w:rPr>
      </w:pPr>
    </w:p>
    <w:p>
      <w:pPr>
        <w:tabs>
          <w:tab w:val="left" w:pos="180"/>
        </w:tabs>
        <w:rPr>
          <w:i/>
          <w:noProof/>
          <w:u w:val="single"/>
          <w:lang w:val="it-IT"/>
        </w:rPr>
      </w:pPr>
      <w:r>
        <w:rPr>
          <w:i/>
          <w:noProof/>
          <w:u w:val="single"/>
          <w:lang w:val="it-IT"/>
        </w:rPr>
        <w:t>Perforazione gastrointestinale</w:t>
      </w:r>
    </w:p>
    <w:p>
      <w:pPr>
        <w:tabs>
          <w:tab w:val="left" w:pos="180"/>
        </w:tabs>
        <w:rPr>
          <w:noProof/>
          <w:lang w:val="it-IT"/>
        </w:rPr>
      </w:pPr>
      <w:r>
        <w:rPr>
          <w:noProof/>
          <w:lang w:val="it-IT"/>
        </w:rPr>
        <w:t>Durante gli studi clinici controllati a 6 mesi, la frequenza complessiva di perforazione gastrointestinale è stata di 0,26 eventi per 100 anni-paziente in corso di terapia con tocilizumab. Nella popolazione esposta a lungo termine, la frequenza complessiva di perforazione gastrointestinale è stata di 0,28 eventi per 100 anni-paziente. I casi di perforazione gastrointestinale con tocilizumab sono stati principalmente riportati come complicanze della diverticolite, tra cui peritonite purulenta generalizzata, perforazione del tratto gastrointestinale inferiore, fistole e ascessi.</w:t>
      </w:r>
    </w:p>
    <w:p>
      <w:pPr>
        <w:tabs>
          <w:tab w:val="left" w:pos="180"/>
        </w:tabs>
        <w:rPr>
          <w:noProof/>
          <w:lang w:val="it-IT"/>
        </w:rPr>
      </w:pPr>
    </w:p>
    <w:p>
      <w:pPr>
        <w:tabs>
          <w:tab w:val="left" w:pos="180"/>
        </w:tabs>
        <w:ind w:left="567" w:hanging="567"/>
        <w:outlineLvl w:val="0"/>
        <w:rPr>
          <w:i/>
          <w:noProof/>
          <w:u w:val="single"/>
          <w:lang w:val="it-IT"/>
        </w:rPr>
      </w:pPr>
      <w:r>
        <w:rPr>
          <w:i/>
          <w:noProof/>
          <w:u w:val="single"/>
          <w:lang w:val="it-IT"/>
        </w:rPr>
        <w:t xml:space="preserve">Reazioni correlate all’infusione </w:t>
      </w:r>
    </w:p>
    <w:p>
      <w:pPr>
        <w:tabs>
          <w:tab w:val="left" w:pos="180"/>
        </w:tabs>
        <w:rPr>
          <w:noProof/>
          <w:lang w:val="it-IT"/>
        </w:rPr>
      </w:pPr>
      <w:r>
        <w:rPr>
          <w:noProof/>
          <w:lang w:val="it-IT"/>
        </w:rPr>
        <w:t>Negli studi clinici controllati a sei mesi, eventi avversi associati all'infusione (eventi selezionati verificatisi durante l’infusione o entro 24 ore dall’infusione) sono stati riferiti dal 6,9% dei pazienti del gruppo trattato con tocilizumab alla dose di 8 mg/kg più DMARD e dal 5,1% dei pazienti del gruppo trattato con placebo più DMARD. Gli eventi rilevati durante l’infusione sono stati principalmente episodi di ipertensione; gli eventi rilevati entro 24 ore dalla fine dell’infusione sono stati cefalea e reazioni cutanee (rash, orticaria). Tali eventi non hanno determinato limitazioni al trattamento.</w:t>
      </w:r>
    </w:p>
    <w:p>
      <w:pPr>
        <w:tabs>
          <w:tab w:val="left" w:pos="180"/>
        </w:tabs>
        <w:rPr>
          <w:noProof/>
          <w:lang w:val="it-IT"/>
        </w:rPr>
      </w:pPr>
    </w:p>
    <w:p>
      <w:pPr>
        <w:tabs>
          <w:tab w:val="left" w:pos="180"/>
        </w:tabs>
        <w:rPr>
          <w:noProof/>
          <w:lang w:val="it-IT"/>
        </w:rPr>
      </w:pPr>
      <w:r>
        <w:rPr>
          <w:noProof/>
          <w:lang w:val="it-IT"/>
        </w:rPr>
        <w:t xml:space="preserve">La frequenza di reazioni anafilattiche (verificatesi in un totale di </w:t>
      </w:r>
      <w:del w:id="3964" w:author="Author">
        <w:r>
          <w:rPr>
            <w:noProof/>
            <w:lang w:val="it-IT"/>
          </w:rPr>
          <w:delText xml:space="preserve">6 </w:delText>
        </w:r>
      </w:del>
      <w:ins w:id="3965" w:author="Author">
        <w:r>
          <w:rPr>
            <w:noProof/>
            <w:lang w:val="it-IT"/>
          </w:rPr>
          <w:t>8 </w:t>
        </w:r>
      </w:ins>
      <w:r>
        <w:rPr>
          <w:noProof/>
          <w:lang w:val="it-IT"/>
        </w:rPr>
        <w:t xml:space="preserve">pazienti su </w:t>
      </w:r>
      <w:del w:id="3966" w:author="Author">
        <w:r>
          <w:rPr>
            <w:noProof/>
            <w:lang w:val="it-IT"/>
          </w:rPr>
          <w:delText>3778</w:delText>
        </w:r>
      </w:del>
      <w:ins w:id="3967" w:author="Author">
        <w:r>
          <w:rPr>
            <w:noProof/>
            <w:lang w:val="it-IT"/>
          </w:rPr>
          <w:t>4 009</w:t>
        </w:r>
      </w:ins>
      <w:r>
        <w:rPr>
          <w:noProof/>
          <w:lang w:val="it-IT"/>
        </w:rPr>
        <w:t xml:space="preserve">, 0,2%) è risultata di diverse volte maggiore con la dose di 4 mg/kg rispetto alla dose di 8 mg/kg. Reazioni di ipersensibilità clinicamente significative associate a tocilizumab e che hanno richiesto l’interruzione del trattamento sono state riferite in un totale di </w:t>
      </w:r>
      <w:del w:id="3968" w:author="Author">
        <w:r>
          <w:rPr>
            <w:noProof/>
            <w:lang w:val="it-IT"/>
          </w:rPr>
          <w:delText>13</w:delText>
        </w:r>
      </w:del>
      <w:ins w:id="3969" w:author="Author">
        <w:r>
          <w:rPr>
            <w:noProof/>
            <w:lang w:val="it-IT"/>
          </w:rPr>
          <w:t>56 </w:t>
        </w:r>
      </w:ins>
      <w:del w:id="3970" w:author="Author">
        <w:r>
          <w:rPr>
            <w:noProof/>
            <w:lang w:val="it-IT"/>
          </w:rPr>
          <w:delText xml:space="preserve"> </w:delText>
        </w:r>
      </w:del>
      <w:r>
        <w:rPr>
          <w:noProof/>
          <w:lang w:val="it-IT"/>
        </w:rPr>
        <w:t xml:space="preserve">su </w:t>
      </w:r>
      <w:del w:id="3971" w:author="Author">
        <w:r>
          <w:rPr>
            <w:noProof/>
            <w:lang w:val="it-IT"/>
          </w:rPr>
          <w:delText>3778</w:delText>
        </w:r>
      </w:del>
      <w:ins w:id="3972" w:author="Author">
        <w:r>
          <w:rPr>
            <w:noProof/>
            <w:lang w:val="it-IT"/>
          </w:rPr>
          <w:t>4 009 </w:t>
        </w:r>
      </w:ins>
      <w:del w:id="3973" w:author="Author">
        <w:r>
          <w:rPr>
            <w:noProof/>
            <w:lang w:val="it-IT"/>
          </w:rPr>
          <w:delText xml:space="preserve"> </w:delText>
        </w:r>
      </w:del>
      <w:r>
        <w:rPr>
          <w:noProof/>
          <w:lang w:val="it-IT"/>
        </w:rPr>
        <w:t>pazienti (</w:t>
      </w:r>
      <w:del w:id="3974" w:author="Author">
        <w:r>
          <w:rPr>
            <w:noProof/>
            <w:lang w:val="it-IT"/>
          </w:rPr>
          <w:delText>0</w:delText>
        </w:r>
      </w:del>
      <w:ins w:id="3975" w:author="Author">
        <w:r>
          <w:rPr>
            <w:noProof/>
            <w:lang w:val="it-IT"/>
          </w:rPr>
          <w:t>1</w:t>
        </w:r>
      </w:ins>
      <w:r>
        <w:rPr>
          <w:noProof/>
          <w:lang w:val="it-IT"/>
        </w:rPr>
        <w:t>,</w:t>
      </w:r>
      <w:ins w:id="3976" w:author="Author">
        <w:r>
          <w:rPr>
            <w:noProof/>
            <w:lang w:val="it-IT"/>
          </w:rPr>
          <w:t>4</w:t>
        </w:r>
      </w:ins>
      <w:del w:id="3977" w:author="Author">
        <w:r>
          <w:rPr>
            <w:noProof/>
            <w:lang w:val="it-IT"/>
          </w:rPr>
          <w:delText>3</w:delText>
        </w:r>
      </w:del>
      <w:r>
        <w:rPr>
          <w:noProof/>
          <w:lang w:val="it-IT"/>
        </w:rPr>
        <w:t xml:space="preserve">%) trattati con tocilizumab nel corso degli studi clinici controllati e in aperto. Tali reazioni sono state osservate generalmente dalla seconda alla quinta infusione di </w:t>
      </w:r>
      <w:r>
        <w:rPr>
          <w:noProof/>
          <w:szCs w:val="22"/>
          <w:lang w:val="it-IT"/>
        </w:rPr>
        <w:t xml:space="preserve">RoActemra </w:t>
      </w:r>
      <w:r>
        <w:rPr>
          <w:noProof/>
          <w:lang w:val="it-IT"/>
        </w:rPr>
        <w:t>(vedere paragrafo 4.4). Dopo la registrazione del prodotto è stato riportato un caso di anafilassi fatale durante il trattamento con tocilizumab per via endovenosa(vedere paragrafo 4.4).</w:t>
      </w:r>
    </w:p>
    <w:p>
      <w:pPr>
        <w:tabs>
          <w:tab w:val="left" w:pos="180"/>
        </w:tabs>
        <w:rPr>
          <w:noProof/>
          <w:lang w:val="it-IT"/>
        </w:rPr>
      </w:pPr>
    </w:p>
    <w:p>
      <w:pPr>
        <w:keepNext/>
        <w:keepLines/>
        <w:tabs>
          <w:tab w:val="left" w:pos="180"/>
        </w:tabs>
        <w:ind w:left="567" w:hanging="567"/>
        <w:outlineLvl w:val="0"/>
        <w:rPr>
          <w:i/>
          <w:noProof/>
          <w:u w:val="single"/>
          <w:lang w:val="it-IT"/>
        </w:rPr>
      </w:pPr>
      <w:r>
        <w:rPr>
          <w:i/>
          <w:noProof/>
          <w:u w:val="single"/>
          <w:lang w:val="it-IT"/>
        </w:rPr>
        <w:lastRenderedPageBreak/>
        <w:t xml:space="preserve">Immunogenicità </w:t>
      </w:r>
    </w:p>
    <w:p>
      <w:pPr>
        <w:keepNext/>
        <w:keepLines/>
        <w:tabs>
          <w:tab w:val="left" w:pos="180"/>
        </w:tabs>
        <w:outlineLvl w:val="0"/>
        <w:rPr>
          <w:noProof/>
          <w:lang w:val="it-IT"/>
        </w:rPr>
      </w:pPr>
      <w:r>
        <w:rPr>
          <w:noProof/>
          <w:lang w:val="it-IT"/>
        </w:rPr>
        <w:t>Un totale di 2</w:t>
      </w:r>
      <w:del w:id="3978" w:author="Author">
        <w:r>
          <w:rPr>
            <w:noProof/>
            <w:lang w:val="it-IT"/>
          </w:rPr>
          <w:delText>.</w:delText>
        </w:r>
      </w:del>
      <w:ins w:id="3979" w:author="Author">
        <w:r>
          <w:rPr>
            <w:noProof/>
            <w:lang w:val="it-IT"/>
          </w:rPr>
          <w:t> </w:t>
        </w:r>
      </w:ins>
      <w:r>
        <w:rPr>
          <w:noProof/>
          <w:lang w:val="it-IT"/>
        </w:rPr>
        <w:t>876</w:t>
      </w:r>
      <w:ins w:id="3980" w:author="Author">
        <w:r>
          <w:rPr>
            <w:noProof/>
            <w:lang w:val="it-IT"/>
          </w:rPr>
          <w:t> </w:t>
        </w:r>
      </w:ins>
      <w:del w:id="3981" w:author="Author">
        <w:r>
          <w:rPr>
            <w:noProof/>
            <w:lang w:val="it-IT"/>
          </w:rPr>
          <w:delText xml:space="preserve"> </w:delText>
        </w:r>
      </w:del>
      <w:r>
        <w:rPr>
          <w:noProof/>
          <w:lang w:val="it-IT"/>
        </w:rPr>
        <w:t xml:space="preserve">pazienti sono stati analizzati per rilevare anticorpi anti- tocilizumab negli studi clinici controllati a sei mesi. Dei 46 pazienti (1,6%) che hanno sviluppato anticorpi anti- tocilizumab, 6 hanno avuto una reazione di ipersensibilità clinicamente significativa che in 5 casi ha portato alla sospensione definitiva del trattamento. Trenta pazienti (1,1%) hanno sviluppato anticorpi neutralizzanti. </w:t>
      </w:r>
    </w:p>
    <w:p>
      <w:pPr>
        <w:tabs>
          <w:tab w:val="left" w:pos="180"/>
        </w:tabs>
        <w:outlineLvl w:val="0"/>
        <w:rPr>
          <w:noProof/>
          <w:lang w:val="it-IT"/>
        </w:rPr>
      </w:pPr>
    </w:p>
    <w:p>
      <w:pPr>
        <w:keepNext/>
        <w:keepLines/>
        <w:tabs>
          <w:tab w:val="left" w:pos="180"/>
        </w:tabs>
        <w:rPr>
          <w:i/>
          <w:noProof/>
          <w:u w:val="single"/>
          <w:lang w:val="it-IT"/>
        </w:rPr>
      </w:pPr>
      <w:r>
        <w:rPr>
          <w:i/>
          <w:noProof/>
          <w:u w:val="single"/>
          <w:lang w:val="it-IT"/>
        </w:rPr>
        <w:t>Neutrofili</w:t>
      </w:r>
    </w:p>
    <w:p>
      <w:pPr>
        <w:keepNext/>
        <w:keepLines/>
        <w:tabs>
          <w:tab w:val="left" w:pos="180"/>
        </w:tabs>
        <w:rPr>
          <w:noProof/>
          <w:lang w:val="it-IT"/>
        </w:rPr>
      </w:pPr>
      <w:r>
        <w:rPr>
          <w:noProof/>
          <w:lang w:val="it-IT"/>
        </w:rPr>
        <w:t xml:space="preserve">Negli studi </w:t>
      </w:r>
      <w:ins w:id="3982" w:author="Author">
        <w:del w:id="3983" w:author="Author">
          <w:r>
            <w:rPr>
              <w:noProof/>
              <w:lang w:val="it-IT"/>
            </w:rPr>
            <w:delText xml:space="preserve">clinici </w:delText>
          </w:r>
        </w:del>
      </w:ins>
      <w:r>
        <w:rPr>
          <w:noProof/>
          <w:lang w:val="it-IT"/>
        </w:rPr>
        <w:t>controllati a sei mesi, una riduzione della conta dei neutrofili al di sotto di 1 </w:t>
      </w:r>
      <w:r>
        <w:rPr>
          <w:noProof/>
          <w:lang w:val="it-IT"/>
        </w:rPr>
        <w:sym w:font="Symbol" w:char="F0B4"/>
      </w:r>
      <w:ins w:id="3984" w:author="Author">
        <w:r>
          <w:rPr>
            <w:noProof/>
            <w:lang w:val="it-IT"/>
          </w:rPr>
          <w:t> </w:t>
        </w:r>
      </w:ins>
      <w:r>
        <w:rPr>
          <w:noProof/>
          <w:lang w:val="it-IT"/>
        </w:rPr>
        <w:t>10</w:t>
      </w:r>
      <w:r>
        <w:rPr>
          <w:noProof/>
          <w:vertAlign w:val="superscript"/>
          <w:lang w:val="it-IT"/>
        </w:rPr>
        <w:t>9</w:t>
      </w:r>
      <w:r>
        <w:rPr>
          <w:noProof/>
          <w:lang w:val="it-IT"/>
        </w:rPr>
        <w:t>/L si è verificata nel 3,4% dei pazienti del gruppo trattato con tocilizumab alla dose di 8 mg/kg più DMARD rispetto a &lt;</w:t>
      </w:r>
      <w:ins w:id="3985" w:author="Author">
        <w:r>
          <w:rPr>
            <w:noProof/>
            <w:lang w:val="it-IT"/>
          </w:rPr>
          <w:t xml:space="preserve"> </w:t>
        </w:r>
      </w:ins>
      <w:r>
        <w:rPr>
          <w:noProof/>
          <w:lang w:val="it-IT"/>
        </w:rPr>
        <w:t>0,1% dei pazienti trattati con placebo più DMARD. Nella metà circa dei pazienti nei quali si è riscontrata una ANC &lt;1 x 10</w:t>
      </w:r>
      <w:r>
        <w:rPr>
          <w:noProof/>
          <w:szCs w:val="22"/>
          <w:vertAlign w:val="superscript"/>
          <w:lang w:val="it-IT"/>
        </w:rPr>
        <w:t>9</w:t>
      </w:r>
      <w:r>
        <w:rPr>
          <w:noProof/>
          <w:lang w:val="it-IT"/>
        </w:rPr>
        <w:t xml:space="preserve">/L tale rilevazione è avvenuta nell’arco di 8 settimane dall’inizio della </w:t>
      </w:r>
      <w:r>
        <w:rPr>
          <w:noProof/>
          <w:szCs w:val="22"/>
          <w:lang w:val="it-IT"/>
        </w:rPr>
        <w:t xml:space="preserve">terapia. </w:t>
      </w:r>
      <w:r>
        <w:rPr>
          <w:noProof/>
          <w:lang w:val="it-IT"/>
        </w:rPr>
        <w:t>Riduzioni al di sotto di 0,5 </w:t>
      </w:r>
      <w:r>
        <w:rPr>
          <w:noProof/>
          <w:lang w:val="it-IT"/>
        </w:rPr>
        <w:sym w:font="Symbol" w:char="F0B4"/>
      </w:r>
      <w:ins w:id="3986" w:author="Author">
        <w:r>
          <w:rPr>
            <w:noProof/>
            <w:lang w:val="it-IT"/>
          </w:rPr>
          <w:t> </w:t>
        </w:r>
      </w:ins>
      <w:r>
        <w:rPr>
          <w:noProof/>
          <w:lang w:val="it-IT"/>
        </w:rPr>
        <w:t>10</w:t>
      </w:r>
      <w:r>
        <w:rPr>
          <w:noProof/>
          <w:vertAlign w:val="superscript"/>
          <w:lang w:val="it-IT"/>
        </w:rPr>
        <w:t>9</w:t>
      </w:r>
      <w:r>
        <w:rPr>
          <w:noProof/>
          <w:lang w:val="it-IT"/>
        </w:rPr>
        <w:t xml:space="preserve">/L sono state riportate nello 0,3% dei pazienti trattati con tocilizumab alla dose di 8 mg/kg più DMARD. Sono state riportate infezioni associate a neutropenia. </w:t>
      </w:r>
    </w:p>
    <w:p>
      <w:pPr>
        <w:tabs>
          <w:tab w:val="left" w:pos="180"/>
        </w:tabs>
        <w:autoSpaceDE w:val="0"/>
        <w:autoSpaceDN w:val="0"/>
        <w:adjustRightInd w:val="0"/>
        <w:rPr>
          <w:noProof/>
          <w:lang w:val="it-IT"/>
        </w:rPr>
      </w:pPr>
    </w:p>
    <w:p>
      <w:pPr>
        <w:tabs>
          <w:tab w:val="left" w:pos="180"/>
        </w:tabs>
        <w:autoSpaceDE w:val="0"/>
        <w:autoSpaceDN w:val="0"/>
        <w:adjustRightInd w:val="0"/>
        <w:rPr>
          <w:noProof/>
          <w:lang w:val="it-IT"/>
        </w:rPr>
      </w:pPr>
      <w:r>
        <w:rPr>
          <w:noProof/>
          <w:lang w:val="it-IT"/>
        </w:rPr>
        <w:t>Durante il periodo di doppio cieco controllato e nella fase di esposizione a lungo termine, il grado e l’incidenza della riduzione della conta dei neutrofili sono rimasti invariati rispetto a quanto è stato osservato negli studi controllati a sei mesi.</w:t>
      </w:r>
    </w:p>
    <w:p>
      <w:pPr>
        <w:tabs>
          <w:tab w:val="left" w:pos="180"/>
        </w:tabs>
        <w:autoSpaceDE w:val="0"/>
        <w:autoSpaceDN w:val="0"/>
        <w:adjustRightInd w:val="0"/>
        <w:rPr>
          <w:noProof/>
          <w:lang w:val="it-IT"/>
        </w:rPr>
      </w:pPr>
    </w:p>
    <w:p>
      <w:pPr>
        <w:tabs>
          <w:tab w:val="left" w:pos="180"/>
        </w:tabs>
        <w:autoSpaceDE w:val="0"/>
        <w:autoSpaceDN w:val="0"/>
        <w:adjustRightInd w:val="0"/>
        <w:rPr>
          <w:i/>
          <w:noProof/>
          <w:u w:val="single"/>
          <w:lang w:val="it-IT"/>
        </w:rPr>
      </w:pPr>
      <w:r>
        <w:rPr>
          <w:i/>
          <w:noProof/>
          <w:u w:val="single"/>
          <w:lang w:val="it-IT"/>
        </w:rPr>
        <w:t>Piastrine</w:t>
      </w:r>
    </w:p>
    <w:p>
      <w:pPr>
        <w:tabs>
          <w:tab w:val="left" w:pos="180"/>
        </w:tabs>
        <w:autoSpaceDE w:val="0"/>
        <w:autoSpaceDN w:val="0"/>
        <w:adjustRightInd w:val="0"/>
        <w:rPr>
          <w:rFonts w:ascii="Arial" w:eastAsia="SimSun" w:hAnsi="Arial" w:cs="Arial"/>
          <w:noProof/>
          <w:sz w:val="20"/>
          <w:lang w:val="it-IT"/>
        </w:rPr>
      </w:pPr>
      <w:r>
        <w:rPr>
          <w:noProof/>
          <w:lang w:val="it-IT"/>
        </w:rPr>
        <w:t xml:space="preserve">Negli studi </w:t>
      </w:r>
      <w:ins w:id="3987" w:author="Author">
        <w:del w:id="3988" w:author="Author">
          <w:r>
            <w:rPr>
              <w:noProof/>
              <w:lang w:val="it-IT"/>
            </w:rPr>
            <w:delText xml:space="preserve">clinici </w:delText>
          </w:r>
        </w:del>
      </w:ins>
      <w:r>
        <w:rPr>
          <w:noProof/>
          <w:lang w:val="it-IT"/>
        </w:rPr>
        <w:t>controllati a sei mesi, una riduzione della conta piastrinica al di sotto di 100 </w:t>
      </w:r>
      <w:r>
        <w:rPr>
          <w:bCs/>
          <w:noProof/>
          <w:szCs w:val="22"/>
          <w:lang w:val="it-IT"/>
        </w:rPr>
        <w:sym w:font="Symbol" w:char="F0B4"/>
      </w:r>
      <w:r>
        <w:rPr>
          <w:bCs/>
          <w:noProof/>
          <w:szCs w:val="22"/>
          <w:lang w:val="it-IT"/>
        </w:rPr>
        <w:t>10</w:t>
      </w:r>
      <w:r>
        <w:rPr>
          <w:bCs/>
          <w:noProof/>
          <w:szCs w:val="22"/>
          <w:vertAlign w:val="superscript"/>
          <w:lang w:val="it-IT"/>
        </w:rPr>
        <w:t>3</w:t>
      </w:r>
      <w:r>
        <w:rPr>
          <w:bCs/>
          <w:noProof/>
          <w:szCs w:val="22"/>
          <w:lang w:val="it-IT"/>
        </w:rPr>
        <w:t>/</w:t>
      </w:r>
      <w:r>
        <w:rPr>
          <w:noProof/>
          <w:szCs w:val="22"/>
          <w:lang w:val="it-IT"/>
        </w:rPr>
        <w:t>μL</w:t>
      </w:r>
      <w:r>
        <w:rPr>
          <w:noProof/>
          <w:lang w:val="it-IT"/>
        </w:rPr>
        <w:t xml:space="preserve"> si è verificata nell’1,7% dei pazienti del gruppo trattato con tocilizumab alla dose di 8 mg/kg più DMARD rispetto a &lt;</w:t>
      </w:r>
      <w:ins w:id="3989" w:author="Author">
        <w:r>
          <w:rPr>
            <w:noProof/>
            <w:lang w:val="it-IT"/>
          </w:rPr>
          <w:t xml:space="preserve">  </w:t>
        </w:r>
      </w:ins>
      <w:r>
        <w:rPr>
          <w:noProof/>
          <w:lang w:val="it-IT"/>
        </w:rPr>
        <w:t>1% dei pazienti trattati con placebo più DMARD. Tali riduzioni si sono manifestate senza correlazione con eventi emorragici.</w:t>
      </w:r>
    </w:p>
    <w:p>
      <w:pPr>
        <w:tabs>
          <w:tab w:val="left" w:pos="180"/>
        </w:tabs>
        <w:rPr>
          <w:noProof/>
          <w:lang w:val="it-IT"/>
        </w:rPr>
      </w:pPr>
    </w:p>
    <w:p>
      <w:pPr>
        <w:tabs>
          <w:tab w:val="left" w:pos="180"/>
        </w:tabs>
        <w:rPr>
          <w:noProof/>
          <w:lang w:val="it-IT"/>
        </w:rPr>
      </w:pPr>
      <w:r>
        <w:rPr>
          <w:noProof/>
          <w:lang w:val="it-IT"/>
        </w:rPr>
        <w:t>Durante il periodo di doppio cieco controllato e nella fase di esposizione a lungo termine, il grado e l’incidenza della riduzione della conta delle piastrine sono rimasti invariati rispetto a quanto è stato osservato negli studi controllati a sei mesi.</w:t>
      </w:r>
    </w:p>
    <w:p>
      <w:pPr>
        <w:tabs>
          <w:tab w:val="left" w:pos="180"/>
        </w:tabs>
        <w:rPr>
          <w:noProof/>
          <w:lang w:val="it-IT"/>
        </w:rPr>
      </w:pPr>
    </w:p>
    <w:p>
      <w:pPr>
        <w:tabs>
          <w:tab w:val="left" w:pos="180"/>
        </w:tabs>
        <w:rPr>
          <w:rStyle w:val="Emphasis"/>
          <w:i w:val="0"/>
          <w:noProof/>
          <w:lang w:val="it-IT"/>
        </w:rPr>
      </w:pPr>
      <w:r>
        <w:rPr>
          <w:rStyle w:val="Emphasis"/>
          <w:i w:val="0"/>
          <w:noProof/>
          <w:lang w:val="it-IT"/>
        </w:rPr>
        <w:t>Nella fase successiva alla commercializzazione sono emerse segnalazioni molto rare di pancitopenia.</w:t>
      </w:r>
    </w:p>
    <w:p>
      <w:pPr>
        <w:tabs>
          <w:tab w:val="left" w:pos="180"/>
        </w:tabs>
        <w:rPr>
          <w:i/>
          <w:noProof/>
          <w:lang w:val="it-IT"/>
        </w:rPr>
      </w:pPr>
    </w:p>
    <w:p>
      <w:pPr>
        <w:tabs>
          <w:tab w:val="left" w:pos="180"/>
        </w:tabs>
        <w:rPr>
          <w:i/>
          <w:noProof/>
          <w:u w:val="single"/>
          <w:lang w:val="it-IT"/>
        </w:rPr>
      </w:pPr>
      <w:r>
        <w:rPr>
          <w:i/>
          <w:noProof/>
          <w:u w:val="single"/>
          <w:lang w:val="it-IT"/>
        </w:rPr>
        <w:t>Aumenti delle transaminasi epatiche</w:t>
      </w:r>
    </w:p>
    <w:p>
      <w:pPr>
        <w:tabs>
          <w:tab w:val="left" w:pos="180"/>
        </w:tabs>
        <w:rPr>
          <w:noProof/>
          <w:lang w:val="it-IT"/>
        </w:rPr>
      </w:pPr>
      <w:r>
        <w:rPr>
          <w:noProof/>
          <w:lang w:val="it-IT"/>
        </w:rPr>
        <w:t xml:space="preserve">Negli studi </w:t>
      </w:r>
      <w:ins w:id="3990" w:author="Author">
        <w:del w:id="3991" w:author="Author">
          <w:r>
            <w:rPr>
              <w:noProof/>
              <w:lang w:val="it-IT"/>
            </w:rPr>
            <w:delText xml:space="preserve">clinici </w:delText>
          </w:r>
        </w:del>
      </w:ins>
      <w:r>
        <w:rPr>
          <w:noProof/>
          <w:lang w:val="it-IT"/>
        </w:rPr>
        <w:t>controllati a sei mesi, aumenti transitori di ALT/AST &gt;</w:t>
      </w:r>
      <w:ins w:id="3992" w:author="Author">
        <w:r>
          <w:rPr>
            <w:noProof/>
            <w:lang w:val="it-IT"/>
          </w:rPr>
          <w:t xml:space="preserve"> </w:t>
        </w:r>
      </w:ins>
      <w:r>
        <w:rPr>
          <w:noProof/>
          <w:lang w:val="it-IT"/>
        </w:rPr>
        <w:t>3 volte ULN sono stati osservati nel 2,1% dei pazienti trattati con tocilizumab alla dose di 8 mg/kg rispetto al 4,9% dei pazienti trattati con MTX e nel 6,5% dei pazienti trattati con 8 mg/kg di tocilizumab più DMARD rispetto all’1,5% dei pazienti trattati con l’associazione placebo più DMARD.</w:t>
      </w:r>
    </w:p>
    <w:p>
      <w:pPr>
        <w:tabs>
          <w:tab w:val="left" w:pos="180"/>
        </w:tabs>
        <w:rPr>
          <w:noProof/>
          <w:lang w:val="it-IT"/>
        </w:rPr>
      </w:pPr>
    </w:p>
    <w:p>
      <w:pPr>
        <w:tabs>
          <w:tab w:val="left" w:pos="180"/>
        </w:tabs>
        <w:rPr>
          <w:noProof/>
          <w:lang w:val="it-IT"/>
        </w:rPr>
      </w:pPr>
      <w:r>
        <w:rPr>
          <w:noProof/>
          <w:lang w:val="it-IT"/>
        </w:rPr>
        <w:t xml:space="preserve">L’aggiunta di medicinali potenzialmente epatotossici (ad esempio MTX) a tocilizumab in monoterapia ha determinato una maggiore frequenza di tali aumenti. Aumenti di ALT/AST </w:t>
      </w:r>
      <w:r>
        <w:rPr>
          <w:noProof/>
          <w:lang w:val="it-IT"/>
        </w:rPr>
        <w:sym w:font="Symbol" w:char="F03E"/>
      </w:r>
      <w:ins w:id="3993" w:author="Author">
        <w:r>
          <w:rPr>
            <w:noProof/>
            <w:lang w:val="it-IT"/>
          </w:rPr>
          <w:t xml:space="preserve"> </w:t>
        </w:r>
      </w:ins>
      <w:r>
        <w:rPr>
          <w:noProof/>
          <w:lang w:val="it-IT"/>
        </w:rPr>
        <w:t xml:space="preserve">5 volte ULN sono stati osservati nello 0,7% dei pazienti trattati con tocilizumab in monoterapia e nell’1,4% dei pazienti trattati con tocilizumab più DMARD, la maggior parte dei quali ha dovuto sospendere definitivamente il trattamento con tocilizumab. Durante il periodo di doppio cieco controllato, l'incidenza di bilirubina indiretta più alta rispetto al limite superiore del valore normale, rilevata come parametro di laboratorio abituale, è del 6,2% nei pazienti trattati con 8 mg/kg di tocilizumab + DMARD. Un totale di 5,8% dei pazienti ha sperimentato un aumento della bilirubina indiretta da </w:t>
      </w:r>
      <w:r>
        <w:rPr>
          <w:noProof/>
          <w:lang w:val="it-IT"/>
        </w:rPr>
        <w:sym w:font="Symbol" w:char="F03E"/>
      </w:r>
      <w:ins w:id="3994" w:author="Author">
        <w:r>
          <w:rPr>
            <w:noProof/>
            <w:lang w:val="it-IT"/>
          </w:rPr>
          <w:t xml:space="preserve"> </w:t>
        </w:r>
      </w:ins>
      <w:r>
        <w:rPr>
          <w:noProof/>
          <w:lang w:val="it-IT"/>
        </w:rPr>
        <w:t>1 a 2 x ULN e lo 0,4% ha avuto un rialzo di </w:t>
      </w:r>
      <w:r>
        <w:rPr>
          <w:noProof/>
          <w:lang w:val="it-IT"/>
        </w:rPr>
        <w:sym w:font="Symbol" w:char="F03E"/>
      </w:r>
      <w:ins w:id="3995" w:author="Author">
        <w:r>
          <w:rPr>
            <w:noProof/>
            <w:lang w:val="it-IT"/>
          </w:rPr>
          <w:t xml:space="preserve"> </w:t>
        </w:r>
      </w:ins>
      <w:r>
        <w:rPr>
          <w:noProof/>
          <w:lang w:val="it-IT"/>
        </w:rPr>
        <w:t>2 x ULN.</w:t>
      </w:r>
    </w:p>
    <w:p>
      <w:pPr>
        <w:tabs>
          <w:tab w:val="left" w:pos="180"/>
        </w:tabs>
        <w:rPr>
          <w:ins w:id="3996" w:author="Author"/>
          <w:noProof/>
          <w:lang w:val="it-IT"/>
        </w:rPr>
      </w:pPr>
    </w:p>
    <w:p>
      <w:pPr>
        <w:tabs>
          <w:tab w:val="left" w:pos="180"/>
        </w:tabs>
        <w:rPr>
          <w:noProof/>
          <w:lang w:val="it-IT"/>
        </w:rPr>
      </w:pPr>
      <w:r>
        <w:rPr>
          <w:noProof/>
          <w:lang w:val="it-IT"/>
        </w:rPr>
        <w:t>Durante il periodo di doppio cieco controllato e nella fase di esposizione a lungo termine, il grado e l’incidenza degli aumenti delle ALT/AST sono rimasti invariati rispetto a quanto è stato osservato negli studi controllati a sei mesi.</w:t>
      </w:r>
    </w:p>
    <w:p>
      <w:pPr>
        <w:tabs>
          <w:tab w:val="left" w:pos="180"/>
        </w:tabs>
        <w:rPr>
          <w:noProof/>
          <w:lang w:val="it-IT"/>
        </w:rPr>
      </w:pPr>
    </w:p>
    <w:p>
      <w:pPr>
        <w:tabs>
          <w:tab w:val="left" w:pos="180"/>
        </w:tabs>
        <w:ind w:left="567" w:hanging="567"/>
        <w:outlineLvl w:val="0"/>
        <w:rPr>
          <w:i/>
          <w:noProof/>
          <w:u w:val="single"/>
          <w:lang w:val="it-IT"/>
        </w:rPr>
      </w:pPr>
      <w:r>
        <w:rPr>
          <w:i/>
          <w:noProof/>
          <w:u w:val="single"/>
          <w:lang w:val="it-IT"/>
        </w:rPr>
        <w:t>Parametri lipidici</w:t>
      </w:r>
    </w:p>
    <w:p>
      <w:pPr>
        <w:tabs>
          <w:tab w:val="left" w:pos="180"/>
        </w:tabs>
        <w:rPr>
          <w:rFonts w:eastAsia="PMingLiU"/>
          <w:noProof/>
          <w:szCs w:val="22"/>
          <w:lang w:val="it-IT"/>
        </w:rPr>
      </w:pPr>
      <w:r>
        <w:rPr>
          <w:noProof/>
          <w:lang w:val="it-IT"/>
        </w:rPr>
        <w:t xml:space="preserve">Negli studi clinici controllati a sei mesi, sono stati riportati comunemente incrementi dei parametri lipidici quali colesterolo totale, trigliceridi, colesterolo LDL e/o colesterolo HDL. Mediante analisi di laboratorio abituali, è stato osservato che </w:t>
      </w:r>
      <w:r>
        <w:rPr>
          <w:noProof/>
          <w:szCs w:val="22"/>
          <w:lang w:val="it-IT"/>
        </w:rPr>
        <w:t xml:space="preserve">approssimativamente il 24% dei pazienti che hanno ricevuto </w:t>
      </w:r>
      <w:r>
        <w:rPr>
          <w:noProof/>
          <w:lang w:val="it-IT"/>
        </w:rPr>
        <w:t xml:space="preserve">tocilizumab </w:t>
      </w:r>
      <w:r>
        <w:rPr>
          <w:noProof/>
          <w:szCs w:val="22"/>
          <w:lang w:val="it-IT"/>
        </w:rPr>
        <w:t xml:space="preserve">negli studi clinici hanno sperimentato incrementi sostenuti nel colesterolo totale </w:t>
      </w:r>
      <w:r>
        <w:rPr>
          <w:noProof/>
          <w:szCs w:val="22"/>
          <w:lang w:val="it-IT"/>
        </w:rPr>
        <w:lastRenderedPageBreak/>
        <w:t>≥6,2 mmol/L, con un 15% che ha sperimentato incrementi sostenuti dell’LDL fino a ≥4,1 mmol/L. Gli incrementi dei parametri lipidici hanno risposto al trattamento con agenti ipolipemizzanti.</w:t>
      </w:r>
    </w:p>
    <w:p>
      <w:pPr>
        <w:tabs>
          <w:tab w:val="left" w:pos="180"/>
        </w:tabs>
        <w:rPr>
          <w:rFonts w:eastAsia="PMingLiU"/>
          <w:noProof/>
          <w:szCs w:val="22"/>
          <w:lang w:val="it-IT" w:eastAsia="zh-CN"/>
        </w:rPr>
      </w:pPr>
    </w:p>
    <w:p>
      <w:pPr>
        <w:tabs>
          <w:tab w:val="left" w:pos="180"/>
        </w:tabs>
        <w:rPr>
          <w:rFonts w:eastAsia="PMingLiU"/>
          <w:noProof/>
          <w:szCs w:val="22"/>
          <w:lang w:val="it-IT"/>
        </w:rPr>
      </w:pPr>
      <w:r>
        <w:rPr>
          <w:noProof/>
          <w:lang w:val="it-IT"/>
        </w:rPr>
        <w:t>Durante il periodo di doppio cieco controllato e nella fase di esposizione a lungo termine,</w:t>
      </w:r>
      <w:r>
        <w:rPr>
          <w:noProof/>
          <w:szCs w:val="22"/>
          <w:lang w:val="it-IT"/>
        </w:rPr>
        <w:t xml:space="preserve"> il grado e l’incidenza degli incrementi dei parametri lipidici sono rimasti invariati rispetto a quanto è stato osservato negli studi controllati a sei mesi.</w:t>
      </w:r>
    </w:p>
    <w:p>
      <w:pPr>
        <w:tabs>
          <w:tab w:val="left" w:pos="180"/>
        </w:tabs>
        <w:rPr>
          <w:rFonts w:eastAsia="PMingLiU"/>
          <w:noProof/>
          <w:szCs w:val="22"/>
          <w:lang w:val="it-IT" w:eastAsia="zh-CN"/>
        </w:rPr>
      </w:pPr>
    </w:p>
    <w:p>
      <w:pPr>
        <w:tabs>
          <w:tab w:val="left" w:pos="180"/>
        </w:tabs>
        <w:autoSpaceDE w:val="0"/>
        <w:autoSpaceDN w:val="0"/>
        <w:adjustRightInd w:val="0"/>
        <w:rPr>
          <w:rFonts w:eastAsia="SimSun"/>
          <w:iCs/>
          <w:noProof/>
          <w:szCs w:val="22"/>
          <w:lang w:val="it-IT"/>
        </w:rPr>
      </w:pPr>
      <w:r>
        <w:rPr>
          <w:rFonts w:eastAsia="SimSun"/>
          <w:i/>
          <w:iCs/>
          <w:noProof/>
          <w:szCs w:val="22"/>
          <w:u w:val="single"/>
          <w:lang w:val="it-IT"/>
        </w:rPr>
        <w:t>Reazioni cutanee</w:t>
      </w:r>
      <w:r>
        <w:rPr>
          <w:rFonts w:eastAsia="SimSun"/>
          <w:i/>
          <w:iCs/>
          <w:noProof/>
          <w:szCs w:val="22"/>
          <w:lang w:val="it-IT" w:eastAsia="it-IT" w:bidi="it-IT"/>
        </w:rPr>
        <w:t xml:space="preserve"> </w:t>
      </w:r>
      <w:r>
        <w:rPr>
          <w:rFonts w:eastAsia="SimSun"/>
          <w:i/>
          <w:iCs/>
          <w:noProof/>
          <w:szCs w:val="22"/>
          <w:lang w:val="it-IT" w:eastAsia="it-IT" w:bidi="it-IT"/>
        </w:rPr>
        <w:br/>
      </w:r>
      <w:r>
        <w:rPr>
          <w:rFonts w:eastAsia="SimSun"/>
          <w:iCs/>
          <w:noProof/>
          <w:szCs w:val="22"/>
          <w:lang w:val="it-IT"/>
        </w:rPr>
        <w:t>Nell’utilizzo post-marketing sono state riportate segnalazioni rare di Sindrome di Stevens-Johnson.</w:t>
      </w:r>
    </w:p>
    <w:p>
      <w:pPr>
        <w:tabs>
          <w:tab w:val="left" w:pos="180"/>
        </w:tabs>
        <w:autoSpaceDE w:val="0"/>
        <w:autoSpaceDN w:val="0"/>
        <w:adjustRightInd w:val="0"/>
        <w:rPr>
          <w:rFonts w:eastAsia="SimSun"/>
          <w:i/>
          <w:noProof/>
          <w:szCs w:val="22"/>
          <w:lang w:val="it-IT" w:eastAsia="zh-CN"/>
        </w:rPr>
      </w:pPr>
    </w:p>
    <w:p>
      <w:pPr>
        <w:tabs>
          <w:tab w:val="left" w:pos="180"/>
        </w:tabs>
        <w:autoSpaceDE w:val="0"/>
        <w:autoSpaceDN w:val="0"/>
        <w:adjustRightInd w:val="0"/>
        <w:rPr>
          <w:noProof/>
          <w:szCs w:val="22"/>
          <w:u w:val="single"/>
          <w:lang w:val="it-IT"/>
        </w:rPr>
      </w:pPr>
      <w:r>
        <w:rPr>
          <w:noProof/>
          <w:szCs w:val="22"/>
          <w:u w:val="single"/>
          <w:lang w:val="it-IT"/>
        </w:rPr>
        <w:t>Segnalazione delle reazioni avverse sospette</w:t>
      </w:r>
    </w:p>
    <w:p>
      <w:pPr>
        <w:tabs>
          <w:tab w:val="left" w:pos="180"/>
        </w:tabs>
        <w:autoSpaceDE w:val="0"/>
        <w:autoSpaceDN w:val="0"/>
        <w:adjustRightInd w:val="0"/>
        <w:rPr>
          <w:del w:id="3997" w:author="Author"/>
          <w:rFonts w:eastAsia="SimSun"/>
          <w:noProof/>
          <w:szCs w:val="22"/>
          <w:u w:val="single"/>
          <w:lang w:val="it-IT"/>
        </w:rPr>
      </w:pPr>
    </w:p>
    <w:p>
      <w:pPr>
        <w:tabs>
          <w:tab w:val="left" w:pos="180"/>
        </w:tabs>
        <w:autoSpaceDE w:val="0"/>
        <w:autoSpaceDN w:val="0"/>
        <w:adjustRightInd w:val="0"/>
        <w:rPr>
          <w:rFonts w:eastAsia="SimSun"/>
          <w:noProof/>
          <w:szCs w:val="22"/>
          <w:lang w:val="it-IT"/>
        </w:rPr>
      </w:pPr>
      <w:r>
        <w:rPr>
          <w:noProof/>
          <w:szCs w:val="22"/>
          <w:lang w:val="it-IT"/>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Pr>
          <w:noProof/>
          <w:szCs w:val="22"/>
          <w:highlight w:val="lightGray"/>
          <w:lang w:val="it-IT"/>
        </w:rPr>
        <w:t>il sistema nazionale di segnalazione riportato nell’</w:t>
      </w:r>
      <w:r>
        <w:rPr>
          <w:noProof/>
          <w:highlight w:val="lightGray"/>
          <w:lang w:val="it-IT"/>
          <w:rPrChange w:id="3998" w:author="Author">
            <w:rPr/>
          </w:rPrChange>
        </w:rPr>
        <w:fldChar w:fldCharType="begin"/>
      </w:r>
      <w:ins w:id="3999" w:author="Author">
        <w:r>
          <w:rPr>
            <w:noProof/>
            <w:highlight w:val="lightGray"/>
            <w:lang w:val="it-IT"/>
            <w:rPrChange w:id="4000" w:author="Author">
              <w:rPr/>
            </w:rPrChange>
          </w:rPr>
          <w:instrText>HYPERLINK "https://www.ema.europa.eu/documents/template-form/qrd-appendix-v-adverse-drug-reaction-reporting-details_en.docx"</w:instrText>
        </w:r>
      </w:ins>
      <w:del w:id="4001" w:author="Author">
        <w:r>
          <w:rPr>
            <w:noProof/>
            <w:highlight w:val="lightGray"/>
            <w:lang w:val="it-IT"/>
            <w:rPrChange w:id="4002" w:author="Author">
              <w:rPr/>
            </w:rPrChange>
          </w:rPr>
          <w:delInstrText>HYPERLINK "https://www.ema.europa.eu/documents/template-form/qrd-appendix-v-adverse-drug-reaction-reporting-details_en.docx"</w:delInstrText>
        </w:r>
      </w:del>
      <w:r>
        <w:rPr>
          <w:noProof/>
          <w:highlight w:val="lightGray"/>
          <w:lang w:val="it-IT"/>
          <w:rPrChange w:id="4003" w:author="Author">
            <w:rPr/>
          </w:rPrChange>
        </w:rPr>
        <w:fldChar w:fldCharType="separate"/>
      </w:r>
      <w:del w:id="4004" w:author="Author">
        <w:r>
          <w:rPr>
            <w:rStyle w:val="Hyperlink"/>
            <w:noProof/>
            <w:szCs w:val="22"/>
            <w:highlight w:val="lightGray"/>
            <w:lang w:val="it-IT"/>
          </w:rPr>
          <w:delText>Allegato V</w:delText>
        </w:r>
        <w:r>
          <w:rPr>
            <w:rStyle w:val="Hyperlink"/>
            <w:noProof/>
            <w:szCs w:val="22"/>
            <w:highlight w:val="lightGray"/>
            <w:lang w:val="it-IT"/>
            <w:rPrChange w:id="4005" w:author="Author">
              <w:rPr>
                <w:rStyle w:val="Hyperlink"/>
                <w:szCs w:val="22"/>
                <w:lang w:val="it-IT"/>
              </w:rPr>
            </w:rPrChange>
          </w:rPr>
          <w:delText>.</w:delText>
        </w:r>
      </w:del>
      <w:ins w:id="4006" w:author="Author">
        <w:r>
          <w:rPr>
            <w:rStyle w:val="Hyperlink"/>
            <w:noProof/>
            <w:szCs w:val="22"/>
            <w:highlight w:val="lightGray"/>
            <w:lang w:val="it-IT"/>
            <w:rPrChange w:id="4007" w:author="Author">
              <w:rPr>
                <w:rStyle w:val="Hyperlink"/>
                <w:szCs w:val="22"/>
                <w:lang w:val="it-IT"/>
              </w:rPr>
            </w:rPrChange>
          </w:rPr>
          <w:t>Allegato V</w:t>
        </w:r>
      </w:ins>
      <w:r>
        <w:rPr>
          <w:noProof/>
          <w:highlight w:val="lightGray"/>
          <w:lang w:val="it-IT"/>
          <w:rPrChange w:id="4008" w:author="Author">
            <w:rPr/>
          </w:rPrChange>
        </w:rPr>
        <w:fldChar w:fldCharType="end"/>
      </w:r>
      <w:ins w:id="4009" w:author="Author">
        <w:r>
          <w:rPr>
            <w:noProof/>
            <w:lang w:val="it-IT"/>
          </w:rPr>
          <w:t>.</w:t>
        </w:r>
      </w:ins>
    </w:p>
    <w:p>
      <w:pPr>
        <w:tabs>
          <w:tab w:val="left" w:pos="180"/>
        </w:tabs>
        <w:autoSpaceDE w:val="0"/>
        <w:autoSpaceDN w:val="0"/>
        <w:adjustRightInd w:val="0"/>
        <w:rPr>
          <w:rFonts w:eastAsia="SimSun"/>
          <w:noProof/>
          <w:szCs w:val="22"/>
          <w:lang w:val="it-IT" w:eastAsia="zh-CN"/>
        </w:rPr>
      </w:pPr>
    </w:p>
    <w:p>
      <w:pPr>
        <w:keepNext/>
        <w:tabs>
          <w:tab w:val="left" w:pos="180"/>
        </w:tabs>
        <w:ind w:left="567" w:hanging="567"/>
        <w:outlineLvl w:val="0"/>
        <w:rPr>
          <w:noProof/>
          <w:lang w:val="it-IT"/>
        </w:rPr>
      </w:pPr>
      <w:r>
        <w:rPr>
          <w:b/>
          <w:noProof/>
          <w:lang w:val="it-IT"/>
        </w:rPr>
        <w:t>4.9</w:t>
      </w:r>
      <w:r>
        <w:rPr>
          <w:noProof/>
          <w:lang w:val="it-IT"/>
        </w:rPr>
        <w:tab/>
      </w:r>
      <w:r>
        <w:rPr>
          <w:b/>
          <w:noProof/>
          <w:lang w:val="it-IT"/>
        </w:rPr>
        <w:t>Sovradosaggio</w:t>
      </w:r>
    </w:p>
    <w:p>
      <w:pPr>
        <w:keepNext/>
        <w:tabs>
          <w:tab w:val="left" w:pos="180"/>
        </w:tabs>
        <w:rPr>
          <w:noProof/>
          <w:lang w:val="it-IT"/>
        </w:rPr>
        <w:pPrChange w:id="4010" w:author="Author">
          <w:pPr>
            <w:tabs>
              <w:tab w:val="left" w:pos="180"/>
            </w:tabs>
          </w:pPr>
        </w:pPrChange>
      </w:pPr>
    </w:p>
    <w:p>
      <w:pPr>
        <w:tabs>
          <w:tab w:val="left" w:pos="180"/>
        </w:tabs>
        <w:rPr>
          <w:noProof/>
          <w:lang w:val="it-IT"/>
        </w:rPr>
      </w:pPr>
      <w:r>
        <w:rPr>
          <w:noProof/>
          <w:lang w:val="it-IT"/>
        </w:rPr>
        <w:t xml:space="preserve">I dati disponibili sul sovradosaggio di tocilizumab sono limitati. È stato riportato un caso di sovradosaggio accidentale, nel quale un paziente affetto da mieloma multiplo ha ricevuto una singola dose da 40 mg/kg per via endovenosa. Non sono state osservate reazioni avverse. </w:t>
      </w:r>
    </w:p>
    <w:p>
      <w:pPr>
        <w:tabs>
          <w:tab w:val="left" w:pos="180"/>
        </w:tabs>
        <w:rPr>
          <w:noProof/>
          <w:lang w:val="it-IT"/>
        </w:rPr>
      </w:pPr>
    </w:p>
    <w:p>
      <w:pPr>
        <w:tabs>
          <w:tab w:val="left" w:pos="180"/>
        </w:tabs>
        <w:rPr>
          <w:noProof/>
          <w:lang w:val="it-IT"/>
        </w:rPr>
      </w:pPr>
      <w:r>
        <w:rPr>
          <w:noProof/>
          <w:lang w:val="it-IT"/>
        </w:rPr>
        <w:t>Nei volontari sani che hanno ricevuto una dose singola fino a 28 mg/kg non sono state osservate gravi reazioni avverse, benché si sia osservata una neutropenia dose-limitante.</w:t>
      </w:r>
    </w:p>
    <w:p>
      <w:pPr>
        <w:tabs>
          <w:tab w:val="left" w:pos="180"/>
        </w:tabs>
        <w:rPr>
          <w:noProof/>
          <w:lang w:val="it-IT"/>
        </w:rPr>
      </w:pPr>
    </w:p>
    <w:p>
      <w:pPr>
        <w:tabs>
          <w:tab w:val="left" w:pos="180"/>
        </w:tabs>
        <w:rPr>
          <w:noProof/>
          <w:lang w:val="it-IT"/>
        </w:rPr>
      </w:pPr>
    </w:p>
    <w:p>
      <w:pPr>
        <w:keepNext/>
        <w:keepLines/>
        <w:tabs>
          <w:tab w:val="left" w:pos="180"/>
        </w:tabs>
        <w:ind w:left="567" w:hanging="567"/>
        <w:rPr>
          <w:noProof/>
          <w:lang w:val="it-IT"/>
        </w:rPr>
      </w:pPr>
      <w:r>
        <w:rPr>
          <w:b/>
          <w:noProof/>
          <w:lang w:val="it-IT"/>
        </w:rPr>
        <w:t>5.</w:t>
      </w:r>
      <w:r>
        <w:rPr>
          <w:b/>
          <w:noProof/>
          <w:lang w:val="it-IT"/>
        </w:rPr>
        <w:tab/>
      </w:r>
      <w:r>
        <w:rPr>
          <w:noProof/>
          <w:lang w:val="it-IT"/>
        </w:rPr>
        <w:tab/>
      </w:r>
      <w:r>
        <w:rPr>
          <w:b/>
          <w:noProof/>
          <w:lang w:val="it-IT"/>
        </w:rPr>
        <w:t>PROPRIETÀ FARMACOLOGICHE</w:t>
      </w:r>
    </w:p>
    <w:p>
      <w:pPr>
        <w:keepNext/>
        <w:keepLines/>
        <w:tabs>
          <w:tab w:val="left" w:pos="180"/>
        </w:tabs>
        <w:rPr>
          <w:noProof/>
          <w:lang w:val="it-IT"/>
        </w:rPr>
      </w:pPr>
    </w:p>
    <w:p>
      <w:pPr>
        <w:keepNext/>
        <w:keepLines/>
        <w:tabs>
          <w:tab w:val="left" w:pos="180"/>
        </w:tabs>
        <w:ind w:left="567" w:hanging="567"/>
        <w:outlineLvl w:val="0"/>
        <w:rPr>
          <w:noProof/>
          <w:lang w:val="it-IT"/>
        </w:rPr>
      </w:pPr>
      <w:r>
        <w:rPr>
          <w:b/>
          <w:noProof/>
          <w:lang w:val="it-IT"/>
        </w:rPr>
        <w:t>5.1</w:t>
      </w:r>
      <w:r>
        <w:rPr>
          <w:noProof/>
          <w:lang w:val="it-IT"/>
        </w:rPr>
        <w:tab/>
      </w:r>
      <w:r>
        <w:rPr>
          <w:b/>
          <w:noProof/>
          <w:lang w:val="it-IT"/>
        </w:rPr>
        <w:t>Proprietà farmacodinamiche</w:t>
      </w:r>
    </w:p>
    <w:p>
      <w:pPr>
        <w:keepNext/>
        <w:keepLines/>
        <w:tabs>
          <w:tab w:val="left" w:pos="180"/>
        </w:tabs>
        <w:rPr>
          <w:noProof/>
          <w:lang w:val="it-IT"/>
        </w:rPr>
      </w:pPr>
    </w:p>
    <w:p>
      <w:pPr>
        <w:keepNext/>
        <w:keepLines/>
        <w:numPr>
          <w:ilvl w:val="12"/>
          <w:numId w:val="0"/>
        </w:numPr>
        <w:tabs>
          <w:tab w:val="left" w:pos="180"/>
        </w:tabs>
        <w:ind w:right="-2"/>
        <w:rPr>
          <w:noProof/>
          <w:lang w:val="it-IT"/>
        </w:rPr>
      </w:pPr>
      <w:r>
        <w:rPr>
          <w:noProof/>
          <w:lang w:val="it-IT"/>
        </w:rPr>
        <w:t>Categoria farmacoterapeutica: immunosoppressori, inibitori di interleuchine; codice ATC: L04AC07.</w:t>
      </w:r>
    </w:p>
    <w:p>
      <w:pPr>
        <w:numPr>
          <w:ilvl w:val="12"/>
          <w:numId w:val="0"/>
        </w:numPr>
        <w:tabs>
          <w:tab w:val="left" w:pos="180"/>
        </w:tabs>
        <w:ind w:right="-2"/>
        <w:rPr>
          <w:noProof/>
          <w:lang w:val="it-IT"/>
        </w:rPr>
      </w:pPr>
    </w:p>
    <w:p>
      <w:pPr>
        <w:numPr>
          <w:ilvl w:val="12"/>
          <w:numId w:val="0"/>
        </w:numPr>
        <w:tabs>
          <w:tab w:val="left" w:pos="180"/>
        </w:tabs>
        <w:ind w:right="-2"/>
        <w:rPr>
          <w:del w:id="4011" w:author="Author"/>
          <w:noProof/>
          <w:u w:val="single"/>
          <w:lang w:val="it-IT"/>
        </w:rPr>
      </w:pPr>
      <w:r>
        <w:rPr>
          <w:noProof/>
          <w:u w:val="single"/>
          <w:lang w:val="it-IT"/>
        </w:rPr>
        <w:t>Meccanismo d’azione</w:t>
      </w:r>
    </w:p>
    <w:p>
      <w:pPr>
        <w:numPr>
          <w:ilvl w:val="12"/>
          <w:numId w:val="0"/>
        </w:numPr>
        <w:tabs>
          <w:tab w:val="left" w:pos="180"/>
        </w:tabs>
        <w:ind w:right="-2"/>
        <w:rPr>
          <w:noProof/>
          <w:u w:val="single"/>
          <w:lang w:val="it-IT"/>
        </w:rPr>
      </w:pPr>
    </w:p>
    <w:p>
      <w:pPr>
        <w:numPr>
          <w:ilvl w:val="12"/>
          <w:numId w:val="0"/>
        </w:numPr>
        <w:tabs>
          <w:tab w:val="left" w:pos="180"/>
        </w:tabs>
        <w:ind w:right="-2"/>
        <w:rPr>
          <w:noProof/>
          <w:lang w:val="it-IT"/>
        </w:rPr>
      </w:pPr>
      <w:r>
        <w:rPr>
          <w:noProof/>
          <w:szCs w:val="22"/>
          <w:lang w:val="it-IT"/>
        </w:rPr>
        <w:t xml:space="preserve">Tocilizumab </w:t>
      </w:r>
      <w:r>
        <w:rPr>
          <w:noProof/>
          <w:lang w:val="it-IT"/>
        </w:rPr>
        <w:t xml:space="preserve">si lega in modo specifico ai recettori di IL-6 sia solubili che di membrana (sIL-6R e mIL-6R). Tocilizumab </w:t>
      </w:r>
      <w:r>
        <w:rPr>
          <w:iCs/>
          <w:noProof/>
          <w:lang w:val="it-IT"/>
        </w:rPr>
        <w:t>ha dimostrato di inibire i segnali mediati da sIL</w:t>
      </w:r>
      <w:r>
        <w:rPr>
          <w:noProof/>
          <w:lang w:val="it-IT"/>
        </w:rPr>
        <w:noBreakHyphen/>
      </w:r>
      <w:r>
        <w:rPr>
          <w:iCs/>
          <w:noProof/>
          <w:lang w:val="it-IT"/>
        </w:rPr>
        <w:t xml:space="preserve">6R e </w:t>
      </w:r>
      <w:r>
        <w:rPr>
          <w:noProof/>
          <w:lang w:val="it-IT"/>
        </w:rPr>
        <w:t>mIL</w:t>
      </w:r>
      <w:r>
        <w:rPr>
          <w:noProof/>
          <w:lang w:val="it-IT"/>
        </w:rPr>
        <w:noBreakHyphen/>
      </w:r>
      <w:r>
        <w:rPr>
          <w:iCs/>
          <w:noProof/>
          <w:lang w:val="it-IT"/>
        </w:rPr>
        <w:t>6R</w:t>
      </w:r>
      <w:r>
        <w:rPr>
          <w:noProof/>
          <w:lang w:val="it-IT"/>
        </w:rPr>
        <w:t xml:space="preserve">. IL-6 è una citochina proinfiammatoria pleiotropica prodotta da diverse tipologie cellulari, tra cui cellule T e B, monociti e fibroblasti. IL-6 è coinvolta in diversi processi fisiologici, quali l’attivazione delle cellule T, l’induzione della secrezione delle immunoglobuline, l’induzione della sintesi epatica delle proteine di fase acuta e la stimolazione dell’emopoiesi. IL-6 è coinvolta nella patogenesi di malattie, tra cui malattie infiammatorie, osteoporosi e neoplasie. </w:t>
      </w:r>
    </w:p>
    <w:p>
      <w:pPr>
        <w:numPr>
          <w:ilvl w:val="12"/>
          <w:numId w:val="0"/>
        </w:numPr>
        <w:tabs>
          <w:tab w:val="left" w:pos="180"/>
        </w:tabs>
        <w:ind w:right="-2"/>
        <w:rPr>
          <w:noProof/>
          <w:lang w:val="it-IT"/>
        </w:rPr>
        <w:pPrChange w:id="4012" w:author="Author">
          <w:pPr>
            <w:keepNext/>
            <w:keepLines/>
            <w:numPr>
              <w:ilvl w:val="12"/>
            </w:numPr>
            <w:tabs>
              <w:tab w:val="left" w:pos="180"/>
            </w:tabs>
            <w:ind w:right="-2"/>
          </w:pPr>
        </w:pPrChange>
      </w:pPr>
    </w:p>
    <w:p>
      <w:pPr>
        <w:keepNext/>
        <w:keepLines/>
        <w:tabs>
          <w:tab w:val="left" w:pos="180"/>
        </w:tabs>
        <w:autoSpaceDE w:val="0"/>
        <w:autoSpaceDN w:val="0"/>
        <w:adjustRightInd w:val="0"/>
        <w:rPr>
          <w:del w:id="4013" w:author="Author"/>
          <w:noProof/>
          <w:szCs w:val="22"/>
          <w:u w:val="single"/>
          <w:lang w:val="it-IT"/>
        </w:rPr>
      </w:pPr>
      <w:r>
        <w:rPr>
          <w:noProof/>
          <w:szCs w:val="22"/>
          <w:u w:val="single"/>
          <w:lang w:val="it-IT"/>
        </w:rPr>
        <w:t>Effetti farmacodinamici</w:t>
      </w:r>
    </w:p>
    <w:p>
      <w:pPr>
        <w:keepNext/>
        <w:keepLines/>
        <w:tabs>
          <w:tab w:val="left" w:pos="180"/>
        </w:tabs>
        <w:autoSpaceDE w:val="0"/>
        <w:autoSpaceDN w:val="0"/>
        <w:adjustRightInd w:val="0"/>
        <w:rPr>
          <w:noProof/>
          <w:szCs w:val="22"/>
          <w:lang w:val="it-IT"/>
        </w:rPr>
      </w:pPr>
    </w:p>
    <w:p>
      <w:pPr>
        <w:keepNext/>
        <w:keepLines/>
        <w:numPr>
          <w:ilvl w:val="12"/>
          <w:numId w:val="0"/>
        </w:numPr>
        <w:tabs>
          <w:tab w:val="left" w:pos="180"/>
          <w:tab w:val="left" w:pos="5529"/>
        </w:tabs>
        <w:ind w:right="-2"/>
        <w:rPr>
          <w:noProof/>
          <w:lang w:val="it-IT"/>
        </w:rPr>
      </w:pPr>
      <w:r>
        <w:rPr>
          <w:bCs/>
          <w:noProof/>
          <w:lang w:val="it-IT"/>
        </w:rPr>
        <w:t>Negli studi clinici su</w:t>
      </w:r>
      <w:ins w:id="4014" w:author="Author">
        <w:r>
          <w:rPr>
            <w:bCs/>
            <w:noProof/>
            <w:lang w:val="it-IT"/>
          </w:rPr>
          <w:t xml:space="preserve"> </w:t>
        </w:r>
        <w:bookmarkStart w:id="4015" w:name="_Hlk224038829"/>
        <w:r>
          <w:rPr>
            <w:bCs/>
            <w:noProof/>
            <w:lang w:val="it-IT"/>
          </w:rPr>
          <w:t>pazienti affetti da AR trattati con</w:t>
        </w:r>
      </w:ins>
      <w:del w:id="4016" w:author="Author">
        <w:r>
          <w:rPr>
            <w:bCs/>
            <w:noProof/>
            <w:lang w:val="it-IT"/>
          </w:rPr>
          <w:delText xml:space="preserve">ll’uso </w:delText>
        </w:r>
        <w:bookmarkEnd w:id="4015"/>
        <w:r>
          <w:rPr>
            <w:bCs/>
            <w:noProof/>
            <w:lang w:val="it-IT"/>
          </w:rPr>
          <w:delText>di</w:delText>
        </w:r>
      </w:del>
      <w:r>
        <w:rPr>
          <w:bCs/>
          <w:noProof/>
          <w:lang w:val="it-IT"/>
        </w:rPr>
        <w:t xml:space="preserve"> </w:t>
      </w:r>
      <w:r>
        <w:rPr>
          <w:noProof/>
          <w:lang w:val="it-IT"/>
        </w:rPr>
        <w:t xml:space="preserve">tocilizumab </w:t>
      </w:r>
      <w:r>
        <w:rPr>
          <w:bCs/>
          <w:noProof/>
          <w:lang w:val="it-IT"/>
        </w:rPr>
        <w:t xml:space="preserve">sono state osservate rapide riduzioni dei livelli di proteina C reattiva (PCR), della velocità di sedimentazione degli eritrociti (VES), </w:t>
      </w:r>
      <w:r>
        <w:rPr>
          <w:noProof/>
          <w:lang w:val="it-IT"/>
        </w:rPr>
        <w:t xml:space="preserve">della amiloide A </w:t>
      </w:r>
      <w:r>
        <w:rPr>
          <w:bCs/>
          <w:noProof/>
          <w:lang w:val="it-IT"/>
        </w:rPr>
        <w:t xml:space="preserve">sierica (SAA) e del fibrinogeno. In linea con l’effetto sui reagenti di fase acuta, il trattamento con </w:t>
      </w:r>
      <w:r>
        <w:rPr>
          <w:noProof/>
          <w:lang w:val="it-IT"/>
        </w:rPr>
        <w:t xml:space="preserve">tocilizumab </w:t>
      </w:r>
      <w:r>
        <w:rPr>
          <w:bCs/>
          <w:noProof/>
          <w:lang w:val="it-IT"/>
        </w:rPr>
        <w:t xml:space="preserve">si è associato a una riduzione della conta piastrinica all’interno dell’intervallo di normalità. </w:t>
      </w:r>
      <w:r>
        <w:rPr>
          <w:noProof/>
          <w:lang w:val="it-IT"/>
        </w:rPr>
        <w:t>Sono stati osservati incrementi dei livelli di emoglobina, dovuti alla riduzione determinata da tocilizumab degli effetti mediati da IL-6 sulla produzione di epcidina con aumento della disponibilità di ferro. Nei pazienti trattati, già alla settimana 2 sono state rilevate riduzioni dei livelli della PCR all’interno dell’intervallo di normalità, che si sono poi mantenute durante il trattamento.</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rFonts w:eastAsia="SimSun"/>
          <w:noProof/>
          <w:lang w:val="it-IT" w:eastAsia="de-DE"/>
        </w:rPr>
        <w:t xml:space="preserve">Nello studio clinico </w:t>
      </w:r>
      <w:ins w:id="4017" w:author="Author">
        <w:r>
          <w:rPr>
            <w:rFonts w:eastAsia="SimSun"/>
            <w:noProof/>
            <w:lang w:val="it-IT" w:eastAsia="de-DE"/>
          </w:rPr>
          <w:t xml:space="preserve">WA28119 </w:t>
        </w:r>
      </w:ins>
      <w:r>
        <w:rPr>
          <w:rFonts w:eastAsia="SimSun"/>
          <w:noProof/>
          <w:lang w:val="it-IT" w:eastAsia="de-DE"/>
        </w:rPr>
        <w:t>sulla ACG</w:t>
      </w:r>
      <w:del w:id="4018" w:author="Author">
        <w:r>
          <w:rPr>
            <w:rFonts w:eastAsia="SimSun"/>
            <w:noProof/>
            <w:lang w:val="it-IT" w:eastAsia="de-DE"/>
          </w:rPr>
          <w:delText xml:space="preserve"> WA28119</w:delText>
        </w:r>
      </w:del>
      <w:r>
        <w:rPr>
          <w:rFonts w:eastAsia="SimSun"/>
          <w:noProof/>
          <w:lang w:val="it-IT" w:eastAsia="de-DE"/>
        </w:rPr>
        <w:t xml:space="preserve">, sono state osservate analoghe riduzioni rapide dei livelli di </w:t>
      </w:r>
      <w:r>
        <w:rPr>
          <w:noProof/>
          <w:lang w:val="it-IT" w:eastAsia="de-DE"/>
        </w:rPr>
        <w:t>PCR e VES, unitamente a lievi incrementi della concentrazione emoglobinica corpuscolare media.</w:t>
      </w:r>
      <w:r>
        <w:rPr>
          <w:rFonts w:eastAsia="SimSun"/>
          <w:noProof/>
          <w:lang w:val="it-IT" w:eastAsia="de-DE"/>
        </w:rPr>
        <w:t xml:space="preserve"> </w:t>
      </w:r>
      <w:r>
        <w:rPr>
          <w:noProof/>
          <w:lang w:val="it-IT"/>
        </w:rPr>
        <w:t xml:space="preserve">Nei soggetti sani che hanno ricevuto tocilizumab in dosi da 2 a 28 mg/kg per via endovenosa e da 81 a 162 mg per via sottocutanea, la conta assoluta dei neutrofili ha raggiunto livelli più bassi dal giorno 2 </w:t>
      </w:r>
      <w:r>
        <w:rPr>
          <w:noProof/>
          <w:lang w:val="it-IT"/>
        </w:rPr>
        <w:lastRenderedPageBreak/>
        <w:t xml:space="preserve">al giorno 5 successivi alla somministrazione. Successivamente i neutrofili sono tornati verso i livelli del basale in modo dose dipendente. </w:t>
      </w:r>
    </w:p>
    <w:p>
      <w:pPr>
        <w:numPr>
          <w:ilvl w:val="12"/>
          <w:numId w:val="0"/>
        </w:numPr>
        <w:tabs>
          <w:tab w:val="left" w:pos="180"/>
        </w:tabs>
        <w:ind w:right="-2"/>
        <w:rPr>
          <w:noProof/>
          <w:lang w:val="it-IT"/>
        </w:rPr>
      </w:pPr>
    </w:p>
    <w:p>
      <w:pPr>
        <w:numPr>
          <w:ilvl w:val="12"/>
          <w:numId w:val="0"/>
        </w:numPr>
        <w:tabs>
          <w:tab w:val="left" w:pos="180"/>
        </w:tabs>
        <w:ind w:right="-2"/>
        <w:rPr>
          <w:rFonts w:eastAsia="SimSun"/>
          <w:iCs/>
          <w:noProof/>
          <w:lang w:val="it-IT"/>
        </w:rPr>
      </w:pPr>
      <w:r>
        <w:rPr>
          <w:noProof/>
          <w:lang w:val="it-IT"/>
        </w:rPr>
        <w:t>I pazienti</w:t>
      </w:r>
      <w:ins w:id="4019" w:author="Author">
        <w:r>
          <w:rPr>
            <w:noProof/>
            <w:lang w:val="it-IT"/>
          </w:rPr>
          <w:t xml:space="preserve"> affetti da AR e ACG</w:t>
        </w:r>
      </w:ins>
      <w:r>
        <w:rPr>
          <w:noProof/>
          <w:lang w:val="it-IT"/>
        </w:rPr>
        <w:t xml:space="preserve"> hanno manifestato una diminuzione simile (rispetto ai soggetti sani) della conta assoluta dei neutrofili a seguito della somministrazione di tocilizumab (</w:t>
      </w:r>
      <w:r>
        <w:rPr>
          <w:iCs/>
          <w:noProof/>
          <w:lang w:val="it-IT"/>
        </w:rPr>
        <w:t>vedere paragrafo</w:t>
      </w:r>
      <w:ins w:id="4020" w:author="Author">
        <w:r>
          <w:rPr>
            <w:iCs/>
            <w:noProof/>
            <w:lang w:val="it-IT"/>
          </w:rPr>
          <w:t> </w:t>
        </w:r>
      </w:ins>
      <w:del w:id="4021" w:author="Author">
        <w:r>
          <w:rPr>
            <w:iCs/>
            <w:noProof/>
            <w:lang w:val="it-IT"/>
          </w:rPr>
          <w:delText xml:space="preserve"> </w:delText>
        </w:r>
      </w:del>
      <w:r>
        <w:rPr>
          <w:iCs/>
          <w:noProof/>
          <w:lang w:val="it-IT"/>
        </w:rPr>
        <w:t>4.8).</w:t>
      </w:r>
    </w:p>
    <w:p>
      <w:pPr>
        <w:numPr>
          <w:ilvl w:val="12"/>
          <w:numId w:val="0"/>
        </w:numPr>
        <w:tabs>
          <w:tab w:val="left" w:pos="180"/>
        </w:tabs>
        <w:ind w:right="-2"/>
        <w:rPr>
          <w:noProof/>
          <w:lang w:val="it-IT"/>
        </w:rPr>
      </w:pPr>
    </w:p>
    <w:p>
      <w:pPr>
        <w:keepNext/>
        <w:keepLines/>
        <w:numPr>
          <w:ilvl w:val="12"/>
          <w:numId w:val="0"/>
        </w:numPr>
        <w:tabs>
          <w:tab w:val="left" w:pos="180"/>
        </w:tabs>
        <w:rPr>
          <w:bCs/>
          <w:noProof/>
          <w:szCs w:val="22"/>
          <w:u w:val="single"/>
          <w:lang w:val="it-IT"/>
        </w:rPr>
        <w:pPrChange w:id="4022" w:author="Author">
          <w:pPr>
            <w:numPr>
              <w:ilvl w:val="12"/>
            </w:numPr>
            <w:tabs>
              <w:tab w:val="left" w:pos="180"/>
            </w:tabs>
          </w:pPr>
        </w:pPrChange>
      </w:pPr>
      <w:del w:id="4023" w:author="Author">
        <w:r>
          <w:rPr>
            <w:bCs/>
            <w:noProof/>
            <w:szCs w:val="22"/>
            <w:u w:val="single"/>
            <w:lang w:val="it-IT"/>
          </w:rPr>
          <w:delText>AR (</w:delText>
        </w:r>
      </w:del>
      <w:r>
        <w:rPr>
          <w:bCs/>
          <w:noProof/>
          <w:szCs w:val="22"/>
          <w:u w:val="single"/>
          <w:lang w:val="it-IT"/>
        </w:rPr>
        <w:t>Uso sottocutaneo</w:t>
      </w:r>
      <w:del w:id="4024" w:author="Author">
        <w:r>
          <w:rPr>
            <w:bCs/>
            <w:noProof/>
            <w:szCs w:val="22"/>
            <w:u w:val="single"/>
            <w:lang w:val="it-IT"/>
          </w:rPr>
          <w:delText>)</w:delText>
        </w:r>
      </w:del>
    </w:p>
    <w:p>
      <w:pPr>
        <w:keepNext/>
        <w:keepLines/>
        <w:numPr>
          <w:ilvl w:val="12"/>
          <w:numId w:val="0"/>
        </w:numPr>
        <w:tabs>
          <w:tab w:val="left" w:pos="180"/>
        </w:tabs>
        <w:rPr>
          <w:ins w:id="4025" w:author="Author"/>
          <w:bCs/>
          <w:i/>
          <w:iCs/>
          <w:noProof/>
          <w:szCs w:val="22"/>
          <w:lang w:val="it-IT"/>
        </w:rPr>
      </w:pPr>
      <w:ins w:id="4026" w:author="Author">
        <w:r>
          <w:rPr>
            <w:bCs/>
            <w:i/>
            <w:iCs/>
            <w:noProof/>
            <w:szCs w:val="22"/>
            <w:lang w:val="it-IT"/>
          </w:rPr>
          <w:t>Pazienti affetti da AR</w:t>
        </w:r>
      </w:ins>
    </w:p>
    <w:p>
      <w:pPr>
        <w:numPr>
          <w:ilvl w:val="12"/>
          <w:numId w:val="0"/>
        </w:numPr>
        <w:tabs>
          <w:tab w:val="left" w:pos="180"/>
        </w:tabs>
        <w:rPr>
          <w:bCs/>
          <w:noProof/>
          <w:szCs w:val="22"/>
          <w:u w:val="single"/>
          <w:lang w:val="it-IT"/>
        </w:rPr>
      </w:pPr>
    </w:p>
    <w:p>
      <w:pPr>
        <w:numPr>
          <w:ilvl w:val="12"/>
          <w:numId w:val="0"/>
        </w:numPr>
        <w:tabs>
          <w:tab w:val="left" w:pos="180"/>
        </w:tabs>
        <w:rPr>
          <w:del w:id="4027" w:author="Author"/>
          <w:noProof/>
          <w:szCs w:val="22"/>
          <w:u w:val="single"/>
          <w:lang w:val="it-IT"/>
          <w:rPrChange w:id="4028" w:author="Author">
            <w:rPr>
              <w:del w:id="4029" w:author="Author"/>
              <w:i/>
              <w:iCs/>
              <w:szCs w:val="22"/>
              <w:lang w:val="it-IT"/>
            </w:rPr>
          </w:rPrChange>
        </w:rPr>
      </w:pPr>
      <w:r>
        <w:rPr>
          <w:noProof/>
          <w:szCs w:val="22"/>
          <w:u w:val="single"/>
          <w:lang w:val="it-IT"/>
          <w:rPrChange w:id="4030" w:author="Author">
            <w:rPr>
              <w:i/>
              <w:iCs/>
              <w:szCs w:val="22"/>
              <w:lang w:val="it-IT"/>
            </w:rPr>
          </w:rPrChange>
        </w:rPr>
        <w:t>Efficacia clinica</w:t>
      </w:r>
      <w:del w:id="4031" w:author="Author">
        <w:r>
          <w:rPr>
            <w:noProof/>
            <w:szCs w:val="22"/>
            <w:u w:val="single"/>
            <w:lang w:val="it-IT"/>
            <w:rPrChange w:id="4032" w:author="Author">
              <w:rPr>
                <w:i/>
                <w:iCs/>
                <w:szCs w:val="22"/>
                <w:lang w:val="it-IT"/>
              </w:rPr>
            </w:rPrChange>
          </w:rPr>
          <w:delText xml:space="preserve"> </w:delText>
        </w:r>
      </w:del>
    </w:p>
    <w:p>
      <w:pPr>
        <w:numPr>
          <w:ilvl w:val="12"/>
          <w:numId w:val="0"/>
        </w:numPr>
        <w:tabs>
          <w:tab w:val="left" w:pos="180"/>
        </w:tabs>
        <w:rPr>
          <w:i/>
          <w:iCs/>
          <w:noProof/>
          <w:szCs w:val="22"/>
          <w:lang w:val="it-IT"/>
        </w:rPr>
      </w:pPr>
    </w:p>
    <w:p>
      <w:pPr>
        <w:tabs>
          <w:tab w:val="left" w:pos="180"/>
        </w:tabs>
        <w:rPr>
          <w:noProof/>
          <w:lang w:val="it-IT"/>
        </w:rPr>
      </w:pPr>
      <w:r>
        <w:rPr>
          <w:noProof/>
          <w:lang w:val="it-IT"/>
        </w:rPr>
        <w:t xml:space="preserve">L’efficacia di tocilizumab somministrato per via sottocutanea nel ridurre segni e sintomi dell’AR e la risposta radiografica sono state valutate in due studi multicentrici, randomizzati, controllati e in doppio cieco. Per lo </w:t>
      </w:r>
      <w:del w:id="4033" w:author="Author">
        <w:r>
          <w:rPr>
            <w:noProof/>
            <w:lang w:val="it-IT"/>
          </w:rPr>
          <w:delText xml:space="preserve">studio </w:delText>
        </w:r>
      </w:del>
      <w:ins w:id="4034" w:author="Author">
        <w:r>
          <w:rPr>
            <w:noProof/>
            <w:lang w:val="it-IT"/>
          </w:rPr>
          <w:t xml:space="preserve">Studio </w:t>
        </w:r>
      </w:ins>
      <w:r>
        <w:rPr>
          <w:noProof/>
          <w:lang w:val="it-IT"/>
        </w:rPr>
        <w:t>I (SC-I), i pazienti dovevano essere di età &gt;</w:t>
      </w:r>
      <w:ins w:id="4035" w:author="Author">
        <w:r>
          <w:rPr>
            <w:noProof/>
            <w:lang w:val="it-IT"/>
          </w:rPr>
          <w:t xml:space="preserve"> </w:t>
        </w:r>
      </w:ins>
      <w:r>
        <w:rPr>
          <w:noProof/>
          <w:lang w:val="it-IT"/>
        </w:rPr>
        <w:t xml:space="preserve">18 anni, affetti da AR attiva da moderata a severa diagnosticata in base ai criteri dell’American College of Rheumatology (ACR) e presentare almeno 4 articolazioni dolenti e 4 articolazioni tumefatte al basale. A tutti i pazienti sono stati somministrati DMARD non biologici come terapia di fondo. Per lo </w:t>
      </w:r>
      <w:del w:id="4036" w:author="Author">
        <w:r>
          <w:rPr>
            <w:noProof/>
            <w:lang w:val="it-IT"/>
          </w:rPr>
          <w:delText xml:space="preserve">studio </w:delText>
        </w:r>
      </w:del>
      <w:ins w:id="4037" w:author="Author">
        <w:r>
          <w:rPr>
            <w:noProof/>
            <w:lang w:val="it-IT"/>
          </w:rPr>
          <w:t xml:space="preserve">Studio </w:t>
        </w:r>
      </w:ins>
      <w:r>
        <w:rPr>
          <w:noProof/>
          <w:lang w:val="it-IT"/>
        </w:rPr>
        <w:t>II (SC-II), i pazienti dovevano essere di età &gt;</w:t>
      </w:r>
      <w:ins w:id="4038" w:author="Author">
        <w:r>
          <w:rPr>
            <w:noProof/>
            <w:lang w:val="it-IT"/>
          </w:rPr>
          <w:t xml:space="preserve"> </w:t>
        </w:r>
      </w:ins>
      <w:r>
        <w:rPr>
          <w:noProof/>
          <w:lang w:val="it-IT"/>
        </w:rPr>
        <w:t>18 anni, affetti da AR attiva da moderata a severa diagnosticata in base ai criteri ACR e presentare almeno 8 articolazioni dolenti e 6 articolazioni tumefatte al basale.</w:t>
      </w:r>
    </w:p>
    <w:p>
      <w:pPr>
        <w:numPr>
          <w:ilvl w:val="12"/>
          <w:numId w:val="0"/>
        </w:numPr>
        <w:tabs>
          <w:tab w:val="left" w:pos="180"/>
        </w:tabs>
        <w:ind w:right="-2"/>
        <w:rPr>
          <w:i/>
          <w:noProof/>
          <w:szCs w:val="22"/>
          <w:lang w:val="it-IT"/>
        </w:rPr>
      </w:pPr>
    </w:p>
    <w:p>
      <w:pPr>
        <w:tabs>
          <w:tab w:val="left" w:pos="180"/>
        </w:tabs>
        <w:rPr>
          <w:noProof/>
          <w:lang w:val="it-IT"/>
        </w:rPr>
      </w:pPr>
      <w:r>
        <w:rPr>
          <w:noProof/>
          <w:lang w:val="it-IT"/>
        </w:rPr>
        <w:t xml:space="preserve">Il passaggio dalla formulazione endovenosa con dose di 8 mg/kg una volta ogni 4 settimane alla formulazione sottocutanea con dose di 162 mg </w:t>
      </w:r>
      <w:del w:id="4039" w:author="Author">
        <w:r>
          <w:rPr>
            <w:noProof/>
            <w:lang w:val="it-IT"/>
          </w:rPr>
          <w:delText xml:space="preserve">a settimane </w:delText>
        </w:r>
        <w:bookmarkStart w:id="4040" w:name="_Hlk224038955"/>
        <w:r>
          <w:rPr>
            <w:noProof/>
            <w:lang w:val="it-IT"/>
          </w:rPr>
          <w:delText>alterne</w:delText>
        </w:r>
      </w:del>
      <w:ins w:id="4041" w:author="Author">
        <w:r>
          <w:rPr>
            <w:noProof/>
            <w:lang w:val="it-IT"/>
          </w:rPr>
          <w:t>una volta ogni due settimane</w:t>
        </w:r>
      </w:ins>
      <w:r>
        <w:rPr>
          <w:noProof/>
          <w:lang w:val="it-IT"/>
        </w:rPr>
        <w:t xml:space="preserve"> </w:t>
      </w:r>
      <w:bookmarkEnd w:id="4040"/>
      <w:r>
        <w:rPr>
          <w:noProof/>
          <w:lang w:val="it-IT"/>
        </w:rPr>
        <w:t>comporta un’alterazione dell’esposizione nel paziente. Benché il grado vari in funzione del peso corporeo del paziente (aumento nei pazienti con peso corporeo ridotto e diminuzione nei pazienti con peso corporeo elevato), l’esito clinico è in linea con quello osservato nei pazienti trattati per via endovenosa.</w:t>
      </w:r>
    </w:p>
    <w:p>
      <w:pPr>
        <w:numPr>
          <w:ilvl w:val="12"/>
          <w:numId w:val="0"/>
        </w:numPr>
        <w:tabs>
          <w:tab w:val="left" w:pos="180"/>
        </w:tabs>
        <w:ind w:right="-2"/>
        <w:rPr>
          <w:i/>
          <w:noProof/>
          <w:szCs w:val="22"/>
          <w:lang w:val="it-IT"/>
        </w:rPr>
      </w:pPr>
    </w:p>
    <w:p>
      <w:pPr>
        <w:tabs>
          <w:tab w:val="left" w:pos="180"/>
        </w:tabs>
        <w:spacing w:line="280" w:lineRule="atLeast"/>
        <w:rPr>
          <w:i/>
          <w:iCs/>
          <w:noProof/>
          <w:szCs w:val="22"/>
          <w:u w:val="single"/>
          <w:lang w:val="it-IT"/>
          <w:rPrChange w:id="4042" w:author="Author">
            <w:rPr>
              <w:szCs w:val="22"/>
              <w:u w:val="single"/>
              <w:lang w:val="it-IT"/>
            </w:rPr>
          </w:rPrChange>
        </w:rPr>
      </w:pPr>
      <w:r>
        <w:rPr>
          <w:i/>
          <w:iCs/>
          <w:noProof/>
          <w:szCs w:val="22"/>
          <w:u w:val="single"/>
          <w:lang w:val="it-IT"/>
          <w:rPrChange w:id="4043" w:author="Author">
            <w:rPr>
              <w:szCs w:val="22"/>
              <w:u w:val="single"/>
              <w:lang w:val="it-IT"/>
            </w:rPr>
          </w:rPrChange>
        </w:rPr>
        <w:t>Risposta clinica</w:t>
      </w:r>
    </w:p>
    <w:p>
      <w:pPr>
        <w:numPr>
          <w:ilvl w:val="12"/>
          <w:numId w:val="0"/>
        </w:numPr>
        <w:tabs>
          <w:tab w:val="left" w:pos="180"/>
        </w:tabs>
        <w:ind w:right="-2"/>
        <w:rPr>
          <w:noProof/>
          <w:lang w:val="it-IT"/>
        </w:rPr>
      </w:pPr>
      <w:r>
        <w:rPr>
          <w:noProof/>
          <w:lang w:val="it-IT"/>
        </w:rPr>
        <w:t xml:space="preserve">Lo </w:t>
      </w:r>
      <w:del w:id="4044" w:author="Author">
        <w:r>
          <w:rPr>
            <w:noProof/>
            <w:lang w:val="it-IT"/>
          </w:rPr>
          <w:delText xml:space="preserve">studio </w:delText>
        </w:r>
      </w:del>
      <w:ins w:id="4045" w:author="Author">
        <w:r>
          <w:rPr>
            <w:noProof/>
            <w:lang w:val="it-IT"/>
          </w:rPr>
          <w:t xml:space="preserve">Studio </w:t>
        </w:r>
      </w:ins>
      <w:r>
        <w:rPr>
          <w:noProof/>
          <w:lang w:val="it-IT"/>
        </w:rPr>
        <w:t xml:space="preserve">SC-I ha valutato pazienti affetti da AR attiva da moderata a severa con una risposta clinica inadeguata alla terapia reumatologica in atto, inclusi uno o più DMARD, dei quali il 20% circa presentava una storia di risposta inadeguata ad almeno un inibitore del TNF. Nello </w:t>
      </w:r>
      <w:del w:id="4046" w:author="Author">
        <w:r>
          <w:rPr>
            <w:noProof/>
            <w:lang w:val="it-IT"/>
          </w:rPr>
          <w:delText xml:space="preserve">studio </w:delText>
        </w:r>
      </w:del>
      <w:ins w:id="4047" w:author="Author">
        <w:r>
          <w:rPr>
            <w:noProof/>
            <w:lang w:val="it-IT"/>
          </w:rPr>
          <w:t xml:space="preserve">Studio </w:t>
        </w:r>
      </w:ins>
      <w:r>
        <w:rPr>
          <w:noProof/>
          <w:lang w:val="it-IT"/>
        </w:rPr>
        <w:t>SC-I, 1</w:t>
      </w:r>
      <w:ins w:id="4048" w:author="Author">
        <w:r>
          <w:rPr>
            <w:noProof/>
            <w:lang w:val="it-IT"/>
          </w:rPr>
          <w:t> </w:t>
        </w:r>
      </w:ins>
      <w:r>
        <w:rPr>
          <w:noProof/>
          <w:lang w:val="it-IT"/>
        </w:rPr>
        <w:t>262</w:t>
      </w:r>
      <w:ins w:id="4049" w:author="Author">
        <w:r>
          <w:rPr>
            <w:noProof/>
            <w:lang w:val="it-IT"/>
          </w:rPr>
          <w:t> </w:t>
        </w:r>
      </w:ins>
      <w:del w:id="4050" w:author="Author">
        <w:r>
          <w:rPr>
            <w:noProof/>
            <w:lang w:val="it-IT"/>
          </w:rPr>
          <w:delText xml:space="preserve"> </w:delText>
        </w:r>
      </w:del>
      <w:r>
        <w:rPr>
          <w:noProof/>
          <w:lang w:val="it-IT"/>
        </w:rPr>
        <w:t xml:space="preserve">pazienti sono stati randomizzati in rapporto 1:1 al trattamento con 162 mg di tocilizumab per via sottocutanea </w:t>
      </w:r>
      <w:del w:id="4051" w:author="Author">
        <w:r>
          <w:rPr>
            <w:noProof/>
            <w:lang w:val="it-IT"/>
          </w:rPr>
          <w:delText>ogni settimana</w:delText>
        </w:r>
      </w:del>
      <w:ins w:id="4052" w:author="Author">
        <w:r>
          <w:rPr>
            <w:noProof/>
            <w:lang w:val="it-IT"/>
          </w:rPr>
          <w:t>una volta a settimana</w:t>
        </w:r>
      </w:ins>
      <w:r>
        <w:rPr>
          <w:noProof/>
          <w:lang w:val="it-IT"/>
        </w:rPr>
        <w:t xml:space="preserve"> o con 8 mg/kg di tocilizumab per via endovenosa ogni quattro settimane in associazione a DMARD non biologici. L’endpoint primario dello studio era la differenza nella percentuale di pazienti che hanno conseguito una risposta ACR20 alla settimana 24. I risultati dello </w:t>
      </w:r>
      <w:del w:id="4053" w:author="Author">
        <w:r>
          <w:rPr>
            <w:noProof/>
            <w:lang w:val="it-IT"/>
          </w:rPr>
          <w:delText xml:space="preserve">studio </w:delText>
        </w:r>
      </w:del>
      <w:ins w:id="4054" w:author="Author">
        <w:r>
          <w:rPr>
            <w:noProof/>
            <w:lang w:val="it-IT"/>
          </w:rPr>
          <w:t xml:space="preserve">Studio </w:t>
        </w:r>
      </w:ins>
      <w:r>
        <w:rPr>
          <w:noProof/>
          <w:szCs w:val="22"/>
          <w:lang w:val="it-IT"/>
        </w:rPr>
        <w:t xml:space="preserve">SC-I </w:t>
      </w:r>
      <w:r>
        <w:rPr>
          <w:noProof/>
          <w:lang w:val="it-IT"/>
        </w:rPr>
        <w:t>sono illustrati nella Tabella 2.</w:t>
      </w:r>
    </w:p>
    <w:p>
      <w:pPr>
        <w:numPr>
          <w:ilvl w:val="12"/>
          <w:numId w:val="0"/>
        </w:numPr>
        <w:tabs>
          <w:tab w:val="left" w:pos="180"/>
        </w:tabs>
        <w:ind w:right="-2"/>
        <w:rPr>
          <w:noProof/>
          <w:lang w:val="it-IT"/>
        </w:rPr>
      </w:pPr>
    </w:p>
    <w:p>
      <w:pPr>
        <w:keepNext/>
        <w:numPr>
          <w:ilvl w:val="12"/>
          <w:numId w:val="0"/>
        </w:numPr>
        <w:tabs>
          <w:tab w:val="left" w:pos="180"/>
        </w:tabs>
        <w:ind w:right="-2"/>
        <w:rPr>
          <w:bCs/>
          <w:i/>
          <w:noProof/>
          <w:lang w:val="it-IT"/>
        </w:rPr>
      </w:pPr>
      <w:r>
        <w:rPr>
          <w:bCs/>
          <w:i/>
          <w:noProof/>
          <w:lang w:val="it-IT"/>
        </w:rPr>
        <w:t xml:space="preserve">Tabella 2. Risposte ACR nello </w:t>
      </w:r>
      <w:del w:id="4055" w:author="Author">
        <w:r>
          <w:rPr>
            <w:bCs/>
            <w:i/>
            <w:noProof/>
            <w:lang w:val="it-IT"/>
          </w:rPr>
          <w:delText xml:space="preserve">studio </w:delText>
        </w:r>
      </w:del>
      <w:ins w:id="4056" w:author="Author">
        <w:r>
          <w:rPr>
            <w:bCs/>
            <w:i/>
            <w:noProof/>
            <w:lang w:val="it-IT"/>
          </w:rPr>
          <w:t xml:space="preserve">Studio </w:t>
        </w:r>
      </w:ins>
      <w:r>
        <w:rPr>
          <w:bCs/>
          <w:i/>
          <w:noProof/>
          <w:lang w:val="it-IT"/>
        </w:rPr>
        <w:t>SC-I (% di pazienti) alla settimana 24</w:t>
      </w:r>
    </w:p>
    <w:p>
      <w:pPr>
        <w:keepNext/>
        <w:numPr>
          <w:ilvl w:val="12"/>
          <w:numId w:val="0"/>
        </w:numPr>
        <w:tabs>
          <w:tab w:val="left" w:pos="180"/>
        </w:tabs>
        <w:ind w:right="-2"/>
        <w:rPr>
          <w:i/>
          <w:noProof/>
          <w:lang w:val="it-IT"/>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4057"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415"/>
        <w:gridCol w:w="2826"/>
        <w:gridCol w:w="2826"/>
        <w:tblGridChange w:id="4058">
          <w:tblGrid>
            <w:gridCol w:w="2718"/>
            <w:gridCol w:w="1926"/>
            <w:gridCol w:w="2977"/>
          </w:tblGrid>
        </w:tblGridChange>
      </w:tblGrid>
      <w:tr>
        <w:trPr>
          <w:cantSplit/>
        </w:trPr>
        <w:tc>
          <w:tcPr>
            <w:tcW w:w="3415" w:type="dxa"/>
            <w:tcPrChange w:id="4059" w:author="Author">
              <w:tcPr>
                <w:tcW w:w="2718" w:type="dxa"/>
              </w:tcPr>
            </w:tcPrChange>
          </w:tcPr>
          <w:p>
            <w:pPr>
              <w:keepNext/>
              <w:tabs>
                <w:tab w:val="left" w:pos="180"/>
              </w:tabs>
              <w:suppressAutoHyphens/>
              <w:rPr>
                <w:noProof/>
                <w:sz w:val="20"/>
                <w:lang w:val="it-IT" w:eastAsia="de-DE"/>
                <w:rPrChange w:id="4060" w:author="Author">
                  <w:rPr>
                    <w:szCs w:val="22"/>
                    <w:lang w:val="it-IT" w:eastAsia="de-DE"/>
                  </w:rPr>
                </w:rPrChange>
              </w:rPr>
              <w:pPrChange w:id="4061" w:author="Author">
                <w:pPr>
                  <w:keepNext/>
                  <w:tabs>
                    <w:tab w:val="left" w:pos="180"/>
                  </w:tabs>
                  <w:spacing w:line="280" w:lineRule="atLeast"/>
                </w:pPr>
              </w:pPrChange>
            </w:pPr>
          </w:p>
        </w:tc>
        <w:tc>
          <w:tcPr>
            <w:tcW w:w="5652" w:type="dxa"/>
            <w:gridSpan w:val="2"/>
            <w:tcPrChange w:id="4062" w:author="Author">
              <w:tcPr>
                <w:tcW w:w="4903" w:type="dxa"/>
                <w:gridSpan w:val="2"/>
              </w:tcPr>
            </w:tcPrChange>
          </w:tcPr>
          <w:p>
            <w:pPr>
              <w:keepNext/>
              <w:tabs>
                <w:tab w:val="left" w:pos="180"/>
              </w:tabs>
              <w:suppressAutoHyphens/>
              <w:jc w:val="center"/>
              <w:rPr>
                <w:noProof/>
                <w:sz w:val="20"/>
                <w:lang w:val="it-IT"/>
                <w:rPrChange w:id="4063" w:author="Author">
                  <w:rPr>
                    <w:szCs w:val="22"/>
                    <w:lang w:val="it-IT"/>
                  </w:rPr>
                </w:rPrChange>
              </w:rPr>
              <w:pPrChange w:id="4064" w:author="Author">
                <w:pPr>
                  <w:keepNext/>
                  <w:tabs>
                    <w:tab w:val="left" w:pos="180"/>
                  </w:tabs>
                  <w:spacing w:line="280" w:lineRule="atLeast"/>
                  <w:jc w:val="center"/>
                </w:pPr>
              </w:pPrChange>
            </w:pPr>
            <w:r>
              <w:rPr>
                <w:noProof/>
                <w:sz w:val="20"/>
                <w:lang w:val="it-IT"/>
                <w:rPrChange w:id="4065" w:author="Author">
                  <w:rPr>
                    <w:szCs w:val="22"/>
                    <w:lang w:val="it-IT"/>
                  </w:rPr>
                </w:rPrChange>
              </w:rPr>
              <w:t>SC-I</w:t>
            </w:r>
            <w:r>
              <w:rPr>
                <w:noProof/>
                <w:sz w:val="20"/>
                <w:vertAlign w:val="superscript"/>
                <w:lang w:val="it-IT"/>
                <w:rPrChange w:id="4066" w:author="Author">
                  <w:rPr>
                    <w:szCs w:val="22"/>
                    <w:vertAlign w:val="superscript"/>
                    <w:lang w:val="it-IT"/>
                  </w:rPr>
                </w:rPrChange>
              </w:rPr>
              <w:t>a</w:t>
            </w:r>
          </w:p>
        </w:tc>
      </w:tr>
      <w:tr>
        <w:trPr>
          <w:cantSplit/>
        </w:trPr>
        <w:tc>
          <w:tcPr>
            <w:tcW w:w="3415" w:type="dxa"/>
            <w:tcPrChange w:id="4067" w:author="Author">
              <w:tcPr>
                <w:tcW w:w="2718" w:type="dxa"/>
              </w:tcPr>
            </w:tcPrChange>
          </w:tcPr>
          <w:p>
            <w:pPr>
              <w:keepNext/>
              <w:tabs>
                <w:tab w:val="left" w:pos="180"/>
              </w:tabs>
              <w:suppressAutoHyphens/>
              <w:rPr>
                <w:noProof/>
                <w:sz w:val="20"/>
                <w:lang w:val="it-IT" w:eastAsia="de-DE"/>
                <w:rPrChange w:id="4068" w:author="Author">
                  <w:rPr>
                    <w:szCs w:val="22"/>
                    <w:lang w:val="it-IT" w:eastAsia="de-DE"/>
                  </w:rPr>
                </w:rPrChange>
              </w:rPr>
              <w:pPrChange w:id="4069" w:author="Author">
                <w:pPr>
                  <w:keepNext/>
                  <w:tabs>
                    <w:tab w:val="left" w:pos="180"/>
                  </w:tabs>
                  <w:spacing w:line="280" w:lineRule="atLeast"/>
                </w:pPr>
              </w:pPrChange>
            </w:pPr>
          </w:p>
        </w:tc>
        <w:tc>
          <w:tcPr>
            <w:tcW w:w="2826" w:type="dxa"/>
            <w:tcPrChange w:id="4070" w:author="Author">
              <w:tcPr>
                <w:tcW w:w="1926" w:type="dxa"/>
              </w:tcPr>
            </w:tcPrChange>
          </w:tcPr>
          <w:p>
            <w:pPr>
              <w:keepNext/>
              <w:tabs>
                <w:tab w:val="left" w:pos="180"/>
              </w:tabs>
              <w:suppressAutoHyphens/>
              <w:jc w:val="center"/>
              <w:rPr>
                <w:noProof/>
                <w:sz w:val="20"/>
                <w:lang w:val="it-IT"/>
                <w:rPrChange w:id="4071" w:author="Author">
                  <w:rPr>
                    <w:szCs w:val="22"/>
                    <w:lang w:val="it-IT"/>
                  </w:rPr>
                </w:rPrChange>
              </w:rPr>
              <w:pPrChange w:id="4072" w:author="Author">
                <w:pPr>
                  <w:keepNext/>
                  <w:tabs>
                    <w:tab w:val="left" w:pos="180"/>
                  </w:tabs>
                  <w:spacing w:line="280" w:lineRule="atLeast"/>
                  <w:jc w:val="center"/>
                </w:pPr>
              </w:pPrChange>
            </w:pPr>
            <w:r>
              <w:rPr>
                <w:noProof/>
                <w:sz w:val="20"/>
                <w:lang w:val="it-IT"/>
                <w:rPrChange w:id="4073" w:author="Author">
                  <w:rPr>
                    <w:szCs w:val="22"/>
                    <w:lang w:val="it-IT"/>
                  </w:rPr>
                </w:rPrChange>
              </w:rPr>
              <w:t xml:space="preserve">TCZ s.c. 162 mg </w:t>
            </w:r>
            <w:del w:id="4074" w:author="Author">
              <w:r>
                <w:rPr>
                  <w:noProof/>
                  <w:sz w:val="20"/>
                  <w:lang w:val="it-IT"/>
                  <w:rPrChange w:id="4075" w:author="Author">
                    <w:rPr>
                      <w:szCs w:val="22"/>
                      <w:lang w:val="it-IT"/>
                    </w:rPr>
                  </w:rPrChange>
                </w:rPr>
                <w:delText xml:space="preserve">ogni </w:delText>
              </w:r>
            </w:del>
            <w:ins w:id="4076" w:author="Author">
              <w:r>
                <w:rPr>
                  <w:noProof/>
                  <w:sz w:val="20"/>
                  <w:lang w:val="it-IT"/>
                </w:rPr>
                <w:t>una volta a</w:t>
              </w:r>
              <w:r>
                <w:rPr>
                  <w:noProof/>
                  <w:sz w:val="20"/>
                  <w:lang w:val="it-IT"/>
                  <w:rPrChange w:id="4077" w:author="Author">
                    <w:rPr>
                      <w:szCs w:val="22"/>
                      <w:lang w:val="it-IT"/>
                    </w:rPr>
                  </w:rPrChange>
                </w:rPr>
                <w:t xml:space="preserve"> </w:t>
              </w:r>
            </w:ins>
            <w:r>
              <w:rPr>
                <w:noProof/>
                <w:sz w:val="20"/>
                <w:lang w:val="it-IT"/>
                <w:rPrChange w:id="4078" w:author="Author">
                  <w:rPr>
                    <w:szCs w:val="22"/>
                    <w:lang w:val="it-IT"/>
                  </w:rPr>
                </w:rPrChange>
              </w:rPr>
              <w:t>settimana</w:t>
            </w:r>
          </w:p>
          <w:p>
            <w:pPr>
              <w:keepNext/>
              <w:tabs>
                <w:tab w:val="left" w:pos="180"/>
              </w:tabs>
              <w:suppressAutoHyphens/>
              <w:jc w:val="center"/>
              <w:rPr>
                <w:noProof/>
                <w:sz w:val="20"/>
                <w:lang w:val="it-IT"/>
                <w:rPrChange w:id="4079" w:author="Author">
                  <w:rPr>
                    <w:szCs w:val="22"/>
                    <w:lang w:val="it-IT"/>
                  </w:rPr>
                </w:rPrChange>
              </w:rPr>
              <w:pPrChange w:id="4080" w:author="Author">
                <w:pPr>
                  <w:keepNext/>
                  <w:tabs>
                    <w:tab w:val="left" w:pos="180"/>
                  </w:tabs>
                  <w:spacing w:line="280" w:lineRule="atLeast"/>
                  <w:jc w:val="center"/>
                </w:pPr>
              </w:pPrChange>
            </w:pPr>
            <w:r>
              <w:rPr>
                <w:noProof/>
                <w:sz w:val="20"/>
                <w:lang w:val="it-IT"/>
                <w:rPrChange w:id="4081" w:author="Author">
                  <w:rPr>
                    <w:szCs w:val="22"/>
                    <w:lang w:val="it-IT"/>
                  </w:rPr>
                </w:rPrChange>
              </w:rPr>
              <w:t>+ DMARD</w:t>
            </w:r>
          </w:p>
          <w:p>
            <w:pPr>
              <w:keepNext/>
              <w:tabs>
                <w:tab w:val="left" w:pos="180"/>
              </w:tabs>
              <w:suppressAutoHyphens/>
              <w:jc w:val="center"/>
              <w:rPr>
                <w:noProof/>
                <w:sz w:val="20"/>
                <w:lang w:val="it-IT"/>
                <w:rPrChange w:id="4082" w:author="Author">
                  <w:rPr>
                    <w:szCs w:val="22"/>
                    <w:lang w:val="it-IT"/>
                  </w:rPr>
                </w:rPrChange>
              </w:rPr>
              <w:pPrChange w:id="4083" w:author="Author">
                <w:pPr>
                  <w:keepNext/>
                  <w:tabs>
                    <w:tab w:val="left" w:pos="180"/>
                  </w:tabs>
                  <w:spacing w:line="280" w:lineRule="atLeast"/>
                  <w:jc w:val="center"/>
                </w:pPr>
              </w:pPrChange>
            </w:pPr>
            <w:del w:id="4084" w:author="Author">
              <w:r>
                <w:rPr>
                  <w:noProof/>
                  <w:sz w:val="20"/>
                  <w:lang w:val="it-IT"/>
                  <w:rPrChange w:id="4085" w:author="Author">
                    <w:rPr>
                      <w:szCs w:val="22"/>
                      <w:lang w:val="it-IT"/>
                    </w:rPr>
                  </w:rPrChange>
                </w:rPr>
                <w:delText xml:space="preserve">N </w:delText>
              </w:r>
            </w:del>
            <w:ins w:id="4086" w:author="Author">
              <w:r>
                <w:rPr>
                  <w:noProof/>
                  <w:sz w:val="20"/>
                  <w:lang w:val="it-IT"/>
                  <w:rPrChange w:id="4087" w:author="Author">
                    <w:rPr>
                      <w:szCs w:val="22"/>
                      <w:lang w:val="it-IT"/>
                    </w:rPr>
                  </w:rPrChange>
                </w:rPr>
                <w:t>n </w:t>
              </w:r>
            </w:ins>
            <w:r>
              <w:rPr>
                <w:noProof/>
                <w:sz w:val="20"/>
                <w:lang w:val="it-IT"/>
                <w:rPrChange w:id="4088" w:author="Author">
                  <w:rPr>
                    <w:szCs w:val="22"/>
                    <w:lang w:val="it-IT"/>
                  </w:rPr>
                </w:rPrChange>
              </w:rPr>
              <w:t>=</w:t>
            </w:r>
            <w:ins w:id="4089" w:author="Author">
              <w:r>
                <w:rPr>
                  <w:noProof/>
                  <w:sz w:val="20"/>
                  <w:lang w:val="it-IT"/>
                  <w:rPrChange w:id="4090" w:author="Author">
                    <w:rPr>
                      <w:szCs w:val="22"/>
                      <w:lang w:val="it-IT"/>
                    </w:rPr>
                  </w:rPrChange>
                </w:rPr>
                <w:t> </w:t>
              </w:r>
            </w:ins>
            <w:del w:id="4091" w:author="Author">
              <w:r>
                <w:rPr>
                  <w:noProof/>
                  <w:sz w:val="20"/>
                  <w:lang w:val="it-IT"/>
                  <w:rPrChange w:id="4092" w:author="Author">
                    <w:rPr>
                      <w:szCs w:val="22"/>
                      <w:lang w:val="it-IT"/>
                    </w:rPr>
                  </w:rPrChange>
                </w:rPr>
                <w:delText xml:space="preserve"> </w:delText>
              </w:r>
            </w:del>
            <w:r>
              <w:rPr>
                <w:noProof/>
                <w:sz w:val="20"/>
                <w:lang w:val="it-IT"/>
                <w:rPrChange w:id="4093" w:author="Author">
                  <w:rPr>
                    <w:szCs w:val="22"/>
                    <w:lang w:val="it-IT"/>
                  </w:rPr>
                </w:rPrChange>
              </w:rPr>
              <w:t>558</w:t>
            </w:r>
          </w:p>
        </w:tc>
        <w:tc>
          <w:tcPr>
            <w:tcW w:w="2826" w:type="dxa"/>
            <w:tcPrChange w:id="4094" w:author="Author">
              <w:tcPr>
                <w:tcW w:w="2977" w:type="dxa"/>
              </w:tcPr>
            </w:tcPrChange>
          </w:tcPr>
          <w:p>
            <w:pPr>
              <w:keepNext/>
              <w:tabs>
                <w:tab w:val="left" w:pos="180"/>
              </w:tabs>
              <w:suppressAutoHyphens/>
              <w:jc w:val="center"/>
              <w:rPr>
                <w:noProof/>
                <w:sz w:val="20"/>
                <w:lang w:val="it-IT"/>
                <w:rPrChange w:id="4095" w:author="Author">
                  <w:rPr>
                    <w:szCs w:val="22"/>
                    <w:lang w:val="it-IT"/>
                  </w:rPr>
                </w:rPrChange>
              </w:rPr>
              <w:pPrChange w:id="4096" w:author="Author">
                <w:pPr>
                  <w:keepNext/>
                  <w:tabs>
                    <w:tab w:val="left" w:pos="180"/>
                  </w:tabs>
                  <w:spacing w:line="280" w:lineRule="atLeast"/>
                  <w:jc w:val="center"/>
                </w:pPr>
              </w:pPrChange>
            </w:pPr>
            <w:r>
              <w:rPr>
                <w:noProof/>
                <w:sz w:val="20"/>
                <w:lang w:val="it-IT"/>
                <w:rPrChange w:id="4097" w:author="Author">
                  <w:rPr>
                    <w:szCs w:val="22"/>
                    <w:lang w:val="it-IT"/>
                  </w:rPr>
                </w:rPrChange>
              </w:rPr>
              <w:t>TCZ e.v. 8 mg/kg</w:t>
            </w:r>
          </w:p>
          <w:p>
            <w:pPr>
              <w:keepNext/>
              <w:tabs>
                <w:tab w:val="left" w:pos="180"/>
              </w:tabs>
              <w:suppressAutoHyphens/>
              <w:jc w:val="center"/>
              <w:rPr>
                <w:noProof/>
                <w:sz w:val="20"/>
                <w:lang w:val="it-IT"/>
                <w:rPrChange w:id="4098" w:author="Author">
                  <w:rPr>
                    <w:szCs w:val="22"/>
                    <w:lang w:val="it-IT"/>
                  </w:rPr>
                </w:rPrChange>
              </w:rPr>
              <w:pPrChange w:id="4099" w:author="Author">
                <w:pPr>
                  <w:keepNext/>
                  <w:tabs>
                    <w:tab w:val="left" w:pos="180"/>
                  </w:tabs>
                  <w:spacing w:line="280" w:lineRule="atLeast"/>
                  <w:jc w:val="center"/>
                </w:pPr>
              </w:pPrChange>
            </w:pPr>
            <w:r>
              <w:rPr>
                <w:noProof/>
                <w:sz w:val="20"/>
                <w:lang w:val="it-IT"/>
                <w:rPrChange w:id="4100" w:author="Author">
                  <w:rPr>
                    <w:szCs w:val="22"/>
                    <w:lang w:val="it-IT"/>
                  </w:rPr>
                </w:rPrChange>
              </w:rPr>
              <w:t>+ DMARD</w:t>
            </w:r>
          </w:p>
          <w:p>
            <w:pPr>
              <w:keepNext/>
              <w:tabs>
                <w:tab w:val="left" w:pos="180"/>
              </w:tabs>
              <w:suppressAutoHyphens/>
              <w:jc w:val="center"/>
              <w:rPr>
                <w:del w:id="4101" w:author="Author"/>
                <w:noProof/>
                <w:sz w:val="20"/>
                <w:lang w:val="it-IT" w:eastAsia="de-DE"/>
                <w:rPrChange w:id="4102" w:author="Author">
                  <w:rPr>
                    <w:del w:id="4103" w:author="Author"/>
                    <w:szCs w:val="22"/>
                    <w:lang w:val="it-IT" w:eastAsia="de-DE"/>
                  </w:rPr>
                </w:rPrChange>
              </w:rPr>
              <w:pPrChange w:id="4104" w:author="Author">
                <w:pPr>
                  <w:keepNext/>
                  <w:tabs>
                    <w:tab w:val="left" w:pos="180"/>
                  </w:tabs>
                  <w:spacing w:line="280" w:lineRule="atLeast"/>
                  <w:jc w:val="center"/>
                </w:pPr>
              </w:pPrChange>
            </w:pPr>
          </w:p>
          <w:p>
            <w:pPr>
              <w:keepNext/>
              <w:tabs>
                <w:tab w:val="left" w:pos="180"/>
              </w:tabs>
              <w:suppressAutoHyphens/>
              <w:jc w:val="center"/>
              <w:rPr>
                <w:noProof/>
                <w:sz w:val="20"/>
                <w:lang w:val="it-IT"/>
                <w:rPrChange w:id="4105" w:author="Author">
                  <w:rPr>
                    <w:szCs w:val="22"/>
                    <w:lang w:val="it-IT"/>
                  </w:rPr>
                </w:rPrChange>
              </w:rPr>
              <w:pPrChange w:id="4106" w:author="Author">
                <w:pPr>
                  <w:keepNext/>
                  <w:tabs>
                    <w:tab w:val="left" w:pos="180"/>
                  </w:tabs>
                  <w:spacing w:line="280" w:lineRule="atLeast"/>
                  <w:jc w:val="center"/>
                </w:pPr>
              </w:pPrChange>
            </w:pPr>
            <w:del w:id="4107" w:author="Author">
              <w:r>
                <w:rPr>
                  <w:noProof/>
                  <w:sz w:val="20"/>
                  <w:lang w:val="it-IT"/>
                  <w:rPrChange w:id="4108" w:author="Author">
                    <w:rPr>
                      <w:szCs w:val="22"/>
                      <w:lang w:val="it-IT"/>
                    </w:rPr>
                  </w:rPrChange>
                </w:rPr>
                <w:delText>N =</w:delText>
              </w:r>
            </w:del>
            <w:ins w:id="4109" w:author="Author">
              <w:r>
                <w:rPr>
                  <w:noProof/>
                  <w:sz w:val="20"/>
                  <w:lang w:val="it-IT"/>
                  <w:rPrChange w:id="4110" w:author="Author">
                    <w:rPr>
                      <w:szCs w:val="22"/>
                      <w:lang w:val="it-IT"/>
                    </w:rPr>
                  </w:rPrChange>
                </w:rPr>
                <w:t>n </w:t>
              </w:r>
              <w:r>
                <w:rPr>
                  <w:noProof/>
                  <w:sz w:val="20"/>
                  <w:lang w:val="it-IT"/>
                </w:rPr>
                <w:t>=</w:t>
              </w:r>
            </w:ins>
            <w:del w:id="4111" w:author="Author">
              <w:r>
                <w:rPr>
                  <w:noProof/>
                  <w:sz w:val="20"/>
                  <w:lang w:val="it-IT"/>
                  <w:rPrChange w:id="4112" w:author="Author">
                    <w:rPr>
                      <w:szCs w:val="22"/>
                      <w:lang w:val="it-IT"/>
                    </w:rPr>
                  </w:rPrChange>
                </w:rPr>
                <w:delText xml:space="preserve"> </w:delText>
              </w:r>
            </w:del>
            <w:ins w:id="4113" w:author="Author">
              <w:r>
                <w:rPr>
                  <w:noProof/>
                  <w:sz w:val="20"/>
                  <w:lang w:val="it-IT"/>
                  <w:rPrChange w:id="4114" w:author="Author">
                    <w:rPr>
                      <w:szCs w:val="22"/>
                      <w:lang w:val="it-IT"/>
                    </w:rPr>
                  </w:rPrChange>
                </w:rPr>
                <w:t> </w:t>
              </w:r>
            </w:ins>
            <w:r>
              <w:rPr>
                <w:noProof/>
                <w:sz w:val="20"/>
                <w:lang w:val="it-IT"/>
                <w:rPrChange w:id="4115" w:author="Author">
                  <w:rPr>
                    <w:szCs w:val="22"/>
                    <w:lang w:val="it-IT"/>
                  </w:rPr>
                </w:rPrChange>
              </w:rPr>
              <w:t>537</w:t>
            </w:r>
          </w:p>
        </w:tc>
      </w:tr>
      <w:tr>
        <w:trPr>
          <w:cantSplit/>
        </w:trPr>
        <w:tc>
          <w:tcPr>
            <w:tcW w:w="3415" w:type="dxa"/>
            <w:tcPrChange w:id="4116" w:author="Author">
              <w:tcPr>
                <w:tcW w:w="2718" w:type="dxa"/>
              </w:tcPr>
            </w:tcPrChange>
          </w:tcPr>
          <w:p>
            <w:pPr>
              <w:keepNext/>
              <w:tabs>
                <w:tab w:val="left" w:pos="180"/>
              </w:tabs>
              <w:suppressAutoHyphens/>
              <w:jc w:val="right"/>
              <w:rPr>
                <w:noProof/>
                <w:sz w:val="20"/>
                <w:lang w:val="it-IT"/>
                <w:rPrChange w:id="4117" w:author="Author">
                  <w:rPr>
                    <w:szCs w:val="22"/>
                    <w:lang w:val="it-IT"/>
                  </w:rPr>
                </w:rPrChange>
              </w:rPr>
              <w:pPrChange w:id="4118" w:author="Author">
                <w:pPr>
                  <w:keepNext/>
                  <w:tabs>
                    <w:tab w:val="left" w:pos="180"/>
                  </w:tabs>
                  <w:spacing w:line="280" w:lineRule="atLeast"/>
                  <w:jc w:val="right"/>
                </w:pPr>
              </w:pPrChange>
            </w:pPr>
            <w:r>
              <w:rPr>
                <w:noProof/>
                <w:sz w:val="20"/>
                <w:lang w:val="it-IT"/>
                <w:rPrChange w:id="4119" w:author="Author">
                  <w:rPr>
                    <w:szCs w:val="22"/>
                    <w:lang w:val="it-IT"/>
                  </w:rPr>
                </w:rPrChange>
              </w:rPr>
              <w:t>ACR20 alla settimana 24</w:t>
            </w:r>
          </w:p>
        </w:tc>
        <w:tc>
          <w:tcPr>
            <w:tcW w:w="2826" w:type="dxa"/>
            <w:tcPrChange w:id="4120" w:author="Author">
              <w:tcPr>
                <w:tcW w:w="1926" w:type="dxa"/>
              </w:tcPr>
            </w:tcPrChange>
          </w:tcPr>
          <w:p>
            <w:pPr>
              <w:keepNext/>
              <w:tabs>
                <w:tab w:val="left" w:pos="180"/>
              </w:tabs>
              <w:suppressAutoHyphens/>
              <w:jc w:val="center"/>
              <w:rPr>
                <w:noProof/>
                <w:sz w:val="20"/>
                <w:lang w:val="it-IT"/>
                <w:rPrChange w:id="4121" w:author="Author">
                  <w:rPr>
                    <w:szCs w:val="22"/>
                    <w:lang w:val="it-IT"/>
                  </w:rPr>
                </w:rPrChange>
              </w:rPr>
              <w:pPrChange w:id="4122" w:author="Author">
                <w:pPr>
                  <w:keepNext/>
                  <w:tabs>
                    <w:tab w:val="left" w:pos="180"/>
                  </w:tabs>
                  <w:spacing w:line="280" w:lineRule="atLeast"/>
                  <w:jc w:val="center"/>
                </w:pPr>
              </w:pPrChange>
            </w:pPr>
            <w:r>
              <w:rPr>
                <w:noProof/>
                <w:sz w:val="20"/>
                <w:lang w:val="it-IT"/>
                <w:rPrChange w:id="4123" w:author="Author">
                  <w:rPr>
                    <w:szCs w:val="22"/>
                    <w:lang w:val="it-IT"/>
                  </w:rPr>
                </w:rPrChange>
              </w:rPr>
              <w:t>69,4%</w:t>
            </w:r>
          </w:p>
        </w:tc>
        <w:tc>
          <w:tcPr>
            <w:tcW w:w="2826" w:type="dxa"/>
            <w:tcPrChange w:id="4124" w:author="Author">
              <w:tcPr>
                <w:tcW w:w="2977" w:type="dxa"/>
              </w:tcPr>
            </w:tcPrChange>
          </w:tcPr>
          <w:p>
            <w:pPr>
              <w:keepNext/>
              <w:tabs>
                <w:tab w:val="left" w:pos="180"/>
              </w:tabs>
              <w:suppressAutoHyphens/>
              <w:jc w:val="center"/>
              <w:rPr>
                <w:noProof/>
                <w:sz w:val="20"/>
                <w:lang w:val="it-IT"/>
                <w:rPrChange w:id="4125" w:author="Author">
                  <w:rPr>
                    <w:szCs w:val="22"/>
                    <w:lang w:val="it-IT"/>
                  </w:rPr>
                </w:rPrChange>
              </w:rPr>
              <w:pPrChange w:id="4126" w:author="Author">
                <w:pPr>
                  <w:keepNext/>
                  <w:tabs>
                    <w:tab w:val="left" w:pos="180"/>
                  </w:tabs>
                  <w:spacing w:line="280" w:lineRule="atLeast"/>
                  <w:jc w:val="center"/>
                </w:pPr>
              </w:pPrChange>
            </w:pPr>
            <w:r>
              <w:rPr>
                <w:noProof/>
                <w:sz w:val="20"/>
                <w:lang w:val="it-IT"/>
                <w:rPrChange w:id="4127" w:author="Author">
                  <w:rPr>
                    <w:szCs w:val="22"/>
                    <w:lang w:val="it-IT"/>
                  </w:rPr>
                </w:rPrChange>
              </w:rPr>
              <w:t>73,4%</w:t>
            </w:r>
          </w:p>
        </w:tc>
      </w:tr>
      <w:tr>
        <w:trPr>
          <w:cantSplit/>
        </w:trPr>
        <w:tc>
          <w:tcPr>
            <w:tcW w:w="3415" w:type="dxa"/>
            <w:tcPrChange w:id="4128" w:author="Author">
              <w:tcPr>
                <w:tcW w:w="2718" w:type="dxa"/>
              </w:tcPr>
            </w:tcPrChange>
          </w:tcPr>
          <w:p>
            <w:pPr>
              <w:keepNext/>
              <w:tabs>
                <w:tab w:val="left" w:pos="180"/>
              </w:tabs>
              <w:suppressAutoHyphens/>
              <w:jc w:val="right"/>
              <w:rPr>
                <w:noProof/>
                <w:sz w:val="20"/>
                <w:lang w:val="it-IT"/>
                <w:rPrChange w:id="4129" w:author="Author">
                  <w:rPr>
                    <w:szCs w:val="22"/>
                    <w:lang w:val="it-IT"/>
                  </w:rPr>
                </w:rPrChange>
              </w:rPr>
              <w:pPrChange w:id="4130" w:author="Author">
                <w:pPr>
                  <w:keepNext/>
                  <w:tabs>
                    <w:tab w:val="left" w:pos="180"/>
                  </w:tabs>
                  <w:spacing w:line="280" w:lineRule="atLeast"/>
                  <w:jc w:val="right"/>
                </w:pPr>
              </w:pPrChange>
            </w:pPr>
            <w:r>
              <w:rPr>
                <w:noProof/>
                <w:sz w:val="20"/>
                <w:lang w:val="it-IT"/>
                <w:rPrChange w:id="4131" w:author="Author">
                  <w:rPr>
                    <w:szCs w:val="22"/>
                    <w:lang w:val="it-IT"/>
                  </w:rPr>
                </w:rPrChange>
              </w:rPr>
              <w:t>Differenza ponderata (IC al 95%)</w:t>
            </w:r>
          </w:p>
        </w:tc>
        <w:tc>
          <w:tcPr>
            <w:tcW w:w="5652" w:type="dxa"/>
            <w:gridSpan w:val="2"/>
            <w:tcPrChange w:id="4132" w:author="Author">
              <w:tcPr>
                <w:tcW w:w="4903" w:type="dxa"/>
                <w:gridSpan w:val="2"/>
              </w:tcPr>
            </w:tcPrChange>
          </w:tcPr>
          <w:p>
            <w:pPr>
              <w:keepNext/>
              <w:tabs>
                <w:tab w:val="left" w:pos="180"/>
              </w:tabs>
              <w:suppressAutoHyphens/>
              <w:jc w:val="center"/>
              <w:rPr>
                <w:noProof/>
                <w:sz w:val="20"/>
                <w:lang w:val="it-IT"/>
                <w:rPrChange w:id="4133" w:author="Author">
                  <w:rPr>
                    <w:szCs w:val="22"/>
                    <w:lang w:val="it-IT"/>
                  </w:rPr>
                </w:rPrChange>
              </w:rPr>
              <w:pPrChange w:id="4134" w:author="Author">
                <w:pPr>
                  <w:keepNext/>
                  <w:tabs>
                    <w:tab w:val="left" w:pos="180"/>
                  </w:tabs>
                  <w:spacing w:line="280" w:lineRule="atLeast"/>
                  <w:jc w:val="center"/>
                </w:pPr>
              </w:pPrChange>
            </w:pPr>
            <w:r>
              <w:rPr>
                <w:noProof/>
                <w:sz w:val="20"/>
                <w:lang w:val="it-IT"/>
                <w:rPrChange w:id="4135" w:author="Author">
                  <w:rPr>
                    <w:szCs w:val="22"/>
                    <w:lang w:val="it-IT"/>
                  </w:rPr>
                </w:rPrChange>
              </w:rPr>
              <w:t>-4,0 (-9,2; 1,2)</w:t>
            </w:r>
          </w:p>
        </w:tc>
      </w:tr>
      <w:tr>
        <w:trPr>
          <w:cantSplit/>
        </w:trPr>
        <w:tc>
          <w:tcPr>
            <w:tcW w:w="3415" w:type="dxa"/>
            <w:tcPrChange w:id="4136" w:author="Author">
              <w:tcPr>
                <w:tcW w:w="2718" w:type="dxa"/>
              </w:tcPr>
            </w:tcPrChange>
          </w:tcPr>
          <w:p>
            <w:pPr>
              <w:keepNext/>
              <w:tabs>
                <w:tab w:val="left" w:pos="180"/>
              </w:tabs>
              <w:suppressAutoHyphens/>
              <w:jc w:val="right"/>
              <w:rPr>
                <w:noProof/>
                <w:sz w:val="20"/>
                <w:lang w:val="it-IT"/>
                <w:rPrChange w:id="4137" w:author="Author">
                  <w:rPr>
                    <w:szCs w:val="22"/>
                    <w:lang w:val="it-IT"/>
                  </w:rPr>
                </w:rPrChange>
              </w:rPr>
              <w:pPrChange w:id="4138" w:author="Author">
                <w:pPr>
                  <w:keepNext/>
                  <w:tabs>
                    <w:tab w:val="left" w:pos="180"/>
                  </w:tabs>
                  <w:spacing w:line="280" w:lineRule="atLeast"/>
                  <w:jc w:val="right"/>
                </w:pPr>
              </w:pPrChange>
            </w:pPr>
            <w:r>
              <w:rPr>
                <w:noProof/>
                <w:sz w:val="20"/>
                <w:lang w:val="it-IT"/>
                <w:rPrChange w:id="4139" w:author="Author">
                  <w:rPr>
                    <w:szCs w:val="22"/>
                    <w:lang w:val="it-IT"/>
                  </w:rPr>
                </w:rPrChange>
              </w:rPr>
              <w:t>ACR50 alla settimana 24</w:t>
            </w:r>
          </w:p>
        </w:tc>
        <w:tc>
          <w:tcPr>
            <w:tcW w:w="2826" w:type="dxa"/>
            <w:tcPrChange w:id="4140" w:author="Author">
              <w:tcPr>
                <w:tcW w:w="1926" w:type="dxa"/>
              </w:tcPr>
            </w:tcPrChange>
          </w:tcPr>
          <w:p>
            <w:pPr>
              <w:keepNext/>
              <w:tabs>
                <w:tab w:val="left" w:pos="180"/>
              </w:tabs>
              <w:suppressAutoHyphens/>
              <w:jc w:val="center"/>
              <w:rPr>
                <w:noProof/>
                <w:sz w:val="20"/>
                <w:lang w:val="it-IT"/>
                <w:rPrChange w:id="4141" w:author="Author">
                  <w:rPr>
                    <w:szCs w:val="22"/>
                    <w:lang w:val="it-IT"/>
                  </w:rPr>
                </w:rPrChange>
              </w:rPr>
              <w:pPrChange w:id="4142" w:author="Author">
                <w:pPr>
                  <w:keepNext/>
                  <w:tabs>
                    <w:tab w:val="left" w:pos="180"/>
                  </w:tabs>
                  <w:spacing w:line="280" w:lineRule="atLeast"/>
                  <w:jc w:val="center"/>
                </w:pPr>
              </w:pPrChange>
            </w:pPr>
            <w:r>
              <w:rPr>
                <w:noProof/>
                <w:sz w:val="20"/>
                <w:lang w:val="it-IT"/>
                <w:rPrChange w:id="4143" w:author="Author">
                  <w:rPr>
                    <w:szCs w:val="22"/>
                    <w:lang w:val="it-IT"/>
                  </w:rPr>
                </w:rPrChange>
              </w:rPr>
              <w:t>47,0%</w:t>
            </w:r>
          </w:p>
        </w:tc>
        <w:tc>
          <w:tcPr>
            <w:tcW w:w="2826" w:type="dxa"/>
            <w:tcPrChange w:id="4144" w:author="Author">
              <w:tcPr>
                <w:tcW w:w="2977" w:type="dxa"/>
              </w:tcPr>
            </w:tcPrChange>
          </w:tcPr>
          <w:p>
            <w:pPr>
              <w:keepNext/>
              <w:tabs>
                <w:tab w:val="left" w:pos="180"/>
              </w:tabs>
              <w:suppressAutoHyphens/>
              <w:jc w:val="center"/>
              <w:rPr>
                <w:noProof/>
                <w:sz w:val="20"/>
                <w:lang w:val="it-IT"/>
                <w:rPrChange w:id="4145" w:author="Author">
                  <w:rPr>
                    <w:szCs w:val="22"/>
                    <w:lang w:val="it-IT"/>
                  </w:rPr>
                </w:rPrChange>
              </w:rPr>
              <w:pPrChange w:id="4146" w:author="Author">
                <w:pPr>
                  <w:keepNext/>
                  <w:tabs>
                    <w:tab w:val="left" w:pos="180"/>
                  </w:tabs>
                  <w:spacing w:line="280" w:lineRule="atLeast"/>
                  <w:jc w:val="center"/>
                </w:pPr>
              </w:pPrChange>
            </w:pPr>
            <w:r>
              <w:rPr>
                <w:noProof/>
                <w:sz w:val="20"/>
                <w:lang w:val="it-IT"/>
                <w:rPrChange w:id="4147" w:author="Author">
                  <w:rPr>
                    <w:szCs w:val="22"/>
                    <w:lang w:val="it-IT"/>
                  </w:rPr>
                </w:rPrChange>
              </w:rPr>
              <w:t>48,6%</w:t>
            </w:r>
          </w:p>
        </w:tc>
      </w:tr>
      <w:tr>
        <w:trPr>
          <w:cantSplit/>
        </w:trPr>
        <w:tc>
          <w:tcPr>
            <w:tcW w:w="3415" w:type="dxa"/>
            <w:tcPrChange w:id="4148" w:author="Author">
              <w:tcPr>
                <w:tcW w:w="2718" w:type="dxa"/>
              </w:tcPr>
            </w:tcPrChange>
          </w:tcPr>
          <w:p>
            <w:pPr>
              <w:keepNext/>
              <w:tabs>
                <w:tab w:val="left" w:pos="180"/>
              </w:tabs>
              <w:suppressAutoHyphens/>
              <w:jc w:val="right"/>
              <w:rPr>
                <w:noProof/>
                <w:sz w:val="20"/>
                <w:lang w:val="it-IT"/>
                <w:rPrChange w:id="4149" w:author="Author">
                  <w:rPr>
                    <w:szCs w:val="22"/>
                    <w:lang w:val="it-IT"/>
                  </w:rPr>
                </w:rPrChange>
              </w:rPr>
              <w:pPrChange w:id="4150" w:author="Author">
                <w:pPr>
                  <w:keepNext/>
                  <w:tabs>
                    <w:tab w:val="left" w:pos="180"/>
                  </w:tabs>
                  <w:spacing w:line="280" w:lineRule="atLeast"/>
                  <w:jc w:val="right"/>
                </w:pPr>
              </w:pPrChange>
            </w:pPr>
            <w:r>
              <w:rPr>
                <w:noProof/>
                <w:sz w:val="20"/>
                <w:lang w:val="it-IT"/>
                <w:rPrChange w:id="4151" w:author="Author">
                  <w:rPr>
                    <w:szCs w:val="22"/>
                    <w:lang w:val="it-IT"/>
                  </w:rPr>
                </w:rPrChange>
              </w:rPr>
              <w:t>Differenza ponderata (IC al 95%)</w:t>
            </w:r>
          </w:p>
        </w:tc>
        <w:tc>
          <w:tcPr>
            <w:tcW w:w="5652" w:type="dxa"/>
            <w:gridSpan w:val="2"/>
            <w:tcPrChange w:id="4152" w:author="Author">
              <w:tcPr>
                <w:tcW w:w="4903" w:type="dxa"/>
                <w:gridSpan w:val="2"/>
              </w:tcPr>
            </w:tcPrChange>
          </w:tcPr>
          <w:p>
            <w:pPr>
              <w:keepNext/>
              <w:tabs>
                <w:tab w:val="left" w:pos="180"/>
              </w:tabs>
              <w:suppressAutoHyphens/>
              <w:jc w:val="center"/>
              <w:rPr>
                <w:noProof/>
                <w:sz w:val="20"/>
                <w:lang w:val="it-IT"/>
                <w:rPrChange w:id="4153" w:author="Author">
                  <w:rPr>
                    <w:szCs w:val="22"/>
                    <w:lang w:val="it-IT"/>
                  </w:rPr>
                </w:rPrChange>
              </w:rPr>
              <w:pPrChange w:id="4154" w:author="Author">
                <w:pPr>
                  <w:keepNext/>
                  <w:tabs>
                    <w:tab w:val="left" w:pos="180"/>
                  </w:tabs>
                  <w:spacing w:line="280" w:lineRule="atLeast"/>
                  <w:jc w:val="center"/>
                </w:pPr>
              </w:pPrChange>
            </w:pPr>
            <w:r>
              <w:rPr>
                <w:noProof/>
                <w:sz w:val="20"/>
                <w:lang w:val="it-IT"/>
                <w:rPrChange w:id="4155" w:author="Author">
                  <w:rPr>
                    <w:szCs w:val="22"/>
                    <w:lang w:val="it-IT"/>
                  </w:rPr>
                </w:rPrChange>
              </w:rPr>
              <w:t>-1,8 (-7,5; 4,0)</w:t>
            </w:r>
          </w:p>
        </w:tc>
      </w:tr>
      <w:tr>
        <w:trPr>
          <w:cantSplit/>
        </w:trPr>
        <w:tc>
          <w:tcPr>
            <w:tcW w:w="3415" w:type="dxa"/>
            <w:tcPrChange w:id="4156" w:author="Author">
              <w:tcPr>
                <w:tcW w:w="2718" w:type="dxa"/>
              </w:tcPr>
            </w:tcPrChange>
          </w:tcPr>
          <w:p>
            <w:pPr>
              <w:keepNext/>
              <w:tabs>
                <w:tab w:val="left" w:pos="180"/>
              </w:tabs>
              <w:suppressAutoHyphens/>
              <w:jc w:val="right"/>
              <w:rPr>
                <w:noProof/>
                <w:sz w:val="20"/>
                <w:lang w:val="it-IT"/>
                <w:rPrChange w:id="4157" w:author="Author">
                  <w:rPr>
                    <w:szCs w:val="22"/>
                    <w:lang w:val="it-IT"/>
                  </w:rPr>
                </w:rPrChange>
              </w:rPr>
              <w:pPrChange w:id="4158" w:author="Author">
                <w:pPr>
                  <w:keepNext/>
                  <w:tabs>
                    <w:tab w:val="left" w:pos="180"/>
                  </w:tabs>
                  <w:spacing w:line="280" w:lineRule="atLeast"/>
                  <w:jc w:val="right"/>
                </w:pPr>
              </w:pPrChange>
            </w:pPr>
            <w:r>
              <w:rPr>
                <w:noProof/>
                <w:sz w:val="20"/>
                <w:lang w:val="it-IT"/>
                <w:rPrChange w:id="4159" w:author="Author">
                  <w:rPr>
                    <w:szCs w:val="22"/>
                    <w:lang w:val="it-IT"/>
                  </w:rPr>
                </w:rPrChange>
              </w:rPr>
              <w:t>ACR70 alla settimana 24</w:t>
            </w:r>
          </w:p>
        </w:tc>
        <w:tc>
          <w:tcPr>
            <w:tcW w:w="2826" w:type="dxa"/>
            <w:tcPrChange w:id="4160" w:author="Author">
              <w:tcPr>
                <w:tcW w:w="1926" w:type="dxa"/>
              </w:tcPr>
            </w:tcPrChange>
          </w:tcPr>
          <w:p>
            <w:pPr>
              <w:keepNext/>
              <w:tabs>
                <w:tab w:val="left" w:pos="180"/>
              </w:tabs>
              <w:suppressAutoHyphens/>
              <w:jc w:val="center"/>
              <w:rPr>
                <w:noProof/>
                <w:sz w:val="20"/>
                <w:lang w:val="it-IT"/>
                <w:rPrChange w:id="4161" w:author="Author">
                  <w:rPr>
                    <w:szCs w:val="22"/>
                    <w:lang w:val="it-IT"/>
                  </w:rPr>
                </w:rPrChange>
              </w:rPr>
              <w:pPrChange w:id="4162" w:author="Author">
                <w:pPr>
                  <w:keepNext/>
                  <w:tabs>
                    <w:tab w:val="left" w:pos="180"/>
                  </w:tabs>
                  <w:spacing w:line="280" w:lineRule="atLeast"/>
                  <w:jc w:val="center"/>
                </w:pPr>
              </w:pPrChange>
            </w:pPr>
            <w:r>
              <w:rPr>
                <w:noProof/>
                <w:sz w:val="20"/>
                <w:lang w:val="it-IT"/>
                <w:rPrChange w:id="4163" w:author="Author">
                  <w:rPr>
                    <w:szCs w:val="22"/>
                    <w:lang w:val="it-IT"/>
                  </w:rPr>
                </w:rPrChange>
              </w:rPr>
              <w:t>24,0%</w:t>
            </w:r>
          </w:p>
        </w:tc>
        <w:tc>
          <w:tcPr>
            <w:tcW w:w="2826" w:type="dxa"/>
            <w:tcPrChange w:id="4164" w:author="Author">
              <w:tcPr>
                <w:tcW w:w="2977" w:type="dxa"/>
              </w:tcPr>
            </w:tcPrChange>
          </w:tcPr>
          <w:p>
            <w:pPr>
              <w:keepNext/>
              <w:tabs>
                <w:tab w:val="left" w:pos="180"/>
              </w:tabs>
              <w:suppressAutoHyphens/>
              <w:jc w:val="center"/>
              <w:rPr>
                <w:noProof/>
                <w:sz w:val="20"/>
                <w:lang w:val="it-IT"/>
                <w:rPrChange w:id="4165" w:author="Author">
                  <w:rPr>
                    <w:szCs w:val="22"/>
                    <w:lang w:val="it-IT"/>
                  </w:rPr>
                </w:rPrChange>
              </w:rPr>
              <w:pPrChange w:id="4166" w:author="Author">
                <w:pPr>
                  <w:keepNext/>
                  <w:tabs>
                    <w:tab w:val="left" w:pos="180"/>
                  </w:tabs>
                  <w:spacing w:line="280" w:lineRule="atLeast"/>
                  <w:jc w:val="center"/>
                </w:pPr>
              </w:pPrChange>
            </w:pPr>
            <w:r>
              <w:rPr>
                <w:noProof/>
                <w:sz w:val="20"/>
                <w:lang w:val="it-IT"/>
                <w:rPrChange w:id="4167" w:author="Author">
                  <w:rPr>
                    <w:szCs w:val="22"/>
                    <w:lang w:val="it-IT"/>
                  </w:rPr>
                </w:rPrChange>
              </w:rPr>
              <w:t>27,9%</w:t>
            </w:r>
          </w:p>
        </w:tc>
      </w:tr>
      <w:tr>
        <w:trPr>
          <w:cantSplit/>
        </w:trPr>
        <w:tc>
          <w:tcPr>
            <w:tcW w:w="3415" w:type="dxa"/>
            <w:tcPrChange w:id="4168" w:author="Author">
              <w:tcPr>
                <w:tcW w:w="2718" w:type="dxa"/>
              </w:tcPr>
            </w:tcPrChange>
          </w:tcPr>
          <w:p>
            <w:pPr>
              <w:keepNext/>
              <w:tabs>
                <w:tab w:val="left" w:pos="180"/>
              </w:tabs>
              <w:suppressAutoHyphens/>
              <w:jc w:val="right"/>
              <w:rPr>
                <w:noProof/>
                <w:sz w:val="20"/>
                <w:lang w:val="it-IT"/>
                <w:rPrChange w:id="4169" w:author="Author">
                  <w:rPr>
                    <w:szCs w:val="22"/>
                    <w:lang w:val="it-IT"/>
                  </w:rPr>
                </w:rPrChange>
              </w:rPr>
              <w:pPrChange w:id="4170" w:author="Author">
                <w:pPr>
                  <w:keepNext/>
                  <w:tabs>
                    <w:tab w:val="left" w:pos="180"/>
                  </w:tabs>
                  <w:spacing w:line="280" w:lineRule="atLeast"/>
                  <w:jc w:val="right"/>
                </w:pPr>
              </w:pPrChange>
            </w:pPr>
            <w:r>
              <w:rPr>
                <w:noProof/>
                <w:sz w:val="20"/>
                <w:lang w:val="it-IT"/>
                <w:rPrChange w:id="4171" w:author="Author">
                  <w:rPr>
                    <w:szCs w:val="22"/>
                    <w:lang w:val="it-IT"/>
                  </w:rPr>
                </w:rPrChange>
              </w:rPr>
              <w:t>Differenza ponderata (IC al 95%)</w:t>
            </w:r>
          </w:p>
        </w:tc>
        <w:tc>
          <w:tcPr>
            <w:tcW w:w="5652" w:type="dxa"/>
            <w:gridSpan w:val="2"/>
            <w:tcPrChange w:id="4172" w:author="Author">
              <w:tcPr>
                <w:tcW w:w="4903" w:type="dxa"/>
                <w:gridSpan w:val="2"/>
              </w:tcPr>
            </w:tcPrChange>
          </w:tcPr>
          <w:p>
            <w:pPr>
              <w:keepNext/>
              <w:tabs>
                <w:tab w:val="left" w:pos="180"/>
              </w:tabs>
              <w:suppressAutoHyphens/>
              <w:jc w:val="center"/>
              <w:rPr>
                <w:noProof/>
                <w:sz w:val="20"/>
                <w:lang w:val="it-IT"/>
                <w:rPrChange w:id="4173" w:author="Author">
                  <w:rPr>
                    <w:szCs w:val="22"/>
                    <w:lang w:val="it-IT"/>
                  </w:rPr>
                </w:rPrChange>
              </w:rPr>
              <w:pPrChange w:id="4174" w:author="Author">
                <w:pPr>
                  <w:keepNext/>
                  <w:tabs>
                    <w:tab w:val="left" w:pos="180"/>
                  </w:tabs>
                  <w:spacing w:line="280" w:lineRule="atLeast"/>
                  <w:jc w:val="center"/>
                </w:pPr>
              </w:pPrChange>
            </w:pPr>
            <w:r>
              <w:rPr>
                <w:noProof/>
                <w:sz w:val="20"/>
                <w:lang w:val="it-IT"/>
                <w:rPrChange w:id="4175" w:author="Author">
                  <w:rPr>
                    <w:szCs w:val="22"/>
                    <w:lang w:val="it-IT"/>
                  </w:rPr>
                </w:rPrChange>
              </w:rPr>
              <w:t>-3,8 (-9,0; 1,3)</w:t>
            </w:r>
          </w:p>
        </w:tc>
      </w:tr>
    </w:tbl>
    <w:p>
      <w:pPr>
        <w:keepNext/>
        <w:tabs>
          <w:tab w:val="left" w:pos="180"/>
        </w:tabs>
        <w:rPr>
          <w:noProof/>
          <w:sz w:val="18"/>
          <w:szCs w:val="18"/>
          <w:lang w:val="it-IT"/>
        </w:rPr>
      </w:pPr>
      <w:r>
        <w:rPr>
          <w:noProof/>
          <w:sz w:val="18"/>
          <w:szCs w:val="18"/>
          <w:lang w:val="it-IT"/>
        </w:rPr>
        <w:t>DMARD</w:t>
      </w:r>
      <w:del w:id="4176" w:author="Author">
        <w:r>
          <w:rPr>
            <w:noProof/>
            <w:sz w:val="18"/>
            <w:szCs w:val="18"/>
            <w:lang w:val="it-IT"/>
          </w:rPr>
          <w:delText xml:space="preserve"> </w:delText>
        </w:r>
      </w:del>
      <w:ins w:id="4177" w:author="Author">
        <w:r>
          <w:rPr>
            <w:noProof/>
            <w:sz w:val="18"/>
            <w:szCs w:val="18"/>
            <w:lang w:val="it-IT"/>
          </w:rPr>
          <w:t> </w:t>
        </w:r>
      </w:ins>
      <w:r>
        <w:rPr>
          <w:noProof/>
          <w:sz w:val="18"/>
          <w:szCs w:val="18"/>
          <w:lang w:val="it-IT"/>
        </w:rPr>
        <w:t>=</w:t>
      </w:r>
      <w:ins w:id="4178" w:author="Author">
        <w:r>
          <w:rPr>
            <w:noProof/>
            <w:sz w:val="18"/>
            <w:szCs w:val="18"/>
            <w:lang w:val="it-IT"/>
          </w:rPr>
          <w:t> </w:t>
        </w:r>
      </w:ins>
      <w:del w:id="4179" w:author="Author">
        <w:r>
          <w:rPr>
            <w:noProof/>
            <w:sz w:val="18"/>
            <w:szCs w:val="18"/>
            <w:lang w:val="it-IT"/>
          </w:rPr>
          <w:delText xml:space="preserve"> </w:delText>
        </w:r>
      </w:del>
      <w:r>
        <w:rPr>
          <w:noProof/>
          <w:sz w:val="18"/>
          <w:szCs w:val="18"/>
          <w:lang w:val="it-IT"/>
        </w:rPr>
        <w:t>farmaci antireumatici modificanti la malattia</w:t>
      </w:r>
    </w:p>
    <w:p>
      <w:pPr>
        <w:keepNext/>
        <w:tabs>
          <w:tab w:val="left" w:pos="180"/>
        </w:tabs>
        <w:rPr>
          <w:noProof/>
          <w:sz w:val="18"/>
          <w:szCs w:val="18"/>
          <w:lang w:val="it-IT"/>
        </w:rPr>
      </w:pPr>
      <w:r>
        <w:rPr>
          <w:noProof/>
          <w:sz w:val="18"/>
          <w:szCs w:val="18"/>
          <w:lang w:val="it-IT"/>
        </w:rPr>
        <w:t>TCZ</w:t>
      </w:r>
      <w:del w:id="4180" w:author="Author">
        <w:r>
          <w:rPr>
            <w:noProof/>
            <w:sz w:val="18"/>
            <w:szCs w:val="18"/>
            <w:lang w:val="it-IT"/>
          </w:rPr>
          <w:delText xml:space="preserve"> </w:delText>
        </w:r>
      </w:del>
      <w:ins w:id="4181" w:author="Author">
        <w:r>
          <w:rPr>
            <w:noProof/>
            <w:sz w:val="18"/>
            <w:szCs w:val="18"/>
            <w:lang w:val="it-IT"/>
          </w:rPr>
          <w:t> </w:t>
        </w:r>
      </w:ins>
      <w:r>
        <w:rPr>
          <w:noProof/>
          <w:sz w:val="18"/>
          <w:szCs w:val="18"/>
          <w:lang w:val="it-IT"/>
        </w:rPr>
        <w:t>=</w:t>
      </w:r>
      <w:ins w:id="4182" w:author="Author">
        <w:r>
          <w:rPr>
            <w:noProof/>
            <w:sz w:val="18"/>
            <w:szCs w:val="18"/>
            <w:lang w:val="it-IT"/>
          </w:rPr>
          <w:t> </w:t>
        </w:r>
      </w:ins>
      <w:del w:id="4183" w:author="Author">
        <w:r>
          <w:rPr>
            <w:noProof/>
            <w:sz w:val="18"/>
            <w:szCs w:val="18"/>
            <w:lang w:val="it-IT"/>
          </w:rPr>
          <w:delText xml:space="preserve"> </w:delText>
        </w:r>
      </w:del>
      <w:r>
        <w:rPr>
          <w:noProof/>
          <w:sz w:val="18"/>
          <w:szCs w:val="18"/>
          <w:lang w:val="it-IT"/>
        </w:rPr>
        <w:t>tocilizumab</w:t>
      </w:r>
    </w:p>
    <w:p>
      <w:pPr>
        <w:keepNext/>
        <w:tabs>
          <w:tab w:val="left" w:pos="180"/>
        </w:tabs>
        <w:rPr>
          <w:noProof/>
          <w:sz w:val="18"/>
          <w:szCs w:val="18"/>
          <w:lang w:val="it-IT"/>
        </w:rPr>
      </w:pPr>
      <w:r>
        <w:rPr>
          <w:noProof/>
          <w:sz w:val="18"/>
          <w:szCs w:val="18"/>
          <w:lang w:val="it-IT"/>
        </w:rPr>
        <w:t>IV</w:t>
      </w:r>
      <w:del w:id="4184" w:author="Author">
        <w:r>
          <w:rPr>
            <w:noProof/>
            <w:sz w:val="18"/>
            <w:szCs w:val="18"/>
            <w:lang w:val="it-IT"/>
          </w:rPr>
          <w:delText xml:space="preserve"> </w:delText>
        </w:r>
      </w:del>
      <w:ins w:id="4185" w:author="Author">
        <w:r>
          <w:rPr>
            <w:noProof/>
            <w:sz w:val="18"/>
            <w:szCs w:val="18"/>
            <w:lang w:val="it-IT"/>
          </w:rPr>
          <w:t> </w:t>
        </w:r>
      </w:ins>
      <w:r>
        <w:rPr>
          <w:noProof/>
          <w:sz w:val="18"/>
          <w:szCs w:val="18"/>
          <w:lang w:val="it-IT"/>
        </w:rPr>
        <w:t>=</w:t>
      </w:r>
      <w:ins w:id="4186" w:author="Author">
        <w:r>
          <w:rPr>
            <w:noProof/>
            <w:sz w:val="18"/>
            <w:szCs w:val="18"/>
            <w:lang w:val="it-IT"/>
          </w:rPr>
          <w:t> </w:t>
        </w:r>
      </w:ins>
      <w:del w:id="4187" w:author="Author">
        <w:r>
          <w:rPr>
            <w:noProof/>
            <w:sz w:val="18"/>
            <w:szCs w:val="18"/>
            <w:lang w:val="it-IT"/>
          </w:rPr>
          <w:delText xml:space="preserve"> </w:delText>
        </w:r>
      </w:del>
      <w:r>
        <w:rPr>
          <w:noProof/>
          <w:sz w:val="18"/>
          <w:szCs w:val="18"/>
          <w:lang w:val="it-IT"/>
        </w:rPr>
        <w:t>intravenosa</w:t>
      </w:r>
    </w:p>
    <w:p>
      <w:pPr>
        <w:tabs>
          <w:tab w:val="left" w:pos="180"/>
        </w:tabs>
        <w:rPr>
          <w:noProof/>
          <w:sz w:val="18"/>
          <w:szCs w:val="18"/>
          <w:lang w:val="it-IT"/>
        </w:rPr>
      </w:pPr>
      <w:r>
        <w:rPr>
          <w:noProof/>
          <w:sz w:val="18"/>
          <w:szCs w:val="18"/>
          <w:lang w:val="it-IT"/>
        </w:rPr>
        <w:t>SC</w:t>
      </w:r>
      <w:del w:id="4188" w:author="Author">
        <w:r>
          <w:rPr>
            <w:noProof/>
            <w:sz w:val="18"/>
            <w:szCs w:val="18"/>
            <w:lang w:val="it-IT"/>
          </w:rPr>
          <w:delText xml:space="preserve"> </w:delText>
        </w:r>
      </w:del>
      <w:ins w:id="4189" w:author="Author">
        <w:r>
          <w:rPr>
            <w:noProof/>
            <w:sz w:val="18"/>
            <w:szCs w:val="18"/>
            <w:lang w:val="it-IT"/>
          </w:rPr>
          <w:t> </w:t>
        </w:r>
      </w:ins>
      <w:r>
        <w:rPr>
          <w:noProof/>
          <w:sz w:val="18"/>
          <w:szCs w:val="18"/>
          <w:lang w:val="it-IT"/>
        </w:rPr>
        <w:t>=</w:t>
      </w:r>
      <w:ins w:id="4190" w:author="Author">
        <w:r>
          <w:rPr>
            <w:noProof/>
            <w:sz w:val="18"/>
            <w:szCs w:val="18"/>
            <w:lang w:val="it-IT"/>
          </w:rPr>
          <w:t> </w:t>
        </w:r>
      </w:ins>
      <w:del w:id="4191" w:author="Author">
        <w:r>
          <w:rPr>
            <w:noProof/>
            <w:sz w:val="18"/>
            <w:szCs w:val="18"/>
            <w:lang w:val="it-IT"/>
          </w:rPr>
          <w:delText xml:space="preserve"> </w:delText>
        </w:r>
      </w:del>
      <w:r>
        <w:rPr>
          <w:noProof/>
          <w:sz w:val="18"/>
          <w:szCs w:val="18"/>
          <w:lang w:val="it-IT"/>
        </w:rPr>
        <w:t>sottocutanea</w:t>
      </w:r>
    </w:p>
    <w:p>
      <w:pPr>
        <w:tabs>
          <w:tab w:val="left" w:pos="180"/>
        </w:tabs>
        <w:rPr>
          <w:noProof/>
          <w:sz w:val="18"/>
          <w:szCs w:val="18"/>
          <w:lang w:val="it-IT"/>
        </w:rPr>
      </w:pPr>
      <w:r>
        <w:rPr>
          <w:noProof/>
          <w:sz w:val="18"/>
          <w:szCs w:val="18"/>
          <w:lang w:val="it-IT"/>
        </w:rPr>
        <w:t>a</w:t>
      </w:r>
      <w:del w:id="4192" w:author="Author">
        <w:r>
          <w:rPr>
            <w:noProof/>
            <w:sz w:val="18"/>
            <w:szCs w:val="18"/>
            <w:lang w:val="it-IT"/>
          </w:rPr>
          <w:delText xml:space="preserve"> </w:delText>
        </w:r>
      </w:del>
      <w:ins w:id="4193" w:author="Author">
        <w:r>
          <w:rPr>
            <w:noProof/>
            <w:sz w:val="18"/>
            <w:szCs w:val="18"/>
            <w:lang w:val="it-IT"/>
          </w:rPr>
          <w:t> </w:t>
        </w:r>
      </w:ins>
      <w:r>
        <w:rPr>
          <w:noProof/>
          <w:sz w:val="18"/>
          <w:szCs w:val="18"/>
          <w:lang w:val="it-IT"/>
        </w:rPr>
        <w:t>=</w:t>
      </w:r>
      <w:ins w:id="4194" w:author="Author">
        <w:r>
          <w:rPr>
            <w:noProof/>
            <w:sz w:val="18"/>
            <w:szCs w:val="18"/>
            <w:lang w:val="it-IT"/>
          </w:rPr>
          <w:t> </w:t>
        </w:r>
      </w:ins>
      <w:del w:id="4195" w:author="Author">
        <w:r>
          <w:rPr>
            <w:noProof/>
            <w:sz w:val="18"/>
            <w:szCs w:val="18"/>
            <w:lang w:val="it-IT"/>
          </w:rPr>
          <w:delText xml:space="preserve"> </w:delText>
        </w:r>
      </w:del>
      <w:r>
        <w:rPr>
          <w:noProof/>
          <w:sz w:val="18"/>
          <w:szCs w:val="18"/>
          <w:lang w:val="it-IT"/>
        </w:rPr>
        <w:t>popolazione per protocollo</w:t>
      </w:r>
    </w:p>
    <w:p>
      <w:pPr>
        <w:tabs>
          <w:tab w:val="left" w:pos="180"/>
        </w:tabs>
        <w:rPr>
          <w:noProof/>
          <w:szCs w:val="22"/>
          <w:lang w:val="it-IT" w:eastAsia="de-DE"/>
          <w:rPrChange w:id="4196" w:author="Author">
            <w:rPr>
              <w:sz w:val="18"/>
              <w:szCs w:val="18"/>
              <w:lang w:val="it-IT" w:eastAsia="de-DE"/>
            </w:rPr>
          </w:rPrChange>
        </w:rPr>
        <w:pPrChange w:id="4197" w:author="Author">
          <w:pPr>
            <w:tabs>
              <w:tab w:val="left" w:pos="180"/>
            </w:tabs>
            <w:spacing w:line="280" w:lineRule="atLeast"/>
          </w:pPr>
        </w:pPrChange>
      </w:pPr>
    </w:p>
    <w:p>
      <w:pPr>
        <w:keepNext/>
        <w:keepLines/>
        <w:tabs>
          <w:tab w:val="left" w:pos="180"/>
        </w:tabs>
        <w:rPr>
          <w:noProof/>
          <w:lang w:val="it-IT"/>
        </w:rPr>
      </w:pPr>
      <w:r>
        <w:rPr>
          <w:noProof/>
          <w:lang w:val="it-IT"/>
        </w:rPr>
        <w:lastRenderedPageBreak/>
        <w:t xml:space="preserve">I pazienti dello </w:t>
      </w:r>
      <w:del w:id="4198" w:author="Author">
        <w:r>
          <w:rPr>
            <w:noProof/>
            <w:lang w:val="it-IT"/>
          </w:rPr>
          <w:delText xml:space="preserve">studio </w:delText>
        </w:r>
      </w:del>
      <w:ins w:id="4199" w:author="Author">
        <w:r>
          <w:rPr>
            <w:noProof/>
            <w:lang w:val="it-IT"/>
          </w:rPr>
          <w:t xml:space="preserve">Studio </w:t>
        </w:r>
      </w:ins>
      <w:r>
        <w:rPr>
          <w:noProof/>
          <w:lang w:val="it-IT"/>
        </w:rPr>
        <w:t xml:space="preserve">SC-I hanno presentato un punteggio medio di attività di malattia (DAS28) al basale di 6,6 e 6,7 rispettivamente nel braccio s.c. e nel braccio e.v. Alla settimana 24 è stata osservata una riduzione significativa del DAS28 rispetto ai valori basali (miglioramento medio) di 3,5 in entrambi i bracci di trattamento e una percentuale sovrapponibile di pazienti ha raggiunto la remissione clinica secondo i criteri DAS28 (DAS28 &lt; 2,6) nel braccio </w:t>
      </w:r>
      <w:del w:id="4200" w:author="Author">
        <w:r>
          <w:rPr>
            <w:noProof/>
            <w:lang w:val="it-IT"/>
          </w:rPr>
          <w:delText xml:space="preserve"> per inizione</w:delText>
        </w:r>
      </w:del>
      <w:ins w:id="4201" w:author="Author">
        <w:r>
          <w:rPr>
            <w:noProof/>
            <w:lang w:val="it-IT"/>
          </w:rPr>
          <w:t>con somministrazione</w:t>
        </w:r>
      </w:ins>
      <w:r>
        <w:rPr>
          <w:noProof/>
          <w:lang w:val="it-IT"/>
        </w:rPr>
        <w:t xml:space="preserve"> sottocutanea (38,4%) e nel braccio </w:t>
      </w:r>
      <w:del w:id="4202" w:author="Author">
        <w:r>
          <w:rPr>
            <w:noProof/>
            <w:lang w:val="it-IT"/>
          </w:rPr>
          <w:delText>per iniezione</w:delText>
        </w:r>
      </w:del>
      <w:ins w:id="4203" w:author="Author">
        <w:r>
          <w:rPr>
            <w:noProof/>
            <w:lang w:val="it-IT"/>
          </w:rPr>
          <w:t>con somministrazione</w:t>
        </w:r>
      </w:ins>
      <w:r>
        <w:rPr>
          <w:noProof/>
          <w:lang w:val="it-IT"/>
        </w:rPr>
        <w:t xml:space="preserve"> endovenosa (36,9%).</w:t>
      </w:r>
    </w:p>
    <w:p>
      <w:pPr>
        <w:numPr>
          <w:ilvl w:val="12"/>
          <w:numId w:val="0"/>
        </w:numPr>
        <w:tabs>
          <w:tab w:val="left" w:pos="180"/>
        </w:tabs>
        <w:ind w:right="-2"/>
        <w:rPr>
          <w:i/>
          <w:noProof/>
          <w:szCs w:val="22"/>
          <w:lang w:val="it-IT" w:eastAsia="de-DE"/>
        </w:rPr>
      </w:pPr>
    </w:p>
    <w:p>
      <w:pPr>
        <w:keepNext/>
        <w:keepLines/>
        <w:tabs>
          <w:tab w:val="left" w:pos="180"/>
        </w:tabs>
        <w:autoSpaceDE w:val="0"/>
        <w:autoSpaceDN w:val="0"/>
        <w:adjustRightInd w:val="0"/>
        <w:spacing w:line="280" w:lineRule="atLeast"/>
        <w:rPr>
          <w:i/>
          <w:noProof/>
          <w:szCs w:val="22"/>
          <w:u w:val="single"/>
          <w:lang w:val="it-IT"/>
        </w:rPr>
      </w:pPr>
      <w:r>
        <w:rPr>
          <w:i/>
          <w:noProof/>
          <w:szCs w:val="22"/>
          <w:u w:val="single"/>
          <w:lang w:val="it-IT"/>
        </w:rPr>
        <w:t xml:space="preserve">Risposta radiografica </w:t>
      </w:r>
    </w:p>
    <w:p>
      <w:pPr>
        <w:tabs>
          <w:tab w:val="left" w:pos="180"/>
        </w:tabs>
        <w:rPr>
          <w:noProof/>
          <w:szCs w:val="22"/>
          <w:lang w:val="it-IT"/>
        </w:rPr>
      </w:pPr>
      <w:r>
        <w:rPr>
          <w:noProof/>
          <w:szCs w:val="22"/>
          <w:lang w:val="it-IT"/>
        </w:rPr>
        <w:t xml:space="preserve">La risposta radiografica associata a </w:t>
      </w:r>
      <w:r>
        <w:rPr>
          <w:rFonts w:eastAsia="SimSun"/>
          <w:noProof/>
          <w:szCs w:val="22"/>
          <w:lang w:val="it-IT" w:eastAsia="zh-CN"/>
        </w:rPr>
        <w:t>tocilizumab</w:t>
      </w:r>
      <w:r>
        <w:rPr>
          <w:noProof/>
          <w:szCs w:val="22"/>
          <w:lang w:val="it-IT"/>
        </w:rPr>
        <w:t xml:space="preserve"> somministrato per via sottocutanea è stata valutata in uno studio in doppio cieco, controllato e multicentrico condotto su pazienti affetti da AR attiva (SC-II). Lo </w:t>
      </w:r>
      <w:del w:id="4204" w:author="Author">
        <w:r>
          <w:rPr>
            <w:noProof/>
            <w:szCs w:val="22"/>
            <w:lang w:val="it-IT"/>
          </w:rPr>
          <w:delText xml:space="preserve">studio </w:delText>
        </w:r>
      </w:del>
      <w:ins w:id="4205" w:author="Author">
        <w:r>
          <w:rPr>
            <w:noProof/>
            <w:szCs w:val="22"/>
            <w:lang w:val="it-IT"/>
          </w:rPr>
          <w:t xml:space="preserve">Studio </w:t>
        </w:r>
      </w:ins>
      <w:r>
        <w:rPr>
          <w:noProof/>
          <w:szCs w:val="22"/>
          <w:lang w:val="it-IT"/>
        </w:rPr>
        <w:t xml:space="preserve">SC-II ha valutato pazienti affetti da AR attiva da moderata a severa con una risposta clinica inadeguata alla terapia reumatologica in atto, inclusi uno o più DMARD, dei quali il 20% circa presentava una storia di risposta inadeguata ad almeno un inibitore del TNF. I pazienti dovevano essere di età &gt; 18 anni, affetti da AR attiva diagnosticata in base ai criteri ACR e presentare almeno 8 articolazioni dolenti e 6 articolazioni tumefatte al basale. Nello </w:t>
      </w:r>
      <w:del w:id="4206" w:author="Author">
        <w:r>
          <w:rPr>
            <w:noProof/>
            <w:szCs w:val="22"/>
            <w:lang w:val="it-IT"/>
          </w:rPr>
          <w:delText xml:space="preserve">studio </w:delText>
        </w:r>
      </w:del>
      <w:ins w:id="4207" w:author="Author">
        <w:r>
          <w:rPr>
            <w:noProof/>
            <w:szCs w:val="22"/>
            <w:lang w:val="it-IT"/>
          </w:rPr>
          <w:t xml:space="preserve">Studio </w:t>
        </w:r>
      </w:ins>
      <w:r>
        <w:rPr>
          <w:noProof/>
          <w:szCs w:val="22"/>
          <w:lang w:val="it-IT"/>
        </w:rPr>
        <w:t xml:space="preserve">SC-II, 656 pazienti sono stati randomizzati in rapporto 2:1 al trattamento con 162 mg di </w:t>
      </w:r>
      <w:r>
        <w:rPr>
          <w:rFonts w:eastAsia="SimSun"/>
          <w:noProof/>
          <w:szCs w:val="22"/>
          <w:lang w:val="it-IT" w:eastAsia="zh-CN"/>
        </w:rPr>
        <w:t>tocilizumab</w:t>
      </w:r>
      <w:r>
        <w:rPr>
          <w:noProof/>
          <w:szCs w:val="22"/>
          <w:lang w:val="it-IT"/>
        </w:rPr>
        <w:t xml:space="preserve"> </w:t>
      </w:r>
      <w:r>
        <w:rPr>
          <w:rFonts w:eastAsia="SimSun"/>
          <w:noProof/>
          <w:szCs w:val="22"/>
          <w:lang w:val="it-IT" w:eastAsia="zh-CN"/>
        </w:rPr>
        <w:t>per via sottocutanea</w:t>
      </w:r>
      <w:r>
        <w:rPr>
          <w:noProof/>
          <w:szCs w:val="22"/>
          <w:lang w:val="it-IT"/>
        </w:rPr>
        <w:t xml:space="preserve"> </w:t>
      </w:r>
      <w:del w:id="4208" w:author="Author">
        <w:r>
          <w:rPr>
            <w:noProof/>
            <w:szCs w:val="22"/>
            <w:lang w:val="it-IT"/>
          </w:rPr>
          <w:delText xml:space="preserve">a </w:delText>
        </w:r>
      </w:del>
      <w:ins w:id="4209" w:author="Author">
        <w:r>
          <w:rPr>
            <w:noProof/>
            <w:szCs w:val="22"/>
            <w:lang w:val="it-IT"/>
          </w:rPr>
          <w:t xml:space="preserve">ogni due </w:t>
        </w:r>
      </w:ins>
      <w:r>
        <w:rPr>
          <w:noProof/>
          <w:szCs w:val="22"/>
          <w:lang w:val="it-IT"/>
        </w:rPr>
        <w:t xml:space="preserve">settimane </w:t>
      </w:r>
      <w:del w:id="4210" w:author="Author">
        <w:r>
          <w:rPr>
            <w:noProof/>
            <w:szCs w:val="22"/>
            <w:lang w:val="it-IT"/>
          </w:rPr>
          <w:delText xml:space="preserve">alterne </w:delText>
        </w:r>
      </w:del>
      <w:r>
        <w:rPr>
          <w:noProof/>
          <w:szCs w:val="22"/>
          <w:lang w:val="it-IT"/>
        </w:rPr>
        <w:t>o con placebo in associazione a DMARD non biologici.</w:t>
      </w:r>
    </w:p>
    <w:p>
      <w:pPr>
        <w:numPr>
          <w:ilvl w:val="12"/>
          <w:numId w:val="0"/>
        </w:numPr>
        <w:tabs>
          <w:tab w:val="left" w:pos="180"/>
        </w:tabs>
        <w:ind w:right="-2"/>
        <w:rPr>
          <w:noProof/>
          <w:szCs w:val="22"/>
          <w:lang w:val="it-IT"/>
        </w:rPr>
      </w:pPr>
    </w:p>
    <w:p>
      <w:pPr>
        <w:tabs>
          <w:tab w:val="left" w:pos="180"/>
        </w:tabs>
        <w:rPr>
          <w:noProof/>
          <w:szCs w:val="22"/>
          <w:lang w:val="it-IT"/>
        </w:rPr>
      </w:pPr>
      <w:r>
        <w:rPr>
          <w:noProof/>
          <w:szCs w:val="22"/>
          <w:lang w:val="it-IT"/>
        </w:rPr>
        <w:t xml:space="preserve">Nello </w:t>
      </w:r>
      <w:del w:id="4211" w:author="Author">
        <w:r>
          <w:rPr>
            <w:noProof/>
            <w:szCs w:val="22"/>
            <w:lang w:val="it-IT"/>
          </w:rPr>
          <w:delText xml:space="preserve">studio </w:delText>
        </w:r>
      </w:del>
      <w:ins w:id="4212" w:author="Author">
        <w:r>
          <w:rPr>
            <w:noProof/>
            <w:szCs w:val="22"/>
            <w:lang w:val="it-IT"/>
          </w:rPr>
          <w:t xml:space="preserve">Studio </w:t>
        </w:r>
      </w:ins>
      <w:r>
        <w:rPr>
          <w:noProof/>
          <w:szCs w:val="22"/>
          <w:lang w:val="it-IT"/>
        </w:rPr>
        <w:t xml:space="preserve">SC-II, l’inibizione del danno articolare strutturale è stata valutata radiograficamente ed espressa come variazione del punteggio totale medio di Sharp modificato secondo van der Heijde (mTSS) rispetto al basale. Alla settimana 24, nei pazienti trattati con </w:t>
      </w:r>
      <w:r>
        <w:rPr>
          <w:rFonts w:eastAsia="SimSun"/>
          <w:noProof/>
          <w:szCs w:val="22"/>
          <w:lang w:val="it-IT" w:eastAsia="zh-CN"/>
        </w:rPr>
        <w:t>tocilizumab</w:t>
      </w:r>
      <w:r>
        <w:rPr>
          <w:noProof/>
          <w:szCs w:val="22"/>
          <w:lang w:val="it-IT"/>
        </w:rPr>
        <w:t xml:space="preserve"> in formulazione</w:t>
      </w:r>
      <w:r>
        <w:rPr>
          <w:rFonts w:eastAsia="SimSun"/>
          <w:noProof/>
          <w:szCs w:val="22"/>
          <w:lang w:val="it-IT" w:eastAsia="zh-CN"/>
        </w:rPr>
        <w:t xml:space="preserve"> sottocutanea</w:t>
      </w:r>
      <w:r>
        <w:rPr>
          <w:noProof/>
          <w:szCs w:val="22"/>
          <w:lang w:val="it-IT"/>
        </w:rPr>
        <w:t xml:space="preserve"> è stata riscontrata inibizione del danno strutturale, con una progressione radiografica significativamente inferiore rispetto ai pazienti trattati con placebo (mTSS medio di 0,62 vs. 1,23, p</w:t>
      </w:r>
      <w:del w:id="4213" w:author="Author">
        <w:r>
          <w:rPr>
            <w:noProof/>
            <w:szCs w:val="22"/>
            <w:lang w:val="it-IT"/>
          </w:rPr>
          <w:delText xml:space="preserve"> </w:delText>
        </w:r>
      </w:del>
      <w:ins w:id="4214" w:author="Author">
        <w:r>
          <w:rPr>
            <w:noProof/>
            <w:szCs w:val="22"/>
            <w:lang w:val="it-IT"/>
          </w:rPr>
          <w:t> </w:t>
        </w:r>
      </w:ins>
      <w:r>
        <w:rPr>
          <w:noProof/>
          <w:szCs w:val="22"/>
          <w:lang w:val="it-IT"/>
        </w:rPr>
        <w:t>=</w:t>
      </w:r>
      <w:ins w:id="4215" w:author="Author">
        <w:r>
          <w:rPr>
            <w:noProof/>
            <w:szCs w:val="22"/>
            <w:lang w:val="it-IT"/>
          </w:rPr>
          <w:t> </w:t>
        </w:r>
      </w:ins>
      <w:del w:id="4216" w:author="Author">
        <w:r>
          <w:rPr>
            <w:noProof/>
            <w:szCs w:val="22"/>
            <w:lang w:val="it-IT"/>
          </w:rPr>
          <w:delText xml:space="preserve"> </w:delText>
        </w:r>
      </w:del>
      <w:r>
        <w:rPr>
          <w:noProof/>
          <w:szCs w:val="22"/>
          <w:lang w:val="it-IT"/>
        </w:rPr>
        <w:t xml:space="preserve">0,0149 [test di van Elteren]). Questi risultati sono in linea con quelli osservati nei pazienti trattati con </w:t>
      </w:r>
      <w:r>
        <w:rPr>
          <w:rFonts w:eastAsia="SimSun"/>
          <w:noProof/>
          <w:szCs w:val="22"/>
          <w:lang w:val="it-IT" w:eastAsia="zh-CN"/>
        </w:rPr>
        <w:t>tocilizumab</w:t>
      </w:r>
      <w:r>
        <w:rPr>
          <w:noProof/>
          <w:szCs w:val="22"/>
          <w:lang w:val="it-IT"/>
        </w:rPr>
        <w:t xml:space="preserve"> in formulazione endovenosa.</w:t>
      </w:r>
    </w:p>
    <w:p>
      <w:pPr>
        <w:tabs>
          <w:tab w:val="left" w:pos="180"/>
        </w:tabs>
        <w:rPr>
          <w:noProof/>
          <w:szCs w:val="22"/>
          <w:lang w:val="it-IT"/>
        </w:rPr>
      </w:pPr>
    </w:p>
    <w:p>
      <w:pPr>
        <w:tabs>
          <w:tab w:val="left" w:pos="180"/>
        </w:tabs>
        <w:rPr>
          <w:noProof/>
          <w:szCs w:val="22"/>
          <w:lang w:val="it-IT"/>
        </w:rPr>
      </w:pPr>
      <w:r>
        <w:rPr>
          <w:noProof/>
          <w:szCs w:val="22"/>
          <w:lang w:val="it-IT"/>
        </w:rPr>
        <w:t xml:space="preserve">Nello </w:t>
      </w:r>
      <w:del w:id="4217" w:author="Author">
        <w:r>
          <w:rPr>
            <w:noProof/>
            <w:szCs w:val="22"/>
            <w:lang w:val="it-IT"/>
          </w:rPr>
          <w:delText xml:space="preserve">studio </w:delText>
        </w:r>
      </w:del>
      <w:ins w:id="4218" w:author="Author">
        <w:r>
          <w:rPr>
            <w:noProof/>
            <w:szCs w:val="22"/>
            <w:lang w:val="it-IT"/>
          </w:rPr>
          <w:t xml:space="preserve">Studio </w:t>
        </w:r>
      </w:ins>
      <w:r>
        <w:rPr>
          <w:noProof/>
          <w:szCs w:val="22"/>
          <w:lang w:val="it-IT"/>
        </w:rPr>
        <w:t xml:space="preserve">SC-II, alla settimana 24, i pazienti trattati con </w:t>
      </w:r>
      <w:r>
        <w:rPr>
          <w:rFonts w:eastAsia="SimSun"/>
          <w:noProof/>
          <w:szCs w:val="22"/>
          <w:lang w:val="it-IT" w:eastAsia="zh-CN"/>
        </w:rPr>
        <w:t>tocilizumab</w:t>
      </w:r>
      <w:r>
        <w:rPr>
          <w:noProof/>
          <w:szCs w:val="22"/>
          <w:lang w:val="it-IT"/>
        </w:rPr>
        <w:t xml:space="preserve"> in formulazione sottocutanea </w:t>
      </w:r>
      <w:ins w:id="4219" w:author="Author">
        <w:r>
          <w:rPr>
            <w:noProof/>
            <w:szCs w:val="22"/>
            <w:lang w:val="it-IT"/>
          </w:rPr>
          <w:t xml:space="preserve">ogni due </w:t>
        </w:r>
      </w:ins>
      <w:del w:id="4220" w:author="Author">
        <w:r>
          <w:rPr>
            <w:noProof/>
            <w:szCs w:val="22"/>
            <w:lang w:val="it-IT"/>
          </w:rPr>
          <w:delText>a</w:delText>
        </w:r>
      </w:del>
      <w:r>
        <w:rPr>
          <w:noProof/>
          <w:szCs w:val="22"/>
          <w:lang w:val="it-IT"/>
        </w:rPr>
        <w:t xml:space="preserve"> settimane </w:t>
      </w:r>
      <w:del w:id="4221" w:author="Author">
        <w:r>
          <w:rPr>
            <w:noProof/>
            <w:szCs w:val="22"/>
            <w:lang w:val="it-IT"/>
          </w:rPr>
          <w:delText xml:space="preserve">alterne </w:delText>
        </w:r>
      </w:del>
      <w:r>
        <w:rPr>
          <w:noProof/>
          <w:szCs w:val="22"/>
          <w:lang w:val="it-IT"/>
        </w:rPr>
        <w:t xml:space="preserve">hanno conseguito una risposta ACR20 del 60,9%, una risposta ACR50 del 39,8% e una risposta ACR70 del 19,7%, mentre i pazienti trattati con placebo hanno conseguito una risposta ACR20 del 31,5%, una risposta ACR50 del 12,3% e una risposta ACR70 del 5,0%. I pazienti presentavano un punteggio DAS28 medio al basale di 6,7 nel braccio s.c. e di 6,6 nel braccio placebo. Alla settimana 24 </w:t>
      </w:r>
      <w:del w:id="4222" w:author="Author">
        <w:r>
          <w:rPr>
            <w:noProof/>
            <w:szCs w:val="22"/>
            <w:lang w:val="it-IT"/>
          </w:rPr>
          <w:delText xml:space="preserve">si </w:delText>
        </w:r>
      </w:del>
      <w:r>
        <w:rPr>
          <w:noProof/>
          <w:szCs w:val="22"/>
          <w:lang w:val="it-IT"/>
        </w:rPr>
        <w:t xml:space="preserve">è </w:t>
      </w:r>
      <w:ins w:id="4223" w:author="Author">
        <w:r>
          <w:rPr>
            <w:noProof/>
            <w:szCs w:val="22"/>
            <w:lang w:val="it-IT"/>
          </w:rPr>
          <w:t xml:space="preserve">stata </w:t>
        </w:r>
      </w:ins>
      <w:r>
        <w:rPr>
          <w:noProof/>
          <w:szCs w:val="22"/>
          <w:lang w:val="it-IT"/>
        </w:rPr>
        <w:t xml:space="preserve">osservata una riduzione significativa del punteggio DAS28 rispetto al basale di 3,1 nel braccio s.c. e di 1,7 nel braccio placebo; </w:t>
      </w:r>
      <w:r>
        <w:rPr>
          <w:bCs/>
          <w:noProof/>
          <w:szCs w:val="22"/>
          <w:lang w:val="it-IT"/>
        </w:rPr>
        <w:t xml:space="preserve">nel 32,0% dei pazienti del braccio </w:t>
      </w:r>
      <w:r>
        <w:rPr>
          <w:noProof/>
          <w:szCs w:val="22"/>
          <w:lang w:val="it-IT"/>
        </w:rPr>
        <w:t xml:space="preserve">s.c. </w:t>
      </w:r>
      <w:r>
        <w:rPr>
          <w:bCs/>
          <w:noProof/>
          <w:szCs w:val="22"/>
          <w:lang w:val="it-IT"/>
        </w:rPr>
        <w:t>e nel 4,0% dei pazienti del braccio placebo</w:t>
      </w:r>
      <w:r>
        <w:rPr>
          <w:noProof/>
          <w:szCs w:val="22"/>
          <w:lang w:val="it-IT"/>
        </w:rPr>
        <w:t xml:space="preserve"> è stato inoltre riscontrato un punteggio </w:t>
      </w:r>
      <w:r>
        <w:rPr>
          <w:bCs/>
          <w:noProof/>
          <w:szCs w:val="22"/>
          <w:lang w:val="it-IT"/>
        </w:rPr>
        <w:t>DAS28 &lt; 2,6.</w:t>
      </w:r>
    </w:p>
    <w:p>
      <w:pPr>
        <w:numPr>
          <w:ilvl w:val="12"/>
          <w:numId w:val="0"/>
        </w:numPr>
        <w:tabs>
          <w:tab w:val="left" w:pos="180"/>
        </w:tabs>
        <w:ind w:right="-2"/>
        <w:rPr>
          <w:noProof/>
          <w:szCs w:val="22"/>
          <w:lang w:val="it-IT"/>
        </w:rPr>
      </w:pPr>
    </w:p>
    <w:p>
      <w:pPr>
        <w:keepNext/>
        <w:numPr>
          <w:ilvl w:val="12"/>
          <w:numId w:val="0"/>
        </w:numPr>
        <w:tabs>
          <w:tab w:val="left" w:pos="180"/>
        </w:tabs>
        <w:ind w:right="-2"/>
        <w:rPr>
          <w:i/>
          <w:noProof/>
          <w:szCs w:val="22"/>
          <w:u w:val="single"/>
          <w:lang w:val="it-IT"/>
        </w:rPr>
        <w:pPrChange w:id="4224" w:author="Author">
          <w:pPr>
            <w:numPr>
              <w:ilvl w:val="12"/>
            </w:numPr>
            <w:tabs>
              <w:tab w:val="left" w:pos="180"/>
            </w:tabs>
            <w:ind w:right="-2"/>
          </w:pPr>
        </w:pPrChange>
      </w:pPr>
      <w:r>
        <w:rPr>
          <w:i/>
          <w:noProof/>
          <w:szCs w:val="22"/>
          <w:u w:val="single"/>
          <w:lang w:val="it-IT"/>
        </w:rPr>
        <w:t>Esiti correlati alla salute e alla qualità di vita</w:t>
      </w:r>
    </w:p>
    <w:p>
      <w:pPr>
        <w:tabs>
          <w:tab w:val="left" w:pos="180"/>
        </w:tabs>
        <w:rPr>
          <w:noProof/>
          <w:szCs w:val="22"/>
          <w:lang w:val="it-IT"/>
        </w:rPr>
      </w:pPr>
      <w:r>
        <w:rPr>
          <w:noProof/>
          <w:szCs w:val="22"/>
          <w:lang w:val="it-IT"/>
        </w:rPr>
        <w:t xml:space="preserve">Nello </w:t>
      </w:r>
      <w:del w:id="4225" w:author="Author">
        <w:r>
          <w:rPr>
            <w:noProof/>
            <w:szCs w:val="22"/>
            <w:lang w:val="it-IT"/>
          </w:rPr>
          <w:delText xml:space="preserve">studio </w:delText>
        </w:r>
      </w:del>
      <w:ins w:id="4226" w:author="Author">
        <w:r>
          <w:rPr>
            <w:noProof/>
            <w:szCs w:val="22"/>
            <w:lang w:val="it-IT"/>
          </w:rPr>
          <w:t xml:space="preserve">Studio </w:t>
        </w:r>
      </w:ins>
      <w:r>
        <w:rPr>
          <w:noProof/>
          <w:szCs w:val="22"/>
          <w:lang w:val="it-IT"/>
        </w:rPr>
        <w:t xml:space="preserve">SC-I, la riduzione media dei punteggi relativi al questionario HAQ-DI dal basale alla settimana 24 è stata pari a 0,6 sia nel braccio s.c. sia nel braccio e.v. La percentuale di pazienti che ha raggiunto un miglioramento clinicamente significativo dei punteggi HAQ-DI alla settimana 24 (variazione rispetto al basale di ≥ 0,3 unità) è risultata inoltre sovrapponibile nel braccio s.c. (65,2%) rispetto al braccio e.v. (67,4%), con una differenza ponderata nelle percentuali di </w:t>
      </w:r>
      <w:r>
        <w:rPr>
          <w:noProof/>
          <w:szCs w:val="22"/>
          <w:lang w:val="it-IT"/>
        </w:rPr>
        <w:noBreakHyphen/>
        <w:t xml:space="preserve">2,3% (IC al 95% </w:t>
      </w:r>
      <w:r>
        <w:rPr>
          <w:noProof/>
          <w:szCs w:val="22"/>
          <w:lang w:val="it-IT"/>
        </w:rPr>
        <w:noBreakHyphen/>
        <w:t xml:space="preserve"> 8,1; 3,4). Per quanto riguarda il questionario SF-36, la variazione media del punteggio della componente mentale dal basale alla settimana 24 è stata di 6,22 nel braccio s.c. e di 6,54 nel braccio e.v.; inoltre, tale variazione è risultata simile per il punteggio della componente fisica con 9,49 nel braccio s.c. e 9,65 nel braccio e.v.</w:t>
      </w:r>
    </w:p>
    <w:p>
      <w:pPr>
        <w:tabs>
          <w:tab w:val="left" w:pos="180"/>
        </w:tabs>
        <w:rPr>
          <w:noProof/>
          <w:szCs w:val="22"/>
          <w:lang w:val="it-IT"/>
        </w:rPr>
      </w:pPr>
    </w:p>
    <w:p>
      <w:pPr>
        <w:tabs>
          <w:tab w:val="left" w:pos="180"/>
        </w:tabs>
        <w:rPr>
          <w:noProof/>
          <w:szCs w:val="22"/>
          <w:lang w:val="it-IT"/>
        </w:rPr>
      </w:pPr>
      <w:r>
        <w:rPr>
          <w:noProof/>
          <w:szCs w:val="22"/>
          <w:lang w:val="it-IT"/>
        </w:rPr>
        <w:t xml:space="preserve">Nello </w:t>
      </w:r>
      <w:del w:id="4227" w:author="Author">
        <w:r>
          <w:rPr>
            <w:noProof/>
            <w:szCs w:val="22"/>
            <w:lang w:val="it-IT"/>
          </w:rPr>
          <w:delText xml:space="preserve">studio </w:delText>
        </w:r>
      </w:del>
      <w:ins w:id="4228" w:author="Author">
        <w:r>
          <w:rPr>
            <w:noProof/>
            <w:szCs w:val="22"/>
            <w:lang w:val="it-IT"/>
          </w:rPr>
          <w:t xml:space="preserve">Studio </w:t>
        </w:r>
      </w:ins>
      <w:r>
        <w:rPr>
          <w:noProof/>
          <w:szCs w:val="22"/>
          <w:lang w:val="it-IT"/>
        </w:rPr>
        <w:t xml:space="preserve">SC-II, la riduzione media dei punteggi HAQ-DI dal basale alla settimana 24 è risultata significativamente maggiore nei pazienti trattati con </w:t>
      </w:r>
      <w:r>
        <w:rPr>
          <w:rFonts w:eastAsia="SimSun"/>
          <w:noProof/>
          <w:szCs w:val="22"/>
          <w:lang w:val="it-IT" w:eastAsia="zh-CN"/>
        </w:rPr>
        <w:t>tocilizumab</w:t>
      </w:r>
      <w:r>
        <w:rPr>
          <w:noProof/>
          <w:szCs w:val="22"/>
          <w:lang w:val="it-IT"/>
        </w:rPr>
        <w:t xml:space="preserve"> in formulazione sottocutanea </w:t>
      </w:r>
      <w:ins w:id="4229" w:author="Author">
        <w:r>
          <w:rPr>
            <w:noProof/>
            <w:szCs w:val="22"/>
            <w:lang w:val="it-IT"/>
          </w:rPr>
          <w:t xml:space="preserve">ogni due </w:t>
        </w:r>
      </w:ins>
      <w:del w:id="4230" w:author="Author">
        <w:r>
          <w:rPr>
            <w:noProof/>
            <w:szCs w:val="22"/>
            <w:lang w:val="it-IT"/>
          </w:rPr>
          <w:delText xml:space="preserve">a </w:delText>
        </w:r>
      </w:del>
      <w:r>
        <w:rPr>
          <w:noProof/>
          <w:szCs w:val="22"/>
          <w:lang w:val="it-IT"/>
        </w:rPr>
        <w:t xml:space="preserve">settimane </w:t>
      </w:r>
      <w:del w:id="4231" w:author="Author">
        <w:r>
          <w:rPr>
            <w:noProof/>
            <w:szCs w:val="22"/>
            <w:lang w:val="it-IT"/>
          </w:rPr>
          <w:delText xml:space="preserve">alterne </w:delText>
        </w:r>
      </w:del>
      <w:r>
        <w:rPr>
          <w:noProof/>
          <w:szCs w:val="22"/>
          <w:lang w:val="it-IT"/>
        </w:rPr>
        <w:t xml:space="preserve">(0,4) rispetto al placebo (0,3). La percentuale di pazienti che ha raggiunto un miglioramento clinicamente significativo dei punteggi HAQ-DI alla settimana 24 (variazione rispetto al basale di ≥ 0,3 unità) è risultata superiore con </w:t>
      </w:r>
      <w:r>
        <w:rPr>
          <w:rFonts w:eastAsia="SimSun"/>
          <w:noProof/>
          <w:szCs w:val="22"/>
          <w:lang w:val="it-IT" w:eastAsia="zh-CN"/>
        </w:rPr>
        <w:t>il trattamento</w:t>
      </w:r>
      <w:r>
        <w:rPr>
          <w:noProof/>
          <w:szCs w:val="22"/>
          <w:lang w:val="it-IT"/>
        </w:rPr>
        <w:t xml:space="preserve"> in formulazione sottocutanea </w:t>
      </w:r>
      <w:ins w:id="4232" w:author="Author">
        <w:r>
          <w:rPr>
            <w:noProof/>
            <w:szCs w:val="22"/>
            <w:lang w:val="it-IT"/>
          </w:rPr>
          <w:t>ogni due</w:t>
        </w:r>
      </w:ins>
      <w:del w:id="4233" w:author="Author">
        <w:r>
          <w:rPr>
            <w:noProof/>
            <w:szCs w:val="22"/>
            <w:lang w:val="it-IT"/>
          </w:rPr>
          <w:delText>a</w:delText>
        </w:r>
      </w:del>
      <w:r>
        <w:rPr>
          <w:noProof/>
          <w:szCs w:val="22"/>
          <w:lang w:val="it-IT"/>
        </w:rPr>
        <w:t xml:space="preserve"> settimane </w:t>
      </w:r>
      <w:del w:id="4234" w:author="Author">
        <w:r>
          <w:rPr>
            <w:noProof/>
            <w:szCs w:val="22"/>
            <w:lang w:val="it-IT"/>
          </w:rPr>
          <w:delText xml:space="preserve">alterne </w:delText>
        </w:r>
      </w:del>
      <w:r>
        <w:rPr>
          <w:noProof/>
          <w:szCs w:val="22"/>
          <w:lang w:val="it-IT"/>
        </w:rPr>
        <w:t xml:space="preserve">(58%) rispetto al placebo (46,8%). Il punteggio relativo al questionario SF-36 (variazione media nei punteggi della componente mentale e fisica) è risultato significativamente maggiore nel gruppo </w:t>
      </w:r>
      <w:r>
        <w:rPr>
          <w:rFonts w:eastAsia="SimSun"/>
          <w:noProof/>
          <w:szCs w:val="22"/>
          <w:lang w:val="it-IT" w:eastAsia="zh-CN"/>
        </w:rPr>
        <w:t>tocilizumab</w:t>
      </w:r>
      <w:r>
        <w:rPr>
          <w:noProof/>
          <w:szCs w:val="22"/>
          <w:lang w:val="it-IT"/>
        </w:rPr>
        <w:t xml:space="preserve"> in formulazione sottocutanea (6,5 e 5,3) rispetto al placebo (3,8 e 2,9).</w:t>
      </w:r>
    </w:p>
    <w:p>
      <w:pPr>
        <w:tabs>
          <w:tab w:val="left" w:pos="180"/>
        </w:tabs>
        <w:rPr>
          <w:noProof/>
          <w:szCs w:val="22"/>
          <w:lang w:val="it-IT"/>
        </w:rPr>
      </w:pPr>
    </w:p>
    <w:p>
      <w:pPr>
        <w:keepNext/>
        <w:keepLines/>
        <w:tabs>
          <w:tab w:val="left" w:pos="180"/>
        </w:tabs>
        <w:rPr>
          <w:ins w:id="4235" w:author="Author"/>
          <w:noProof/>
          <w:szCs w:val="22"/>
          <w:u w:val="single"/>
          <w:lang w:val="it-IT"/>
        </w:rPr>
      </w:pPr>
      <w:ins w:id="4236" w:author="Author">
        <w:r>
          <w:rPr>
            <w:noProof/>
            <w:szCs w:val="22"/>
            <w:u w:val="single"/>
            <w:lang w:val="it-IT"/>
          </w:rPr>
          <w:lastRenderedPageBreak/>
          <w:t>Uso sottocutaneo</w:t>
        </w:r>
      </w:ins>
    </w:p>
    <w:p>
      <w:pPr>
        <w:keepNext/>
        <w:keepLines/>
        <w:tabs>
          <w:tab w:val="left" w:pos="180"/>
        </w:tabs>
        <w:rPr>
          <w:bCs/>
          <w:noProof/>
          <w:szCs w:val="22"/>
          <w:u w:val="single"/>
          <w:lang w:val="it-IT"/>
        </w:rPr>
      </w:pPr>
      <w:ins w:id="4237" w:author="Author">
        <w:r>
          <w:rPr>
            <w:bCs/>
            <w:i/>
            <w:iCs/>
            <w:noProof/>
            <w:szCs w:val="22"/>
            <w:lang w:val="it-IT"/>
            <w:rPrChange w:id="4238" w:author="Author">
              <w:rPr>
                <w:bCs/>
                <w:szCs w:val="22"/>
                <w:u w:val="single"/>
                <w:lang w:val="it-IT"/>
              </w:rPr>
            </w:rPrChange>
          </w:rPr>
          <w:t xml:space="preserve">Pazienti affetti da </w:t>
        </w:r>
      </w:ins>
      <w:r>
        <w:rPr>
          <w:bCs/>
          <w:i/>
          <w:iCs/>
          <w:noProof/>
          <w:szCs w:val="22"/>
          <w:lang w:val="it-IT"/>
          <w:rPrChange w:id="4239" w:author="Author">
            <w:rPr>
              <w:bCs/>
              <w:szCs w:val="22"/>
              <w:u w:val="single"/>
              <w:lang w:val="it-IT"/>
            </w:rPr>
          </w:rPrChange>
        </w:rPr>
        <w:t>AIGs</w:t>
      </w:r>
      <w:del w:id="4240" w:author="Author">
        <w:r>
          <w:rPr>
            <w:bCs/>
            <w:noProof/>
            <w:szCs w:val="22"/>
            <w:u w:val="single"/>
            <w:lang w:val="it-IT"/>
          </w:rPr>
          <w:delText xml:space="preserve"> (uso sottocutaneo)</w:delText>
        </w:r>
      </w:del>
    </w:p>
    <w:p>
      <w:pPr>
        <w:keepNext/>
        <w:keepLines/>
        <w:tabs>
          <w:tab w:val="left" w:pos="180"/>
        </w:tabs>
        <w:rPr>
          <w:bCs/>
          <w:noProof/>
          <w:szCs w:val="22"/>
          <w:u w:val="single"/>
          <w:lang w:val="it-IT"/>
        </w:rPr>
      </w:pPr>
    </w:p>
    <w:p>
      <w:pPr>
        <w:keepNext/>
        <w:keepLines/>
        <w:tabs>
          <w:tab w:val="left" w:pos="180"/>
        </w:tabs>
        <w:rPr>
          <w:i/>
          <w:iCs/>
          <w:noProof/>
          <w:szCs w:val="22"/>
          <w:u w:val="single"/>
          <w:lang w:val="it-IT"/>
          <w:rPrChange w:id="4241" w:author="Author">
            <w:rPr>
              <w:i/>
              <w:iCs/>
              <w:szCs w:val="22"/>
              <w:lang w:val="it-IT"/>
            </w:rPr>
          </w:rPrChange>
        </w:rPr>
      </w:pPr>
      <w:r>
        <w:rPr>
          <w:i/>
          <w:iCs/>
          <w:noProof/>
          <w:szCs w:val="22"/>
          <w:u w:val="single"/>
          <w:lang w:val="it-IT"/>
          <w:rPrChange w:id="4242" w:author="Author">
            <w:rPr>
              <w:i/>
              <w:iCs/>
              <w:szCs w:val="22"/>
              <w:lang w:val="it-IT"/>
            </w:rPr>
          </w:rPrChange>
        </w:rPr>
        <w:t>Efficacia clinica</w:t>
      </w:r>
    </w:p>
    <w:p>
      <w:pPr>
        <w:keepNext/>
        <w:keepLines/>
        <w:tabs>
          <w:tab w:val="left" w:pos="180"/>
        </w:tabs>
        <w:rPr>
          <w:del w:id="4243" w:author="Author"/>
          <w:i/>
          <w:iCs/>
          <w:noProof/>
          <w:szCs w:val="22"/>
          <w:lang w:val="it-IT"/>
        </w:rPr>
      </w:pPr>
    </w:p>
    <w:p>
      <w:pPr>
        <w:keepNext/>
        <w:keepLines/>
        <w:tabs>
          <w:tab w:val="left" w:pos="180"/>
        </w:tabs>
        <w:rPr>
          <w:noProof/>
          <w:szCs w:val="22"/>
          <w:lang w:val="it-IT"/>
        </w:rPr>
      </w:pPr>
      <w:r>
        <w:rPr>
          <w:noProof/>
          <w:szCs w:val="22"/>
          <w:lang w:val="it-IT"/>
        </w:rPr>
        <w:t xml:space="preserve">Nei pazienti pediatrici affetti da AIGs di età compresa tra 1 e 17 anni è stato condotto uno studio </w:t>
      </w:r>
      <w:ins w:id="4244" w:author="Author">
        <w:r>
          <w:rPr>
            <w:noProof/>
            <w:szCs w:val="22"/>
            <w:lang w:val="it-IT"/>
          </w:rPr>
          <w:t xml:space="preserve">clinico </w:t>
        </w:r>
      </w:ins>
      <w:r>
        <w:rPr>
          <w:noProof/>
          <w:szCs w:val="22"/>
          <w:lang w:val="it-IT"/>
        </w:rPr>
        <w:t xml:space="preserve">in aperto e multicentrico della durata di 52 settimane sulla farmacocinetica-farmacodinamica (PK-PD) e sulla sicurezza (WA28118) al fine di stabilire la dose di </w:t>
      </w:r>
      <w:r>
        <w:rPr>
          <w:rFonts w:eastAsia="SimSun"/>
          <w:noProof/>
          <w:szCs w:val="22"/>
          <w:lang w:val="it-IT" w:eastAsia="zh-CN"/>
        </w:rPr>
        <w:t>tocilizumab in formulazione sottocutanea</w:t>
      </w:r>
      <w:r>
        <w:rPr>
          <w:noProof/>
          <w:szCs w:val="22"/>
          <w:lang w:val="it-IT"/>
        </w:rPr>
        <w:t xml:space="preserve"> adeguata a ottenere profili di PK/PD e sicurezza sovrapponibili a quelli del regime endovenoso.</w:t>
      </w:r>
    </w:p>
    <w:p>
      <w:pPr>
        <w:tabs>
          <w:tab w:val="left" w:pos="180"/>
        </w:tabs>
        <w:rPr>
          <w:noProof/>
          <w:szCs w:val="22"/>
          <w:lang w:val="it-IT"/>
        </w:rPr>
      </w:pPr>
    </w:p>
    <w:p>
      <w:pPr>
        <w:tabs>
          <w:tab w:val="left" w:pos="180"/>
        </w:tabs>
        <w:rPr>
          <w:noProof/>
          <w:szCs w:val="22"/>
          <w:lang w:val="it-IT"/>
        </w:rPr>
      </w:pPr>
      <w:r>
        <w:rPr>
          <w:noProof/>
          <w:szCs w:val="22"/>
          <w:lang w:val="it-IT"/>
        </w:rPr>
        <w:t xml:space="preserve">I pazienti idonei sono stati trattati </w:t>
      </w:r>
      <w:ins w:id="4245" w:author="Author">
        <w:r>
          <w:rPr>
            <w:noProof/>
            <w:szCs w:val="22"/>
            <w:lang w:val="it-IT"/>
          </w:rPr>
          <w:t>con</w:t>
        </w:r>
      </w:ins>
      <w:del w:id="4246" w:author="Author">
        <w:r>
          <w:rPr>
            <w:noProof/>
            <w:szCs w:val="22"/>
            <w:lang w:val="it-IT"/>
          </w:rPr>
          <w:delText>a</w:delText>
        </w:r>
      </w:del>
      <w:r>
        <w:rPr>
          <w:noProof/>
          <w:szCs w:val="22"/>
          <w:lang w:val="it-IT"/>
        </w:rPr>
        <w:t xml:space="preserve"> una dose </w:t>
      </w:r>
      <w:ins w:id="4247" w:author="Author">
        <w:del w:id="4248" w:author="Author">
          <w:r>
            <w:rPr>
              <w:noProof/>
              <w:szCs w:val="22"/>
              <w:lang w:val="it-IT"/>
            </w:rPr>
            <w:delText>con</w:delText>
          </w:r>
        </w:del>
        <w:r>
          <w:rPr>
            <w:noProof/>
            <w:szCs w:val="22"/>
            <w:lang w:val="it-IT"/>
          </w:rPr>
          <w:t xml:space="preserve">di tocilizumab </w:t>
        </w:r>
      </w:ins>
      <w:del w:id="4249" w:author="Author">
        <w:r>
          <w:rPr>
            <w:noProof/>
            <w:szCs w:val="22"/>
            <w:lang w:val="it-IT"/>
          </w:rPr>
          <w:delText xml:space="preserve">funzionale </w:delText>
        </w:r>
      </w:del>
      <w:ins w:id="4250" w:author="Author">
        <w:r>
          <w:rPr>
            <w:noProof/>
            <w:szCs w:val="22"/>
            <w:lang w:val="it-IT"/>
          </w:rPr>
          <w:t xml:space="preserve"> calcolata in base </w:t>
        </w:r>
      </w:ins>
      <w:r>
        <w:rPr>
          <w:noProof/>
          <w:szCs w:val="22"/>
          <w:lang w:val="it-IT"/>
        </w:rPr>
        <w:t>al loro peso corporeo (BW): ai pazienti di peso ≥ 30 kg (n</w:t>
      </w:r>
      <w:del w:id="4251" w:author="Author">
        <w:r>
          <w:rPr>
            <w:noProof/>
            <w:szCs w:val="22"/>
            <w:lang w:val="it-IT"/>
          </w:rPr>
          <w:delText xml:space="preserve"> </w:delText>
        </w:r>
      </w:del>
      <w:ins w:id="4252" w:author="Author">
        <w:r>
          <w:rPr>
            <w:noProof/>
            <w:szCs w:val="22"/>
            <w:lang w:val="it-IT"/>
          </w:rPr>
          <w:t> </w:t>
        </w:r>
      </w:ins>
      <w:r>
        <w:rPr>
          <w:noProof/>
          <w:szCs w:val="22"/>
          <w:lang w:val="it-IT"/>
        </w:rPr>
        <w:t>=</w:t>
      </w:r>
      <w:ins w:id="4253" w:author="Author">
        <w:r>
          <w:rPr>
            <w:noProof/>
            <w:szCs w:val="22"/>
            <w:lang w:val="it-IT"/>
          </w:rPr>
          <w:t> </w:t>
        </w:r>
      </w:ins>
      <w:del w:id="4254" w:author="Author">
        <w:r>
          <w:rPr>
            <w:noProof/>
            <w:szCs w:val="22"/>
            <w:lang w:val="it-IT"/>
          </w:rPr>
          <w:delText xml:space="preserve"> </w:delText>
        </w:r>
      </w:del>
      <w:r>
        <w:rPr>
          <w:noProof/>
          <w:szCs w:val="22"/>
          <w:lang w:val="it-IT"/>
        </w:rPr>
        <w:t xml:space="preserve">26) sono stati somministrati 162 mg di </w:t>
      </w:r>
      <w:r>
        <w:rPr>
          <w:rFonts w:eastAsia="SimSun"/>
          <w:noProof/>
          <w:szCs w:val="22"/>
          <w:lang w:val="it-IT" w:eastAsia="zh-CN"/>
        </w:rPr>
        <w:t>tocilizumab</w:t>
      </w:r>
      <w:r>
        <w:rPr>
          <w:noProof/>
          <w:szCs w:val="22"/>
          <w:lang w:val="it-IT"/>
        </w:rPr>
        <w:t xml:space="preserve"> </w:t>
      </w:r>
      <w:del w:id="4255" w:author="Author">
        <w:r>
          <w:rPr>
            <w:noProof/>
            <w:szCs w:val="22"/>
            <w:lang w:val="it-IT"/>
          </w:rPr>
          <w:delText xml:space="preserve">ogni </w:delText>
        </w:r>
      </w:del>
      <w:ins w:id="4256" w:author="Author">
        <w:r>
          <w:rPr>
            <w:noProof/>
            <w:szCs w:val="22"/>
            <w:lang w:val="it-IT"/>
          </w:rPr>
          <w:t xml:space="preserve">una volta a </w:t>
        </w:r>
      </w:ins>
      <w:r>
        <w:rPr>
          <w:noProof/>
          <w:szCs w:val="22"/>
          <w:lang w:val="it-IT"/>
        </w:rPr>
        <w:t>settimana (QW), mentre a quelli di peso inferiore a 30 kg (n</w:t>
      </w:r>
      <w:del w:id="4257" w:author="Author">
        <w:r>
          <w:rPr>
            <w:noProof/>
            <w:szCs w:val="22"/>
            <w:lang w:val="it-IT"/>
          </w:rPr>
          <w:delText xml:space="preserve"> </w:delText>
        </w:r>
      </w:del>
      <w:ins w:id="4258" w:author="Author">
        <w:r>
          <w:rPr>
            <w:noProof/>
            <w:szCs w:val="22"/>
            <w:lang w:val="it-IT"/>
          </w:rPr>
          <w:t> </w:t>
        </w:r>
      </w:ins>
      <w:r>
        <w:rPr>
          <w:noProof/>
          <w:szCs w:val="22"/>
          <w:lang w:val="it-IT"/>
        </w:rPr>
        <w:t>=</w:t>
      </w:r>
      <w:ins w:id="4259" w:author="Author">
        <w:r>
          <w:rPr>
            <w:noProof/>
            <w:szCs w:val="22"/>
            <w:lang w:val="it-IT"/>
          </w:rPr>
          <w:t> </w:t>
        </w:r>
      </w:ins>
      <w:del w:id="4260" w:author="Author">
        <w:r>
          <w:rPr>
            <w:noProof/>
            <w:szCs w:val="22"/>
            <w:lang w:val="it-IT"/>
          </w:rPr>
          <w:delText xml:space="preserve"> </w:delText>
        </w:r>
      </w:del>
      <w:r>
        <w:rPr>
          <w:noProof/>
          <w:szCs w:val="22"/>
          <w:lang w:val="it-IT"/>
        </w:rPr>
        <w:t xml:space="preserve">25) sono stati somministrati 162 mg di </w:t>
      </w:r>
      <w:r>
        <w:rPr>
          <w:rFonts w:eastAsia="SimSun"/>
          <w:noProof/>
          <w:szCs w:val="22"/>
          <w:lang w:val="it-IT" w:eastAsia="zh-CN"/>
        </w:rPr>
        <w:t>tocilizumab</w:t>
      </w:r>
      <w:r>
        <w:rPr>
          <w:noProof/>
          <w:szCs w:val="22"/>
          <w:lang w:val="it-IT"/>
        </w:rPr>
        <w:t xml:space="preserve"> ogni 10 giorni (Q10D; n</w:t>
      </w:r>
      <w:ins w:id="4261" w:author="Author">
        <w:r>
          <w:rPr>
            <w:noProof/>
            <w:szCs w:val="22"/>
            <w:lang w:val="it-IT"/>
          </w:rPr>
          <w:t> </w:t>
        </w:r>
      </w:ins>
      <w:del w:id="4262" w:author="Author">
        <w:r>
          <w:rPr>
            <w:noProof/>
            <w:szCs w:val="22"/>
            <w:lang w:val="it-IT"/>
          </w:rPr>
          <w:delText xml:space="preserve"> </w:delText>
        </w:r>
      </w:del>
      <w:r>
        <w:rPr>
          <w:noProof/>
          <w:szCs w:val="22"/>
          <w:lang w:val="it-IT"/>
        </w:rPr>
        <w:t>=</w:t>
      </w:r>
      <w:ins w:id="4263" w:author="Author">
        <w:r>
          <w:rPr>
            <w:noProof/>
            <w:szCs w:val="22"/>
            <w:lang w:val="it-IT"/>
          </w:rPr>
          <w:t> </w:t>
        </w:r>
      </w:ins>
      <w:del w:id="4264" w:author="Author">
        <w:r>
          <w:rPr>
            <w:noProof/>
            <w:szCs w:val="22"/>
            <w:lang w:val="it-IT"/>
          </w:rPr>
          <w:delText xml:space="preserve"> </w:delText>
        </w:r>
      </w:del>
      <w:r>
        <w:rPr>
          <w:noProof/>
          <w:szCs w:val="22"/>
          <w:lang w:val="it-IT"/>
        </w:rPr>
        <w:t>8) od ogni 2 settimane (Q2W; n</w:t>
      </w:r>
      <w:del w:id="4265" w:author="Author">
        <w:r>
          <w:rPr>
            <w:noProof/>
            <w:szCs w:val="22"/>
            <w:lang w:val="it-IT"/>
          </w:rPr>
          <w:delText xml:space="preserve"> </w:delText>
        </w:r>
      </w:del>
      <w:ins w:id="4266" w:author="Author">
        <w:r>
          <w:rPr>
            <w:noProof/>
            <w:szCs w:val="22"/>
            <w:lang w:val="it-IT"/>
          </w:rPr>
          <w:t> </w:t>
        </w:r>
      </w:ins>
      <w:r>
        <w:rPr>
          <w:noProof/>
          <w:szCs w:val="22"/>
          <w:lang w:val="it-IT"/>
        </w:rPr>
        <w:t>=</w:t>
      </w:r>
      <w:ins w:id="4267" w:author="Author">
        <w:r>
          <w:rPr>
            <w:noProof/>
            <w:szCs w:val="22"/>
            <w:lang w:val="it-IT"/>
          </w:rPr>
          <w:t> </w:t>
        </w:r>
      </w:ins>
      <w:del w:id="4268" w:author="Author">
        <w:r>
          <w:rPr>
            <w:noProof/>
            <w:szCs w:val="22"/>
            <w:lang w:val="it-IT"/>
          </w:rPr>
          <w:delText xml:space="preserve"> </w:delText>
        </w:r>
      </w:del>
      <w:r>
        <w:rPr>
          <w:noProof/>
          <w:szCs w:val="22"/>
          <w:lang w:val="it-IT"/>
        </w:rPr>
        <w:t>17) per 52 settimane. Ventisei (51%) di questi 51 pazienti erano naïve al trattamento</w:t>
      </w:r>
      <w:del w:id="4269" w:author="Author">
        <w:r>
          <w:rPr>
            <w:noProof/>
            <w:szCs w:val="22"/>
            <w:lang w:val="it-IT"/>
          </w:rPr>
          <w:delText xml:space="preserve"> </w:delText>
        </w:r>
      </w:del>
      <w:r>
        <w:rPr>
          <w:noProof/>
          <w:szCs w:val="22"/>
          <w:lang w:val="it-IT"/>
        </w:rPr>
        <w:t xml:space="preserve">, mentre 25 (49%) erano stati precedentemente sottoposti al trattamento con </w:t>
      </w:r>
      <w:r>
        <w:rPr>
          <w:rFonts w:eastAsia="SimSun"/>
          <w:noProof/>
          <w:szCs w:val="22"/>
          <w:lang w:val="it-IT" w:eastAsia="zh-CN"/>
        </w:rPr>
        <w:t>tocilizumab</w:t>
      </w:r>
      <w:r>
        <w:rPr>
          <w:noProof/>
          <w:szCs w:val="22"/>
          <w:lang w:val="it-IT"/>
        </w:rPr>
        <w:t xml:space="preserve"> </w:t>
      </w:r>
      <w:del w:id="4270" w:author="Author">
        <w:r>
          <w:rPr>
            <w:noProof/>
            <w:szCs w:val="22"/>
            <w:lang w:val="it-IT"/>
          </w:rPr>
          <w:delText xml:space="preserve"> </w:delText>
        </w:r>
      </w:del>
      <w:r>
        <w:rPr>
          <w:noProof/>
          <w:szCs w:val="22"/>
          <w:lang w:val="it-IT"/>
        </w:rPr>
        <w:t xml:space="preserve">in formulazione endovenosa e sono passati alla terapia con </w:t>
      </w:r>
      <w:r>
        <w:rPr>
          <w:rFonts w:eastAsia="SimSun"/>
          <w:noProof/>
          <w:szCs w:val="22"/>
          <w:lang w:val="it-IT" w:eastAsia="zh-CN"/>
        </w:rPr>
        <w:t>tocilizumab</w:t>
      </w:r>
      <w:r>
        <w:rPr>
          <w:noProof/>
          <w:szCs w:val="22"/>
          <w:lang w:val="it-IT"/>
        </w:rPr>
        <w:t xml:space="preserve"> in formulazione sottocutanea al basale.</w:t>
      </w:r>
    </w:p>
    <w:p>
      <w:pPr>
        <w:tabs>
          <w:tab w:val="left" w:pos="180"/>
        </w:tabs>
        <w:rPr>
          <w:noProof/>
          <w:szCs w:val="22"/>
          <w:lang w:val="it-IT"/>
        </w:rPr>
      </w:pPr>
    </w:p>
    <w:p>
      <w:pPr>
        <w:tabs>
          <w:tab w:val="left" w:pos="180"/>
        </w:tabs>
        <w:rPr>
          <w:noProof/>
          <w:szCs w:val="22"/>
          <w:lang w:val="it-IT"/>
        </w:rPr>
      </w:pPr>
      <w:r>
        <w:rPr>
          <w:noProof/>
          <w:szCs w:val="22"/>
          <w:lang w:val="it-IT"/>
        </w:rPr>
        <w:t xml:space="preserve">Dai risultati esplorativi di efficacia è emerso che </w:t>
      </w:r>
      <w:r>
        <w:rPr>
          <w:rFonts w:eastAsia="SimSun"/>
          <w:noProof/>
          <w:szCs w:val="22"/>
          <w:lang w:val="it-IT" w:eastAsia="zh-CN"/>
        </w:rPr>
        <w:t>tocilizumab</w:t>
      </w:r>
      <w:r>
        <w:rPr>
          <w:noProof/>
          <w:szCs w:val="22"/>
          <w:lang w:val="it-IT"/>
        </w:rPr>
        <w:t xml:space="preserve"> in formulazione sottocutanea ha determinato un miglioramento di tutti i parametri esplorativi di efficacia, tra cui il punteggio JADAS-71 (Juvenile Arthritis Disease Activity Score-71), nei pazienti naïve al trattamento con </w:t>
      </w:r>
      <w:del w:id="4271" w:author="Author">
        <w:r>
          <w:rPr>
            <w:noProof/>
            <w:szCs w:val="22"/>
            <w:lang w:val="it-IT"/>
          </w:rPr>
          <w:delText>TCZ</w:delText>
        </w:r>
      </w:del>
      <w:ins w:id="4272" w:author="Author">
        <w:r>
          <w:rPr>
            <w:noProof/>
            <w:szCs w:val="22"/>
            <w:lang w:val="it-IT"/>
          </w:rPr>
          <w:t>tocilizumab</w:t>
        </w:r>
      </w:ins>
      <w:r>
        <w:rPr>
          <w:noProof/>
          <w:szCs w:val="22"/>
          <w:lang w:val="it-IT"/>
        </w:rPr>
        <w:t xml:space="preserve"> e ha consentito di mantenere tutti i parametri esplorativi di efficacia nei pazienti che sono passati dal trattamento endovenoso al trattamento sottocutaneo.Tali risultati sono stati osservati per l’intera durata dello studio nei pazienti di entrambi i gruppi di peso corporeo (inferiore a 30 kg e </w:t>
      </w:r>
      <w:r>
        <w:rPr>
          <w:noProof/>
          <w:szCs w:val="22"/>
          <w:lang w:val="it-IT" w:eastAsia="de-DE"/>
        </w:rPr>
        <w:t>≥</w:t>
      </w:r>
      <w:r>
        <w:rPr>
          <w:noProof/>
          <w:szCs w:val="22"/>
          <w:lang w:val="it-IT"/>
        </w:rPr>
        <w:t xml:space="preserve"> 30 kg).</w:t>
      </w:r>
    </w:p>
    <w:p>
      <w:pPr>
        <w:tabs>
          <w:tab w:val="left" w:pos="180"/>
        </w:tabs>
        <w:rPr>
          <w:noProof/>
          <w:szCs w:val="22"/>
          <w:lang w:val="it-IT"/>
        </w:rPr>
      </w:pPr>
    </w:p>
    <w:p>
      <w:pPr>
        <w:keepNext/>
        <w:keepLines/>
        <w:tabs>
          <w:tab w:val="left" w:pos="180"/>
        </w:tabs>
        <w:rPr>
          <w:ins w:id="4273" w:author="Author"/>
          <w:noProof/>
          <w:szCs w:val="22"/>
          <w:u w:val="single"/>
          <w:lang w:val="it-IT"/>
        </w:rPr>
      </w:pPr>
      <w:ins w:id="4274" w:author="Author">
        <w:r>
          <w:rPr>
            <w:noProof/>
            <w:szCs w:val="22"/>
            <w:u w:val="single"/>
            <w:lang w:val="it-IT"/>
          </w:rPr>
          <w:t>Uso sottocutaneo</w:t>
        </w:r>
      </w:ins>
    </w:p>
    <w:p>
      <w:pPr>
        <w:keepNext/>
        <w:keepLines/>
        <w:tabs>
          <w:tab w:val="left" w:pos="180"/>
        </w:tabs>
        <w:rPr>
          <w:bCs/>
          <w:noProof/>
          <w:szCs w:val="22"/>
          <w:u w:val="single"/>
          <w:lang w:val="it-IT"/>
        </w:rPr>
        <w:pPrChange w:id="4275" w:author="Author">
          <w:pPr>
            <w:tabs>
              <w:tab w:val="left" w:pos="180"/>
            </w:tabs>
          </w:pPr>
        </w:pPrChange>
      </w:pPr>
      <w:ins w:id="4276" w:author="Author">
        <w:r>
          <w:rPr>
            <w:bCs/>
            <w:i/>
            <w:iCs/>
            <w:noProof/>
            <w:szCs w:val="22"/>
            <w:lang w:val="it-IT"/>
            <w:rPrChange w:id="4277" w:author="Author">
              <w:rPr>
                <w:bCs/>
                <w:szCs w:val="22"/>
                <w:u w:val="single"/>
                <w:lang w:val="it-IT"/>
              </w:rPr>
            </w:rPrChange>
          </w:rPr>
          <w:t xml:space="preserve">Pazienti affetti da </w:t>
        </w:r>
      </w:ins>
      <w:r>
        <w:rPr>
          <w:bCs/>
          <w:i/>
          <w:iCs/>
          <w:noProof/>
          <w:szCs w:val="22"/>
          <w:lang w:val="it-IT"/>
          <w:rPrChange w:id="4278" w:author="Author">
            <w:rPr>
              <w:bCs/>
              <w:szCs w:val="22"/>
              <w:u w:val="single"/>
              <w:lang w:val="it-IT"/>
            </w:rPr>
          </w:rPrChange>
        </w:rPr>
        <w:t>AIGp</w:t>
      </w:r>
      <w:del w:id="4279" w:author="Author">
        <w:r>
          <w:rPr>
            <w:bCs/>
            <w:noProof/>
            <w:szCs w:val="22"/>
            <w:u w:val="single"/>
            <w:lang w:val="it-IT"/>
          </w:rPr>
          <w:delText xml:space="preserve"> (uso sottocutaneo</w:delText>
        </w:r>
      </w:del>
      <w:r>
        <w:rPr>
          <w:bCs/>
          <w:noProof/>
          <w:szCs w:val="22"/>
          <w:u w:val="single"/>
          <w:lang w:val="it-IT"/>
        </w:rPr>
        <w:t>)</w:t>
      </w:r>
    </w:p>
    <w:p>
      <w:pPr>
        <w:keepNext/>
        <w:keepLines/>
        <w:tabs>
          <w:tab w:val="left" w:pos="180"/>
        </w:tabs>
        <w:rPr>
          <w:bCs/>
          <w:noProof/>
          <w:szCs w:val="22"/>
          <w:u w:val="single"/>
          <w:lang w:val="it-IT"/>
        </w:rPr>
        <w:pPrChange w:id="4280" w:author="Author">
          <w:pPr>
            <w:tabs>
              <w:tab w:val="left" w:pos="180"/>
            </w:tabs>
          </w:pPr>
        </w:pPrChange>
      </w:pPr>
    </w:p>
    <w:p>
      <w:pPr>
        <w:keepNext/>
        <w:keepLines/>
        <w:tabs>
          <w:tab w:val="left" w:pos="180"/>
        </w:tabs>
        <w:rPr>
          <w:i/>
          <w:iCs/>
          <w:noProof/>
          <w:szCs w:val="22"/>
          <w:u w:val="single"/>
          <w:lang w:val="it-IT"/>
          <w:rPrChange w:id="4281" w:author="Author">
            <w:rPr>
              <w:i/>
              <w:iCs/>
              <w:szCs w:val="22"/>
              <w:lang w:val="it-IT"/>
            </w:rPr>
          </w:rPrChange>
        </w:rPr>
      </w:pPr>
      <w:r>
        <w:rPr>
          <w:i/>
          <w:iCs/>
          <w:noProof/>
          <w:szCs w:val="22"/>
          <w:u w:val="single"/>
          <w:lang w:val="it-IT"/>
          <w:rPrChange w:id="4282" w:author="Author">
            <w:rPr>
              <w:i/>
              <w:iCs/>
              <w:szCs w:val="22"/>
              <w:lang w:val="it-IT"/>
            </w:rPr>
          </w:rPrChange>
        </w:rPr>
        <w:t>Efficacia clinica</w:t>
      </w:r>
    </w:p>
    <w:p>
      <w:pPr>
        <w:tabs>
          <w:tab w:val="left" w:pos="180"/>
        </w:tabs>
        <w:rPr>
          <w:del w:id="4283" w:author="Author"/>
          <w:bCs/>
          <w:noProof/>
          <w:szCs w:val="22"/>
          <w:u w:val="single"/>
          <w:lang w:val="it-IT"/>
        </w:rPr>
      </w:pPr>
    </w:p>
    <w:p>
      <w:pPr>
        <w:tabs>
          <w:tab w:val="left" w:pos="180"/>
        </w:tabs>
        <w:rPr>
          <w:noProof/>
          <w:szCs w:val="22"/>
          <w:lang w:val="it-IT"/>
        </w:rPr>
      </w:pPr>
      <w:r>
        <w:rPr>
          <w:noProof/>
          <w:szCs w:val="22"/>
          <w:lang w:val="it-IT"/>
        </w:rPr>
        <w:t xml:space="preserve">Nei pazienti pediatrici affetti da AIGp di età compresa tra 1 e 17 anni è stato condotto uno studio in aperto e multicentrico della durata di 52 settimane </w:t>
      </w:r>
      <w:del w:id="4284" w:author="Author">
        <w:r>
          <w:rPr>
            <w:noProof/>
            <w:szCs w:val="22"/>
            <w:lang w:val="it-IT"/>
          </w:rPr>
          <w:delText xml:space="preserve">sulla </w:delText>
        </w:r>
      </w:del>
      <w:ins w:id="4285" w:author="Author">
        <w:r>
          <w:rPr>
            <w:noProof/>
            <w:szCs w:val="22"/>
            <w:lang w:val="it-IT"/>
          </w:rPr>
          <w:t xml:space="preserve">di </w:t>
        </w:r>
      </w:ins>
      <w:r>
        <w:rPr>
          <w:noProof/>
          <w:szCs w:val="22"/>
          <w:lang w:val="it-IT"/>
        </w:rPr>
        <w:t>PK</w:t>
      </w:r>
      <w:ins w:id="4286" w:author="Author">
        <w:r>
          <w:rPr>
            <w:noProof/>
            <w:szCs w:val="22"/>
            <w:lang w:val="it-IT"/>
          </w:rPr>
          <w:t>/</w:t>
        </w:r>
      </w:ins>
      <w:del w:id="4287" w:author="Author">
        <w:r>
          <w:rPr>
            <w:noProof/>
            <w:szCs w:val="22"/>
            <w:lang w:val="it-IT"/>
          </w:rPr>
          <w:delText>-</w:delText>
        </w:r>
      </w:del>
      <w:r>
        <w:rPr>
          <w:noProof/>
          <w:szCs w:val="22"/>
          <w:lang w:val="it-IT"/>
        </w:rPr>
        <w:t xml:space="preserve">PD e </w:t>
      </w:r>
      <w:del w:id="4288" w:author="Author">
        <w:r>
          <w:rPr>
            <w:noProof/>
            <w:szCs w:val="22"/>
            <w:lang w:val="it-IT"/>
          </w:rPr>
          <w:delText xml:space="preserve">sulla </w:delText>
        </w:r>
      </w:del>
      <w:ins w:id="4289" w:author="Author">
        <w:r>
          <w:rPr>
            <w:noProof/>
            <w:szCs w:val="22"/>
            <w:lang w:val="it-IT"/>
          </w:rPr>
          <w:t xml:space="preserve">di </w:t>
        </w:r>
      </w:ins>
      <w:r>
        <w:rPr>
          <w:noProof/>
          <w:szCs w:val="22"/>
          <w:lang w:val="it-IT"/>
        </w:rPr>
        <w:t>sicurezza al fine di stabilire la dose sottocutanea di tocilizumab adeguata a ottenere profili di PK/PD e sicurezza sovrapponibili a quelli del regime endovenoso.</w:t>
      </w:r>
    </w:p>
    <w:p>
      <w:pPr>
        <w:tabs>
          <w:tab w:val="left" w:pos="180"/>
        </w:tabs>
        <w:rPr>
          <w:noProof/>
          <w:szCs w:val="22"/>
          <w:lang w:val="it-IT"/>
        </w:rPr>
      </w:pPr>
    </w:p>
    <w:p>
      <w:pPr>
        <w:tabs>
          <w:tab w:val="left" w:pos="180"/>
        </w:tabs>
        <w:rPr>
          <w:noProof/>
          <w:szCs w:val="22"/>
          <w:lang w:val="it-IT"/>
        </w:rPr>
      </w:pPr>
      <w:r>
        <w:rPr>
          <w:noProof/>
          <w:szCs w:val="22"/>
          <w:lang w:val="it-IT"/>
        </w:rPr>
        <w:t xml:space="preserve">I pazienti idonei sono stati trattati con </w:t>
      </w:r>
      <w:ins w:id="4290" w:author="Author">
        <w:r>
          <w:rPr>
            <w:noProof/>
            <w:szCs w:val="22"/>
            <w:lang w:val="it-IT"/>
          </w:rPr>
          <w:t xml:space="preserve">una dose di </w:t>
        </w:r>
      </w:ins>
      <w:r>
        <w:rPr>
          <w:noProof/>
          <w:szCs w:val="22"/>
          <w:lang w:val="it-IT"/>
        </w:rPr>
        <w:t xml:space="preserve">tocilizumab </w:t>
      </w:r>
      <w:del w:id="4291" w:author="Author">
        <w:r>
          <w:rPr>
            <w:noProof/>
            <w:szCs w:val="22"/>
            <w:lang w:val="it-IT"/>
          </w:rPr>
          <w:delText>a una dose funzionale</w:delText>
        </w:r>
      </w:del>
      <w:ins w:id="4292" w:author="Author">
        <w:r>
          <w:rPr>
            <w:noProof/>
            <w:szCs w:val="22"/>
            <w:lang w:val="it-IT"/>
          </w:rPr>
          <w:t>calcolata in base</w:t>
        </w:r>
      </w:ins>
      <w:r>
        <w:rPr>
          <w:noProof/>
          <w:szCs w:val="22"/>
          <w:lang w:val="it-IT"/>
        </w:rPr>
        <w:t xml:space="preserve"> al loro peso corporeo</w:t>
      </w:r>
      <w:ins w:id="4293" w:author="Author">
        <w:r>
          <w:rPr>
            <w:noProof/>
            <w:szCs w:val="22"/>
            <w:lang w:val="it-IT"/>
          </w:rPr>
          <w:t>;</w:t>
        </w:r>
      </w:ins>
      <w:del w:id="4294" w:author="Author">
        <w:r>
          <w:rPr>
            <w:noProof/>
            <w:szCs w:val="22"/>
            <w:lang w:val="it-IT"/>
          </w:rPr>
          <w:delText>,</w:delText>
        </w:r>
      </w:del>
      <w:r>
        <w:rPr>
          <w:noProof/>
          <w:szCs w:val="22"/>
          <w:lang w:val="it-IT"/>
        </w:rPr>
        <w:t xml:space="preserve"> nei pazienti di peso ≥ 30 kg (n</w:t>
      </w:r>
      <w:del w:id="4295" w:author="Author">
        <w:r>
          <w:rPr>
            <w:noProof/>
            <w:szCs w:val="22"/>
            <w:lang w:val="it-IT"/>
          </w:rPr>
          <w:delText xml:space="preserve"> </w:delText>
        </w:r>
      </w:del>
      <w:ins w:id="4296" w:author="Author">
        <w:r>
          <w:rPr>
            <w:noProof/>
            <w:szCs w:val="22"/>
            <w:lang w:val="it-IT"/>
          </w:rPr>
          <w:t> </w:t>
        </w:r>
      </w:ins>
      <w:r>
        <w:rPr>
          <w:noProof/>
          <w:szCs w:val="22"/>
          <w:lang w:val="it-IT"/>
        </w:rPr>
        <w:t>=</w:t>
      </w:r>
      <w:ins w:id="4297" w:author="Author">
        <w:r>
          <w:rPr>
            <w:noProof/>
            <w:szCs w:val="22"/>
            <w:lang w:val="it-IT"/>
          </w:rPr>
          <w:t> </w:t>
        </w:r>
      </w:ins>
      <w:del w:id="4298" w:author="Author">
        <w:r>
          <w:rPr>
            <w:noProof/>
            <w:szCs w:val="22"/>
            <w:lang w:val="it-IT"/>
          </w:rPr>
          <w:delText xml:space="preserve"> </w:delText>
        </w:r>
      </w:del>
      <w:r>
        <w:rPr>
          <w:noProof/>
          <w:szCs w:val="22"/>
          <w:lang w:val="it-IT"/>
        </w:rPr>
        <w:t>25) sono stati somministrati 162 mg di tocilizumab ogni 2 settimane (Q2W), mentre in quelli di peso inferiore a 30 kg (n</w:t>
      </w:r>
      <w:del w:id="4299" w:author="Author">
        <w:r>
          <w:rPr>
            <w:noProof/>
            <w:szCs w:val="22"/>
            <w:lang w:val="it-IT"/>
          </w:rPr>
          <w:delText xml:space="preserve"> </w:delText>
        </w:r>
      </w:del>
      <w:ins w:id="4300" w:author="Author">
        <w:r>
          <w:rPr>
            <w:noProof/>
            <w:szCs w:val="22"/>
            <w:lang w:val="it-IT"/>
          </w:rPr>
          <w:t> </w:t>
        </w:r>
      </w:ins>
      <w:r>
        <w:rPr>
          <w:noProof/>
          <w:szCs w:val="22"/>
          <w:lang w:val="it-IT"/>
        </w:rPr>
        <w:t>=</w:t>
      </w:r>
      <w:ins w:id="4301" w:author="Author">
        <w:r>
          <w:rPr>
            <w:noProof/>
            <w:szCs w:val="22"/>
            <w:lang w:val="it-IT"/>
          </w:rPr>
          <w:t> </w:t>
        </w:r>
      </w:ins>
      <w:del w:id="4302" w:author="Author">
        <w:r>
          <w:rPr>
            <w:noProof/>
            <w:szCs w:val="22"/>
            <w:lang w:val="it-IT"/>
          </w:rPr>
          <w:delText xml:space="preserve"> </w:delText>
        </w:r>
      </w:del>
      <w:r>
        <w:rPr>
          <w:noProof/>
          <w:szCs w:val="22"/>
          <w:lang w:val="it-IT"/>
        </w:rPr>
        <w:t>27) sono stati somministrati 162 mg di tocilizumab ogni 3 settimane (Q3W) per 52 settimane. Trentasette (71%) di questi 52 pazienti erano naïve al trattamento</w:t>
      </w:r>
      <w:del w:id="4303" w:author="Author">
        <w:r>
          <w:rPr>
            <w:noProof/>
            <w:szCs w:val="22"/>
            <w:lang w:val="it-IT"/>
          </w:rPr>
          <w:delText xml:space="preserve"> con</w:delText>
        </w:r>
      </w:del>
      <w:r>
        <w:rPr>
          <w:noProof/>
          <w:szCs w:val="22"/>
          <w:lang w:val="it-IT"/>
        </w:rPr>
        <w:t xml:space="preserve">, mentre 15 (29%) erano stati precedentemente sottoposti al trattamento </w:t>
      </w:r>
      <w:del w:id="4304" w:author="Author">
        <w:r>
          <w:rPr>
            <w:noProof/>
            <w:szCs w:val="22"/>
            <w:lang w:val="it-IT"/>
          </w:rPr>
          <w:delText xml:space="preserve">con tocilizumab </w:delText>
        </w:r>
      </w:del>
      <w:r>
        <w:rPr>
          <w:noProof/>
          <w:szCs w:val="22"/>
          <w:lang w:val="it-IT"/>
        </w:rPr>
        <w:t>in formulazione endovenosa e sono passati al</w:t>
      </w:r>
      <w:ins w:id="4305" w:author="Author">
        <w:r>
          <w:rPr>
            <w:noProof/>
            <w:szCs w:val="22"/>
            <w:lang w:val="it-IT"/>
          </w:rPr>
          <w:t xml:space="preserve"> trattamento</w:t>
        </w:r>
      </w:ins>
      <w:del w:id="4306" w:author="Author">
        <w:r>
          <w:rPr>
            <w:noProof/>
            <w:szCs w:val="22"/>
            <w:lang w:val="it-IT"/>
          </w:rPr>
          <w:delText>la terapia con tocilizumab in formulazione</w:delText>
        </w:r>
      </w:del>
      <w:r>
        <w:rPr>
          <w:noProof/>
          <w:szCs w:val="22"/>
          <w:lang w:val="it-IT"/>
        </w:rPr>
        <w:t xml:space="preserve"> </w:t>
      </w:r>
      <w:ins w:id="4307" w:author="Author">
        <w:r>
          <w:rPr>
            <w:noProof/>
            <w:szCs w:val="22"/>
            <w:lang w:val="it-IT"/>
          </w:rPr>
          <w:t xml:space="preserve">in formulazione </w:t>
        </w:r>
      </w:ins>
      <w:r>
        <w:rPr>
          <w:noProof/>
          <w:szCs w:val="22"/>
          <w:lang w:val="it-IT"/>
        </w:rPr>
        <w:t>sottocutane</w:t>
      </w:r>
      <w:ins w:id="4308" w:author="Author">
        <w:r>
          <w:rPr>
            <w:noProof/>
            <w:szCs w:val="22"/>
            <w:lang w:val="it-IT"/>
          </w:rPr>
          <w:t>a</w:t>
        </w:r>
      </w:ins>
      <w:del w:id="4309" w:author="Author">
        <w:r>
          <w:rPr>
            <w:noProof/>
            <w:szCs w:val="22"/>
            <w:lang w:val="it-IT"/>
          </w:rPr>
          <w:delText>a</w:delText>
        </w:r>
      </w:del>
      <w:ins w:id="4310" w:author="Author">
        <w:r>
          <w:rPr>
            <w:noProof/>
            <w:szCs w:val="22"/>
            <w:lang w:val="it-IT"/>
          </w:rPr>
          <w:t>o</w:t>
        </w:r>
      </w:ins>
      <w:r>
        <w:rPr>
          <w:noProof/>
          <w:szCs w:val="22"/>
          <w:lang w:val="it-IT"/>
        </w:rPr>
        <w:t xml:space="preserve"> al basale.</w:t>
      </w:r>
    </w:p>
    <w:p>
      <w:pPr>
        <w:tabs>
          <w:tab w:val="left" w:pos="180"/>
        </w:tabs>
        <w:rPr>
          <w:noProof/>
          <w:szCs w:val="22"/>
          <w:lang w:val="it-IT"/>
        </w:rPr>
      </w:pPr>
    </w:p>
    <w:p>
      <w:pPr>
        <w:tabs>
          <w:tab w:val="left" w:pos="180"/>
        </w:tabs>
        <w:rPr>
          <w:iCs/>
          <w:noProof/>
          <w:szCs w:val="22"/>
          <w:lang w:val="it-IT"/>
        </w:rPr>
      </w:pPr>
      <w:r>
        <w:rPr>
          <w:noProof/>
          <w:szCs w:val="22"/>
          <w:lang w:val="it-IT"/>
        </w:rPr>
        <w:t xml:space="preserve">I </w:t>
      </w:r>
      <w:del w:id="4311" w:author="Author">
        <w:r>
          <w:rPr>
            <w:noProof/>
            <w:szCs w:val="22"/>
            <w:lang w:val="it-IT"/>
          </w:rPr>
          <w:delText>regimi a base</w:delText>
        </w:r>
      </w:del>
      <w:ins w:id="4312" w:author="Author">
        <w:r>
          <w:rPr>
            <w:noProof/>
            <w:szCs w:val="22"/>
            <w:lang w:val="it-IT"/>
          </w:rPr>
          <w:t>dosaggi</w:t>
        </w:r>
      </w:ins>
      <w:r>
        <w:rPr>
          <w:noProof/>
          <w:szCs w:val="22"/>
          <w:lang w:val="it-IT"/>
        </w:rPr>
        <w:t xml:space="preserve"> di tocilizumab in formulazione sottocutanea</w:t>
      </w:r>
      <w:del w:id="4313" w:author="Author">
        <w:r>
          <w:rPr>
            <w:noProof/>
            <w:szCs w:val="22"/>
            <w:lang w:val="it-IT"/>
          </w:rPr>
          <w:delText xml:space="preserve"> </w:delText>
        </w:r>
      </w:del>
      <w:r>
        <w:rPr>
          <w:noProof/>
          <w:szCs w:val="22"/>
          <w:lang w:val="it-IT"/>
        </w:rPr>
        <w:t xml:space="preserve"> </w:t>
      </w:r>
      <w:r>
        <w:rPr>
          <w:iCs/>
          <w:noProof/>
          <w:szCs w:val="22"/>
          <w:lang w:val="it-IT"/>
        </w:rPr>
        <w:t xml:space="preserve">162 mg Q3W nei pazienti di peso inferiore a 30 kg e 162 mg Q2W nei pazienti di peso ≥ 30 kg garantiscono rispettivamente un’esposizione PK e risposte PD che avvalorano esiti di efficacia e sicurezza simili a quelli ottenuti con i </w:t>
      </w:r>
      <w:del w:id="4314" w:author="Author">
        <w:r>
          <w:rPr>
            <w:iCs/>
            <w:noProof/>
            <w:szCs w:val="22"/>
            <w:lang w:val="it-IT"/>
          </w:rPr>
          <w:delText xml:space="preserve">regimi </w:delText>
        </w:r>
      </w:del>
      <w:ins w:id="4315" w:author="Author">
        <w:r>
          <w:rPr>
            <w:iCs/>
            <w:noProof/>
            <w:szCs w:val="22"/>
            <w:lang w:val="it-IT"/>
          </w:rPr>
          <w:t>dosaggi</w:t>
        </w:r>
      </w:ins>
      <w:del w:id="4316" w:author="Author">
        <w:r>
          <w:rPr>
            <w:iCs/>
            <w:noProof/>
            <w:szCs w:val="22"/>
            <w:lang w:val="it-IT"/>
          </w:rPr>
          <w:delText>a base</w:delText>
        </w:r>
      </w:del>
      <w:r>
        <w:rPr>
          <w:iCs/>
          <w:noProof/>
          <w:szCs w:val="22"/>
          <w:lang w:val="it-IT"/>
        </w:rPr>
        <w:t xml:space="preserve"> di </w:t>
      </w:r>
      <w:r>
        <w:rPr>
          <w:noProof/>
          <w:szCs w:val="22"/>
          <w:lang w:val="it-IT"/>
        </w:rPr>
        <w:t xml:space="preserve">tocilizumab in formulazione endovenosa </w:t>
      </w:r>
      <w:r>
        <w:rPr>
          <w:iCs/>
          <w:noProof/>
          <w:szCs w:val="22"/>
          <w:lang w:val="it-IT"/>
        </w:rPr>
        <w:t>approvati per l’AIGp.</w:t>
      </w:r>
    </w:p>
    <w:p>
      <w:pPr>
        <w:tabs>
          <w:tab w:val="left" w:pos="180"/>
        </w:tabs>
        <w:rPr>
          <w:noProof/>
          <w:szCs w:val="22"/>
          <w:lang w:val="it-IT"/>
        </w:rPr>
      </w:pPr>
    </w:p>
    <w:p>
      <w:pPr>
        <w:tabs>
          <w:tab w:val="left" w:pos="180"/>
        </w:tabs>
        <w:rPr>
          <w:noProof/>
          <w:szCs w:val="22"/>
          <w:lang w:val="it-IT"/>
        </w:rPr>
      </w:pPr>
      <w:r>
        <w:rPr>
          <w:noProof/>
          <w:szCs w:val="22"/>
          <w:lang w:val="it-IT"/>
        </w:rPr>
        <w:t>Dai risultati esplorativi di efficacia è emerso che tocilizumab in formulazione sottocutanea ha determinato un miglioramento del punteggio JADAS-71 (Juvenile Arthritis Disease Activity Score-71) mediano nei pazienti naïve al trattamento e ha consentito di mantenere il punteggio JADAS-71 mediano nei pazienti che sono passati dal trattamento con formulazione endovenosa al trattamento con</w:t>
      </w:r>
      <w:del w:id="4317" w:author="Author">
        <w:r>
          <w:rPr>
            <w:noProof/>
            <w:szCs w:val="22"/>
            <w:lang w:val="it-IT"/>
          </w:rPr>
          <w:delText xml:space="preserve"> </w:delText>
        </w:r>
      </w:del>
      <w:r>
        <w:rPr>
          <w:noProof/>
          <w:szCs w:val="22"/>
          <w:lang w:val="it-IT"/>
        </w:rPr>
        <w:t xml:space="preserve"> formulazione sottocutanea</w:t>
      </w:r>
      <w:del w:id="4318" w:author="Author">
        <w:r>
          <w:rPr>
            <w:noProof/>
            <w:szCs w:val="22"/>
            <w:lang w:val="it-IT"/>
          </w:rPr>
          <w:delText xml:space="preserve"> </w:delText>
        </w:r>
      </w:del>
      <w:r>
        <w:rPr>
          <w:noProof/>
          <w:szCs w:val="22"/>
          <w:lang w:val="it-IT"/>
        </w:rPr>
        <w:t>. Tali risultati sono stati osservati per l’intera durata dello studio nei pazienti di entrambi i gruppi di peso corporeo (inferiore a 30 kg e</w:t>
      </w:r>
      <w:del w:id="4319" w:author="Author">
        <w:r>
          <w:rPr>
            <w:noProof/>
            <w:szCs w:val="22"/>
            <w:lang w:val="it-IT"/>
          </w:rPr>
          <w:delText xml:space="preserve"> </w:delText>
        </w:r>
      </w:del>
      <w:ins w:id="4320" w:author="Author">
        <w:r>
          <w:rPr>
            <w:noProof/>
            <w:szCs w:val="22"/>
            <w:lang w:val="it-IT"/>
          </w:rPr>
          <w:t> </w:t>
        </w:r>
      </w:ins>
      <w:r>
        <w:rPr>
          <w:noProof/>
          <w:szCs w:val="22"/>
          <w:lang w:val="it-IT" w:eastAsia="de-DE"/>
        </w:rPr>
        <w:t>≥</w:t>
      </w:r>
      <w:r>
        <w:rPr>
          <w:noProof/>
          <w:szCs w:val="22"/>
          <w:lang w:val="it-IT"/>
        </w:rPr>
        <w:t> 30 kg).</w:t>
      </w:r>
    </w:p>
    <w:p>
      <w:pPr>
        <w:tabs>
          <w:tab w:val="left" w:pos="180"/>
        </w:tabs>
        <w:rPr>
          <w:noProof/>
          <w:szCs w:val="22"/>
          <w:lang w:val="it-IT"/>
        </w:rPr>
      </w:pPr>
    </w:p>
    <w:p>
      <w:pPr>
        <w:keepNext/>
        <w:keepLines/>
        <w:rPr>
          <w:ins w:id="4321" w:author="Author"/>
          <w:bCs/>
          <w:noProof/>
          <w:u w:val="single"/>
          <w:lang w:val="it-IT"/>
        </w:rPr>
        <w:pPrChange w:id="4322" w:author="Author">
          <w:pPr/>
        </w:pPrChange>
      </w:pPr>
      <w:ins w:id="4323" w:author="Author">
        <w:r>
          <w:rPr>
            <w:bCs/>
            <w:noProof/>
            <w:u w:val="single"/>
            <w:lang w:val="it-IT"/>
          </w:rPr>
          <w:lastRenderedPageBreak/>
          <w:t>Uso sottocutaneo</w:t>
        </w:r>
      </w:ins>
    </w:p>
    <w:p>
      <w:pPr>
        <w:keepNext/>
        <w:keepLines/>
        <w:rPr>
          <w:bCs/>
          <w:noProof/>
          <w:u w:val="single"/>
          <w:lang w:val="it-IT"/>
        </w:rPr>
        <w:pPrChange w:id="4324" w:author="Author">
          <w:pPr/>
        </w:pPrChange>
      </w:pPr>
      <w:ins w:id="4325" w:author="Author">
        <w:r>
          <w:rPr>
            <w:bCs/>
            <w:i/>
            <w:iCs/>
            <w:noProof/>
            <w:lang w:val="it-IT"/>
            <w:rPrChange w:id="4326" w:author="Author">
              <w:rPr>
                <w:bCs/>
                <w:u w:val="single"/>
                <w:lang w:val="it-IT"/>
              </w:rPr>
            </w:rPrChange>
          </w:rPr>
          <w:t xml:space="preserve">Pazienti affetti da </w:t>
        </w:r>
      </w:ins>
      <w:r>
        <w:rPr>
          <w:bCs/>
          <w:i/>
          <w:iCs/>
          <w:noProof/>
          <w:lang w:val="it-IT"/>
          <w:rPrChange w:id="4327" w:author="Author">
            <w:rPr>
              <w:bCs/>
              <w:u w:val="single"/>
              <w:lang w:val="it-IT"/>
            </w:rPr>
          </w:rPrChange>
        </w:rPr>
        <w:t>ACG</w:t>
      </w:r>
      <w:del w:id="4328" w:author="Author">
        <w:r>
          <w:rPr>
            <w:bCs/>
            <w:noProof/>
            <w:u w:val="single"/>
            <w:lang w:val="it-IT"/>
          </w:rPr>
          <w:delText xml:space="preserve"> (uso sottocutaneo)</w:delText>
        </w:r>
      </w:del>
    </w:p>
    <w:p>
      <w:pPr>
        <w:keepNext/>
        <w:keepLines/>
        <w:rPr>
          <w:rFonts w:eastAsia="MS PGothic"/>
          <w:bCs/>
          <w:noProof/>
          <w:u w:val="single"/>
          <w:lang w:val="it-IT"/>
        </w:rPr>
        <w:pPrChange w:id="4329" w:author="Author">
          <w:pPr/>
        </w:pPrChange>
      </w:pPr>
    </w:p>
    <w:p>
      <w:pPr>
        <w:keepNext/>
        <w:keepLines/>
        <w:rPr>
          <w:noProof/>
          <w:u w:val="single"/>
          <w:lang w:val="it-IT"/>
          <w:rPrChange w:id="4330" w:author="Author">
            <w:rPr>
              <w:i/>
              <w:iCs/>
              <w:lang w:val="it-IT"/>
            </w:rPr>
          </w:rPrChange>
        </w:rPr>
        <w:pPrChange w:id="4331" w:author="Author">
          <w:pPr/>
        </w:pPrChange>
      </w:pPr>
      <w:r>
        <w:rPr>
          <w:noProof/>
          <w:u w:val="single"/>
          <w:lang w:val="it-IT"/>
          <w:rPrChange w:id="4332" w:author="Author">
            <w:rPr>
              <w:i/>
              <w:iCs/>
              <w:lang w:val="it-IT"/>
            </w:rPr>
          </w:rPrChange>
        </w:rPr>
        <w:t>Efficacia clinica</w:t>
      </w:r>
    </w:p>
    <w:p>
      <w:pPr>
        <w:rPr>
          <w:del w:id="4333" w:author="Author"/>
          <w:rFonts w:eastAsia="MS PGothic"/>
          <w:i/>
          <w:iCs/>
          <w:noProof/>
          <w:lang w:val="it-IT"/>
        </w:rPr>
      </w:pPr>
    </w:p>
    <w:p>
      <w:pPr>
        <w:rPr>
          <w:noProof/>
          <w:lang w:val="it-IT"/>
        </w:rPr>
      </w:pPr>
      <w:r>
        <w:rPr>
          <w:noProof/>
          <w:lang w:val="it-IT"/>
        </w:rPr>
        <w:t xml:space="preserve">Lo </w:t>
      </w:r>
      <w:del w:id="4334" w:author="Author">
        <w:r>
          <w:rPr>
            <w:noProof/>
            <w:lang w:val="it-IT"/>
          </w:rPr>
          <w:delText xml:space="preserve">studio </w:delText>
        </w:r>
      </w:del>
      <w:ins w:id="4335" w:author="Author">
        <w:r>
          <w:rPr>
            <w:noProof/>
            <w:lang w:val="it-IT"/>
          </w:rPr>
          <w:t xml:space="preserve">Studio </w:t>
        </w:r>
      </w:ins>
      <w:r>
        <w:rPr>
          <w:noProof/>
          <w:lang w:val="it-IT"/>
        </w:rPr>
        <w:t xml:space="preserve">WA28119 è stato uno studio </w:t>
      </w:r>
      <w:ins w:id="4336" w:author="Author">
        <w:r>
          <w:rPr>
            <w:noProof/>
            <w:lang w:val="it-IT"/>
          </w:rPr>
          <w:t xml:space="preserve">clinico </w:t>
        </w:r>
      </w:ins>
      <w:r>
        <w:rPr>
          <w:noProof/>
          <w:lang w:val="it-IT"/>
        </w:rPr>
        <w:t>di superiorità di fase III randomizzato, multicentrico, in doppio cieco e controllato con placebo condotto per valutare l’efficacia e la sicurezza di tocilizumab in pazienti affetti da ACG.</w:t>
      </w:r>
    </w:p>
    <w:p>
      <w:pPr>
        <w:rPr>
          <w:noProof/>
          <w:lang w:val="it-IT" w:eastAsia="de-DE"/>
        </w:rPr>
      </w:pPr>
    </w:p>
    <w:p>
      <w:pPr>
        <w:keepNext/>
        <w:keepLines/>
        <w:rPr>
          <w:noProof/>
          <w:lang w:val="it-IT"/>
        </w:rPr>
      </w:pPr>
      <w:r>
        <w:rPr>
          <w:noProof/>
          <w:lang w:val="it-IT"/>
        </w:rPr>
        <w:t xml:space="preserve">Duecentocinquantuno (251) pazienti affetti da ACG di nuova insorgenza o recidivante sono stati arruolati e assegnati a uno dei quattro bracci di trattamento. Lo studio </w:t>
      </w:r>
      <w:ins w:id="4337" w:author="Author">
        <w:r>
          <w:rPr>
            <w:noProof/>
            <w:lang w:val="it-IT"/>
          </w:rPr>
          <w:t xml:space="preserve">clinico </w:t>
        </w:r>
      </w:ins>
      <w:r>
        <w:rPr>
          <w:noProof/>
          <w:lang w:val="it-IT"/>
        </w:rPr>
        <w:t>si è articolato in un periodo di trattamento in cieco della durata di 52 settimane (Parte 1) seguito da un’estensione in aperto della durata di 104 settimane (Parte 2). Scopo della Parte 2 era delineare la sicurezza e il mantenimento dell’efficacia a lungo termine dopo 52 settimane di terapia</w:t>
      </w:r>
      <w:ins w:id="4338" w:author="Author">
        <w:r>
          <w:rPr>
            <w:noProof/>
            <w:lang w:val="it-IT"/>
          </w:rPr>
          <w:t xml:space="preserve"> con tocilizumab</w:t>
        </w:r>
      </w:ins>
      <w:r>
        <w:rPr>
          <w:noProof/>
          <w:lang w:val="it-IT"/>
        </w:rPr>
        <w:t xml:space="preserve">, analizzare il tasso di recidive e la necessità di trattamento </w:t>
      </w:r>
      <w:del w:id="4339" w:author="Author">
        <w:r>
          <w:rPr>
            <w:noProof/>
            <w:lang w:val="it-IT"/>
          </w:rPr>
          <w:delText xml:space="preserve">con tocilizumab </w:delText>
        </w:r>
      </w:del>
      <w:r>
        <w:rPr>
          <w:noProof/>
          <w:lang w:val="it-IT"/>
        </w:rPr>
        <w:t>oltre le 52 settimane, nonché acquisire informazioni sul potenziale effetto di risparmio degli steroidi a lungo termine del medicinale.</w:t>
      </w:r>
    </w:p>
    <w:p>
      <w:pPr>
        <w:rPr>
          <w:noProof/>
          <w:lang w:val="it-IT" w:eastAsia="de-DE"/>
        </w:rPr>
      </w:pPr>
    </w:p>
    <w:p>
      <w:pPr>
        <w:rPr>
          <w:noProof/>
          <w:lang w:val="it-IT"/>
        </w:rPr>
      </w:pPr>
      <w:r>
        <w:rPr>
          <w:noProof/>
          <w:lang w:val="it-IT"/>
        </w:rPr>
        <w:t xml:space="preserve">Due dosi sottocutanee di tocilizumab (162 mg </w:t>
      </w:r>
      <w:del w:id="4340" w:author="Author">
        <w:r>
          <w:rPr>
            <w:noProof/>
            <w:lang w:val="it-IT"/>
          </w:rPr>
          <w:delText xml:space="preserve">ogni </w:delText>
        </w:r>
      </w:del>
      <w:ins w:id="4341" w:author="Author">
        <w:r>
          <w:rPr>
            <w:noProof/>
            <w:lang w:val="it-IT"/>
          </w:rPr>
          <w:t xml:space="preserve">una volta a </w:t>
        </w:r>
      </w:ins>
      <w:r>
        <w:rPr>
          <w:noProof/>
          <w:lang w:val="it-IT"/>
        </w:rPr>
        <w:t xml:space="preserve">settimana e 162 mg </w:t>
      </w:r>
      <w:ins w:id="4342" w:author="Author">
        <w:r>
          <w:rPr>
            <w:noProof/>
            <w:lang w:val="it-IT"/>
          </w:rPr>
          <w:t>ogni 2</w:t>
        </w:r>
      </w:ins>
      <w:del w:id="4343" w:author="Author">
        <w:r>
          <w:rPr>
            <w:noProof/>
            <w:lang w:val="it-IT"/>
          </w:rPr>
          <w:delText>a</w:delText>
        </w:r>
      </w:del>
      <w:r>
        <w:rPr>
          <w:noProof/>
          <w:lang w:val="it-IT"/>
        </w:rPr>
        <w:t xml:space="preserve"> settimane</w:t>
      </w:r>
      <w:del w:id="4344" w:author="Author">
        <w:r>
          <w:rPr>
            <w:noProof/>
            <w:lang w:val="it-IT"/>
          </w:rPr>
          <w:delText xml:space="preserve"> alterne</w:delText>
        </w:r>
      </w:del>
      <w:r>
        <w:rPr>
          <w:noProof/>
          <w:lang w:val="it-IT"/>
        </w:rPr>
        <w:t>) sono state confrontate con due diversi gruppi di controllo trattati con placebo, randomizzati in rapporto 2:1:1:1.</w:t>
      </w:r>
    </w:p>
    <w:p>
      <w:pPr>
        <w:rPr>
          <w:noProof/>
          <w:lang w:val="it-IT" w:eastAsia="de-DE"/>
        </w:rPr>
      </w:pPr>
    </w:p>
    <w:p>
      <w:pPr>
        <w:rPr>
          <w:noProof/>
          <w:lang w:val="it-IT"/>
        </w:rPr>
      </w:pPr>
      <w:r>
        <w:rPr>
          <w:noProof/>
          <w:lang w:val="it-IT"/>
        </w:rPr>
        <w:t>Tutti i pazienti hanno ricevuto una terapia di fondo con glucocorticoidi (prednisone). Ciascuno dei gruppi trattati con tocilizumab e uno dei gruppi trattati con placebo hanno seguito un regime prestabilito con prednisone a scalare per 26 settimane, mentre il secondo gruppo trattato con placebo ha seguito un regime prestabilito con prednisone a scalare per 52 settimane, concepito per rispecchiare meglio la prassi standard.</w:t>
      </w:r>
    </w:p>
    <w:p>
      <w:pPr>
        <w:rPr>
          <w:noProof/>
          <w:lang w:val="it-IT" w:eastAsia="de-DE"/>
        </w:rPr>
      </w:pPr>
    </w:p>
    <w:p>
      <w:pPr>
        <w:rPr>
          <w:noProof/>
          <w:lang w:val="it-IT"/>
        </w:rPr>
      </w:pPr>
      <w:r>
        <w:rPr>
          <w:noProof/>
          <w:lang w:val="it-IT"/>
        </w:rPr>
        <w:t>La durata della terapia con glucocorticoidi durante lo screening e prima dell’inizio della somministrazione di tocilizumab (o di placebo) è stata simile in tutti e 4 i gruppi di trattamento (vedere Tabella 3).</w:t>
      </w:r>
    </w:p>
    <w:p>
      <w:pPr>
        <w:rPr>
          <w:noProof/>
          <w:lang w:val="it-IT" w:eastAsia="de-DE"/>
        </w:rPr>
      </w:pPr>
    </w:p>
    <w:p>
      <w:pPr>
        <w:keepNext/>
        <w:keepLines/>
        <w:numPr>
          <w:ilvl w:val="12"/>
          <w:numId w:val="0"/>
        </w:numPr>
        <w:ind w:right="-2"/>
        <w:rPr>
          <w:bCs/>
          <w:i/>
          <w:noProof/>
          <w:lang w:val="it-IT"/>
        </w:rPr>
      </w:pPr>
      <w:r>
        <w:rPr>
          <w:bCs/>
          <w:i/>
          <w:noProof/>
          <w:lang w:val="it-IT"/>
        </w:rPr>
        <w:t xml:space="preserve">Tabella 3. Durata della terapia con corticosteroidi durante lo screening nello </w:t>
      </w:r>
      <w:del w:id="4345" w:author="Author">
        <w:r>
          <w:rPr>
            <w:bCs/>
            <w:i/>
            <w:noProof/>
            <w:lang w:val="it-IT"/>
          </w:rPr>
          <w:delText xml:space="preserve">studio </w:delText>
        </w:r>
      </w:del>
      <w:ins w:id="4346" w:author="Author">
        <w:r>
          <w:rPr>
            <w:bCs/>
            <w:i/>
            <w:noProof/>
            <w:lang w:val="it-IT"/>
          </w:rPr>
          <w:t xml:space="preserve">Studio </w:t>
        </w:r>
      </w:ins>
      <w:r>
        <w:rPr>
          <w:bCs/>
          <w:i/>
          <w:noProof/>
          <w:lang w:val="it-IT"/>
        </w:rPr>
        <w:t xml:space="preserve">WA28119 </w:t>
      </w:r>
    </w:p>
    <w:p>
      <w:pPr>
        <w:keepNext/>
        <w:keepLines/>
        <w:numPr>
          <w:ilvl w:val="12"/>
          <w:numId w:val="0"/>
        </w:numPr>
        <w:ind w:right="-2"/>
        <w:rPr>
          <w:bCs/>
          <w:i/>
          <w:noProof/>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4347"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PrChange>
      </w:tblPr>
      <w:tblGrid>
        <w:gridCol w:w="1837"/>
        <w:gridCol w:w="1490"/>
        <w:gridCol w:w="1490"/>
        <w:gridCol w:w="2122"/>
        <w:gridCol w:w="2122"/>
        <w:tblGridChange w:id="4348">
          <w:tblGrid>
            <w:gridCol w:w="1697"/>
            <w:gridCol w:w="1386"/>
            <w:gridCol w:w="1576"/>
            <w:gridCol w:w="4"/>
            <w:gridCol w:w="2107"/>
            <w:gridCol w:w="4"/>
            <w:gridCol w:w="2287"/>
          </w:tblGrid>
        </w:tblGridChange>
      </w:tblGrid>
      <w:tr>
        <w:trPr>
          <w:cantSplit/>
          <w:trPrChange w:id="4349" w:author="Author">
            <w:trPr>
              <w:cantSplit/>
            </w:trPr>
          </w:trPrChange>
        </w:trPr>
        <w:tc>
          <w:tcPr>
            <w:tcW w:w="1014" w:type="pct"/>
            <w:tcMar>
              <w:top w:w="0" w:type="dxa"/>
              <w:left w:w="57" w:type="dxa"/>
              <w:bottom w:w="0" w:type="dxa"/>
              <w:right w:w="57" w:type="dxa"/>
            </w:tcMar>
            <w:vAlign w:val="bottom"/>
            <w:tcPrChange w:id="4350" w:author="Author">
              <w:tcPr>
                <w:tcW w:w="936" w:type="pct"/>
                <w:tcMar>
                  <w:top w:w="0" w:type="dxa"/>
                  <w:left w:w="57" w:type="dxa"/>
                  <w:bottom w:w="0" w:type="dxa"/>
                  <w:right w:w="57" w:type="dxa"/>
                </w:tcMar>
                <w:vAlign w:val="bottom"/>
              </w:tcPr>
            </w:tcPrChange>
          </w:tcPr>
          <w:p>
            <w:pPr>
              <w:pStyle w:val="Standard"/>
              <w:keepNext/>
              <w:suppressAutoHyphens/>
              <w:rPr>
                <w:rFonts w:eastAsia="SimSun"/>
                <w:strike/>
                <w:noProof/>
                <w:sz w:val="20"/>
                <w:lang w:val="it-IT" w:eastAsia="zh-CN"/>
                <w:rPrChange w:id="4351" w:author="Author">
                  <w:rPr>
                    <w:rFonts w:eastAsia="SimSun"/>
                    <w:strike/>
                    <w:sz w:val="18"/>
                    <w:szCs w:val="18"/>
                    <w:lang w:val="it-IT" w:eastAsia="zh-CN"/>
                  </w:rPr>
                </w:rPrChange>
              </w:rPr>
              <w:pPrChange w:id="4352" w:author="Author">
                <w:pPr>
                  <w:pStyle w:val="Standard"/>
                  <w:keepNext/>
                  <w:keepLines/>
                  <w:spacing w:before="50" w:after="50" w:line="240" w:lineRule="exact"/>
                </w:pPr>
              </w:pPrChange>
            </w:pPr>
          </w:p>
        </w:tc>
        <w:tc>
          <w:tcPr>
            <w:tcW w:w="822" w:type="pct"/>
            <w:tcMar>
              <w:top w:w="0" w:type="dxa"/>
              <w:left w:w="57" w:type="dxa"/>
              <w:bottom w:w="0" w:type="dxa"/>
              <w:right w:w="57" w:type="dxa"/>
            </w:tcMar>
            <w:tcPrChange w:id="4353" w:author="Author">
              <w:tcPr>
                <w:tcW w:w="765" w:type="pct"/>
                <w:tcMar>
                  <w:top w:w="0" w:type="dxa"/>
                  <w:left w:w="57" w:type="dxa"/>
                  <w:bottom w:w="0" w:type="dxa"/>
                  <w:right w:w="57" w:type="dxa"/>
                </w:tcMar>
              </w:tcPr>
            </w:tcPrChange>
          </w:tcPr>
          <w:p>
            <w:pPr>
              <w:keepNext/>
              <w:suppressAutoHyphens/>
              <w:jc w:val="center"/>
              <w:rPr>
                <w:rFonts w:eastAsia="SimSun"/>
                <w:b/>
                <w:noProof/>
                <w:sz w:val="20"/>
                <w:lang w:val="it-IT"/>
                <w:rPrChange w:id="4354" w:author="Author">
                  <w:rPr>
                    <w:rFonts w:eastAsia="SimSun"/>
                    <w:b/>
                    <w:sz w:val="18"/>
                    <w:szCs w:val="18"/>
                    <w:lang w:val="it-IT"/>
                  </w:rPr>
                </w:rPrChange>
              </w:rPr>
              <w:pPrChange w:id="4355" w:author="Author">
                <w:pPr>
                  <w:keepNext/>
                  <w:keepLines/>
                  <w:spacing w:before="50" w:after="50" w:line="240" w:lineRule="exact"/>
                  <w:jc w:val="center"/>
                </w:pPr>
              </w:pPrChange>
            </w:pPr>
            <w:r>
              <w:rPr>
                <w:b/>
                <w:noProof/>
                <w:sz w:val="20"/>
                <w:lang w:val="it-IT"/>
                <w:rPrChange w:id="4356" w:author="Author">
                  <w:rPr>
                    <w:b/>
                    <w:sz w:val="18"/>
                    <w:szCs w:val="18"/>
                    <w:lang w:val="it-IT"/>
                  </w:rPr>
                </w:rPrChange>
              </w:rPr>
              <w:t>Placebo + 26 settimane di prednisone a scalare</w:t>
            </w:r>
          </w:p>
          <w:p>
            <w:pPr>
              <w:pStyle w:val="Standard"/>
              <w:keepNext/>
              <w:suppressAutoHyphens/>
              <w:jc w:val="center"/>
              <w:rPr>
                <w:rFonts w:eastAsia="SimSun"/>
                <w:b/>
                <w:noProof/>
                <w:sz w:val="20"/>
                <w:lang w:val="it-IT" w:eastAsia="zh-CN"/>
                <w:rPrChange w:id="4357" w:author="Author">
                  <w:rPr>
                    <w:rFonts w:eastAsia="SimSun"/>
                    <w:b/>
                    <w:sz w:val="18"/>
                    <w:szCs w:val="18"/>
                    <w:lang w:val="it-IT" w:eastAsia="zh-CN"/>
                  </w:rPr>
                </w:rPrChange>
              </w:rPr>
              <w:pPrChange w:id="4358" w:author="Author">
                <w:pPr>
                  <w:pStyle w:val="Standard"/>
                  <w:keepNext/>
                  <w:keepLines/>
                  <w:spacing w:before="50" w:after="50" w:line="240" w:lineRule="exact"/>
                  <w:jc w:val="center"/>
                </w:pPr>
              </w:pPrChange>
            </w:pPr>
            <w:del w:id="4359" w:author="Author">
              <w:r>
                <w:rPr>
                  <w:b/>
                  <w:noProof/>
                  <w:sz w:val="20"/>
                  <w:lang w:val="it-IT"/>
                  <w:rPrChange w:id="4360" w:author="Author">
                    <w:rPr>
                      <w:b/>
                      <w:sz w:val="18"/>
                      <w:szCs w:val="18"/>
                      <w:lang w:val="it-IT"/>
                    </w:rPr>
                  </w:rPrChange>
                </w:rPr>
                <w:delText xml:space="preserve">N </w:delText>
              </w:r>
            </w:del>
            <w:ins w:id="4361" w:author="Author">
              <w:r>
                <w:rPr>
                  <w:b/>
                  <w:noProof/>
                  <w:sz w:val="20"/>
                  <w:lang w:val="it-IT"/>
                  <w:rPrChange w:id="4362" w:author="Author">
                    <w:rPr>
                      <w:b/>
                      <w:sz w:val="18"/>
                      <w:szCs w:val="18"/>
                      <w:lang w:val="it-IT"/>
                    </w:rPr>
                  </w:rPrChange>
                </w:rPr>
                <w:t>n </w:t>
              </w:r>
            </w:ins>
            <w:r>
              <w:rPr>
                <w:b/>
                <w:noProof/>
                <w:sz w:val="20"/>
                <w:lang w:val="it-IT"/>
                <w:rPrChange w:id="4363" w:author="Author">
                  <w:rPr>
                    <w:b/>
                    <w:sz w:val="18"/>
                    <w:szCs w:val="18"/>
                    <w:lang w:val="it-IT"/>
                  </w:rPr>
                </w:rPrChange>
              </w:rPr>
              <w:t>=</w:t>
            </w:r>
            <w:ins w:id="4364" w:author="Author">
              <w:r>
                <w:rPr>
                  <w:b/>
                  <w:noProof/>
                  <w:sz w:val="20"/>
                  <w:lang w:val="it-IT"/>
                  <w:rPrChange w:id="4365" w:author="Author">
                    <w:rPr>
                      <w:b/>
                      <w:sz w:val="18"/>
                      <w:szCs w:val="18"/>
                      <w:lang w:val="it-IT"/>
                    </w:rPr>
                  </w:rPrChange>
                </w:rPr>
                <w:t> </w:t>
              </w:r>
            </w:ins>
            <w:del w:id="4366" w:author="Author">
              <w:r>
                <w:rPr>
                  <w:b/>
                  <w:noProof/>
                  <w:sz w:val="20"/>
                  <w:lang w:val="it-IT"/>
                  <w:rPrChange w:id="4367" w:author="Author">
                    <w:rPr>
                      <w:b/>
                      <w:sz w:val="18"/>
                      <w:szCs w:val="18"/>
                      <w:lang w:val="it-IT"/>
                    </w:rPr>
                  </w:rPrChange>
                </w:rPr>
                <w:delText xml:space="preserve"> </w:delText>
              </w:r>
            </w:del>
            <w:r>
              <w:rPr>
                <w:b/>
                <w:noProof/>
                <w:sz w:val="20"/>
                <w:lang w:val="it-IT"/>
                <w:rPrChange w:id="4368" w:author="Author">
                  <w:rPr>
                    <w:b/>
                    <w:sz w:val="18"/>
                    <w:szCs w:val="18"/>
                    <w:lang w:val="it-IT"/>
                  </w:rPr>
                </w:rPrChange>
              </w:rPr>
              <w:t>50</w:t>
            </w:r>
          </w:p>
        </w:tc>
        <w:tc>
          <w:tcPr>
            <w:tcW w:w="822" w:type="pct"/>
            <w:tcMar>
              <w:top w:w="0" w:type="dxa"/>
              <w:left w:w="57" w:type="dxa"/>
              <w:bottom w:w="0" w:type="dxa"/>
              <w:right w:w="57" w:type="dxa"/>
            </w:tcMar>
            <w:tcPrChange w:id="4369" w:author="Author">
              <w:tcPr>
                <w:tcW w:w="872" w:type="pct"/>
                <w:gridSpan w:val="2"/>
                <w:tcMar>
                  <w:top w:w="0" w:type="dxa"/>
                  <w:left w:w="57" w:type="dxa"/>
                  <w:bottom w:w="0" w:type="dxa"/>
                  <w:right w:w="57" w:type="dxa"/>
                </w:tcMar>
              </w:tcPr>
            </w:tcPrChange>
          </w:tcPr>
          <w:p>
            <w:pPr>
              <w:pStyle w:val="Standard"/>
              <w:keepNext/>
              <w:suppressAutoHyphens/>
              <w:jc w:val="center"/>
              <w:rPr>
                <w:b/>
                <w:noProof/>
                <w:sz w:val="20"/>
                <w:lang w:val="it-IT"/>
                <w:rPrChange w:id="4370" w:author="Author">
                  <w:rPr>
                    <w:b/>
                    <w:sz w:val="18"/>
                    <w:szCs w:val="18"/>
                    <w:lang w:val="it-IT"/>
                  </w:rPr>
                </w:rPrChange>
              </w:rPr>
              <w:pPrChange w:id="4371" w:author="Author">
                <w:pPr>
                  <w:pStyle w:val="Standard"/>
                  <w:keepNext/>
                  <w:keepLines/>
                  <w:spacing w:before="50" w:after="50" w:line="240" w:lineRule="exact"/>
                  <w:jc w:val="center"/>
                </w:pPr>
              </w:pPrChange>
            </w:pPr>
            <w:r>
              <w:rPr>
                <w:b/>
                <w:noProof/>
                <w:sz w:val="20"/>
                <w:lang w:val="it-IT"/>
                <w:rPrChange w:id="4372" w:author="Author">
                  <w:rPr>
                    <w:b/>
                    <w:sz w:val="18"/>
                    <w:szCs w:val="18"/>
                    <w:lang w:val="it-IT"/>
                  </w:rPr>
                </w:rPrChange>
              </w:rPr>
              <w:t>Placebo + 52 settimane di prednisone a scalare</w:t>
            </w:r>
          </w:p>
          <w:p>
            <w:pPr>
              <w:pStyle w:val="Standard"/>
              <w:keepNext/>
              <w:suppressAutoHyphens/>
              <w:jc w:val="center"/>
              <w:rPr>
                <w:rFonts w:eastAsia="SimSun"/>
                <w:b/>
                <w:noProof/>
                <w:sz w:val="20"/>
                <w:lang w:val="it-IT" w:eastAsia="zh-CN"/>
                <w:rPrChange w:id="4373" w:author="Author">
                  <w:rPr>
                    <w:rFonts w:eastAsia="SimSun"/>
                    <w:b/>
                    <w:sz w:val="18"/>
                    <w:szCs w:val="18"/>
                    <w:lang w:val="it-IT" w:eastAsia="zh-CN"/>
                  </w:rPr>
                </w:rPrChange>
              </w:rPr>
              <w:pPrChange w:id="4374" w:author="Author">
                <w:pPr>
                  <w:pStyle w:val="Standard"/>
                  <w:keepNext/>
                  <w:keepLines/>
                  <w:spacing w:before="50" w:after="50" w:line="240" w:lineRule="exact"/>
                  <w:jc w:val="center"/>
                </w:pPr>
              </w:pPrChange>
            </w:pPr>
            <w:del w:id="4375" w:author="Author">
              <w:r>
                <w:rPr>
                  <w:b/>
                  <w:noProof/>
                  <w:sz w:val="20"/>
                  <w:lang w:val="it-IT"/>
                  <w:rPrChange w:id="4376" w:author="Author">
                    <w:rPr>
                      <w:b/>
                      <w:sz w:val="18"/>
                      <w:szCs w:val="18"/>
                      <w:lang w:val="it-IT"/>
                    </w:rPr>
                  </w:rPrChange>
                </w:rPr>
                <w:delText xml:space="preserve">N </w:delText>
              </w:r>
            </w:del>
            <w:ins w:id="4377" w:author="Author">
              <w:r>
                <w:rPr>
                  <w:b/>
                  <w:noProof/>
                  <w:sz w:val="20"/>
                  <w:lang w:val="it-IT"/>
                  <w:rPrChange w:id="4378" w:author="Author">
                    <w:rPr>
                      <w:b/>
                      <w:sz w:val="18"/>
                      <w:szCs w:val="18"/>
                      <w:lang w:val="it-IT"/>
                    </w:rPr>
                  </w:rPrChange>
                </w:rPr>
                <w:t>n </w:t>
              </w:r>
            </w:ins>
            <w:r>
              <w:rPr>
                <w:b/>
                <w:noProof/>
                <w:sz w:val="20"/>
                <w:lang w:val="it-IT"/>
                <w:rPrChange w:id="4379" w:author="Author">
                  <w:rPr>
                    <w:b/>
                    <w:sz w:val="18"/>
                    <w:szCs w:val="18"/>
                    <w:lang w:val="it-IT"/>
                  </w:rPr>
                </w:rPrChange>
              </w:rPr>
              <w:t>=</w:t>
            </w:r>
            <w:ins w:id="4380" w:author="Author">
              <w:r>
                <w:rPr>
                  <w:b/>
                  <w:noProof/>
                  <w:sz w:val="20"/>
                  <w:lang w:val="it-IT"/>
                  <w:rPrChange w:id="4381" w:author="Author">
                    <w:rPr>
                      <w:b/>
                      <w:sz w:val="18"/>
                      <w:szCs w:val="18"/>
                      <w:lang w:val="it-IT"/>
                    </w:rPr>
                  </w:rPrChange>
                </w:rPr>
                <w:t> </w:t>
              </w:r>
            </w:ins>
            <w:del w:id="4382" w:author="Author">
              <w:r>
                <w:rPr>
                  <w:b/>
                  <w:noProof/>
                  <w:sz w:val="20"/>
                  <w:lang w:val="it-IT"/>
                  <w:rPrChange w:id="4383" w:author="Author">
                    <w:rPr>
                      <w:b/>
                      <w:sz w:val="18"/>
                      <w:szCs w:val="18"/>
                      <w:lang w:val="it-IT"/>
                    </w:rPr>
                  </w:rPrChange>
                </w:rPr>
                <w:delText xml:space="preserve"> </w:delText>
              </w:r>
            </w:del>
            <w:r>
              <w:rPr>
                <w:b/>
                <w:noProof/>
                <w:sz w:val="20"/>
                <w:lang w:val="it-IT"/>
                <w:rPrChange w:id="4384" w:author="Author">
                  <w:rPr>
                    <w:b/>
                    <w:sz w:val="18"/>
                    <w:szCs w:val="18"/>
                    <w:lang w:val="it-IT"/>
                  </w:rPr>
                </w:rPrChange>
              </w:rPr>
              <w:t>51</w:t>
            </w:r>
          </w:p>
        </w:tc>
        <w:tc>
          <w:tcPr>
            <w:tcW w:w="1171" w:type="pct"/>
            <w:tcPrChange w:id="4385" w:author="Author">
              <w:tcPr>
                <w:tcW w:w="1165" w:type="pct"/>
                <w:gridSpan w:val="2"/>
              </w:tcPr>
            </w:tcPrChange>
          </w:tcPr>
          <w:p>
            <w:pPr>
              <w:pStyle w:val="Standard"/>
              <w:keepNext/>
              <w:suppressAutoHyphens/>
              <w:jc w:val="center"/>
              <w:rPr>
                <w:b/>
                <w:noProof/>
                <w:sz w:val="20"/>
                <w:lang w:val="it-IT"/>
                <w:rPrChange w:id="4386" w:author="Author">
                  <w:rPr>
                    <w:b/>
                    <w:sz w:val="18"/>
                    <w:szCs w:val="18"/>
                    <w:lang w:val="it-IT"/>
                  </w:rPr>
                </w:rPrChange>
              </w:rPr>
              <w:pPrChange w:id="4387" w:author="Author">
                <w:pPr>
                  <w:pStyle w:val="Standard"/>
                  <w:keepNext/>
                  <w:keepLines/>
                  <w:spacing w:before="50" w:after="50" w:line="240" w:lineRule="exact"/>
                  <w:jc w:val="center"/>
                </w:pPr>
              </w:pPrChange>
            </w:pPr>
            <w:r>
              <w:rPr>
                <w:b/>
                <w:noProof/>
                <w:sz w:val="20"/>
                <w:lang w:val="it-IT"/>
                <w:rPrChange w:id="4388" w:author="Author">
                  <w:rPr>
                    <w:b/>
                    <w:sz w:val="18"/>
                    <w:szCs w:val="18"/>
                    <w:lang w:val="it-IT"/>
                  </w:rPr>
                </w:rPrChange>
              </w:rPr>
              <w:t xml:space="preserve">Tocilizumab 162 mg s.c. </w:t>
            </w:r>
            <w:del w:id="4389" w:author="Author">
              <w:r>
                <w:rPr>
                  <w:b/>
                  <w:noProof/>
                  <w:sz w:val="20"/>
                  <w:lang w:val="it-IT"/>
                  <w:rPrChange w:id="4390" w:author="Author">
                    <w:rPr>
                      <w:b/>
                      <w:sz w:val="18"/>
                      <w:szCs w:val="18"/>
                      <w:lang w:val="it-IT"/>
                    </w:rPr>
                  </w:rPrChange>
                </w:rPr>
                <w:delText xml:space="preserve">ogni </w:delText>
              </w:r>
            </w:del>
            <w:ins w:id="4391" w:author="Author">
              <w:r>
                <w:rPr>
                  <w:b/>
                  <w:noProof/>
                  <w:sz w:val="20"/>
                  <w:lang w:val="it-IT"/>
                </w:rPr>
                <w:t>una volta a</w:t>
              </w:r>
              <w:r>
                <w:rPr>
                  <w:b/>
                  <w:noProof/>
                  <w:sz w:val="20"/>
                  <w:lang w:val="it-IT"/>
                  <w:rPrChange w:id="4392" w:author="Author">
                    <w:rPr>
                      <w:b/>
                      <w:sz w:val="18"/>
                      <w:szCs w:val="18"/>
                      <w:lang w:val="it-IT"/>
                    </w:rPr>
                  </w:rPrChange>
                </w:rPr>
                <w:t xml:space="preserve"> </w:t>
              </w:r>
            </w:ins>
            <w:r>
              <w:rPr>
                <w:b/>
                <w:noProof/>
                <w:sz w:val="20"/>
                <w:lang w:val="it-IT"/>
                <w:rPrChange w:id="4393" w:author="Author">
                  <w:rPr>
                    <w:b/>
                    <w:sz w:val="18"/>
                    <w:szCs w:val="18"/>
                    <w:lang w:val="it-IT"/>
                  </w:rPr>
                </w:rPrChange>
              </w:rPr>
              <w:t xml:space="preserve">settimana + 26 settimane di prednisone a scalare </w:t>
            </w:r>
          </w:p>
          <w:p>
            <w:pPr>
              <w:pStyle w:val="Standard"/>
              <w:keepNext/>
              <w:suppressAutoHyphens/>
              <w:jc w:val="center"/>
              <w:rPr>
                <w:b/>
                <w:noProof/>
                <w:sz w:val="20"/>
                <w:lang w:val="it-IT"/>
                <w:rPrChange w:id="4394" w:author="Author">
                  <w:rPr>
                    <w:b/>
                    <w:sz w:val="18"/>
                    <w:szCs w:val="18"/>
                    <w:lang w:val="it-IT"/>
                  </w:rPr>
                </w:rPrChange>
              </w:rPr>
              <w:pPrChange w:id="4395" w:author="Author">
                <w:pPr>
                  <w:pStyle w:val="Standard"/>
                  <w:keepNext/>
                  <w:keepLines/>
                  <w:spacing w:before="50" w:after="50" w:line="240" w:lineRule="exact"/>
                  <w:jc w:val="center"/>
                </w:pPr>
              </w:pPrChange>
            </w:pPr>
            <w:del w:id="4396" w:author="Author">
              <w:r>
                <w:rPr>
                  <w:b/>
                  <w:noProof/>
                  <w:sz w:val="20"/>
                  <w:lang w:val="it-IT"/>
                  <w:rPrChange w:id="4397" w:author="Author">
                    <w:rPr>
                      <w:b/>
                      <w:sz w:val="18"/>
                      <w:szCs w:val="18"/>
                      <w:lang w:val="it-IT"/>
                    </w:rPr>
                  </w:rPrChange>
                </w:rPr>
                <w:delText xml:space="preserve">N </w:delText>
              </w:r>
            </w:del>
            <w:ins w:id="4398" w:author="Author">
              <w:r>
                <w:rPr>
                  <w:b/>
                  <w:noProof/>
                  <w:sz w:val="20"/>
                  <w:lang w:val="it-IT"/>
                  <w:rPrChange w:id="4399" w:author="Author">
                    <w:rPr>
                      <w:b/>
                      <w:sz w:val="18"/>
                      <w:szCs w:val="18"/>
                      <w:lang w:val="it-IT"/>
                    </w:rPr>
                  </w:rPrChange>
                </w:rPr>
                <w:t>n </w:t>
              </w:r>
            </w:ins>
            <w:r>
              <w:rPr>
                <w:b/>
                <w:noProof/>
                <w:sz w:val="20"/>
                <w:lang w:val="it-IT"/>
                <w:rPrChange w:id="4400" w:author="Author">
                  <w:rPr>
                    <w:b/>
                    <w:sz w:val="18"/>
                    <w:szCs w:val="18"/>
                    <w:lang w:val="it-IT"/>
                  </w:rPr>
                </w:rPrChange>
              </w:rPr>
              <w:t>=</w:t>
            </w:r>
            <w:ins w:id="4401" w:author="Author">
              <w:r>
                <w:rPr>
                  <w:b/>
                  <w:noProof/>
                  <w:sz w:val="20"/>
                  <w:lang w:val="it-IT"/>
                  <w:rPrChange w:id="4402" w:author="Author">
                    <w:rPr>
                      <w:b/>
                      <w:sz w:val="18"/>
                      <w:szCs w:val="18"/>
                      <w:lang w:val="it-IT"/>
                    </w:rPr>
                  </w:rPrChange>
                </w:rPr>
                <w:t> </w:t>
              </w:r>
            </w:ins>
            <w:del w:id="4403" w:author="Author">
              <w:r>
                <w:rPr>
                  <w:b/>
                  <w:noProof/>
                  <w:sz w:val="20"/>
                  <w:lang w:val="it-IT"/>
                  <w:rPrChange w:id="4404" w:author="Author">
                    <w:rPr>
                      <w:b/>
                      <w:sz w:val="18"/>
                      <w:szCs w:val="18"/>
                      <w:lang w:val="it-IT"/>
                    </w:rPr>
                  </w:rPrChange>
                </w:rPr>
                <w:delText xml:space="preserve"> </w:delText>
              </w:r>
            </w:del>
            <w:r>
              <w:rPr>
                <w:b/>
                <w:noProof/>
                <w:sz w:val="20"/>
                <w:lang w:val="it-IT"/>
                <w:rPrChange w:id="4405" w:author="Author">
                  <w:rPr>
                    <w:b/>
                    <w:sz w:val="18"/>
                    <w:szCs w:val="18"/>
                    <w:lang w:val="it-IT"/>
                  </w:rPr>
                </w:rPrChange>
              </w:rPr>
              <w:t>100</w:t>
            </w:r>
          </w:p>
        </w:tc>
        <w:tc>
          <w:tcPr>
            <w:tcW w:w="1171" w:type="pct"/>
            <w:tcMar>
              <w:top w:w="0" w:type="dxa"/>
              <w:left w:w="57" w:type="dxa"/>
              <w:bottom w:w="0" w:type="dxa"/>
              <w:right w:w="57" w:type="dxa"/>
            </w:tcMar>
            <w:tcPrChange w:id="4406" w:author="Author">
              <w:tcPr>
                <w:tcW w:w="1262" w:type="pct"/>
                <w:tcMar>
                  <w:top w:w="0" w:type="dxa"/>
                  <w:left w:w="57" w:type="dxa"/>
                  <w:bottom w:w="0" w:type="dxa"/>
                  <w:right w:w="57" w:type="dxa"/>
                </w:tcMar>
              </w:tcPr>
            </w:tcPrChange>
          </w:tcPr>
          <w:p>
            <w:pPr>
              <w:keepNext/>
              <w:suppressAutoHyphens/>
              <w:jc w:val="center"/>
              <w:rPr>
                <w:rFonts w:eastAsia="SimSun"/>
                <w:b/>
                <w:noProof/>
                <w:sz w:val="20"/>
                <w:lang w:val="it-IT"/>
                <w:rPrChange w:id="4407" w:author="Author">
                  <w:rPr>
                    <w:rFonts w:eastAsia="SimSun"/>
                    <w:b/>
                    <w:sz w:val="18"/>
                    <w:szCs w:val="18"/>
                    <w:lang w:val="it-IT"/>
                  </w:rPr>
                </w:rPrChange>
              </w:rPr>
              <w:pPrChange w:id="4408" w:author="Author">
                <w:pPr>
                  <w:keepNext/>
                  <w:keepLines/>
                  <w:spacing w:before="50" w:after="50" w:line="240" w:lineRule="exact"/>
                  <w:jc w:val="center"/>
                </w:pPr>
              </w:pPrChange>
            </w:pPr>
            <w:r>
              <w:rPr>
                <w:b/>
                <w:noProof/>
                <w:sz w:val="20"/>
                <w:lang w:val="it-IT"/>
                <w:rPrChange w:id="4409" w:author="Author">
                  <w:rPr>
                    <w:b/>
                    <w:sz w:val="18"/>
                    <w:szCs w:val="18"/>
                    <w:lang w:val="it-IT"/>
                  </w:rPr>
                </w:rPrChange>
              </w:rPr>
              <w:t xml:space="preserve">Tocilizumab 162 mg s.c. </w:t>
            </w:r>
            <w:del w:id="4410" w:author="Author">
              <w:r>
                <w:rPr>
                  <w:b/>
                  <w:noProof/>
                  <w:sz w:val="20"/>
                  <w:lang w:val="it-IT"/>
                  <w:rPrChange w:id="4411" w:author="Author">
                    <w:rPr>
                      <w:b/>
                      <w:sz w:val="18"/>
                      <w:szCs w:val="18"/>
                      <w:lang w:val="it-IT"/>
                    </w:rPr>
                  </w:rPrChange>
                </w:rPr>
                <w:delText>a settimane alterne</w:delText>
              </w:r>
            </w:del>
            <w:ins w:id="4412" w:author="Author">
              <w:r>
                <w:rPr>
                  <w:b/>
                  <w:noProof/>
                  <w:sz w:val="20"/>
                  <w:lang w:val="it-IT"/>
                </w:rPr>
                <w:t>ogni due settimane</w:t>
              </w:r>
            </w:ins>
            <w:r>
              <w:rPr>
                <w:b/>
                <w:noProof/>
                <w:sz w:val="20"/>
                <w:lang w:val="it-IT"/>
                <w:rPrChange w:id="4413" w:author="Author">
                  <w:rPr>
                    <w:b/>
                    <w:sz w:val="18"/>
                    <w:szCs w:val="18"/>
                    <w:lang w:val="it-IT"/>
                  </w:rPr>
                </w:rPrChange>
              </w:rPr>
              <w:t xml:space="preserve"> + 26 settimane di prednisone a scalare</w:t>
            </w:r>
          </w:p>
          <w:p>
            <w:pPr>
              <w:pStyle w:val="Standard"/>
              <w:keepNext/>
              <w:suppressAutoHyphens/>
              <w:jc w:val="center"/>
              <w:rPr>
                <w:rFonts w:eastAsia="SimSun"/>
                <w:b/>
                <w:noProof/>
                <w:sz w:val="20"/>
                <w:lang w:val="it-IT" w:eastAsia="zh-CN"/>
                <w:rPrChange w:id="4414" w:author="Author">
                  <w:rPr>
                    <w:rFonts w:eastAsia="SimSun"/>
                    <w:b/>
                    <w:sz w:val="18"/>
                    <w:szCs w:val="18"/>
                    <w:lang w:val="it-IT" w:eastAsia="zh-CN"/>
                  </w:rPr>
                </w:rPrChange>
              </w:rPr>
              <w:pPrChange w:id="4415" w:author="Author">
                <w:pPr>
                  <w:pStyle w:val="Standard"/>
                  <w:keepNext/>
                  <w:keepLines/>
                  <w:spacing w:before="50" w:after="50" w:line="240" w:lineRule="exact"/>
                  <w:jc w:val="center"/>
                </w:pPr>
              </w:pPrChange>
            </w:pPr>
            <w:del w:id="4416" w:author="Author">
              <w:r>
                <w:rPr>
                  <w:b/>
                  <w:noProof/>
                  <w:sz w:val="20"/>
                  <w:lang w:val="it-IT"/>
                  <w:rPrChange w:id="4417" w:author="Author">
                    <w:rPr>
                      <w:b/>
                      <w:sz w:val="18"/>
                      <w:szCs w:val="18"/>
                      <w:lang w:val="it-IT"/>
                    </w:rPr>
                  </w:rPrChange>
                </w:rPr>
                <w:delText xml:space="preserve">N </w:delText>
              </w:r>
            </w:del>
            <w:ins w:id="4418" w:author="Author">
              <w:r>
                <w:rPr>
                  <w:b/>
                  <w:noProof/>
                  <w:sz w:val="20"/>
                  <w:lang w:val="it-IT"/>
                  <w:rPrChange w:id="4419" w:author="Author">
                    <w:rPr>
                      <w:b/>
                      <w:sz w:val="18"/>
                      <w:szCs w:val="18"/>
                      <w:lang w:val="it-IT"/>
                    </w:rPr>
                  </w:rPrChange>
                </w:rPr>
                <w:t>n </w:t>
              </w:r>
            </w:ins>
            <w:r>
              <w:rPr>
                <w:b/>
                <w:noProof/>
                <w:sz w:val="20"/>
                <w:lang w:val="it-IT"/>
                <w:rPrChange w:id="4420" w:author="Author">
                  <w:rPr>
                    <w:b/>
                    <w:sz w:val="18"/>
                    <w:szCs w:val="18"/>
                    <w:lang w:val="it-IT"/>
                  </w:rPr>
                </w:rPrChange>
              </w:rPr>
              <w:t>=</w:t>
            </w:r>
            <w:ins w:id="4421" w:author="Author">
              <w:r>
                <w:rPr>
                  <w:b/>
                  <w:noProof/>
                  <w:sz w:val="20"/>
                  <w:lang w:val="it-IT"/>
                  <w:rPrChange w:id="4422" w:author="Author">
                    <w:rPr>
                      <w:b/>
                      <w:sz w:val="18"/>
                      <w:szCs w:val="18"/>
                      <w:lang w:val="it-IT"/>
                    </w:rPr>
                  </w:rPrChange>
                </w:rPr>
                <w:t> </w:t>
              </w:r>
            </w:ins>
            <w:del w:id="4423" w:author="Author">
              <w:r>
                <w:rPr>
                  <w:b/>
                  <w:noProof/>
                  <w:sz w:val="20"/>
                  <w:lang w:val="it-IT"/>
                  <w:rPrChange w:id="4424" w:author="Author">
                    <w:rPr>
                      <w:b/>
                      <w:sz w:val="18"/>
                      <w:szCs w:val="18"/>
                      <w:lang w:val="it-IT"/>
                    </w:rPr>
                  </w:rPrChange>
                </w:rPr>
                <w:delText xml:space="preserve"> </w:delText>
              </w:r>
            </w:del>
            <w:r>
              <w:rPr>
                <w:b/>
                <w:noProof/>
                <w:sz w:val="20"/>
                <w:lang w:val="it-IT"/>
                <w:rPrChange w:id="4425" w:author="Author">
                  <w:rPr>
                    <w:b/>
                    <w:sz w:val="18"/>
                    <w:szCs w:val="18"/>
                    <w:lang w:val="it-IT"/>
                  </w:rPr>
                </w:rPrChange>
              </w:rPr>
              <w:t>49</w:t>
            </w:r>
          </w:p>
        </w:tc>
      </w:tr>
      <w:tr>
        <w:tblPrEx>
          <w:tblPrExChange w:id="4426" w:author="Author">
            <w:tblPrEx>
              <w:tblCellMar>
                <w:left w:w="0" w:type="dxa"/>
                <w:right w:w="0" w:type="dxa"/>
              </w:tblCellMar>
            </w:tblPrEx>
          </w:tblPrExChange>
        </w:tblPrEx>
        <w:trPr>
          <w:cantSplit/>
          <w:trPrChange w:id="4427" w:author="Author">
            <w:trPr>
              <w:cantSplit/>
            </w:trPr>
          </w:trPrChange>
        </w:trPr>
        <w:tc>
          <w:tcPr>
            <w:tcW w:w="2658" w:type="pct"/>
            <w:gridSpan w:val="3"/>
            <w:tcMar>
              <w:top w:w="0" w:type="dxa"/>
              <w:left w:w="57" w:type="dxa"/>
              <w:bottom w:w="0" w:type="dxa"/>
              <w:right w:w="57" w:type="dxa"/>
            </w:tcMar>
            <w:tcPrChange w:id="4428" w:author="Author">
              <w:tcPr>
                <w:tcW w:w="2570" w:type="pct"/>
                <w:gridSpan w:val="3"/>
                <w:tcMar>
                  <w:top w:w="0" w:type="dxa"/>
                  <w:left w:w="57" w:type="dxa"/>
                  <w:bottom w:w="0" w:type="dxa"/>
                  <w:right w:w="57" w:type="dxa"/>
                </w:tcMar>
              </w:tcPr>
            </w:tcPrChange>
          </w:tcPr>
          <w:p>
            <w:pPr>
              <w:pStyle w:val="Standard"/>
              <w:keepNext/>
              <w:suppressAutoHyphens/>
              <w:rPr>
                <w:rFonts w:eastAsia="SimSun"/>
                <w:b/>
                <w:bCs/>
                <w:noProof/>
                <w:sz w:val="20"/>
                <w:lang w:val="it-IT" w:eastAsia="zh-CN"/>
                <w:rPrChange w:id="4429" w:author="Author">
                  <w:rPr>
                    <w:rFonts w:eastAsia="SimSun"/>
                    <w:sz w:val="18"/>
                    <w:szCs w:val="18"/>
                    <w:lang w:val="it-IT" w:eastAsia="zh-CN"/>
                  </w:rPr>
                </w:rPrChange>
              </w:rPr>
              <w:pPrChange w:id="4430" w:author="Author">
                <w:pPr>
                  <w:pStyle w:val="Standard"/>
                  <w:keepNext/>
                  <w:keepLines/>
                  <w:spacing w:before="50" w:after="50" w:line="240" w:lineRule="exact"/>
                </w:pPr>
              </w:pPrChange>
            </w:pPr>
            <w:r>
              <w:rPr>
                <w:b/>
                <w:bCs/>
                <w:noProof/>
                <w:sz w:val="20"/>
                <w:lang w:val="it-IT"/>
                <w:rPrChange w:id="4431" w:author="Author">
                  <w:rPr>
                    <w:sz w:val="18"/>
                    <w:szCs w:val="18"/>
                    <w:lang w:val="it-IT"/>
                  </w:rPr>
                </w:rPrChange>
              </w:rPr>
              <w:t>Durata (giorni)</w:t>
            </w:r>
            <w:r>
              <w:rPr>
                <w:rFonts w:eastAsia="SimSun"/>
                <w:b/>
                <w:bCs/>
                <w:noProof/>
                <w:sz w:val="20"/>
                <w:lang w:val="it-IT" w:eastAsia="zh-CN"/>
                <w:rPrChange w:id="4432" w:author="Author">
                  <w:rPr>
                    <w:rFonts w:eastAsia="SimSun"/>
                    <w:sz w:val="18"/>
                    <w:szCs w:val="18"/>
                    <w:lang w:val="it-IT" w:eastAsia="zh-CN"/>
                  </w:rPr>
                </w:rPrChange>
              </w:rPr>
              <w:t xml:space="preserve">                       </w:t>
            </w:r>
          </w:p>
        </w:tc>
        <w:tc>
          <w:tcPr>
            <w:tcW w:w="1171" w:type="pct"/>
            <w:tcPrChange w:id="4433" w:author="Author">
              <w:tcPr>
                <w:tcW w:w="1165" w:type="pct"/>
                <w:gridSpan w:val="2"/>
              </w:tcPr>
            </w:tcPrChange>
          </w:tcPr>
          <w:p>
            <w:pPr>
              <w:pStyle w:val="Standard"/>
              <w:keepNext/>
              <w:suppressAutoHyphens/>
              <w:jc w:val="center"/>
              <w:rPr>
                <w:rFonts w:eastAsia="SimSun"/>
                <w:strike/>
                <w:noProof/>
                <w:sz w:val="20"/>
                <w:lang w:val="it-IT" w:eastAsia="zh-CN"/>
                <w:rPrChange w:id="4434" w:author="Author">
                  <w:rPr>
                    <w:rFonts w:eastAsia="SimSun"/>
                    <w:strike/>
                    <w:sz w:val="18"/>
                    <w:szCs w:val="18"/>
                    <w:lang w:val="it-IT" w:eastAsia="zh-CN"/>
                  </w:rPr>
                </w:rPrChange>
              </w:rPr>
              <w:pPrChange w:id="4435" w:author="Author">
                <w:pPr>
                  <w:pStyle w:val="Standard"/>
                  <w:keepNext/>
                  <w:keepLines/>
                  <w:spacing w:before="50" w:after="50" w:line="240" w:lineRule="exact"/>
                  <w:jc w:val="center"/>
                </w:pPr>
              </w:pPrChange>
            </w:pPr>
          </w:p>
        </w:tc>
        <w:tc>
          <w:tcPr>
            <w:tcW w:w="1171" w:type="pct"/>
            <w:tcMar>
              <w:top w:w="0" w:type="dxa"/>
              <w:left w:w="57" w:type="dxa"/>
              <w:bottom w:w="0" w:type="dxa"/>
              <w:right w:w="57" w:type="dxa"/>
            </w:tcMar>
            <w:tcPrChange w:id="4436" w:author="Author">
              <w:tcPr>
                <w:tcW w:w="1265" w:type="pct"/>
                <w:gridSpan w:val="2"/>
                <w:tcMar>
                  <w:top w:w="0" w:type="dxa"/>
                  <w:left w:w="57" w:type="dxa"/>
                  <w:bottom w:w="0" w:type="dxa"/>
                  <w:right w:w="57" w:type="dxa"/>
                </w:tcMar>
              </w:tcPr>
            </w:tcPrChange>
          </w:tcPr>
          <w:p>
            <w:pPr>
              <w:pStyle w:val="Standard"/>
              <w:keepNext/>
              <w:suppressAutoHyphens/>
              <w:jc w:val="center"/>
              <w:rPr>
                <w:rFonts w:eastAsia="SimSun"/>
                <w:strike/>
                <w:noProof/>
                <w:sz w:val="20"/>
                <w:lang w:val="it-IT" w:eastAsia="zh-CN"/>
                <w:rPrChange w:id="4437" w:author="Author">
                  <w:rPr>
                    <w:rFonts w:eastAsia="SimSun"/>
                    <w:strike/>
                    <w:sz w:val="18"/>
                    <w:szCs w:val="18"/>
                    <w:lang w:val="it-IT" w:eastAsia="zh-CN"/>
                  </w:rPr>
                </w:rPrChange>
              </w:rPr>
              <w:pPrChange w:id="4438" w:author="Author">
                <w:pPr>
                  <w:pStyle w:val="Standard"/>
                  <w:keepNext/>
                  <w:keepLines/>
                  <w:spacing w:before="50" w:after="50" w:line="240" w:lineRule="exact"/>
                  <w:jc w:val="center"/>
                </w:pPr>
              </w:pPrChange>
            </w:pPr>
          </w:p>
        </w:tc>
      </w:tr>
      <w:tr>
        <w:trPr>
          <w:cantSplit/>
          <w:trPrChange w:id="4439" w:author="Author">
            <w:trPr>
              <w:cantSplit/>
            </w:trPr>
          </w:trPrChange>
        </w:trPr>
        <w:tc>
          <w:tcPr>
            <w:tcW w:w="1014" w:type="pct"/>
            <w:tcMar>
              <w:top w:w="0" w:type="dxa"/>
              <w:left w:w="57" w:type="dxa"/>
              <w:bottom w:w="0" w:type="dxa"/>
              <w:right w:w="57" w:type="dxa"/>
            </w:tcMar>
            <w:tcPrChange w:id="4440" w:author="Author">
              <w:tcPr>
                <w:tcW w:w="936" w:type="pct"/>
                <w:tcMar>
                  <w:top w:w="0" w:type="dxa"/>
                  <w:left w:w="57" w:type="dxa"/>
                  <w:bottom w:w="0" w:type="dxa"/>
                  <w:right w:w="57" w:type="dxa"/>
                </w:tcMar>
              </w:tcPr>
            </w:tcPrChange>
          </w:tcPr>
          <w:p>
            <w:pPr>
              <w:pStyle w:val="Standard"/>
              <w:keepNext/>
              <w:suppressAutoHyphens/>
              <w:ind w:left="720"/>
              <w:rPr>
                <w:rFonts w:eastAsia="SimSun"/>
                <w:noProof/>
                <w:sz w:val="20"/>
                <w:lang w:val="it-IT" w:eastAsia="zh-CN"/>
                <w:rPrChange w:id="4441" w:author="Author">
                  <w:rPr>
                    <w:rFonts w:eastAsia="SimSun"/>
                    <w:sz w:val="18"/>
                    <w:szCs w:val="18"/>
                    <w:lang w:val="it-IT" w:eastAsia="zh-CN"/>
                  </w:rPr>
                </w:rPrChange>
              </w:rPr>
              <w:pPrChange w:id="4442" w:author="Author">
                <w:pPr>
                  <w:pStyle w:val="Standard"/>
                  <w:keepNext/>
                  <w:keepLines/>
                  <w:spacing w:before="50" w:after="50" w:line="240" w:lineRule="exact"/>
                  <w:ind w:left="720"/>
                </w:pPr>
              </w:pPrChange>
            </w:pPr>
            <w:r>
              <w:rPr>
                <w:noProof/>
                <w:sz w:val="20"/>
                <w:lang w:val="it-IT"/>
                <w:rPrChange w:id="4443" w:author="Author">
                  <w:rPr>
                    <w:sz w:val="18"/>
                    <w:szCs w:val="18"/>
                    <w:lang w:val="it-IT"/>
                  </w:rPr>
                </w:rPrChange>
              </w:rPr>
              <w:t>Media (DS)</w:t>
            </w:r>
          </w:p>
        </w:tc>
        <w:tc>
          <w:tcPr>
            <w:tcW w:w="822" w:type="pct"/>
            <w:tcMar>
              <w:top w:w="0" w:type="dxa"/>
              <w:left w:w="57" w:type="dxa"/>
              <w:bottom w:w="0" w:type="dxa"/>
              <w:right w:w="57" w:type="dxa"/>
            </w:tcMar>
            <w:tcPrChange w:id="4444" w:author="Author">
              <w:tcPr>
                <w:tcW w:w="765" w:type="pct"/>
                <w:tcMar>
                  <w:top w:w="0" w:type="dxa"/>
                  <w:left w:w="57" w:type="dxa"/>
                  <w:bottom w:w="0" w:type="dxa"/>
                  <w:right w:w="57" w:type="dxa"/>
                </w:tcMar>
              </w:tcPr>
            </w:tcPrChange>
          </w:tcPr>
          <w:p>
            <w:pPr>
              <w:pStyle w:val="Standard"/>
              <w:keepNext/>
              <w:suppressAutoHyphens/>
              <w:jc w:val="center"/>
              <w:rPr>
                <w:rFonts w:eastAsia="SimSun"/>
                <w:noProof/>
                <w:sz w:val="20"/>
                <w:lang w:val="it-IT" w:eastAsia="zh-CN"/>
                <w:rPrChange w:id="4445" w:author="Author">
                  <w:rPr>
                    <w:rFonts w:eastAsia="SimSun"/>
                    <w:sz w:val="18"/>
                    <w:szCs w:val="18"/>
                    <w:lang w:val="it-IT" w:eastAsia="zh-CN"/>
                  </w:rPr>
                </w:rPrChange>
              </w:rPr>
              <w:pPrChange w:id="4446" w:author="Author">
                <w:pPr>
                  <w:pStyle w:val="Standard"/>
                  <w:keepNext/>
                  <w:keepLines/>
                  <w:spacing w:before="50" w:after="50" w:line="240" w:lineRule="exact"/>
                  <w:jc w:val="center"/>
                </w:pPr>
              </w:pPrChange>
            </w:pPr>
            <w:r>
              <w:rPr>
                <w:noProof/>
                <w:sz w:val="20"/>
                <w:lang w:val="it-IT"/>
                <w:rPrChange w:id="4447" w:author="Author">
                  <w:rPr>
                    <w:sz w:val="18"/>
                    <w:szCs w:val="18"/>
                    <w:lang w:val="it-IT"/>
                  </w:rPr>
                </w:rPrChange>
              </w:rPr>
              <w:t>35,7 (11,5)</w:t>
            </w:r>
          </w:p>
        </w:tc>
        <w:tc>
          <w:tcPr>
            <w:tcW w:w="822" w:type="pct"/>
            <w:tcMar>
              <w:top w:w="0" w:type="dxa"/>
              <w:left w:w="57" w:type="dxa"/>
              <w:bottom w:w="0" w:type="dxa"/>
              <w:right w:w="57" w:type="dxa"/>
            </w:tcMar>
            <w:tcPrChange w:id="4448" w:author="Author">
              <w:tcPr>
                <w:tcW w:w="872" w:type="pct"/>
                <w:gridSpan w:val="2"/>
                <w:tcMar>
                  <w:top w:w="0" w:type="dxa"/>
                  <w:left w:w="57" w:type="dxa"/>
                  <w:bottom w:w="0" w:type="dxa"/>
                  <w:right w:w="57" w:type="dxa"/>
                </w:tcMar>
              </w:tcPr>
            </w:tcPrChange>
          </w:tcPr>
          <w:p>
            <w:pPr>
              <w:pStyle w:val="Standard"/>
              <w:keepNext/>
              <w:suppressAutoHyphens/>
              <w:jc w:val="center"/>
              <w:rPr>
                <w:rFonts w:eastAsia="SimSun"/>
                <w:noProof/>
                <w:sz w:val="20"/>
                <w:lang w:val="it-IT" w:eastAsia="zh-CN"/>
                <w:rPrChange w:id="4449" w:author="Author">
                  <w:rPr>
                    <w:rFonts w:eastAsia="SimSun"/>
                    <w:sz w:val="18"/>
                    <w:szCs w:val="18"/>
                    <w:lang w:val="it-IT" w:eastAsia="zh-CN"/>
                  </w:rPr>
                </w:rPrChange>
              </w:rPr>
              <w:pPrChange w:id="4450" w:author="Author">
                <w:pPr>
                  <w:pStyle w:val="Standard"/>
                  <w:keepNext/>
                  <w:keepLines/>
                  <w:spacing w:before="50" w:after="50" w:line="240" w:lineRule="exact"/>
                  <w:jc w:val="center"/>
                </w:pPr>
              </w:pPrChange>
            </w:pPr>
            <w:r>
              <w:rPr>
                <w:noProof/>
                <w:sz w:val="20"/>
                <w:lang w:val="it-IT"/>
                <w:rPrChange w:id="4451" w:author="Author">
                  <w:rPr>
                    <w:sz w:val="18"/>
                    <w:szCs w:val="18"/>
                    <w:lang w:val="it-IT"/>
                  </w:rPr>
                </w:rPrChange>
              </w:rPr>
              <w:t>36,3 (12,5)</w:t>
            </w:r>
          </w:p>
        </w:tc>
        <w:tc>
          <w:tcPr>
            <w:tcW w:w="1171" w:type="pct"/>
            <w:tcPrChange w:id="4452" w:author="Author">
              <w:tcPr>
                <w:tcW w:w="1165" w:type="pct"/>
                <w:gridSpan w:val="2"/>
              </w:tcPr>
            </w:tcPrChange>
          </w:tcPr>
          <w:p>
            <w:pPr>
              <w:pStyle w:val="Standard"/>
              <w:keepNext/>
              <w:suppressAutoHyphens/>
              <w:jc w:val="center"/>
              <w:rPr>
                <w:rFonts w:eastAsia="SimSun"/>
                <w:noProof/>
                <w:sz w:val="20"/>
                <w:lang w:val="it-IT" w:eastAsia="zh-CN"/>
                <w:rPrChange w:id="4453" w:author="Author">
                  <w:rPr>
                    <w:rFonts w:eastAsia="SimSun"/>
                    <w:sz w:val="18"/>
                    <w:szCs w:val="18"/>
                    <w:lang w:val="it-IT" w:eastAsia="zh-CN"/>
                  </w:rPr>
                </w:rPrChange>
              </w:rPr>
              <w:pPrChange w:id="4454" w:author="Author">
                <w:pPr>
                  <w:pStyle w:val="Standard"/>
                  <w:keepNext/>
                  <w:keepLines/>
                  <w:spacing w:before="50" w:after="50" w:line="240" w:lineRule="exact"/>
                  <w:jc w:val="center"/>
                </w:pPr>
              </w:pPrChange>
            </w:pPr>
            <w:r>
              <w:rPr>
                <w:noProof/>
                <w:sz w:val="20"/>
                <w:lang w:val="it-IT"/>
                <w:rPrChange w:id="4455" w:author="Author">
                  <w:rPr>
                    <w:sz w:val="18"/>
                    <w:szCs w:val="18"/>
                    <w:lang w:val="it-IT"/>
                  </w:rPr>
                </w:rPrChange>
              </w:rPr>
              <w:t>35,6 (13,2)</w:t>
            </w:r>
          </w:p>
        </w:tc>
        <w:tc>
          <w:tcPr>
            <w:tcW w:w="1171" w:type="pct"/>
            <w:tcMar>
              <w:top w:w="0" w:type="dxa"/>
              <w:left w:w="57" w:type="dxa"/>
              <w:bottom w:w="0" w:type="dxa"/>
              <w:right w:w="57" w:type="dxa"/>
            </w:tcMar>
            <w:tcPrChange w:id="4456" w:author="Author">
              <w:tcPr>
                <w:tcW w:w="1262" w:type="pct"/>
                <w:tcMar>
                  <w:top w:w="0" w:type="dxa"/>
                  <w:left w:w="57" w:type="dxa"/>
                  <w:bottom w:w="0" w:type="dxa"/>
                  <w:right w:w="57" w:type="dxa"/>
                </w:tcMar>
              </w:tcPr>
            </w:tcPrChange>
          </w:tcPr>
          <w:p>
            <w:pPr>
              <w:pStyle w:val="Standard"/>
              <w:keepNext/>
              <w:suppressAutoHyphens/>
              <w:jc w:val="center"/>
              <w:rPr>
                <w:rFonts w:eastAsia="SimSun"/>
                <w:noProof/>
                <w:sz w:val="20"/>
                <w:lang w:val="it-IT" w:eastAsia="zh-CN"/>
                <w:rPrChange w:id="4457" w:author="Author">
                  <w:rPr>
                    <w:rFonts w:eastAsia="SimSun"/>
                    <w:sz w:val="18"/>
                    <w:szCs w:val="18"/>
                    <w:lang w:val="it-IT" w:eastAsia="zh-CN"/>
                  </w:rPr>
                </w:rPrChange>
              </w:rPr>
              <w:pPrChange w:id="4458" w:author="Author">
                <w:pPr>
                  <w:pStyle w:val="Standard"/>
                  <w:keepNext/>
                  <w:keepLines/>
                  <w:spacing w:before="50" w:after="50" w:line="240" w:lineRule="exact"/>
                  <w:jc w:val="center"/>
                </w:pPr>
              </w:pPrChange>
            </w:pPr>
            <w:r>
              <w:rPr>
                <w:noProof/>
                <w:sz w:val="20"/>
                <w:lang w:val="it-IT"/>
                <w:rPrChange w:id="4459" w:author="Author">
                  <w:rPr>
                    <w:sz w:val="18"/>
                    <w:szCs w:val="18"/>
                    <w:lang w:val="it-IT"/>
                  </w:rPr>
                </w:rPrChange>
              </w:rPr>
              <w:t>37,4 (14,4)</w:t>
            </w:r>
          </w:p>
        </w:tc>
      </w:tr>
      <w:tr>
        <w:trPr>
          <w:cantSplit/>
          <w:trPrChange w:id="4460" w:author="Author">
            <w:trPr>
              <w:cantSplit/>
            </w:trPr>
          </w:trPrChange>
        </w:trPr>
        <w:tc>
          <w:tcPr>
            <w:tcW w:w="1014" w:type="pct"/>
            <w:tcMar>
              <w:top w:w="0" w:type="dxa"/>
              <w:left w:w="57" w:type="dxa"/>
              <w:bottom w:w="0" w:type="dxa"/>
              <w:right w:w="57" w:type="dxa"/>
            </w:tcMar>
            <w:tcPrChange w:id="4461" w:author="Author">
              <w:tcPr>
                <w:tcW w:w="936" w:type="pct"/>
                <w:tcMar>
                  <w:top w:w="0" w:type="dxa"/>
                  <w:left w:w="57" w:type="dxa"/>
                  <w:bottom w:w="0" w:type="dxa"/>
                  <w:right w:w="57" w:type="dxa"/>
                </w:tcMar>
              </w:tcPr>
            </w:tcPrChange>
          </w:tcPr>
          <w:p>
            <w:pPr>
              <w:pStyle w:val="Standard"/>
              <w:keepNext/>
              <w:suppressAutoHyphens/>
              <w:ind w:left="720"/>
              <w:rPr>
                <w:rFonts w:eastAsia="SimSun"/>
                <w:noProof/>
                <w:sz w:val="20"/>
                <w:lang w:val="it-IT" w:eastAsia="zh-CN"/>
                <w:rPrChange w:id="4462" w:author="Author">
                  <w:rPr>
                    <w:rFonts w:eastAsia="SimSun"/>
                    <w:sz w:val="18"/>
                    <w:szCs w:val="18"/>
                    <w:lang w:val="it-IT" w:eastAsia="zh-CN"/>
                  </w:rPr>
                </w:rPrChange>
              </w:rPr>
              <w:pPrChange w:id="4463" w:author="Author">
                <w:pPr>
                  <w:pStyle w:val="Standard"/>
                  <w:keepNext/>
                  <w:keepLines/>
                  <w:spacing w:before="50" w:after="50" w:line="240" w:lineRule="exact"/>
                  <w:ind w:left="720"/>
                </w:pPr>
              </w:pPrChange>
            </w:pPr>
            <w:r>
              <w:rPr>
                <w:noProof/>
                <w:sz w:val="20"/>
                <w:lang w:val="it-IT"/>
                <w:rPrChange w:id="4464" w:author="Author">
                  <w:rPr>
                    <w:sz w:val="18"/>
                    <w:szCs w:val="18"/>
                    <w:lang w:val="it-IT"/>
                  </w:rPr>
                </w:rPrChange>
              </w:rPr>
              <w:t>Mediana</w:t>
            </w:r>
          </w:p>
        </w:tc>
        <w:tc>
          <w:tcPr>
            <w:tcW w:w="822" w:type="pct"/>
            <w:tcMar>
              <w:top w:w="0" w:type="dxa"/>
              <w:left w:w="57" w:type="dxa"/>
              <w:bottom w:w="0" w:type="dxa"/>
              <w:right w:w="57" w:type="dxa"/>
            </w:tcMar>
            <w:tcPrChange w:id="4465" w:author="Author">
              <w:tcPr>
                <w:tcW w:w="765" w:type="pct"/>
                <w:tcMar>
                  <w:top w:w="0" w:type="dxa"/>
                  <w:left w:w="57" w:type="dxa"/>
                  <w:bottom w:w="0" w:type="dxa"/>
                  <w:right w:w="57" w:type="dxa"/>
                </w:tcMar>
              </w:tcPr>
            </w:tcPrChange>
          </w:tcPr>
          <w:p>
            <w:pPr>
              <w:pStyle w:val="Standard"/>
              <w:keepNext/>
              <w:suppressAutoHyphens/>
              <w:jc w:val="center"/>
              <w:rPr>
                <w:rFonts w:eastAsia="SimSun"/>
                <w:noProof/>
                <w:sz w:val="20"/>
                <w:lang w:val="it-IT" w:eastAsia="zh-CN"/>
                <w:rPrChange w:id="4466" w:author="Author">
                  <w:rPr>
                    <w:rFonts w:eastAsia="SimSun"/>
                    <w:sz w:val="18"/>
                    <w:szCs w:val="18"/>
                    <w:lang w:val="it-IT" w:eastAsia="zh-CN"/>
                  </w:rPr>
                </w:rPrChange>
              </w:rPr>
              <w:pPrChange w:id="4467" w:author="Author">
                <w:pPr>
                  <w:pStyle w:val="Standard"/>
                  <w:keepNext/>
                  <w:keepLines/>
                  <w:spacing w:before="50" w:after="50" w:line="240" w:lineRule="exact"/>
                  <w:jc w:val="center"/>
                </w:pPr>
              </w:pPrChange>
            </w:pPr>
            <w:r>
              <w:rPr>
                <w:noProof/>
                <w:sz w:val="20"/>
                <w:lang w:val="it-IT"/>
                <w:rPrChange w:id="4468" w:author="Author">
                  <w:rPr>
                    <w:sz w:val="18"/>
                    <w:szCs w:val="18"/>
                    <w:lang w:val="it-IT"/>
                  </w:rPr>
                </w:rPrChange>
              </w:rPr>
              <w:t>42,0</w:t>
            </w:r>
          </w:p>
        </w:tc>
        <w:tc>
          <w:tcPr>
            <w:tcW w:w="822" w:type="pct"/>
            <w:tcMar>
              <w:top w:w="0" w:type="dxa"/>
              <w:left w:w="57" w:type="dxa"/>
              <w:bottom w:w="0" w:type="dxa"/>
              <w:right w:w="57" w:type="dxa"/>
            </w:tcMar>
            <w:tcPrChange w:id="4469" w:author="Author">
              <w:tcPr>
                <w:tcW w:w="872" w:type="pct"/>
                <w:gridSpan w:val="2"/>
                <w:tcMar>
                  <w:top w:w="0" w:type="dxa"/>
                  <w:left w:w="57" w:type="dxa"/>
                  <w:bottom w:w="0" w:type="dxa"/>
                  <w:right w:w="57" w:type="dxa"/>
                </w:tcMar>
              </w:tcPr>
            </w:tcPrChange>
          </w:tcPr>
          <w:p>
            <w:pPr>
              <w:pStyle w:val="Standard"/>
              <w:keepNext/>
              <w:suppressAutoHyphens/>
              <w:jc w:val="center"/>
              <w:rPr>
                <w:rFonts w:eastAsia="SimSun"/>
                <w:noProof/>
                <w:sz w:val="20"/>
                <w:lang w:val="it-IT" w:eastAsia="zh-CN"/>
                <w:rPrChange w:id="4470" w:author="Author">
                  <w:rPr>
                    <w:rFonts w:eastAsia="SimSun"/>
                    <w:sz w:val="18"/>
                    <w:szCs w:val="18"/>
                    <w:lang w:val="it-IT" w:eastAsia="zh-CN"/>
                  </w:rPr>
                </w:rPrChange>
              </w:rPr>
              <w:pPrChange w:id="4471" w:author="Author">
                <w:pPr>
                  <w:pStyle w:val="Standard"/>
                  <w:keepNext/>
                  <w:keepLines/>
                  <w:spacing w:before="50" w:after="50" w:line="240" w:lineRule="exact"/>
                  <w:jc w:val="center"/>
                </w:pPr>
              </w:pPrChange>
            </w:pPr>
            <w:r>
              <w:rPr>
                <w:noProof/>
                <w:sz w:val="20"/>
                <w:lang w:val="it-IT"/>
                <w:rPrChange w:id="4472" w:author="Author">
                  <w:rPr>
                    <w:sz w:val="18"/>
                    <w:szCs w:val="18"/>
                    <w:lang w:val="it-IT"/>
                  </w:rPr>
                </w:rPrChange>
              </w:rPr>
              <w:t>41,0</w:t>
            </w:r>
          </w:p>
        </w:tc>
        <w:tc>
          <w:tcPr>
            <w:tcW w:w="1171" w:type="pct"/>
            <w:tcPrChange w:id="4473" w:author="Author">
              <w:tcPr>
                <w:tcW w:w="1165" w:type="pct"/>
                <w:gridSpan w:val="2"/>
              </w:tcPr>
            </w:tcPrChange>
          </w:tcPr>
          <w:p>
            <w:pPr>
              <w:pStyle w:val="Standard"/>
              <w:keepNext/>
              <w:suppressAutoHyphens/>
              <w:jc w:val="center"/>
              <w:rPr>
                <w:rFonts w:eastAsia="SimSun"/>
                <w:noProof/>
                <w:sz w:val="20"/>
                <w:lang w:val="it-IT" w:eastAsia="zh-CN"/>
                <w:rPrChange w:id="4474" w:author="Author">
                  <w:rPr>
                    <w:rFonts w:eastAsia="SimSun"/>
                    <w:sz w:val="18"/>
                    <w:szCs w:val="18"/>
                    <w:lang w:val="it-IT" w:eastAsia="zh-CN"/>
                  </w:rPr>
                </w:rPrChange>
              </w:rPr>
              <w:pPrChange w:id="4475" w:author="Author">
                <w:pPr>
                  <w:pStyle w:val="Standard"/>
                  <w:keepNext/>
                  <w:keepLines/>
                  <w:spacing w:before="50" w:after="50" w:line="240" w:lineRule="exact"/>
                  <w:jc w:val="center"/>
                </w:pPr>
              </w:pPrChange>
            </w:pPr>
            <w:r>
              <w:rPr>
                <w:noProof/>
                <w:sz w:val="20"/>
                <w:lang w:val="it-IT"/>
                <w:rPrChange w:id="4476" w:author="Author">
                  <w:rPr>
                    <w:sz w:val="18"/>
                    <w:szCs w:val="18"/>
                    <w:lang w:val="it-IT"/>
                  </w:rPr>
                </w:rPrChange>
              </w:rPr>
              <w:t>41,0</w:t>
            </w:r>
          </w:p>
        </w:tc>
        <w:tc>
          <w:tcPr>
            <w:tcW w:w="1171" w:type="pct"/>
            <w:tcMar>
              <w:top w:w="0" w:type="dxa"/>
              <w:left w:w="57" w:type="dxa"/>
              <w:bottom w:w="0" w:type="dxa"/>
              <w:right w:w="57" w:type="dxa"/>
            </w:tcMar>
            <w:tcPrChange w:id="4477" w:author="Author">
              <w:tcPr>
                <w:tcW w:w="1262" w:type="pct"/>
                <w:tcMar>
                  <w:top w:w="0" w:type="dxa"/>
                  <w:left w:w="57" w:type="dxa"/>
                  <w:bottom w:w="0" w:type="dxa"/>
                  <w:right w:w="57" w:type="dxa"/>
                </w:tcMar>
              </w:tcPr>
            </w:tcPrChange>
          </w:tcPr>
          <w:p>
            <w:pPr>
              <w:pStyle w:val="Standard"/>
              <w:keepNext/>
              <w:suppressAutoHyphens/>
              <w:jc w:val="center"/>
              <w:rPr>
                <w:rFonts w:eastAsia="SimSun"/>
                <w:noProof/>
                <w:sz w:val="20"/>
                <w:lang w:val="it-IT" w:eastAsia="zh-CN"/>
                <w:rPrChange w:id="4478" w:author="Author">
                  <w:rPr>
                    <w:rFonts w:eastAsia="SimSun"/>
                    <w:sz w:val="18"/>
                    <w:szCs w:val="18"/>
                    <w:lang w:val="it-IT" w:eastAsia="zh-CN"/>
                  </w:rPr>
                </w:rPrChange>
              </w:rPr>
              <w:pPrChange w:id="4479" w:author="Author">
                <w:pPr>
                  <w:pStyle w:val="Standard"/>
                  <w:keepNext/>
                  <w:keepLines/>
                  <w:spacing w:before="50" w:after="50" w:line="240" w:lineRule="exact"/>
                  <w:jc w:val="center"/>
                </w:pPr>
              </w:pPrChange>
            </w:pPr>
            <w:r>
              <w:rPr>
                <w:noProof/>
                <w:sz w:val="20"/>
                <w:lang w:val="it-IT"/>
                <w:rPrChange w:id="4480" w:author="Author">
                  <w:rPr>
                    <w:sz w:val="18"/>
                    <w:szCs w:val="18"/>
                    <w:lang w:val="it-IT"/>
                  </w:rPr>
                </w:rPrChange>
              </w:rPr>
              <w:t>42,0</w:t>
            </w:r>
          </w:p>
        </w:tc>
      </w:tr>
      <w:tr>
        <w:trPr>
          <w:cantSplit/>
          <w:trPrChange w:id="4481" w:author="Author">
            <w:trPr>
              <w:cantSplit/>
            </w:trPr>
          </w:trPrChange>
        </w:trPr>
        <w:tc>
          <w:tcPr>
            <w:tcW w:w="1014" w:type="pct"/>
            <w:tcMar>
              <w:top w:w="0" w:type="dxa"/>
              <w:left w:w="57" w:type="dxa"/>
              <w:bottom w:w="0" w:type="dxa"/>
              <w:right w:w="57" w:type="dxa"/>
            </w:tcMar>
            <w:tcPrChange w:id="4482" w:author="Author">
              <w:tcPr>
                <w:tcW w:w="936" w:type="pct"/>
                <w:tcMar>
                  <w:top w:w="0" w:type="dxa"/>
                  <w:left w:w="57" w:type="dxa"/>
                  <w:bottom w:w="0" w:type="dxa"/>
                  <w:right w:w="57" w:type="dxa"/>
                </w:tcMar>
              </w:tcPr>
            </w:tcPrChange>
          </w:tcPr>
          <w:p>
            <w:pPr>
              <w:pStyle w:val="Standard"/>
              <w:keepNext/>
              <w:suppressAutoHyphens/>
              <w:ind w:left="720"/>
              <w:rPr>
                <w:rFonts w:eastAsia="SimSun"/>
                <w:noProof/>
                <w:sz w:val="20"/>
                <w:lang w:val="it-IT" w:eastAsia="zh-CN"/>
                <w:rPrChange w:id="4483" w:author="Author">
                  <w:rPr>
                    <w:rFonts w:eastAsia="SimSun"/>
                    <w:sz w:val="18"/>
                    <w:szCs w:val="18"/>
                    <w:lang w:val="it-IT" w:eastAsia="zh-CN"/>
                  </w:rPr>
                </w:rPrChange>
              </w:rPr>
              <w:pPrChange w:id="4484" w:author="Author">
                <w:pPr>
                  <w:pStyle w:val="Standard"/>
                  <w:keepNext/>
                  <w:keepLines/>
                  <w:spacing w:before="50" w:after="50" w:line="240" w:lineRule="exact"/>
                  <w:ind w:left="720"/>
                </w:pPr>
              </w:pPrChange>
            </w:pPr>
            <w:r>
              <w:rPr>
                <w:noProof/>
                <w:sz w:val="20"/>
                <w:lang w:val="it-IT"/>
                <w:rPrChange w:id="4485" w:author="Author">
                  <w:rPr>
                    <w:sz w:val="18"/>
                    <w:szCs w:val="18"/>
                    <w:lang w:val="it-IT"/>
                  </w:rPr>
                </w:rPrChange>
              </w:rPr>
              <w:t>Min - Max</w:t>
            </w:r>
          </w:p>
        </w:tc>
        <w:tc>
          <w:tcPr>
            <w:tcW w:w="822" w:type="pct"/>
            <w:tcMar>
              <w:top w:w="0" w:type="dxa"/>
              <w:left w:w="57" w:type="dxa"/>
              <w:bottom w:w="0" w:type="dxa"/>
              <w:right w:w="57" w:type="dxa"/>
            </w:tcMar>
            <w:tcPrChange w:id="4486" w:author="Author">
              <w:tcPr>
                <w:tcW w:w="765" w:type="pct"/>
                <w:tcMar>
                  <w:top w:w="0" w:type="dxa"/>
                  <w:left w:w="57" w:type="dxa"/>
                  <w:bottom w:w="0" w:type="dxa"/>
                  <w:right w:w="57" w:type="dxa"/>
                </w:tcMar>
              </w:tcPr>
            </w:tcPrChange>
          </w:tcPr>
          <w:p>
            <w:pPr>
              <w:pStyle w:val="Standard"/>
              <w:keepNext/>
              <w:suppressAutoHyphens/>
              <w:jc w:val="center"/>
              <w:rPr>
                <w:rFonts w:eastAsia="SimSun"/>
                <w:noProof/>
                <w:sz w:val="20"/>
                <w:lang w:val="it-IT" w:eastAsia="zh-CN"/>
                <w:rPrChange w:id="4487" w:author="Author">
                  <w:rPr>
                    <w:rFonts w:eastAsia="SimSun"/>
                    <w:sz w:val="18"/>
                    <w:szCs w:val="18"/>
                    <w:lang w:val="it-IT" w:eastAsia="zh-CN"/>
                  </w:rPr>
                </w:rPrChange>
              </w:rPr>
              <w:pPrChange w:id="4488" w:author="Author">
                <w:pPr>
                  <w:pStyle w:val="Standard"/>
                  <w:keepNext/>
                  <w:keepLines/>
                  <w:spacing w:before="50" w:after="50" w:line="240" w:lineRule="exact"/>
                  <w:jc w:val="center"/>
                </w:pPr>
              </w:pPrChange>
            </w:pPr>
            <w:r>
              <w:rPr>
                <w:noProof/>
                <w:sz w:val="20"/>
                <w:lang w:val="it-IT"/>
                <w:rPrChange w:id="4489" w:author="Author">
                  <w:rPr>
                    <w:sz w:val="18"/>
                    <w:szCs w:val="18"/>
                    <w:lang w:val="it-IT"/>
                  </w:rPr>
                </w:rPrChange>
              </w:rPr>
              <w:t>6 - 63</w:t>
            </w:r>
          </w:p>
        </w:tc>
        <w:tc>
          <w:tcPr>
            <w:tcW w:w="822" w:type="pct"/>
            <w:tcMar>
              <w:top w:w="0" w:type="dxa"/>
              <w:left w:w="57" w:type="dxa"/>
              <w:bottom w:w="0" w:type="dxa"/>
              <w:right w:w="57" w:type="dxa"/>
            </w:tcMar>
            <w:tcPrChange w:id="4490" w:author="Author">
              <w:tcPr>
                <w:tcW w:w="872" w:type="pct"/>
                <w:gridSpan w:val="2"/>
                <w:tcMar>
                  <w:top w:w="0" w:type="dxa"/>
                  <w:left w:w="57" w:type="dxa"/>
                  <w:bottom w:w="0" w:type="dxa"/>
                  <w:right w:w="57" w:type="dxa"/>
                </w:tcMar>
              </w:tcPr>
            </w:tcPrChange>
          </w:tcPr>
          <w:p>
            <w:pPr>
              <w:pStyle w:val="Standard"/>
              <w:keepNext/>
              <w:suppressAutoHyphens/>
              <w:jc w:val="center"/>
              <w:rPr>
                <w:rFonts w:eastAsia="SimSun"/>
                <w:noProof/>
                <w:sz w:val="20"/>
                <w:lang w:val="it-IT" w:eastAsia="zh-CN"/>
                <w:rPrChange w:id="4491" w:author="Author">
                  <w:rPr>
                    <w:rFonts w:eastAsia="SimSun"/>
                    <w:sz w:val="18"/>
                    <w:szCs w:val="18"/>
                    <w:lang w:val="it-IT" w:eastAsia="zh-CN"/>
                  </w:rPr>
                </w:rPrChange>
              </w:rPr>
              <w:pPrChange w:id="4492" w:author="Author">
                <w:pPr>
                  <w:pStyle w:val="Standard"/>
                  <w:keepNext/>
                  <w:keepLines/>
                  <w:spacing w:before="50" w:after="50" w:line="240" w:lineRule="exact"/>
                  <w:jc w:val="center"/>
                </w:pPr>
              </w:pPrChange>
            </w:pPr>
            <w:r>
              <w:rPr>
                <w:noProof/>
                <w:sz w:val="20"/>
                <w:lang w:val="it-IT"/>
                <w:rPrChange w:id="4493" w:author="Author">
                  <w:rPr>
                    <w:sz w:val="18"/>
                    <w:szCs w:val="18"/>
                    <w:lang w:val="it-IT"/>
                  </w:rPr>
                </w:rPrChange>
              </w:rPr>
              <w:t>12 - 82</w:t>
            </w:r>
          </w:p>
        </w:tc>
        <w:tc>
          <w:tcPr>
            <w:tcW w:w="1171" w:type="pct"/>
            <w:tcPrChange w:id="4494" w:author="Author">
              <w:tcPr>
                <w:tcW w:w="1165" w:type="pct"/>
                <w:gridSpan w:val="2"/>
              </w:tcPr>
            </w:tcPrChange>
          </w:tcPr>
          <w:p>
            <w:pPr>
              <w:pStyle w:val="Standard"/>
              <w:keepNext/>
              <w:suppressAutoHyphens/>
              <w:jc w:val="center"/>
              <w:rPr>
                <w:rFonts w:eastAsia="SimSun"/>
                <w:noProof/>
                <w:sz w:val="20"/>
                <w:lang w:val="it-IT" w:eastAsia="zh-CN"/>
                <w:rPrChange w:id="4495" w:author="Author">
                  <w:rPr>
                    <w:rFonts w:eastAsia="SimSun"/>
                    <w:sz w:val="18"/>
                    <w:szCs w:val="18"/>
                    <w:lang w:val="it-IT" w:eastAsia="zh-CN"/>
                  </w:rPr>
                </w:rPrChange>
              </w:rPr>
              <w:pPrChange w:id="4496" w:author="Author">
                <w:pPr>
                  <w:pStyle w:val="Standard"/>
                  <w:keepNext/>
                  <w:keepLines/>
                  <w:spacing w:before="50" w:after="50" w:line="240" w:lineRule="exact"/>
                  <w:jc w:val="center"/>
                </w:pPr>
              </w:pPrChange>
            </w:pPr>
            <w:r>
              <w:rPr>
                <w:noProof/>
                <w:sz w:val="20"/>
                <w:lang w:val="it-IT"/>
                <w:rPrChange w:id="4497" w:author="Author">
                  <w:rPr>
                    <w:sz w:val="18"/>
                    <w:szCs w:val="18"/>
                    <w:lang w:val="it-IT"/>
                  </w:rPr>
                </w:rPrChange>
              </w:rPr>
              <w:t>1 - 87</w:t>
            </w:r>
          </w:p>
        </w:tc>
        <w:tc>
          <w:tcPr>
            <w:tcW w:w="1171" w:type="pct"/>
            <w:tcMar>
              <w:top w:w="0" w:type="dxa"/>
              <w:left w:w="57" w:type="dxa"/>
              <w:bottom w:w="0" w:type="dxa"/>
              <w:right w:w="57" w:type="dxa"/>
            </w:tcMar>
            <w:tcPrChange w:id="4498" w:author="Author">
              <w:tcPr>
                <w:tcW w:w="1262" w:type="pct"/>
                <w:tcMar>
                  <w:top w:w="0" w:type="dxa"/>
                  <w:left w:w="57" w:type="dxa"/>
                  <w:bottom w:w="0" w:type="dxa"/>
                  <w:right w:w="57" w:type="dxa"/>
                </w:tcMar>
              </w:tcPr>
            </w:tcPrChange>
          </w:tcPr>
          <w:p>
            <w:pPr>
              <w:pStyle w:val="Standard"/>
              <w:keepNext/>
              <w:suppressAutoHyphens/>
              <w:jc w:val="center"/>
              <w:rPr>
                <w:rFonts w:eastAsia="SimSun"/>
                <w:noProof/>
                <w:sz w:val="20"/>
                <w:lang w:val="it-IT" w:eastAsia="zh-CN"/>
                <w:rPrChange w:id="4499" w:author="Author">
                  <w:rPr>
                    <w:rFonts w:eastAsia="SimSun"/>
                    <w:sz w:val="18"/>
                    <w:szCs w:val="18"/>
                    <w:lang w:val="it-IT" w:eastAsia="zh-CN"/>
                  </w:rPr>
                </w:rPrChange>
              </w:rPr>
              <w:pPrChange w:id="4500" w:author="Author">
                <w:pPr>
                  <w:pStyle w:val="Standard"/>
                  <w:keepNext/>
                  <w:keepLines/>
                  <w:spacing w:before="50" w:after="50" w:line="240" w:lineRule="exact"/>
                  <w:jc w:val="center"/>
                </w:pPr>
              </w:pPrChange>
            </w:pPr>
            <w:r>
              <w:rPr>
                <w:noProof/>
                <w:sz w:val="20"/>
                <w:lang w:val="it-IT"/>
                <w:rPrChange w:id="4501" w:author="Author">
                  <w:rPr>
                    <w:sz w:val="18"/>
                    <w:szCs w:val="18"/>
                    <w:lang w:val="it-IT"/>
                  </w:rPr>
                </w:rPrChange>
              </w:rPr>
              <w:t>9 - 87</w:t>
            </w:r>
          </w:p>
        </w:tc>
      </w:tr>
    </w:tbl>
    <w:p>
      <w:pPr>
        <w:rPr>
          <w:noProof/>
          <w:sz w:val="18"/>
          <w:szCs w:val="18"/>
          <w:lang w:val="it-IT" w:eastAsia="de-DE"/>
          <w:rPrChange w:id="4502" w:author="Author">
            <w:rPr>
              <w:i/>
              <w:iCs/>
              <w:sz w:val="18"/>
              <w:szCs w:val="18"/>
              <w:lang w:val="it-IT" w:eastAsia="de-DE"/>
            </w:rPr>
          </w:rPrChange>
        </w:rPr>
      </w:pPr>
      <w:r>
        <w:rPr>
          <w:noProof/>
          <w:sz w:val="18"/>
          <w:szCs w:val="18"/>
          <w:lang w:val="it-IT" w:eastAsia="de-DE"/>
          <w:rPrChange w:id="4503" w:author="Author">
            <w:rPr>
              <w:i/>
              <w:iCs/>
              <w:sz w:val="18"/>
              <w:szCs w:val="18"/>
              <w:lang w:val="it-IT" w:eastAsia="de-DE"/>
            </w:rPr>
          </w:rPrChange>
        </w:rPr>
        <w:t>SC</w:t>
      </w:r>
      <w:ins w:id="4504" w:author="Author">
        <w:r>
          <w:rPr>
            <w:noProof/>
            <w:sz w:val="18"/>
            <w:szCs w:val="18"/>
            <w:lang w:val="it-IT" w:eastAsia="de-DE"/>
            <w:rPrChange w:id="4505" w:author="Author">
              <w:rPr>
                <w:i/>
                <w:iCs/>
                <w:sz w:val="18"/>
                <w:szCs w:val="18"/>
                <w:lang w:val="it-IT" w:eastAsia="de-DE"/>
              </w:rPr>
            </w:rPrChange>
          </w:rPr>
          <w:t> </w:t>
        </w:r>
      </w:ins>
      <w:r>
        <w:rPr>
          <w:noProof/>
          <w:sz w:val="18"/>
          <w:szCs w:val="18"/>
          <w:lang w:val="it-IT" w:eastAsia="de-DE"/>
          <w:rPrChange w:id="4506" w:author="Author">
            <w:rPr>
              <w:i/>
              <w:iCs/>
              <w:sz w:val="18"/>
              <w:szCs w:val="18"/>
              <w:lang w:val="it-IT" w:eastAsia="de-DE"/>
            </w:rPr>
          </w:rPrChange>
        </w:rPr>
        <w:t>=</w:t>
      </w:r>
      <w:ins w:id="4507" w:author="Author">
        <w:r>
          <w:rPr>
            <w:noProof/>
            <w:sz w:val="18"/>
            <w:szCs w:val="18"/>
            <w:lang w:val="it-IT" w:eastAsia="de-DE"/>
            <w:rPrChange w:id="4508" w:author="Author">
              <w:rPr>
                <w:i/>
                <w:iCs/>
                <w:sz w:val="18"/>
                <w:szCs w:val="18"/>
                <w:lang w:val="it-IT" w:eastAsia="de-DE"/>
              </w:rPr>
            </w:rPrChange>
          </w:rPr>
          <w:t> </w:t>
        </w:r>
      </w:ins>
      <w:del w:id="4509" w:author="Author">
        <w:r>
          <w:rPr>
            <w:noProof/>
            <w:sz w:val="18"/>
            <w:szCs w:val="18"/>
            <w:lang w:val="it-IT" w:eastAsia="de-DE"/>
            <w:rPrChange w:id="4510" w:author="Author">
              <w:rPr>
                <w:i/>
                <w:iCs/>
                <w:sz w:val="18"/>
                <w:szCs w:val="18"/>
                <w:lang w:val="it-IT" w:eastAsia="de-DE"/>
              </w:rPr>
            </w:rPrChange>
          </w:rPr>
          <w:delText xml:space="preserve"> </w:delText>
        </w:r>
      </w:del>
      <w:r>
        <w:rPr>
          <w:noProof/>
          <w:sz w:val="18"/>
          <w:szCs w:val="18"/>
          <w:lang w:val="it-IT" w:eastAsia="de-DE"/>
          <w:rPrChange w:id="4511" w:author="Author">
            <w:rPr>
              <w:i/>
              <w:iCs/>
              <w:sz w:val="18"/>
              <w:szCs w:val="18"/>
              <w:lang w:val="it-IT" w:eastAsia="de-DE"/>
            </w:rPr>
          </w:rPrChange>
        </w:rPr>
        <w:t>sottocutanea</w:t>
      </w:r>
    </w:p>
    <w:p>
      <w:pPr>
        <w:rPr>
          <w:i/>
          <w:iCs/>
          <w:noProof/>
          <w:szCs w:val="22"/>
          <w:lang w:val="it-IT" w:eastAsia="de-DE"/>
          <w:rPrChange w:id="4512" w:author="Author">
            <w:rPr>
              <w:i/>
              <w:iCs/>
              <w:sz w:val="18"/>
              <w:szCs w:val="18"/>
              <w:lang w:val="it-IT" w:eastAsia="de-DE"/>
            </w:rPr>
          </w:rPrChange>
        </w:rPr>
      </w:pPr>
    </w:p>
    <w:p>
      <w:pPr>
        <w:rPr>
          <w:noProof/>
          <w:lang w:val="it-IT"/>
        </w:rPr>
      </w:pPr>
      <w:r>
        <w:rPr>
          <w:noProof/>
          <w:lang w:val="it-IT"/>
        </w:rPr>
        <w:t>L’endpoint primario di efficacia, valutato in base alla percentuale di pazienti che hanno conseguito una remissione sostenuta libera da steroidi alla settimana 52 di terapia con tocilizumab più 26 settimane di prednisone a scalare rispetto a placebo più 26 settimane di prednisone a scalare, è stato raggiunto (Tabella 4).</w:t>
      </w:r>
    </w:p>
    <w:p>
      <w:pPr>
        <w:rPr>
          <w:noProof/>
          <w:lang w:val="it-IT"/>
        </w:rPr>
      </w:pPr>
    </w:p>
    <w:p>
      <w:pPr>
        <w:rPr>
          <w:noProof/>
          <w:lang w:val="it-IT"/>
        </w:rPr>
      </w:pPr>
      <w:r>
        <w:rPr>
          <w:noProof/>
          <w:lang w:val="it-IT"/>
        </w:rPr>
        <w:t>Anche il principale endpoint secondario di efficacia, basato anch’esso sulla percentuale di pazienti che hanno conseguito una remissione sostenuta alla settimana 52, e che ha confrontato tocilizumab più 26 settimane di prednisone a scalare rispetto a placebo più 52 settimane di prednisone a scalare, è stato raggiunto (Tabella 4).</w:t>
      </w:r>
    </w:p>
    <w:p>
      <w:pPr>
        <w:rPr>
          <w:noProof/>
          <w:lang w:val="it-IT" w:eastAsia="de-DE"/>
        </w:rPr>
      </w:pPr>
    </w:p>
    <w:p>
      <w:pPr>
        <w:rPr>
          <w:noProof/>
          <w:shd w:val="clear" w:color="auto" w:fill="FFFFFF"/>
          <w:lang w:val="it-IT"/>
        </w:rPr>
      </w:pPr>
      <w:r>
        <w:rPr>
          <w:noProof/>
          <w:shd w:val="clear" w:color="auto" w:fill="FFFFFF"/>
          <w:lang w:val="it-IT"/>
        </w:rPr>
        <w:t xml:space="preserve">È stato osservato un effetto del trattamento superiore (differenza statisticamente significativa) a favore di </w:t>
      </w:r>
      <w:r>
        <w:rPr>
          <w:noProof/>
          <w:lang w:val="it-IT"/>
        </w:rPr>
        <w:t xml:space="preserve">tocilizumab </w:t>
      </w:r>
      <w:r>
        <w:rPr>
          <w:noProof/>
          <w:shd w:val="clear" w:color="auto" w:fill="FFFFFF"/>
          <w:lang w:val="it-IT"/>
        </w:rPr>
        <w:t xml:space="preserve">rispetto a placebo nel conseguire una remissione sostenuta libera da steroidi alla </w:t>
      </w:r>
      <w:r>
        <w:rPr>
          <w:noProof/>
          <w:shd w:val="clear" w:color="auto" w:fill="FFFFFF"/>
          <w:lang w:val="it-IT"/>
        </w:rPr>
        <w:lastRenderedPageBreak/>
        <w:t xml:space="preserve">settimana 52 di terapia con </w:t>
      </w:r>
      <w:r>
        <w:rPr>
          <w:noProof/>
          <w:lang w:val="it-IT"/>
        </w:rPr>
        <w:t>tocilizumab</w:t>
      </w:r>
      <w:del w:id="4513" w:author="Author">
        <w:r>
          <w:rPr>
            <w:noProof/>
            <w:lang w:val="it-IT"/>
          </w:rPr>
          <w:delText xml:space="preserve"> </w:delText>
        </w:r>
      </w:del>
      <w:r>
        <w:rPr>
          <w:noProof/>
          <w:lang w:val="it-IT"/>
        </w:rPr>
        <w:t xml:space="preserve"> </w:t>
      </w:r>
      <w:r>
        <w:rPr>
          <w:noProof/>
          <w:shd w:val="clear" w:color="auto" w:fill="FFFFFF"/>
          <w:lang w:val="it-IT"/>
        </w:rPr>
        <w:t>più 26 settimane con prednisone a scalare rispetto a placebo più 26 settimane di prednisone a scalare e a placebo più 52 settimane di prednisone a scalare.</w:t>
      </w:r>
    </w:p>
    <w:p>
      <w:pPr>
        <w:rPr>
          <w:noProof/>
          <w:lang w:val="it-IT"/>
        </w:rPr>
      </w:pPr>
    </w:p>
    <w:p>
      <w:pPr>
        <w:rPr>
          <w:noProof/>
          <w:lang w:val="it-IT"/>
        </w:rPr>
      </w:pPr>
      <w:r>
        <w:rPr>
          <w:noProof/>
          <w:lang w:val="it-IT"/>
        </w:rPr>
        <w:t>La Tabella 4 riporta la percentuale di pazienti che hanno conseguito una remissione sostenuta alla settimana 52.</w:t>
      </w:r>
    </w:p>
    <w:p>
      <w:pPr>
        <w:rPr>
          <w:noProof/>
          <w:lang w:val="it-IT" w:eastAsia="de-DE"/>
        </w:rPr>
      </w:pPr>
    </w:p>
    <w:p>
      <w:pPr>
        <w:keepNext/>
        <w:spacing w:line="280" w:lineRule="atLeast"/>
        <w:jc w:val="both"/>
        <w:rPr>
          <w:i/>
          <w:noProof/>
          <w:szCs w:val="22"/>
          <w:u w:val="single"/>
          <w:lang w:val="it-IT"/>
        </w:rPr>
      </w:pPr>
      <w:r>
        <w:rPr>
          <w:i/>
          <w:noProof/>
          <w:szCs w:val="22"/>
          <w:u w:val="single"/>
          <w:lang w:val="it-IT"/>
        </w:rPr>
        <w:t>Endpoint secondari</w:t>
      </w:r>
    </w:p>
    <w:p>
      <w:pPr>
        <w:rPr>
          <w:noProof/>
          <w:lang w:val="it-IT"/>
        </w:rPr>
      </w:pPr>
      <w:r>
        <w:rPr>
          <w:noProof/>
          <w:szCs w:val="22"/>
          <w:shd w:val="clear" w:color="auto" w:fill="FFFFFF"/>
          <w:lang w:val="it-IT"/>
        </w:rPr>
        <w:t>La valutazione del tempo alla prima</w:t>
      </w:r>
      <w:r>
        <w:rPr>
          <w:noProof/>
          <w:shd w:val="clear" w:color="auto" w:fill="FFFFFF"/>
          <w:lang w:val="it-IT"/>
        </w:rPr>
        <w:t xml:space="preserve"> riacutizzazione della ACG ha evidenziato un rischio di riacutizzazione significativamente inferiore nel gruppo </w:t>
      </w:r>
      <w:r>
        <w:rPr>
          <w:noProof/>
          <w:lang w:val="it-IT"/>
        </w:rPr>
        <w:t xml:space="preserve">tocilizumab </w:t>
      </w:r>
      <w:r>
        <w:rPr>
          <w:noProof/>
          <w:shd w:val="clear" w:color="auto" w:fill="FFFFFF"/>
          <w:lang w:val="it-IT"/>
        </w:rPr>
        <w:t xml:space="preserve">in formulazione sottocutanea </w:t>
      </w:r>
      <w:del w:id="4514" w:author="Author">
        <w:r>
          <w:rPr>
            <w:noProof/>
            <w:shd w:val="clear" w:color="auto" w:fill="FFFFFF"/>
            <w:lang w:val="it-IT"/>
          </w:rPr>
          <w:delText xml:space="preserve">settimanale </w:delText>
        </w:r>
      </w:del>
      <w:ins w:id="4515" w:author="Author">
        <w:r>
          <w:rPr>
            <w:noProof/>
            <w:shd w:val="clear" w:color="auto" w:fill="FFFFFF"/>
            <w:lang w:val="it-IT"/>
          </w:rPr>
          <w:t xml:space="preserve">una volta a settimana </w:t>
        </w:r>
      </w:ins>
      <w:r>
        <w:rPr>
          <w:noProof/>
          <w:shd w:val="clear" w:color="auto" w:fill="FFFFFF"/>
          <w:lang w:val="it-IT"/>
        </w:rPr>
        <w:t xml:space="preserve">rispetto ai gruppi placebo più 26 settimane di prednisone e placebo più 52 settimane di prednisone a scalare e nel gruppo </w:t>
      </w:r>
      <w:r>
        <w:rPr>
          <w:noProof/>
          <w:lang w:val="it-IT"/>
        </w:rPr>
        <w:t xml:space="preserve">tocilizumab </w:t>
      </w:r>
      <w:r>
        <w:rPr>
          <w:noProof/>
          <w:shd w:val="clear" w:color="auto" w:fill="FFFFFF"/>
          <w:lang w:val="it-IT"/>
        </w:rPr>
        <w:t xml:space="preserve">in formulazione sottocutanea </w:t>
      </w:r>
      <w:del w:id="4516" w:author="Author">
        <w:r>
          <w:rPr>
            <w:noProof/>
            <w:shd w:val="clear" w:color="auto" w:fill="FFFFFF"/>
            <w:lang w:val="it-IT"/>
          </w:rPr>
          <w:delText>a settimane alterne</w:delText>
        </w:r>
      </w:del>
      <w:ins w:id="4517" w:author="Author">
        <w:r>
          <w:rPr>
            <w:noProof/>
            <w:shd w:val="clear" w:color="auto" w:fill="FFFFFF"/>
            <w:lang w:val="it-IT"/>
          </w:rPr>
          <w:t>ogni due settimane</w:t>
        </w:r>
      </w:ins>
      <w:r>
        <w:rPr>
          <w:noProof/>
          <w:shd w:val="clear" w:color="auto" w:fill="FFFFFF"/>
          <w:lang w:val="it-IT"/>
        </w:rPr>
        <w:t xml:space="preserve"> rispetto al gruppo placebo più 26 settimane di prednisone (confronto condotto a un livello di significatività di 0,01). </w:t>
      </w:r>
      <w:r>
        <w:rPr>
          <w:noProof/>
          <w:lang w:val="it-IT"/>
        </w:rPr>
        <w:t>La somministrazione settimanale di tocilizumab in formulazione sottocutanea ha inoltre dimostrato di ridurre in modo clinicamente rilevante il rischio di riacutizzazione rispetto al trattamento con placebo più 26 settimane di prednisone sia nei pazienti che sono entrati nella sperimentazione con una ACG recidivante sia in quelli entrati con una malattia di nuova insorgenza (Tabella 4).</w:t>
      </w:r>
    </w:p>
    <w:p>
      <w:pPr>
        <w:spacing w:line="280" w:lineRule="atLeast"/>
        <w:jc w:val="both"/>
        <w:rPr>
          <w:noProof/>
          <w:sz w:val="24"/>
          <w:szCs w:val="24"/>
          <w:lang w:val="it-IT" w:eastAsia="de-DE"/>
        </w:rPr>
      </w:pPr>
    </w:p>
    <w:p>
      <w:pPr>
        <w:keepNext/>
        <w:keepLines/>
        <w:spacing w:line="280" w:lineRule="atLeast"/>
        <w:jc w:val="both"/>
        <w:rPr>
          <w:noProof/>
          <w:szCs w:val="22"/>
          <w:u w:val="single"/>
          <w:lang w:val="it-IT"/>
        </w:rPr>
      </w:pPr>
      <w:r>
        <w:rPr>
          <w:i/>
          <w:noProof/>
          <w:szCs w:val="22"/>
          <w:u w:val="single"/>
          <w:lang w:val="it-IT"/>
        </w:rPr>
        <w:t>Dose cumulativa di glucocorticoidi</w:t>
      </w:r>
    </w:p>
    <w:p>
      <w:pPr>
        <w:keepNext/>
        <w:keepLines/>
        <w:rPr>
          <w:noProof/>
          <w:lang w:val="it-IT"/>
        </w:rPr>
      </w:pPr>
      <w:r>
        <w:rPr>
          <w:noProof/>
          <w:lang w:val="it-IT"/>
        </w:rPr>
        <w:t xml:space="preserve">La dose cumulativa di prednisone alla settimana 52 è stata significativamente inferiore nei due gruppi tocilizumab rispetto ai due gruppi placebo (Tabella 4). In un’analisi separata dei pazienti che hanno ricevuto prednisone di salvataggio per trattare una riacutizzazione della ACG durante le prime 52 settimane, la dose cumulativa di prednisone ha mostrato delle variazioni rilevanti. Le dosi mediane di terapia di salvataggio nei pazienti dei gruppi tocilizumab </w:t>
      </w:r>
      <w:del w:id="4518" w:author="Author">
        <w:r>
          <w:rPr>
            <w:noProof/>
            <w:lang w:val="it-IT"/>
          </w:rPr>
          <w:delText xml:space="preserve">settimanale </w:delText>
        </w:r>
      </w:del>
      <w:ins w:id="4519" w:author="Author">
        <w:r>
          <w:rPr>
            <w:noProof/>
            <w:lang w:val="it-IT"/>
          </w:rPr>
          <w:t xml:space="preserve">una volta a settimana </w:t>
        </w:r>
      </w:ins>
      <w:r>
        <w:rPr>
          <w:noProof/>
          <w:lang w:val="it-IT"/>
        </w:rPr>
        <w:t xml:space="preserve">e </w:t>
      </w:r>
      <w:ins w:id="4520" w:author="Author">
        <w:r>
          <w:rPr>
            <w:noProof/>
            <w:lang w:val="it-IT"/>
          </w:rPr>
          <w:t xml:space="preserve">ogni due </w:t>
        </w:r>
      </w:ins>
      <w:del w:id="4521" w:author="Author">
        <w:r>
          <w:rPr>
            <w:noProof/>
            <w:lang w:val="it-IT"/>
          </w:rPr>
          <w:delText xml:space="preserve">a </w:delText>
        </w:r>
      </w:del>
      <w:r>
        <w:rPr>
          <w:noProof/>
          <w:lang w:val="it-IT"/>
        </w:rPr>
        <w:t xml:space="preserve">settimane </w:t>
      </w:r>
      <w:del w:id="4522" w:author="Author">
        <w:r>
          <w:rPr>
            <w:noProof/>
            <w:lang w:val="it-IT"/>
          </w:rPr>
          <w:delText xml:space="preserve">alterne </w:delText>
        </w:r>
      </w:del>
      <w:r>
        <w:rPr>
          <w:noProof/>
          <w:lang w:val="it-IT"/>
        </w:rPr>
        <w:t>sono state rispettivamente di 3</w:t>
      </w:r>
      <w:ins w:id="4523" w:author="Author">
        <w:r>
          <w:rPr>
            <w:noProof/>
            <w:lang w:val="it-IT"/>
          </w:rPr>
          <w:t> </w:t>
        </w:r>
      </w:ins>
      <w:r>
        <w:rPr>
          <w:noProof/>
          <w:lang w:val="it-IT"/>
        </w:rPr>
        <w:t>129,75 mg e 3</w:t>
      </w:r>
      <w:ins w:id="4524" w:author="Author">
        <w:r>
          <w:rPr>
            <w:noProof/>
            <w:lang w:val="it-IT"/>
          </w:rPr>
          <w:t> </w:t>
        </w:r>
      </w:ins>
      <w:r>
        <w:rPr>
          <w:noProof/>
          <w:lang w:val="it-IT"/>
        </w:rPr>
        <w:t>847 mg. Entrambe sono risultate considerevolmente inferiori rispetto ai valori osservati nei gruppi placebo più 26 settimane e placebo più 52 settimane di prednisone a scalare, pari rispettivamente a 4</w:t>
      </w:r>
      <w:ins w:id="4525" w:author="Author">
        <w:r>
          <w:rPr>
            <w:noProof/>
            <w:lang w:val="it-IT"/>
          </w:rPr>
          <w:t> </w:t>
        </w:r>
      </w:ins>
      <w:r>
        <w:rPr>
          <w:noProof/>
          <w:lang w:val="it-IT"/>
        </w:rPr>
        <w:t>023,5 mg e 5</w:t>
      </w:r>
      <w:ins w:id="4526" w:author="Author">
        <w:r>
          <w:rPr>
            <w:noProof/>
            <w:lang w:val="it-IT"/>
          </w:rPr>
          <w:t> </w:t>
        </w:r>
      </w:ins>
      <w:r>
        <w:rPr>
          <w:noProof/>
          <w:lang w:val="it-IT"/>
        </w:rPr>
        <w:t>389,5 mg.</w:t>
      </w:r>
    </w:p>
    <w:p>
      <w:pPr>
        <w:spacing w:line="280" w:lineRule="atLeast"/>
        <w:jc w:val="both"/>
        <w:rPr>
          <w:noProof/>
          <w:lang w:val="it-IT" w:eastAsia="de-DE"/>
        </w:rPr>
      </w:pPr>
    </w:p>
    <w:p>
      <w:pPr>
        <w:keepNext/>
        <w:keepLines/>
        <w:numPr>
          <w:ilvl w:val="12"/>
          <w:numId w:val="0"/>
        </w:numPr>
        <w:ind w:right="-2"/>
        <w:rPr>
          <w:del w:id="4527" w:author="Author"/>
          <w:bCs/>
          <w:i/>
          <w:noProof/>
          <w:lang w:val="it-IT"/>
        </w:rPr>
      </w:pPr>
      <w:r>
        <w:rPr>
          <w:bCs/>
          <w:i/>
          <w:noProof/>
          <w:lang w:val="it-IT"/>
        </w:rPr>
        <w:t xml:space="preserve">Tabella 4. Risultati di efficacia dello </w:t>
      </w:r>
      <w:ins w:id="4528" w:author="Author">
        <w:r>
          <w:rPr>
            <w:bCs/>
            <w:i/>
            <w:noProof/>
            <w:lang w:val="it-IT"/>
          </w:rPr>
          <w:t>S</w:t>
        </w:r>
      </w:ins>
      <w:del w:id="4529" w:author="Author">
        <w:r>
          <w:rPr>
            <w:bCs/>
            <w:i/>
            <w:noProof/>
            <w:lang w:val="it-IT"/>
          </w:rPr>
          <w:delText>s</w:delText>
        </w:r>
      </w:del>
      <w:r>
        <w:rPr>
          <w:bCs/>
          <w:i/>
          <w:noProof/>
          <w:lang w:val="it-IT"/>
        </w:rPr>
        <w:t xml:space="preserve">tudio WA28119 </w:t>
      </w:r>
    </w:p>
    <w:p>
      <w:pPr>
        <w:keepNext/>
        <w:keepLines/>
        <w:numPr>
          <w:ilvl w:val="12"/>
          <w:numId w:val="0"/>
        </w:numPr>
        <w:ind w:right="-2"/>
        <w:rPr>
          <w:bCs/>
          <w:i/>
          <w:noProof/>
          <w:lang w:val="it-IT"/>
        </w:rPr>
      </w:pPr>
    </w:p>
    <w:tbl>
      <w:tblPr>
        <w:tblW w:w="496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4530"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PrChange>
      </w:tblPr>
      <w:tblGrid>
        <w:gridCol w:w="3842"/>
        <w:gridCol w:w="1228"/>
        <w:gridCol w:w="76"/>
        <w:gridCol w:w="1131"/>
        <w:gridCol w:w="1307"/>
        <w:gridCol w:w="1417"/>
        <w:tblGridChange w:id="4531">
          <w:tblGrid>
            <w:gridCol w:w="1409"/>
            <w:gridCol w:w="2394"/>
            <w:gridCol w:w="1"/>
            <w:gridCol w:w="1247"/>
            <w:gridCol w:w="2"/>
            <w:gridCol w:w="137"/>
            <w:gridCol w:w="1112"/>
            <w:gridCol w:w="1"/>
            <w:gridCol w:w="113"/>
            <w:gridCol w:w="75"/>
            <w:gridCol w:w="1131"/>
            <w:gridCol w:w="178"/>
            <w:gridCol w:w="1127"/>
            <w:gridCol w:w="134"/>
          </w:tblGrid>
        </w:tblGridChange>
      </w:tblGrid>
      <w:tr>
        <w:trPr>
          <w:cantSplit/>
          <w:tblHeader/>
          <w:trPrChange w:id="4532" w:author="Author">
            <w:trPr>
              <w:gridBefore w:val="1"/>
              <w:cantSplit/>
              <w:tblHeader/>
            </w:trPr>
          </w:trPrChange>
        </w:trPr>
        <w:tc>
          <w:tcPr>
            <w:tcW w:w="2135" w:type="pct"/>
            <w:tcMar>
              <w:top w:w="0" w:type="dxa"/>
              <w:left w:w="57" w:type="dxa"/>
              <w:bottom w:w="0" w:type="dxa"/>
              <w:right w:w="57" w:type="dxa"/>
            </w:tcMar>
            <w:vAlign w:val="bottom"/>
            <w:tcPrChange w:id="4533" w:author="Author">
              <w:tcPr>
                <w:tcW w:w="2099" w:type="pct"/>
                <w:gridSpan w:val="5"/>
                <w:tcMar>
                  <w:top w:w="0" w:type="dxa"/>
                  <w:left w:w="57" w:type="dxa"/>
                  <w:bottom w:w="0" w:type="dxa"/>
                  <w:right w:w="57" w:type="dxa"/>
                </w:tcMar>
                <w:vAlign w:val="bottom"/>
              </w:tcPr>
            </w:tcPrChange>
          </w:tcPr>
          <w:p>
            <w:pPr>
              <w:pStyle w:val="Standard"/>
              <w:keepNext/>
              <w:suppressAutoHyphens/>
              <w:rPr>
                <w:rFonts w:eastAsia="SimSun"/>
                <w:strike/>
                <w:noProof/>
                <w:sz w:val="18"/>
                <w:szCs w:val="18"/>
                <w:lang w:val="it-IT" w:eastAsia="zh-CN"/>
              </w:rPr>
              <w:pPrChange w:id="4534" w:author="Author">
                <w:pPr>
                  <w:pStyle w:val="Standard"/>
                  <w:keepNext/>
                  <w:keepLines/>
                  <w:spacing w:before="50" w:after="50" w:line="240" w:lineRule="exact"/>
                </w:pPr>
              </w:pPrChange>
            </w:pPr>
          </w:p>
        </w:tc>
        <w:tc>
          <w:tcPr>
            <w:tcW w:w="682" w:type="pct"/>
            <w:tcMar>
              <w:top w:w="0" w:type="dxa"/>
              <w:left w:w="57" w:type="dxa"/>
              <w:bottom w:w="0" w:type="dxa"/>
              <w:right w:w="57" w:type="dxa"/>
            </w:tcMar>
            <w:tcPrChange w:id="4535" w:author="Author">
              <w:tcPr>
                <w:tcW w:w="689" w:type="pct"/>
                <w:gridSpan w:val="3"/>
                <w:tcMar>
                  <w:top w:w="0" w:type="dxa"/>
                  <w:left w:w="57" w:type="dxa"/>
                  <w:bottom w:w="0" w:type="dxa"/>
                  <w:right w:w="57" w:type="dxa"/>
                </w:tcMar>
              </w:tcPr>
            </w:tcPrChange>
          </w:tcPr>
          <w:p>
            <w:pPr>
              <w:keepNext/>
              <w:suppressAutoHyphens/>
              <w:jc w:val="center"/>
              <w:rPr>
                <w:rFonts w:eastAsia="SimSun"/>
                <w:b/>
                <w:noProof/>
                <w:sz w:val="18"/>
                <w:szCs w:val="18"/>
                <w:lang w:val="it-IT"/>
              </w:rPr>
              <w:pPrChange w:id="4536" w:author="Author">
                <w:pPr>
                  <w:keepNext/>
                  <w:keepLines/>
                  <w:spacing w:before="50" w:after="50" w:line="240" w:lineRule="exact"/>
                  <w:jc w:val="center"/>
                </w:pPr>
              </w:pPrChange>
            </w:pPr>
            <w:r>
              <w:rPr>
                <w:b/>
                <w:noProof/>
                <w:sz w:val="18"/>
                <w:szCs w:val="18"/>
                <w:lang w:val="it-IT"/>
              </w:rPr>
              <w:t>Placebo + 26 settimane di prednisone a scalare</w:t>
            </w:r>
          </w:p>
          <w:p>
            <w:pPr>
              <w:pStyle w:val="Standard"/>
              <w:keepNext/>
              <w:suppressAutoHyphens/>
              <w:jc w:val="center"/>
              <w:rPr>
                <w:rFonts w:eastAsia="SimSun"/>
                <w:b/>
                <w:noProof/>
                <w:sz w:val="18"/>
                <w:szCs w:val="18"/>
                <w:lang w:val="it-IT" w:eastAsia="zh-CN"/>
              </w:rPr>
              <w:pPrChange w:id="4537" w:author="Author">
                <w:pPr>
                  <w:pStyle w:val="Standard"/>
                  <w:keepNext/>
                  <w:keepLines/>
                  <w:spacing w:before="50" w:after="50" w:line="240" w:lineRule="exact"/>
                  <w:jc w:val="center"/>
                </w:pPr>
              </w:pPrChange>
            </w:pPr>
            <w:del w:id="4538" w:author="Author">
              <w:r>
                <w:rPr>
                  <w:b/>
                  <w:noProof/>
                  <w:sz w:val="18"/>
                  <w:szCs w:val="18"/>
                  <w:lang w:val="it-IT"/>
                </w:rPr>
                <w:delText>N</w:delText>
              </w:r>
            </w:del>
            <w:ins w:id="4539" w:author="Author">
              <w:r>
                <w:rPr>
                  <w:b/>
                  <w:noProof/>
                  <w:sz w:val="18"/>
                  <w:szCs w:val="18"/>
                  <w:lang w:val="it-IT"/>
                </w:rPr>
                <w:t>n</w:t>
              </w:r>
            </w:ins>
            <w:r>
              <w:rPr>
                <w:b/>
                <w:noProof/>
                <w:sz w:val="18"/>
                <w:szCs w:val="18"/>
                <w:lang w:val="it-IT"/>
              </w:rPr>
              <w:t> = 50</w:t>
            </w:r>
          </w:p>
        </w:tc>
        <w:tc>
          <w:tcPr>
            <w:tcW w:w="670" w:type="pct"/>
            <w:gridSpan w:val="2"/>
            <w:tcMar>
              <w:top w:w="0" w:type="dxa"/>
              <w:left w:w="57" w:type="dxa"/>
              <w:bottom w:w="0" w:type="dxa"/>
              <w:right w:w="57" w:type="dxa"/>
            </w:tcMar>
            <w:tcPrChange w:id="4540" w:author="Author">
              <w:tcPr>
                <w:tcW w:w="690" w:type="pct"/>
                <w:gridSpan w:val="2"/>
                <w:tcMar>
                  <w:top w:w="0" w:type="dxa"/>
                  <w:left w:w="57" w:type="dxa"/>
                  <w:bottom w:w="0" w:type="dxa"/>
                  <w:right w:w="57" w:type="dxa"/>
                </w:tcMar>
              </w:tcPr>
            </w:tcPrChange>
          </w:tcPr>
          <w:p>
            <w:pPr>
              <w:keepNext/>
              <w:suppressAutoHyphens/>
              <w:jc w:val="center"/>
              <w:rPr>
                <w:del w:id="4541" w:author="Author"/>
                <w:rFonts w:eastAsia="SimSun"/>
                <w:b/>
                <w:noProof/>
                <w:sz w:val="18"/>
                <w:szCs w:val="18"/>
                <w:lang w:val="it-IT"/>
              </w:rPr>
              <w:pPrChange w:id="4542" w:author="Author">
                <w:pPr>
                  <w:keepNext/>
                  <w:keepLines/>
                  <w:spacing w:before="50" w:after="50" w:line="240" w:lineRule="exact"/>
                  <w:jc w:val="center"/>
                </w:pPr>
              </w:pPrChange>
            </w:pPr>
            <w:r>
              <w:rPr>
                <w:b/>
                <w:noProof/>
                <w:sz w:val="18"/>
                <w:szCs w:val="18"/>
                <w:lang w:val="it-IT"/>
              </w:rPr>
              <w:t>Placebo + 52</w:t>
            </w:r>
            <w:ins w:id="4543" w:author="Author">
              <w:r>
                <w:rPr>
                  <w:b/>
                  <w:noProof/>
                  <w:sz w:val="18"/>
                  <w:szCs w:val="18"/>
                  <w:lang w:val="it-IT"/>
                </w:rPr>
                <w:t> </w:t>
              </w:r>
            </w:ins>
            <w:del w:id="4544" w:author="Author">
              <w:r>
                <w:rPr>
                  <w:b/>
                  <w:noProof/>
                  <w:sz w:val="18"/>
                  <w:szCs w:val="18"/>
                  <w:lang w:val="it-IT"/>
                </w:rPr>
                <w:delText xml:space="preserve"> </w:delText>
              </w:r>
            </w:del>
          </w:p>
          <w:p>
            <w:pPr>
              <w:keepNext/>
              <w:suppressAutoHyphens/>
              <w:jc w:val="center"/>
              <w:rPr>
                <w:rFonts w:eastAsia="SimSun"/>
                <w:b/>
                <w:noProof/>
                <w:sz w:val="18"/>
                <w:szCs w:val="18"/>
                <w:lang w:val="it-IT"/>
              </w:rPr>
              <w:pPrChange w:id="4545" w:author="Author">
                <w:pPr>
                  <w:keepNext/>
                  <w:keepLines/>
                  <w:spacing w:before="50" w:after="50" w:line="240" w:lineRule="exact"/>
                  <w:jc w:val="center"/>
                </w:pPr>
              </w:pPrChange>
            </w:pPr>
            <w:r>
              <w:rPr>
                <w:b/>
                <w:noProof/>
                <w:sz w:val="18"/>
                <w:szCs w:val="18"/>
                <w:lang w:val="it-IT"/>
              </w:rPr>
              <w:t>settimane di prednisone a scalare</w:t>
            </w:r>
          </w:p>
          <w:p>
            <w:pPr>
              <w:pStyle w:val="Standard"/>
              <w:keepNext/>
              <w:suppressAutoHyphens/>
              <w:jc w:val="center"/>
              <w:rPr>
                <w:rFonts w:eastAsia="SimSun"/>
                <w:b/>
                <w:noProof/>
                <w:sz w:val="18"/>
                <w:szCs w:val="18"/>
                <w:lang w:val="it-IT" w:eastAsia="zh-CN"/>
              </w:rPr>
              <w:pPrChange w:id="4546" w:author="Author">
                <w:pPr>
                  <w:pStyle w:val="Standard"/>
                  <w:keepNext/>
                  <w:keepLines/>
                  <w:spacing w:before="50" w:after="50" w:line="240" w:lineRule="exact"/>
                  <w:jc w:val="center"/>
                </w:pPr>
              </w:pPrChange>
            </w:pPr>
            <w:del w:id="4547" w:author="Author">
              <w:r>
                <w:rPr>
                  <w:b/>
                  <w:noProof/>
                  <w:sz w:val="18"/>
                  <w:szCs w:val="18"/>
                  <w:lang w:val="it-IT"/>
                </w:rPr>
                <w:delText>N</w:delText>
              </w:r>
            </w:del>
            <w:ins w:id="4548" w:author="Author">
              <w:r>
                <w:rPr>
                  <w:b/>
                  <w:noProof/>
                  <w:sz w:val="18"/>
                  <w:szCs w:val="18"/>
                  <w:lang w:val="it-IT"/>
                </w:rPr>
                <w:t>n</w:t>
              </w:r>
            </w:ins>
            <w:r>
              <w:rPr>
                <w:b/>
                <w:noProof/>
                <w:sz w:val="18"/>
                <w:szCs w:val="18"/>
                <w:lang w:val="it-IT"/>
              </w:rPr>
              <w:t> = 51</w:t>
            </w:r>
          </w:p>
        </w:tc>
        <w:tc>
          <w:tcPr>
            <w:tcW w:w="725" w:type="pct"/>
            <w:tcPrChange w:id="4549" w:author="Author">
              <w:tcPr>
                <w:tcW w:w="732" w:type="pct"/>
                <w:gridSpan w:val="2"/>
              </w:tcPr>
            </w:tcPrChange>
          </w:tcPr>
          <w:p>
            <w:pPr>
              <w:keepNext/>
              <w:suppressAutoHyphens/>
              <w:jc w:val="center"/>
              <w:rPr>
                <w:rFonts w:eastAsia="SimSun"/>
                <w:b/>
                <w:noProof/>
                <w:sz w:val="18"/>
                <w:szCs w:val="18"/>
                <w:lang w:val="it-IT"/>
              </w:rPr>
              <w:pPrChange w:id="4550" w:author="Author">
                <w:pPr>
                  <w:keepNext/>
                  <w:keepLines/>
                  <w:spacing w:before="50" w:after="50" w:line="240" w:lineRule="exact"/>
                  <w:jc w:val="center"/>
                </w:pPr>
              </w:pPrChange>
            </w:pPr>
            <w:r>
              <w:rPr>
                <w:b/>
                <w:noProof/>
                <w:sz w:val="18"/>
                <w:szCs w:val="18"/>
                <w:lang w:val="it-IT"/>
              </w:rPr>
              <w:t xml:space="preserve">Tocilizumab 162 mg s.c. </w:t>
            </w:r>
            <w:del w:id="4551" w:author="Author">
              <w:r>
                <w:rPr>
                  <w:b/>
                  <w:noProof/>
                  <w:sz w:val="18"/>
                  <w:szCs w:val="18"/>
                  <w:lang w:val="it-IT"/>
                </w:rPr>
                <w:delText xml:space="preserve">ogni </w:delText>
              </w:r>
            </w:del>
            <w:ins w:id="4552" w:author="Author">
              <w:r>
                <w:rPr>
                  <w:b/>
                  <w:noProof/>
                  <w:sz w:val="18"/>
                  <w:szCs w:val="18"/>
                  <w:lang w:val="it-IT"/>
                </w:rPr>
                <w:t xml:space="preserve">una volta a </w:t>
              </w:r>
            </w:ins>
            <w:r>
              <w:rPr>
                <w:b/>
                <w:noProof/>
                <w:sz w:val="18"/>
                <w:szCs w:val="18"/>
                <w:lang w:val="it-IT"/>
              </w:rPr>
              <w:t>settimana + 26 settimane di prednisone a scalare</w:t>
            </w:r>
          </w:p>
          <w:p>
            <w:pPr>
              <w:pStyle w:val="Standard"/>
              <w:keepNext/>
              <w:suppressAutoHyphens/>
              <w:jc w:val="center"/>
              <w:rPr>
                <w:rFonts w:eastAsia="SimSun"/>
                <w:b/>
                <w:noProof/>
                <w:sz w:val="18"/>
                <w:szCs w:val="18"/>
                <w:lang w:val="it-IT" w:eastAsia="zh-CN"/>
              </w:rPr>
              <w:pPrChange w:id="4553" w:author="Author">
                <w:pPr>
                  <w:pStyle w:val="Standard"/>
                  <w:keepNext/>
                  <w:keepLines/>
                  <w:spacing w:before="50" w:after="50" w:line="240" w:lineRule="exact"/>
                  <w:jc w:val="center"/>
                </w:pPr>
              </w:pPrChange>
            </w:pPr>
            <w:del w:id="4554" w:author="Author">
              <w:r>
                <w:rPr>
                  <w:b/>
                  <w:noProof/>
                  <w:sz w:val="18"/>
                  <w:szCs w:val="18"/>
                  <w:lang w:val="it-IT"/>
                </w:rPr>
                <w:delText>N</w:delText>
              </w:r>
            </w:del>
            <w:ins w:id="4555" w:author="Author">
              <w:r>
                <w:rPr>
                  <w:b/>
                  <w:noProof/>
                  <w:sz w:val="18"/>
                  <w:szCs w:val="18"/>
                  <w:lang w:val="it-IT"/>
                </w:rPr>
                <w:t>n</w:t>
              </w:r>
            </w:ins>
            <w:r>
              <w:rPr>
                <w:b/>
                <w:noProof/>
                <w:sz w:val="18"/>
                <w:szCs w:val="18"/>
                <w:lang w:val="it-IT"/>
              </w:rPr>
              <w:t> = 100</w:t>
            </w:r>
          </w:p>
        </w:tc>
        <w:tc>
          <w:tcPr>
            <w:tcW w:w="787" w:type="pct"/>
            <w:tcMar>
              <w:top w:w="0" w:type="dxa"/>
              <w:left w:w="57" w:type="dxa"/>
              <w:bottom w:w="0" w:type="dxa"/>
              <w:right w:w="57" w:type="dxa"/>
            </w:tcMar>
            <w:tcPrChange w:id="4556" w:author="Author">
              <w:tcPr>
                <w:tcW w:w="790" w:type="pct"/>
                <w:tcMar>
                  <w:top w:w="0" w:type="dxa"/>
                  <w:left w:w="57" w:type="dxa"/>
                  <w:bottom w:w="0" w:type="dxa"/>
                  <w:right w:w="57" w:type="dxa"/>
                </w:tcMar>
              </w:tcPr>
            </w:tcPrChange>
          </w:tcPr>
          <w:p>
            <w:pPr>
              <w:keepNext/>
              <w:suppressAutoHyphens/>
              <w:jc w:val="center"/>
              <w:rPr>
                <w:rFonts w:eastAsia="SimSun"/>
                <w:b/>
                <w:noProof/>
                <w:sz w:val="18"/>
                <w:szCs w:val="18"/>
                <w:lang w:val="it-IT"/>
              </w:rPr>
              <w:pPrChange w:id="4557" w:author="Author">
                <w:pPr>
                  <w:keepNext/>
                  <w:keepLines/>
                  <w:spacing w:before="50" w:after="50" w:line="240" w:lineRule="exact"/>
                  <w:jc w:val="center"/>
                </w:pPr>
              </w:pPrChange>
            </w:pPr>
            <w:r>
              <w:rPr>
                <w:b/>
                <w:noProof/>
                <w:sz w:val="18"/>
                <w:szCs w:val="18"/>
                <w:lang w:val="it-IT"/>
              </w:rPr>
              <w:t xml:space="preserve">Tocilizumab 162 mg s.c. a </w:t>
            </w:r>
            <w:del w:id="4558" w:author="Author">
              <w:r>
                <w:rPr>
                  <w:b/>
                  <w:noProof/>
                  <w:sz w:val="18"/>
                  <w:szCs w:val="18"/>
                  <w:lang w:val="it-IT"/>
                </w:rPr>
                <w:delText>settimane alterne</w:delText>
              </w:r>
            </w:del>
            <w:ins w:id="4559" w:author="Author">
              <w:r>
                <w:rPr>
                  <w:b/>
                  <w:noProof/>
                  <w:sz w:val="18"/>
                  <w:szCs w:val="18"/>
                  <w:lang w:val="it-IT"/>
                </w:rPr>
                <w:t>ogni due settimane</w:t>
              </w:r>
            </w:ins>
            <w:r>
              <w:rPr>
                <w:b/>
                <w:noProof/>
                <w:sz w:val="18"/>
                <w:szCs w:val="18"/>
                <w:lang w:val="it-IT"/>
              </w:rPr>
              <w:t xml:space="preserve"> + 26</w:t>
            </w:r>
            <w:ins w:id="4560" w:author="Author">
              <w:r>
                <w:rPr>
                  <w:b/>
                  <w:noProof/>
                  <w:sz w:val="18"/>
                  <w:szCs w:val="18"/>
                  <w:lang w:val="it-IT"/>
                </w:rPr>
                <w:t> </w:t>
              </w:r>
            </w:ins>
            <w:del w:id="4561" w:author="Author">
              <w:r>
                <w:rPr>
                  <w:b/>
                  <w:noProof/>
                  <w:sz w:val="18"/>
                  <w:szCs w:val="18"/>
                  <w:lang w:val="it-IT"/>
                </w:rPr>
                <w:delText xml:space="preserve"> </w:delText>
              </w:r>
            </w:del>
            <w:r>
              <w:rPr>
                <w:b/>
                <w:noProof/>
                <w:sz w:val="18"/>
                <w:szCs w:val="18"/>
                <w:lang w:val="it-IT"/>
              </w:rPr>
              <w:t xml:space="preserve">settimane di prednisone a scalare </w:t>
            </w:r>
          </w:p>
          <w:p>
            <w:pPr>
              <w:pStyle w:val="Standard"/>
              <w:keepNext/>
              <w:suppressAutoHyphens/>
              <w:jc w:val="center"/>
              <w:rPr>
                <w:rFonts w:eastAsia="SimSun"/>
                <w:b/>
                <w:noProof/>
                <w:sz w:val="18"/>
                <w:szCs w:val="18"/>
                <w:lang w:val="it-IT" w:eastAsia="zh-CN"/>
              </w:rPr>
              <w:pPrChange w:id="4562" w:author="Author">
                <w:pPr>
                  <w:pStyle w:val="Standard"/>
                  <w:keepNext/>
                  <w:keepLines/>
                  <w:spacing w:before="50" w:after="50" w:line="240" w:lineRule="exact"/>
                  <w:jc w:val="center"/>
                </w:pPr>
              </w:pPrChange>
            </w:pPr>
            <w:del w:id="4563" w:author="Author">
              <w:r>
                <w:rPr>
                  <w:b/>
                  <w:noProof/>
                  <w:sz w:val="18"/>
                  <w:szCs w:val="18"/>
                  <w:lang w:val="it-IT"/>
                </w:rPr>
                <w:delText>N</w:delText>
              </w:r>
            </w:del>
            <w:ins w:id="4564" w:author="Author">
              <w:r>
                <w:rPr>
                  <w:b/>
                  <w:noProof/>
                  <w:sz w:val="18"/>
                  <w:szCs w:val="18"/>
                  <w:lang w:val="it-IT"/>
                </w:rPr>
                <w:t>n</w:t>
              </w:r>
            </w:ins>
            <w:r>
              <w:rPr>
                <w:b/>
                <w:noProof/>
                <w:sz w:val="18"/>
                <w:szCs w:val="18"/>
                <w:lang w:val="it-IT"/>
              </w:rPr>
              <w:t> = 49</w:t>
            </w:r>
          </w:p>
        </w:tc>
      </w:tr>
      <w:tr>
        <w:tblPrEx>
          <w:tblPrExChange w:id="4565" w:author="Author">
            <w:tblPrEx>
              <w:tblCellMar>
                <w:left w:w="0" w:type="dxa"/>
                <w:right w:w="0" w:type="dxa"/>
              </w:tblCellMar>
            </w:tblPrEx>
          </w:tblPrExChange>
        </w:tblPrEx>
        <w:trPr>
          <w:gridAfter w:val="1"/>
          <w:wAfter w:w="787" w:type="pct"/>
          <w:cantSplit/>
          <w:trPrChange w:id="4566" w:author="Author">
            <w:trPr>
              <w:cantSplit/>
            </w:trPr>
          </w:trPrChange>
        </w:trPr>
        <w:tc>
          <w:tcPr>
            <w:tcW w:w="4213" w:type="pct"/>
            <w:gridSpan w:val="5"/>
            <w:tcPrChange w:id="4567" w:author="Author">
              <w:tcPr>
                <w:tcW w:w="5000" w:type="pct"/>
                <w:gridSpan w:val="14"/>
              </w:tcPr>
            </w:tcPrChange>
          </w:tcPr>
          <w:p>
            <w:pPr>
              <w:pStyle w:val="Standard"/>
              <w:keepNext/>
              <w:suppressAutoHyphens/>
              <w:rPr>
                <w:rFonts w:eastAsia="SimSun"/>
                <w:b/>
                <w:noProof/>
                <w:sz w:val="18"/>
                <w:szCs w:val="18"/>
                <w:lang w:val="it-IT" w:eastAsia="zh-CN"/>
              </w:rPr>
              <w:pPrChange w:id="4568" w:author="Author">
                <w:pPr>
                  <w:pStyle w:val="Standard"/>
                  <w:keepNext/>
                  <w:keepLines/>
                  <w:spacing w:before="50" w:after="50" w:line="240" w:lineRule="exact"/>
                </w:pPr>
              </w:pPrChange>
            </w:pPr>
            <w:del w:id="4569" w:author="Author">
              <w:r>
                <w:rPr>
                  <w:b/>
                  <w:noProof/>
                  <w:sz w:val="18"/>
                  <w:szCs w:val="18"/>
                  <w:lang w:val="it-IT"/>
                </w:rPr>
                <w:delText xml:space="preserve"> </w:delText>
              </w:r>
            </w:del>
            <w:r>
              <w:rPr>
                <w:b/>
                <w:noProof/>
                <w:sz w:val="18"/>
                <w:szCs w:val="18"/>
                <w:lang w:val="it-IT"/>
              </w:rPr>
              <w:t>Endpoint primario</w:t>
            </w:r>
          </w:p>
        </w:tc>
      </w:tr>
      <w:tr>
        <w:tblPrEx>
          <w:tblPrExChange w:id="4570" w:author="Author">
            <w:tblPrEx>
              <w:tblCellMar>
                <w:left w:w="0" w:type="dxa"/>
                <w:right w:w="0" w:type="dxa"/>
              </w:tblCellMar>
            </w:tblPrEx>
          </w:tblPrExChange>
        </w:tblPrEx>
        <w:trPr>
          <w:cantSplit/>
          <w:trPrChange w:id="4571" w:author="Author">
            <w:trPr>
              <w:cantSplit/>
            </w:trPr>
          </w:trPrChange>
        </w:trPr>
        <w:tc>
          <w:tcPr>
            <w:tcW w:w="5000" w:type="pct"/>
            <w:gridSpan w:val="6"/>
            <w:tcMar>
              <w:top w:w="0" w:type="dxa"/>
              <w:left w:w="57" w:type="dxa"/>
              <w:bottom w:w="0" w:type="dxa"/>
              <w:right w:w="57" w:type="dxa"/>
            </w:tcMar>
            <w:tcPrChange w:id="4572" w:author="Author">
              <w:tcPr>
                <w:tcW w:w="5000" w:type="pct"/>
                <w:gridSpan w:val="14"/>
                <w:tcMar>
                  <w:top w:w="0" w:type="dxa"/>
                  <w:left w:w="57" w:type="dxa"/>
                  <w:bottom w:w="0" w:type="dxa"/>
                  <w:right w:w="57" w:type="dxa"/>
                </w:tcMar>
              </w:tcPr>
            </w:tcPrChange>
          </w:tcPr>
          <w:p>
            <w:pPr>
              <w:pStyle w:val="Standard"/>
              <w:keepNext/>
              <w:suppressAutoHyphens/>
              <w:rPr>
                <w:rFonts w:eastAsia="SimSun"/>
                <w:strike/>
                <w:noProof/>
                <w:sz w:val="18"/>
                <w:szCs w:val="18"/>
                <w:lang w:val="it-IT" w:eastAsia="zh-CN"/>
              </w:rPr>
              <w:pPrChange w:id="4573" w:author="Author">
                <w:pPr>
                  <w:pStyle w:val="Standard"/>
                  <w:keepNext/>
                  <w:keepLines/>
                  <w:spacing w:before="50" w:after="50" w:line="240" w:lineRule="exact"/>
                </w:pPr>
              </w:pPrChange>
            </w:pPr>
            <w:r>
              <w:rPr>
                <w:noProof/>
                <w:sz w:val="18"/>
                <w:szCs w:val="18"/>
                <w:lang w:val="it-IT"/>
              </w:rPr>
              <w:t>****Remissione sostenuta (gruppi tocilizumab vs. placebo+26)</w:t>
            </w:r>
            <w:r>
              <w:rPr>
                <w:rFonts w:eastAsia="SimSun"/>
                <w:noProof/>
                <w:sz w:val="18"/>
                <w:szCs w:val="18"/>
                <w:lang w:val="it-IT" w:eastAsia="zh-CN"/>
              </w:rPr>
              <w:t xml:space="preserve">                       </w:t>
            </w:r>
          </w:p>
        </w:tc>
      </w:tr>
      <w:tr>
        <w:trPr>
          <w:cantSplit/>
          <w:trPrChange w:id="4574" w:author="Author">
            <w:trPr>
              <w:gridBefore w:val="1"/>
              <w:cantSplit/>
            </w:trPr>
          </w:trPrChange>
        </w:trPr>
        <w:tc>
          <w:tcPr>
            <w:tcW w:w="2135" w:type="pct"/>
            <w:tcMar>
              <w:top w:w="0" w:type="dxa"/>
              <w:left w:w="57" w:type="dxa"/>
              <w:bottom w:w="0" w:type="dxa"/>
              <w:right w:w="57" w:type="dxa"/>
            </w:tcMar>
            <w:tcPrChange w:id="4575" w:author="Author">
              <w:tcPr>
                <w:tcW w:w="2099" w:type="pct"/>
                <w:gridSpan w:val="5"/>
                <w:tcMar>
                  <w:top w:w="0" w:type="dxa"/>
                  <w:left w:w="57" w:type="dxa"/>
                  <w:bottom w:w="0" w:type="dxa"/>
                  <w:right w:w="57" w:type="dxa"/>
                </w:tcMar>
              </w:tcPr>
            </w:tcPrChange>
          </w:tcPr>
          <w:p>
            <w:pPr>
              <w:pStyle w:val="Standard"/>
              <w:keepNext/>
              <w:suppressAutoHyphens/>
              <w:ind w:left="504"/>
              <w:rPr>
                <w:rFonts w:eastAsia="SimSun"/>
                <w:noProof/>
                <w:sz w:val="18"/>
                <w:szCs w:val="18"/>
                <w:lang w:val="it-IT" w:eastAsia="zh-CN"/>
              </w:rPr>
              <w:pPrChange w:id="4576" w:author="Author">
                <w:pPr>
                  <w:pStyle w:val="Standard"/>
                  <w:keepNext/>
                  <w:keepLines/>
                  <w:spacing w:before="50" w:after="50" w:line="240" w:lineRule="exact"/>
                  <w:ind w:left="720" w:right="-198"/>
                </w:pPr>
              </w:pPrChange>
            </w:pPr>
            <w:r>
              <w:rPr>
                <w:noProof/>
                <w:sz w:val="18"/>
                <w:szCs w:val="18"/>
                <w:lang w:val="it-IT"/>
              </w:rPr>
              <w:t>Soggetti responsivi alla settimana 52, n (%)</w:t>
            </w:r>
          </w:p>
        </w:tc>
        <w:tc>
          <w:tcPr>
            <w:tcW w:w="682" w:type="pct"/>
            <w:tcMar>
              <w:top w:w="0" w:type="dxa"/>
              <w:left w:w="57" w:type="dxa"/>
              <w:bottom w:w="0" w:type="dxa"/>
              <w:right w:w="57" w:type="dxa"/>
            </w:tcMar>
            <w:tcPrChange w:id="4577" w:author="Author">
              <w:tcPr>
                <w:tcW w:w="689" w:type="pct"/>
                <w:gridSpan w:val="3"/>
                <w:tcMar>
                  <w:top w:w="0" w:type="dxa"/>
                  <w:left w:w="57" w:type="dxa"/>
                  <w:bottom w:w="0" w:type="dxa"/>
                  <w:right w:w="57" w:type="dxa"/>
                </w:tcMar>
              </w:tcPr>
            </w:tcPrChange>
          </w:tcPr>
          <w:p>
            <w:pPr>
              <w:pStyle w:val="Standard"/>
              <w:keepNext/>
              <w:suppressAutoHyphens/>
              <w:jc w:val="center"/>
              <w:rPr>
                <w:rFonts w:eastAsia="SimSun"/>
                <w:noProof/>
                <w:sz w:val="18"/>
                <w:szCs w:val="18"/>
                <w:lang w:val="it-IT" w:eastAsia="zh-CN"/>
              </w:rPr>
              <w:pPrChange w:id="4578" w:author="Author">
                <w:pPr>
                  <w:pStyle w:val="Standard"/>
                  <w:keepNext/>
                  <w:keepLines/>
                  <w:spacing w:before="50" w:after="50" w:line="240" w:lineRule="exact"/>
                  <w:jc w:val="center"/>
                </w:pPr>
              </w:pPrChange>
            </w:pPr>
            <w:r>
              <w:rPr>
                <w:noProof/>
                <w:sz w:val="18"/>
                <w:szCs w:val="18"/>
                <w:lang w:val="it-IT"/>
              </w:rPr>
              <w:t>7 (14%)</w:t>
            </w:r>
          </w:p>
        </w:tc>
        <w:tc>
          <w:tcPr>
            <w:tcW w:w="670" w:type="pct"/>
            <w:gridSpan w:val="2"/>
            <w:tcMar>
              <w:top w:w="0" w:type="dxa"/>
              <w:left w:w="57" w:type="dxa"/>
              <w:bottom w:w="0" w:type="dxa"/>
              <w:right w:w="57" w:type="dxa"/>
            </w:tcMar>
            <w:tcPrChange w:id="4579" w:author="Author">
              <w:tcPr>
                <w:tcW w:w="690" w:type="pct"/>
                <w:gridSpan w:val="2"/>
                <w:tcMar>
                  <w:top w:w="0" w:type="dxa"/>
                  <w:left w:w="57" w:type="dxa"/>
                  <w:bottom w:w="0" w:type="dxa"/>
                  <w:right w:w="57" w:type="dxa"/>
                </w:tcMar>
              </w:tcPr>
            </w:tcPrChange>
          </w:tcPr>
          <w:p>
            <w:pPr>
              <w:pStyle w:val="Standard"/>
              <w:keepNext/>
              <w:suppressAutoHyphens/>
              <w:jc w:val="center"/>
              <w:rPr>
                <w:rFonts w:eastAsia="SimSun"/>
                <w:noProof/>
                <w:sz w:val="18"/>
                <w:szCs w:val="18"/>
                <w:lang w:val="it-IT" w:eastAsia="zh-CN"/>
              </w:rPr>
              <w:pPrChange w:id="4580" w:author="Author">
                <w:pPr>
                  <w:pStyle w:val="Standard"/>
                  <w:keepNext/>
                  <w:keepLines/>
                  <w:spacing w:before="50" w:after="50" w:line="240" w:lineRule="exact"/>
                  <w:jc w:val="center"/>
                </w:pPr>
              </w:pPrChange>
            </w:pPr>
            <w:r>
              <w:rPr>
                <w:noProof/>
                <w:sz w:val="18"/>
                <w:szCs w:val="18"/>
                <w:lang w:val="it-IT"/>
              </w:rPr>
              <w:t>9 (17,6%)</w:t>
            </w:r>
          </w:p>
        </w:tc>
        <w:tc>
          <w:tcPr>
            <w:tcW w:w="725" w:type="pct"/>
            <w:tcPrChange w:id="4581" w:author="Author">
              <w:tcPr>
                <w:tcW w:w="732" w:type="pct"/>
                <w:gridSpan w:val="2"/>
              </w:tcPr>
            </w:tcPrChange>
          </w:tcPr>
          <w:p>
            <w:pPr>
              <w:pStyle w:val="Standard"/>
              <w:keepNext/>
              <w:suppressAutoHyphens/>
              <w:jc w:val="center"/>
              <w:rPr>
                <w:rFonts w:eastAsia="SimSun"/>
                <w:noProof/>
                <w:sz w:val="18"/>
                <w:szCs w:val="18"/>
                <w:lang w:val="it-IT" w:eastAsia="zh-CN"/>
              </w:rPr>
              <w:pPrChange w:id="4582" w:author="Author">
                <w:pPr>
                  <w:pStyle w:val="Standard"/>
                  <w:keepNext/>
                  <w:keepLines/>
                  <w:spacing w:before="50" w:after="50" w:line="240" w:lineRule="exact"/>
                  <w:jc w:val="center"/>
                </w:pPr>
              </w:pPrChange>
            </w:pPr>
            <w:r>
              <w:rPr>
                <w:noProof/>
                <w:sz w:val="18"/>
                <w:szCs w:val="18"/>
                <w:lang w:val="it-IT"/>
              </w:rPr>
              <w:t>56 (56%)</w:t>
            </w:r>
          </w:p>
        </w:tc>
        <w:tc>
          <w:tcPr>
            <w:tcW w:w="787" w:type="pct"/>
            <w:tcMar>
              <w:top w:w="0" w:type="dxa"/>
              <w:left w:w="57" w:type="dxa"/>
              <w:bottom w:w="0" w:type="dxa"/>
              <w:right w:w="57" w:type="dxa"/>
            </w:tcMar>
            <w:tcPrChange w:id="4583" w:author="Author">
              <w:tcPr>
                <w:tcW w:w="790" w:type="pct"/>
                <w:tcMar>
                  <w:top w:w="0" w:type="dxa"/>
                  <w:left w:w="57" w:type="dxa"/>
                  <w:bottom w:w="0" w:type="dxa"/>
                  <w:right w:w="57" w:type="dxa"/>
                </w:tcMar>
              </w:tcPr>
            </w:tcPrChange>
          </w:tcPr>
          <w:p>
            <w:pPr>
              <w:pStyle w:val="Standard"/>
              <w:keepNext/>
              <w:suppressAutoHyphens/>
              <w:jc w:val="center"/>
              <w:rPr>
                <w:rFonts w:eastAsia="SimSun"/>
                <w:noProof/>
                <w:sz w:val="18"/>
                <w:szCs w:val="18"/>
                <w:lang w:val="it-IT" w:eastAsia="zh-CN"/>
              </w:rPr>
              <w:pPrChange w:id="4584" w:author="Author">
                <w:pPr>
                  <w:pStyle w:val="Standard"/>
                  <w:keepNext/>
                  <w:keepLines/>
                  <w:spacing w:before="50" w:after="50" w:line="240" w:lineRule="exact"/>
                  <w:jc w:val="center"/>
                </w:pPr>
              </w:pPrChange>
            </w:pPr>
            <w:r>
              <w:rPr>
                <w:noProof/>
                <w:sz w:val="18"/>
                <w:szCs w:val="18"/>
                <w:lang w:val="it-IT"/>
              </w:rPr>
              <w:t>26 (53,1%)</w:t>
            </w:r>
          </w:p>
        </w:tc>
      </w:tr>
      <w:tr>
        <w:trPr>
          <w:cantSplit/>
          <w:trPrChange w:id="4585" w:author="Author">
            <w:trPr>
              <w:gridBefore w:val="1"/>
              <w:cantSplit/>
            </w:trPr>
          </w:trPrChange>
        </w:trPr>
        <w:tc>
          <w:tcPr>
            <w:tcW w:w="2135" w:type="pct"/>
            <w:tcMar>
              <w:top w:w="0" w:type="dxa"/>
              <w:left w:w="57" w:type="dxa"/>
              <w:bottom w:w="0" w:type="dxa"/>
              <w:right w:w="57" w:type="dxa"/>
            </w:tcMar>
            <w:tcPrChange w:id="4586" w:author="Author">
              <w:tcPr>
                <w:tcW w:w="2099" w:type="pct"/>
                <w:gridSpan w:val="5"/>
                <w:tcMar>
                  <w:top w:w="0" w:type="dxa"/>
                  <w:left w:w="57" w:type="dxa"/>
                  <w:bottom w:w="0" w:type="dxa"/>
                  <w:right w:w="57" w:type="dxa"/>
                </w:tcMar>
              </w:tcPr>
            </w:tcPrChange>
          </w:tcPr>
          <w:p>
            <w:pPr>
              <w:suppressAutoHyphens/>
              <w:ind w:left="504"/>
              <w:rPr>
                <w:rFonts w:eastAsia="SimSun"/>
                <w:noProof/>
                <w:sz w:val="18"/>
                <w:szCs w:val="18"/>
                <w:lang w:val="it-IT"/>
              </w:rPr>
              <w:pPrChange w:id="4587" w:author="Author">
                <w:pPr>
                  <w:keepNext/>
                  <w:keepLines/>
                  <w:spacing w:before="50" w:after="50" w:line="240" w:lineRule="exact"/>
                  <w:ind w:left="720" w:right="-479"/>
                </w:pPr>
              </w:pPrChange>
            </w:pPr>
            <w:r>
              <w:rPr>
                <w:noProof/>
                <w:sz w:val="18"/>
                <w:szCs w:val="18"/>
                <w:lang w:val="it-IT"/>
              </w:rPr>
              <w:t>Differenza nelle percentuali non aggiustata</w:t>
            </w:r>
          </w:p>
          <w:p>
            <w:pPr>
              <w:pStyle w:val="Standard"/>
              <w:suppressAutoHyphens/>
              <w:ind w:left="504"/>
              <w:rPr>
                <w:rFonts w:eastAsia="SimSun"/>
                <w:noProof/>
                <w:sz w:val="18"/>
                <w:szCs w:val="18"/>
                <w:lang w:val="it-IT" w:eastAsia="zh-CN"/>
              </w:rPr>
              <w:pPrChange w:id="4588" w:author="Author">
                <w:pPr>
                  <w:pStyle w:val="Standard"/>
                  <w:keepNext/>
                  <w:keepLines/>
                  <w:spacing w:before="50" w:after="50" w:line="240" w:lineRule="exact"/>
                  <w:ind w:left="720"/>
                </w:pPr>
              </w:pPrChange>
            </w:pPr>
            <w:r>
              <w:rPr>
                <w:noProof/>
                <w:sz w:val="18"/>
                <w:szCs w:val="18"/>
                <w:lang w:val="it-IT"/>
              </w:rPr>
              <w:t>(IC al 99,5%)</w:t>
            </w:r>
          </w:p>
        </w:tc>
        <w:tc>
          <w:tcPr>
            <w:tcW w:w="682" w:type="pct"/>
            <w:tcMar>
              <w:top w:w="0" w:type="dxa"/>
              <w:left w:w="57" w:type="dxa"/>
              <w:bottom w:w="0" w:type="dxa"/>
              <w:right w:w="57" w:type="dxa"/>
            </w:tcMar>
            <w:tcPrChange w:id="4589" w:author="Author">
              <w:tcPr>
                <w:tcW w:w="689" w:type="pct"/>
                <w:gridSpan w:val="3"/>
                <w:tcMar>
                  <w:top w:w="0" w:type="dxa"/>
                  <w:left w:w="57" w:type="dxa"/>
                  <w:bottom w:w="0" w:type="dxa"/>
                  <w:right w:w="57" w:type="dxa"/>
                </w:tcMar>
              </w:tcPr>
            </w:tcPrChange>
          </w:tcPr>
          <w:p>
            <w:pPr>
              <w:pStyle w:val="Standard"/>
              <w:suppressAutoHyphens/>
              <w:jc w:val="center"/>
              <w:rPr>
                <w:rFonts w:eastAsia="SimSun"/>
                <w:noProof/>
                <w:sz w:val="18"/>
                <w:szCs w:val="18"/>
                <w:lang w:val="it-IT" w:eastAsia="zh-CN"/>
              </w:rPr>
              <w:pPrChange w:id="4590" w:author="Author">
                <w:pPr>
                  <w:pStyle w:val="Standard"/>
                  <w:keepNext/>
                  <w:keepLines/>
                  <w:spacing w:before="50" w:after="50" w:line="240" w:lineRule="exact"/>
                  <w:jc w:val="center"/>
                </w:pPr>
              </w:pPrChange>
            </w:pPr>
            <w:r>
              <w:rPr>
                <w:noProof/>
                <w:sz w:val="18"/>
                <w:szCs w:val="18"/>
                <w:lang w:val="it-IT"/>
              </w:rPr>
              <w:t>N/A</w:t>
            </w:r>
          </w:p>
        </w:tc>
        <w:tc>
          <w:tcPr>
            <w:tcW w:w="670" w:type="pct"/>
            <w:gridSpan w:val="2"/>
            <w:tcMar>
              <w:top w:w="0" w:type="dxa"/>
              <w:left w:w="57" w:type="dxa"/>
              <w:bottom w:w="0" w:type="dxa"/>
              <w:right w:w="57" w:type="dxa"/>
            </w:tcMar>
            <w:tcPrChange w:id="4591" w:author="Author">
              <w:tcPr>
                <w:tcW w:w="690" w:type="pct"/>
                <w:gridSpan w:val="2"/>
                <w:tcMar>
                  <w:top w:w="0" w:type="dxa"/>
                  <w:left w:w="57" w:type="dxa"/>
                  <w:bottom w:w="0" w:type="dxa"/>
                  <w:right w:w="57" w:type="dxa"/>
                </w:tcMar>
              </w:tcPr>
            </w:tcPrChange>
          </w:tcPr>
          <w:p>
            <w:pPr>
              <w:pStyle w:val="Standard"/>
              <w:suppressAutoHyphens/>
              <w:jc w:val="center"/>
              <w:rPr>
                <w:rFonts w:eastAsia="SimSun"/>
                <w:noProof/>
                <w:sz w:val="18"/>
                <w:szCs w:val="18"/>
                <w:lang w:val="it-IT" w:eastAsia="zh-CN"/>
              </w:rPr>
              <w:pPrChange w:id="4592" w:author="Author">
                <w:pPr>
                  <w:pStyle w:val="Standard"/>
                  <w:keepNext/>
                  <w:keepLines/>
                  <w:spacing w:before="50" w:after="50" w:line="240" w:lineRule="exact"/>
                  <w:jc w:val="center"/>
                </w:pPr>
              </w:pPrChange>
            </w:pPr>
            <w:r>
              <w:rPr>
                <w:noProof/>
                <w:sz w:val="18"/>
                <w:szCs w:val="18"/>
                <w:lang w:val="it-IT"/>
              </w:rPr>
              <w:t>N/A</w:t>
            </w:r>
          </w:p>
        </w:tc>
        <w:tc>
          <w:tcPr>
            <w:tcW w:w="725" w:type="pct"/>
            <w:tcPrChange w:id="4593" w:author="Author">
              <w:tcPr>
                <w:tcW w:w="732" w:type="pct"/>
                <w:gridSpan w:val="2"/>
              </w:tcPr>
            </w:tcPrChange>
          </w:tcPr>
          <w:p>
            <w:pPr>
              <w:suppressAutoHyphens/>
              <w:jc w:val="center"/>
              <w:rPr>
                <w:rFonts w:eastAsia="SimSun"/>
                <w:noProof/>
                <w:sz w:val="18"/>
                <w:szCs w:val="18"/>
                <w:lang w:val="it-IT"/>
              </w:rPr>
              <w:pPrChange w:id="4594" w:author="Author">
                <w:pPr>
                  <w:keepNext/>
                  <w:keepLines/>
                  <w:spacing w:before="50" w:after="50" w:line="240" w:lineRule="exact"/>
                  <w:jc w:val="center"/>
                </w:pPr>
              </w:pPrChange>
            </w:pPr>
            <w:r>
              <w:rPr>
                <w:noProof/>
                <w:sz w:val="18"/>
                <w:szCs w:val="18"/>
                <w:lang w:val="it-IT"/>
              </w:rPr>
              <w:t>42%*</w:t>
            </w:r>
          </w:p>
          <w:p>
            <w:pPr>
              <w:pStyle w:val="Standard"/>
              <w:suppressAutoHyphens/>
              <w:jc w:val="center"/>
              <w:rPr>
                <w:rFonts w:eastAsia="SimSun"/>
                <w:noProof/>
                <w:sz w:val="18"/>
                <w:szCs w:val="18"/>
                <w:lang w:val="it-IT" w:eastAsia="zh-CN"/>
              </w:rPr>
              <w:pPrChange w:id="4595" w:author="Author">
                <w:pPr>
                  <w:pStyle w:val="Standard"/>
                  <w:keepNext/>
                  <w:keepLines/>
                  <w:spacing w:before="50" w:after="50" w:line="240" w:lineRule="exact"/>
                  <w:jc w:val="center"/>
                </w:pPr>
              </w:pPrChange>
            </w:pPr>
            <w:r>
              <w:rPr>
                <w:noProof/>
                <w:sz w:val="18"/>
                <w:szCs w:val="18"/>
                <w:lang w:val="it-IT"/>
              </w:rPr>
              <w:t>(18,00; 66,00)</w:t>
            </w:r>
          </w:p>
        </w:tc>
        <w:tc>
          <w:tcPr>
            <w:tcW w:w="787" w:type="pct"/>
            <w:tcMar>
              <w:top w:w="0" w:type="dxa"/>
              <w:left w:w="57" w:type="dxa"/>
              <w:bottom w:w="0" w:type="dxa"/>
              <w:right w:w="57" w:type="dxa"/>
            </w:tcMar>
            <w:tcPrChange w:id="4596" w:author="Author">
              <w:tcPr>
                <w:tcW w:w="790" w:type="pct"/>
                <w:tcMar>
                  <w:top w:w="0" w:type="dxa"/>
                  <w:left w:w="57" w:type="dxa"/>
                  <w:bottom w:w="0" w:type="dxa"/>
                  <w:right w:w="57" w:type="dxa"/>
                </w:tcMar>
              </w:tcPr>
            </w:tcPrChange>
          </w:tcPr>
          <w:p>
            <w:pPr>
              <w:suppressAutoHyphens/>
              <w:jc w:val="center"/>
              <w:rPr>
                <w:rFonts w:eastAsia="SimSun"/>
                <w:noProof/>
                <w:sz w:val="18"/>
                <w:szCs w:val="18"/>
                <w:lang w:val="it-IT"/>
              </w:rPr>
              <w:pPrChange w:id="4597" w:author="Author">
                <w:pPr>
                  <w:keepNext/>
                  <w:keepLines/>
                  <w:spacing w:before="50" w:after="50" w:line="240" w:lineRule="exact"/>
                  <w:jc w:val="center"/>
                </w:pPr>
              </w:pPrChange>
            </w:pPr>
            <w:r>
              <w:rPr>
                <w:noProof/>
                <w:sz w:val="18"/>
                <w:szCs w:val="18"/>
                <w:lang w:val="it-IT"/>
              </w:rPr>
              <w:t>39,06%*</w:t>
            </w:r>
          </w:p>
          <w:p>
            <w:pPr>
              <w:pStyle w:val="Standard"/>
              <w:suppressAutoHyphens/>
              <w:jc w:val="center"/>
              <w:rPr>
                <w:rFonts w:eastAsia="SimSun"/>
                <w:noProof/>
                <w:sz w:val="18"/>
                <w:szCs w:val="18"/>
                <w:lang w:val="it-IT" w:eastAsia="zh-CN"/>
              </w:rPr>
              <w:pPrChange w:id="4598" w:author="Author">
                <w:pPr>
                  <w:pStyle w:val="Standard"/>
                  <w:keepNext/>
                  <w:keepLines/>
                  <w:spacing w:before="50" w:after="50" w:line="240" w:lineRule="exact"/>
                  <w:jc w:val="center"/>
                </w:pPr>
              </w:pPrChange>
            </w:pPr>
            <w:r>
              <w:rPr>
                <w:noProof/>
                <w:sz w:val="18"/>
                <w:szCs w:val="18"/>
                <w:lang w:val="it-IT"/>
              </w:rPr>
              <w:t>(12,46; 65,66)</w:t>
            </w:r>
          </w:p>
        </w:tc>
      </w:tr>
      <w:tr>
        <w:tblPrEx>
          <w:tblPrExChange w:id="4599" w:author="Author">
            <w:tblPrEx>
              <w:tblCellMar>
                <w:left w:w="0" w:type="dxa"/>
                <w:right w:w="0" w:type="dxa"/>
              </w:tblCellMar>
            </w:tblPrEx>
          </w:tblPrExChange>
        </w:tblPrEx>
        <w:trPr>
          <w:gridAfter w:val="1"/>
          <w:wAfter w:w="787" w:type="pct"/>
          <w:cantSplit/>
          <w:trPrChange w:id="4600" w:author="Author">
            <w:trPr>
              <w:cantSplit/>
            </w:trPr>
          </w:trPrChange>
        </w:trPr>
        <w:tc>
          <w:tcPr>
            <w:tcW w:w="4213" w:type="pct"/>
            <w:gridSpan w:val="5"/>
            <w:tcPrChange w:id="4601" w:author="Author">
              <w:tcPr>
                <w:tcW w:w="5000" w:type="pct"/>
                <w:gridSpan w:val="14"/>
              </w:tcPr>
            </w:tcPrChange>
          </w:tcPr>
          <w:p>
            <w:pPr>
              <w:pStyle w:val="Standard"/>
              <w:keepNext/>
              <w:suppressAutoHyphens/>
              <w:rPr>
                <w:rFonts w:eastAsia="SimSun"/>
                <w:b/>
                <w:noProof/>
                <w:sz w:val="18"/>
                <w:szCs w:val="18"/>
                <w:lang w:val="it-IT" w:eastAsia="zh-CN"/>
              </w:rPr>
              <w:pPrChange w:id="4602" w:author="Author">
                <w:pPr>
                  <w:pStyle w:val="Standard"/>
                  <w:keepNext/>
                  <w:keepLines/>
                  <w:spacing w:before="50" w:after="50" w:line="240" w:lineRule="exact"/>
                </w:pPr>
              </w:pPrChange>
            </w:pPr>
            <w:del w:id="4603" w:author="Author">
              <w:r>
                <w:rPr>
                  <w:rFonts w:eastAsia="SimSun"/>
                  <w:b/>
                  <w:noProof/>
                  <w:sz w:val="18"/>
                  <w:szCs w:val="18"/>
                  <w:lang w:val="it-IT" w:eastAsia="zh-CN"/>
                </w:rPr>
                <w:delText xml:space="preserve"> </w:delText>
              </w:r>
            </w:del>
            <w:r>
              <w:rPr>
                <w:b/>
                <w:noProof/>
                <w:sz w:val="18"/>
                <w:szCs w:val="18"/>
                <w:lang w:val="it-IT"/>
              </w:rPr>
              <w:t>Principale endpoint secondario</w:t>
            </w:r>
          </w:p>
        </w:tc>
      </w:tr>
      <w:tr>
        <w:tblPrEx>
          <w:tblPrExChange w:id="4604" w:author="Author">
            <w:tblPrEx>
              <w:tblCellMar>
                <w:left w:w="0" w:type="dxa"/>
                <w:right w:w="0" w:type="dxa"/>
              </w:tblCellMar>
            </w:tblPrEx>
          </w:tblPrExChange>
        </w:tblPrEx>
        <w:trPr>
          <w:cantSplit/>
          <w:trPrChange w:id="4605" w:author="Author">
            <w:trPr>
              <w:cantSplit/>
            </w:trPr>
          </w:trPrChange>
        </w:trPr>
        <w:tc>
          <w:tcPr>
            <w:tcW w:w="5000" w:type="pct"/>
            <w:gridSpan w:val="6"/>
            <w:tcMar>
              <w:top w:w="0" w:type="dxa"/>
              <w:left w:w="57" w:type="dxa"/>
              <w:bottom w:w="0" w:type="dxa"/>
              <w:right w:w="57" w:type="dxa"/>
            </w:tcMar>
            <w:tcPrChange w:id="4606" w:author="Author">
              <w:tcPr>
                <w:tcW w:w="5000" w:type="pct"/>
                <w:gridSpan w:val="14"/>
                <w:tcMar>
                  <w:top w:w="0" w:type="dxa"/>
                  <w:left w:w="57" w:type="dxa"/>
                  <w:bottom w:w="0" w:type="dxa"/>
                  <w:right w:w="57" w:type="dxa"/>
                </w:tcMar>
              </w:tcPr>
            </w:tcPrChange>
          </w:tcPr>
          <w:p>
            <w:pPr>
              <w:pStyle w:val="Standard"/>
              <w:keepNext/>
              <w:suppressAutoHyphens/>
              <w:rPr>
                <w:rFonts w:eastAsia="SimSun"/>
                <w:noProof/>
                <w:sz w:val="18"/>
                <w:szCs w:val="18"/>
                <w:lang w:val="it-IT" w:eastAsia="zh-CN"/>
              </w:rPr>
              <w:pPrChange w:id="4607" w:author="Author">
                <w:pPr>
                  <w:pStyle w:val="Standard"/>
                  <w:keepNext/>
                  <w:keepLines/>
                  <w:spacing w:before="50" w:after="50" w:line="240" w:lineRule="exact"/>
                </w:pPr>
              </w:pPrChange>
            </w:pPr>
            <w:r>
              <w:rPr>
                <w:noProof/>
                <w:sz w:val="18"/>
                <w:szCs w:val="18"/>
                <w:lang w:val="it-IT"/>
              </w:rPr>
              <w:t xml:space="preserve">Remissione sostenuta (gruppi tocilizumab vs. placebo+52)                       </w:t>
            </w:r>
          </w:p>
        </w:tc>
      </w:tr>
      <w:tr>
        <w:trPr>
          <w:cantSplit/>
          <w:trPrChange w:id="4608" w:author="Author">
            <w:trPr>
              <w:gridBefore w:val="1"/>
              <w:cantSplit/>
            </w:trPr>
          </w:trPrChange>
        </w:trPr>
        <w:tc>
          <w:tcPr>
            <w:tcW w:w="2135" w:type="pct"/>
            <w:tcMar>
              <w:top w:w="0" w:type="dxa"/>
              <w:left w:w="57" w:type="dxa"/>
              <w:bottom w:w="0" w:type="dxa"/>
              <w:right w:w="57" w:type="dxa"/>
            </w:tcMar>
            <w:tcPrChange w:id="4609" w:author="Author">
              <w:tcPr>
                <w:tcW w:w="2099" w:type="pct"/>
                <w:gridSpan w:val="5"/>
                <w:tcMar>
                  <w:top w:w="0" w:type="dxa"/>
                  <w:left w:w="57" w:type="dxa"/>
                  <w:bottom w:w="0" w:type="dxa"/>
                  <w:right w:w="57" w:type="dxa"/>
                </w:tcMar>
              </w:tcPr>
            </w:tcPrChange>
          </w:tcPr>
          <w:p>
            <w:pPr>
              <w:pStyle w:val="Standard"/>
              <w:keepNext/>
              <w:suppressAutoHyphens/>
              <w:ind w:left="504"/>
              <w:rPr>
                <w:rFonts w:eastAsia="SimSun"/>
                <w:noProof/>
                <w:sz w:val="18"/>
                <w:szCs w:val="18"/>
                <w:lang w:val="it-IT" w:eastAsia="zh-CN"/>
              </w:rPr>
              <w:pPrChange w:id="4610" w:author="Author">
                <w:pPr>
                  <w:pStyle w:val="Standard"/>
                  <w:keepNext/>
                  <w:keepLines/>
                  <w:spacing w:before="50" w:after="50" w:line="240" w:lineRule="exact"/>
                  <w:ind w:left="720"/>
                </w:pPr>
              </w:pPrChange>
            </w:pPr>
            <w:r>
              <w:rPr>
                <w:noProof/>
                <w:sz w:val="18"/>
                <w:szCs w:val="18"/>
                <w:lang w:val="it-IT"/>
              </w:rPr>
              <w:t>Soggetti responsivi alla settimana 52, n (%)</w:t>
            </w:r>
          </w:p>
        </w:tc>
        <w:tc>
          <w:tcPr>
            <w:tcW w:w="724" w:type="pct"/>
            <w:gridSpan w:val="2"/>
            <w:tcMar>
              <w:top w:w="0" w:type="dxa"/>
              <w:left w:w="57" w:type="dxa"/>
              <w:bottom w:w="0" w:type="dxa"/>
              <w:right w:w="57" w:type="dxa"/>
            </w:tcMar>
            <w:tcPrChange w:id="4611" w:author="Author">
              <w:tcPr>
                <w:tcW w:w="743" w:type="pct"/>
                <w:gridSpan w:val="4"/>
                <w:tcMar>
                  <w:top w:w="0" w:type="dxa"/>
                  <w:left w:w="57" w:type="dxa"/>
                  <w:bottom w:w="0" w:type="dxa"/>
                  <w:right w:w="57" w:type="dxa"/>
                </w:tcMar>
              </w:tcPr>
            </w:tcPrChange>
          </w:tcPr>
          <w:p>
            <w:pPr>
              <w:pStyle w:val="Standard"/>
              <w:keepNext/>
              <w:suppressAutoHyphens/>
              <w:jc w:val="center"/>
              <w:rPr>
                <w:rFonts w:eastAsia="SimSun"/>
                <w:noProof/>
                <w:sz w:val="18"/>
                <w:szCs w:val="18"/>
                <w:lang w:val="it-IT" w:eastAsia="zh-CN"/>
              </w:rPr>
              <w:pPrChange w:id="4612" w:author="Author">
                <w:pPr>
                  <w:pStyle w:val="Standard"/>
                  <w:keepNext/>
                  <w:keepLines/>
                  <w:spacing w:before="50" w:after="50" w:line="240" w:lineRule="exact"/>
                  <w:jc w:val="center"/>
                </w:pPr>
              </w:pPrChange>
            </w:pPr>
            <w:r>
              <w:rPr>
                <w:noProof/>
                <w:sz w:val="18"/>
                <w:szCs w:val="18"/>
                <w:lang w:val="it-IT"/>
              </w:rPr>
              <w:t>7 (14%)</w:t>
            </w:r>
          </w:p>
        </w:tc>
        <w:tc>
          <w:tcPr>
            <w:tcW w:w="628" w:type="pct"/>
            <w:tcMar>
              <w:top w:w="0" w:type="dxa"/>
              <w:left w:w="57" w:type="dxa"/>
              <w:bottom w:w="0" w:type="dxa"/>
              <w:right w:w="57" w:type="dxa"/>
            </w:tcMar>
            <w:tcPrChange w:id="4613" w:author="Author">
              <w:tcPr>
                <w:tcW w:w="636" w:type="pct"/>
                <w:tcMar>
                  <w:top w:w="0" w:type="dxa"/>
                  <w:left w:w="57" w:type="dxa"/>
                  <w:bottom w:w="0" w:type="dxa"/>
                  <w:right w:w="57" w:type="dxa"/>
                </w:tcMar>
              </w:tcPr>
            </w:tcPrChange>
          </w:tcPr>
          <w:p>
            <w:pPr>
              <w:pStyle w:val="Standard"/>
              <w:keepNext/>
              <w:suppressAutoHyphens/>
              <w:jc w:val="center"/>
              <w:rPr>
                <w:rFonts w:eastAsia="SimSun"/>
                <w:noProof/>
                <w:sz w:val="18"/>
                <w:szCs w:val="18"/>
                <w:lang w:val="it-IT" w:eastAsia="zh-CN"/>
              </w:rPr>
              <w:pPrChange w:id="4614" w:author="Author">
                <w:pPr>
                  <w:pStyle w:val="Standard"/>
                  <w:keepNext/>
                  <w:keepLines/>
                  <w:spacing w:before="50" w:after="50" w:line="240" w:lineRule="exact"/>
                  <w:jc w:val="center"/>
                </w:pPr>
              </w:pPrChange>
            </w:pPr>
            <w:r>
              <w:rPr>
                <w:noProof/>
                <w:sz w:val="18"/>
                <w:szCs w:val="18"/>
                <w:lang w:val="it-IT"/>
              </w:rPr>
              <w:t>9 (17,6%)</w:t>
            </w:r>
          </w:p>
        </w:tc>
        <w:tc>
          <w:tcPr>
            <w:tcW w:w="725" w:type="pct"/>
            <w:tcPrChange w:id="4615" w:author="Author">
              <w:tcPr>
                <w:tcW w:w="732" w:type="pct"/>
                <w:gridSpan w:val="2"/>
              </w:tcPr>
            </w:tcPrChange>
          </w:tcPr>
          <w:p>
            <w:pPr>
              <w:pStyle w:val="Standard"/>
              <w:keepNext/>
              <w:suppressAutoHyphens/>
              <w:jc w:val="center"/>
              <w:rPr>
                <w:rFonts w:eastAsia="SimSun"/>
                <w:noProof/>
                <w:sz w:val="18"/>
                <w:szCs w:val="18"/>
                <w:lang w:val="it-IT" w:eastAsia="zh-CN"/>
              </w:rPr>
              <w:pPrChange w:id="4616" w:author="Author">
                <w:pPr>
                  <w:pStyle w:val="Standard"/>
                  <w:keepNext/>
                  <w:keepLines/>
                  <w:spacing w:before="50" w:after="50" w:line="240" w:lineRule="exact"/>
                  <w:jc w:val="center"/>
                </w:pPr>
              </w:pPrChange>
            </w:pPr>
            <w:r>
              <w:rPr>
                <w:noProof/>
                <w:sz w:val="18"/>
                <w:szCs w:val="18"/>
                <w:lang w:val="it-IT"/>
              </w:rPr>
              <w:t>56 (56%)</w:t>
            </w:r>
          </w:p>
        </w:tc>
        <w:tc>
          <w:tcPr>
            <w:tcW w:w="787" w:type="pct"/>
            <w:tcMar>
              <w:top w:w="0" w:type="dxa"/>
              <w:left w:w="57" w:type="dxa"/>
              <w:bottom w:w="0" w:type="dxa"/>
              <w:right w:w="57" w:type="dxa"/>
            </w:tcMar>
            <w:tcPrChange w:id="4617" w:author="Author">
              <w:tcPr>
                <w:tcW w:w="790" w:type="pct"/>
                <w:tcMar>
                  <w:top w:w="0" w:type="dxa"/>
                  <w:left w:w="57" w:type="dxa"/>
                  <w:bottom w:w="0" w:type="dxa"/>
                  <w:right w:w="57" w:type="dxa"/>
                </w:tcMar>
              </w:tcPr>
            </w:tcPrChange>
          </w:tcPr>
          <w:p>
            <w:pPr>
              <w:pStyle w:val="Standard"/>
              <w:keepNext/>
              <w:suppressAutoHyphens/>
              <w:jc w:val="center"/>
              <w:rPr>
                <w:rFonts w:eastAsia="SimSun"/>
                <w:noProof/>
                <w:sz w:val="18"/>
                <w:szCs w:val="18"/>
                <w:lang w:val="it-IT" w:eastAsia="zh-CN"/>
              </w:rPr>
              <w:pPrChange w:id="4618" w:author="Author">
                <w:pPr>
                  <w:pStyle w:val="Standard"/>
                  <w:keepNext/>
                  <w:keepLines/>
                  <w:spacing w:before="50" w:after="50" w:line="240" w:lineRule="exact"/>
                  <w:jc w:val="center"/>
                </w:pPr>
              </w:pPrChange>
            </w:pPr>
            <w:r>
              <w:rPr>
                <w:noProof/>
                <w:sz w:val="18"/>
                <w:szCs w:val="18"/>
                <w:lang w:val="it-IT"/>
              </w:rPr>
              <w:t>26 (53,1%)</w:t>
            </w:r>
          </w:p>
        </w:tc>
      </w:tr>
      <w:tr>
        <w:trPr>
          <w:cantSplit/>
          <w:trPrChange w:id="4619" w:author="Author">
            <w:trPr>
              <w:gridBefore w:val="1"/>
              <w:cantSplit/>
            </w:trPr>
          </w:trPrChange>
        </w:trPr>
        <w:tc>
          <w:tcPr>
            <w:tcW w:w="2135" w:type="pct"/>
            <w:tcMar>
              <w:top w:w="0" w:type="dxa"/>
              <w:left w:w="57" w:type="dxa"/>
              <w:bottom w:w="0" w:type="dxa"/>
              <w:right w:w="57" w:type="dxa"/>
            </w:tcMar>
            <w:tcPrChange w:id="4620" w:author="Author">
              <w:tcPr>
                <w:tcW w:w="2099" w:type="pct"/>
                <w:gridSpan w:val="5"/>
                <w:tcMar>
                  <w:top w:w="0" w:type="dxa"/>
                  <w:left w:w="57" w:type="dxa"/>
                  <w:bottom w:w="0" w:type="dxa"/>
                  <w:right w:w="57" w:type="dxa"/>
                </w:tcMar>
              </w:tcPr>
            </w:tcPrChange>
          </w:tcPr>
          <w:p>
            <w:pPr>
              <w:suppressAutoHyphens/>
              <w:ind w:left="504"/>
              <w:rPr>
                <w:rFonts w:eastAsia="SimSun"/>
                <w:noProof/>
                <w:sz w:val="18"/>
                <w:szCs w:val="18"/>
                <w:lang w:val="it-IT"/>
              </w:rPr>
              <w:pPrChange w:id="4621" w:author="Author">
                <w:pPr>
                  <w:keepNext/>
                  <w:keepLines/>
                  <w:spacing w:before="50" w:after="50" w:line="240" w:lineRule="exact"/>
                  <w:ind w:left="720"/>
                </w:pPr>
              </w:pPrChange>
            </w:pPr>
            <w:r>
              <w:rPr>
                <w:noProof/>
                <w:sz w:val="18"/>
                <w:szCs w:val="18"/>
                <w:lang w:val="it-IT"/>
              </w:rPr>
              <w:t>Differenza nelle percentuali non aggiustata</w:t>
            </w:r>
          </w:p>
          <w:p>
            <w:pPr>
              <w:pStyle w:val="Standard"/>
              <w:suppressAutoHyphens/>
              <w:ind w:left="504"/>
              <w:rPr>
                <w:rFonts w:eastAsia="SimSun"/>
                <w:noProof/>
                <w:sz w:val="18"/>
                <w:szCs w:val="18"/>
                <w:lang w:val="it-IT" w:eastAsia="zh-CN"/>
              </w:rPr>
              <w:pPrChange w:id="4622" w:author="Author">
                <w:pPr>
                  <w:pStyle w:val="Standard"/>
                  <w:keepNext/>
                  <w:keepLines/>
                  <w:spacing w:before="50" w:after="50" w:line="240" w:lineRule="exact"/>
                  <w:ind w:left="720"/>
                </w:pPr>
              </w:pPrChange>
            </w:pPr>
            <w:r>
              <w:rPr>
                <w:noProof/>
                <w:sz w:val="18"/>
                <w:szCs w:val="18"/>
                <w:lang w:val="it-IT"/>
              </w:rPr>
              <w:t>(IC al 99,5%)</w:t>
            </w:r>
          </w:p>
        </w:tc>
        <w:tc>
          <w:tcPr>
            <w:tcW w:w="724" w:type="pct"/>
            <w:gridSpan w:val="2"/>
            <w:tcMar>
              <w:top w:w="0" w:type="dxa"/>
              <w:left w:w="57" w:type="dxa"/>
              <w:bottom w:w="0" w:type="dxa"/>
              <w:right w:w="57" w:type="dxa"/>
            </w:tcMar>
            <w:tcPrChange w:id="4623" w:author="Author">
              <w:tcPr>
                <w:tcW w:w="743" w:type="pct"/>
                <w:gridSpan w:val="4"/>
                <w:tcMar>
                  <w:top w:w="0" w:type="dxa"/>
                  <w:left w:w="57" w:type="dxa"/>
                  <w:bottom w:w="0" w:type="dxa"/>
                  <w:right w:w="57" w:type="dxa"/>
                </w:tcMar>
              </w:tcPr>
            </w:tcPrChange>
          </w:tcPr>
          <w:p>
            <w:pPr>
              <w:pStyle w:val="Standard"/>
              <w:suppressAutoHyphens/>
              <w:jc w:val="center"/>
              <w:rPr>
                <w:rFonts w:eastAsia="SimSun"/>
                <w:noProof/>
                <w:sz w:val="18"/>
                <w:szCs w:val="18"/>
                <w:lang w:val="it-IT" w:eastAsia="zh-CN"/>
              </w:rPr>
              <w:pPrChange w:id="4624" w:author="Author">
                <w:pPr>
                  <w:pStyle w:val="Standard"/>
                  <w:keepNext/>
                  <w:keepLines/>
                  <w:spacing w:before="50" w:after="50" w:line="240" w:lineRule="exact"/>
                  <w:jc w:val="center"/>
                </w:pPr>
              </w:pPrChange>
            </w:pPr>
            <w:r>
              <w:rPr>
                <w:noProof/>
                <w:sz w:val="18"/>
                <w:szCs w:val="18"/>
                <w:lang w:val="it-IT"/>
              </w:rPr>
              <w:t>N/A</w:t>
            </w:r>
          </w:p>
        </w:tc>
        <w:tc>
          <w:tcPr>
            <w:tcW w:w="628" w:type="pct"/>
            <w:tcMar>
              <w:top w:w="0" w:type="dxa"/>
              <w:left w:w="57" w:type="dxa"/>
              <w:bottom w:w="0" w:type="dxa"/>
              <w:right w:w="57" w:type="dxa"/>
            </w:tcMar>
            <w:tcPrChange w:id="4625" w:author="Author">
              <w:tcPr>
                <w:tcW w:w="636" w:type="pct"/>
                <w:tcMar>
                  <w:top w:w="0" w:type="dxa"/>
                  <w:left w:w="57" w:type="dxa"/>
                  <w:bottom w:w="0" w:type="dxa"/>
                  <w:right w:w="57" w:type="dxa"/>
                </w:tcMar>
              </w:tcPr>
            </w:tcPrChange>
          </w:tcPr>
          <w:p>
            <w:pPr>
              <w:pStyle w:val="Standard"/>
              <w:suppressAutoHyphens/>
              <w:jc w:val="center"/>
              <w:rPr>
                <w:rFonts w:eastAsia="SimSun"/>
                <w:noProof/>
                <w:sz w:val="18"/>
                <w:szCs w:val="18"/>
                <w:lang w:val="it-IT" w:eastAsia="zh-CN"/>
              </w:rPr>
              <w:pPrChange w:id="4626" w:author="Author">
                <w:pPr>
                  <w:pStyle w:val="Standard"/>
                  <w:keepNext/>
                  <w:keepLines/>
                  <w:spacing w:before="50" w:after="50" w:line="240" w:lineRule="exact"/>
                  <w:jc w:val="center"/>
                </w:pPr>
              </w:pPrChange>
            </w:pPr>
            <w:r>
              <w:rPr>
                <w:noProof/>
                <w:sz w:val="18"/>
                <w:szCs w:val="18"/>
                <w:lang w:val="it-IT"/>
              </w:rPr>
              <w:t>N/A</w:t>
            </w:r>
          </w:p>
        </w:tc>
        <w:tc>
          <w:tcPr>
            <w:tcW w:w="725" w:type="pct"/>
            <w:tcPrChange w:id="4627" w:author="Author">
              <w:tcPr>
                <w:tcW w:w="732" w:type="pct"/>
                <w:gridSpan w:val="2"/>
              </w:tcPr>
            </w:tcPrChange>
          </w:tcPr>
          <w:p>
            <w:pPr>
              <w:suppressAutoHyphens/>
              <w:jc w:val="center"/>
              <w:rPr>
                <w:rFonts w:eastAsia="SimSun"/>
                <w:noProof/>
                <w:sz w:val="18"/>
                <w:szCs w:val="18"/>
                <w:lang w:val="it-IT"/>
              </w:rPr>
              <w:pPrChange w:id="4628" w:author="Author">
                <w:pPr>
                  <w:keepNext/>
                  <w:keepLines/>
                  <w:spacing w:before="50" w:after="50" w:line="240" w:lineRule="exact"/>
                  <w:jc w:val="center"/>
                </w:pPr>
              </w:pPrChange>
            </w:pPr>
            <w:r>
              <w:rPr>
                <w:noProof/>
                <w:sz w:val="18"/>
                <w:szCs w:val="18"/>
                <w:lang w:val="it-IT"/>
              </w:rPr>
              <w:t>38,35%*</w:t>
            </w:r>
          </w:p>
          <w:p>
            <w:pPr>
              <w:pStyle w:val="Standard"/>
              <w:suppressAutoHyphens/>
              <w:jc w:val="center"/>
              <w:rPr>
                <w:rFonts w:eastAsia="SimSun"/>
                <w:noProof/>
                <w:sz w:val="18"/>
                <w:szCs w:val="18"/>
                <w:lang w:val="it-IT" w:eastAsia="zh-CN"/>
              </w:rPr>
              <w:pPrChange w:id="4629" w:author="Author">
                <w:pPr>
                  <w:pStyle w:val="Standard"/>
                  <w:keepNext/>
                  <w:keepLines/>
                  <w:spacing w:before="50" w:after="50" w:line="240" w:lineRule="exact"/>
                  <w:jc w:val="center"/>
                </w:pPr>
              </w:pPrChange>
            </w:pPr>
            <w:r>
              <w:rPr>
                <w:noProof/>
                <w:sz w:val="18"/>
                <w:szCs w:val="18"/>
                <w:lang w:val="it-IT"/>
              </w:rPr>
              <w:t>(17,89; 58,81)</w:t>
            </w:r>
          </w:p>
        </w:tc>
        <w:tc>
          <w:tcPr>
            <w:tcW w:w="787" w:type="pct"/>
            <w:tcMar>
              <w:top w:w="0" w:type="dxa"/>
              <w:left w:w="57" w:type="dxa"/>
              <w:bottom w:w="0" w:type="dxa"/>
              <w:right w:w="57" w:type="dxa"/>
            </w:tcMar>
            <w:tcPrChange w:id="4630" w:author="Author">
              <w:tcPr>
                <w:tcW w:w="790" w:type="pct"/>
                <w:tcMar>
                  <w:top w:w="0" w:type="dxa"/>
                  <w:left w:w="57" w:type="dxa"/>
                  <w:bottom w:w="0" w:type="dxa"/>
                  <w:right w:w="57" w:type="dxa"/>
                </w:tcMar>
              </w:tcPr>
            </w:tcPrChange>
          </w:tcPr>
          <w:p>
            <w:pPr>
              <w:suppressAutoHyphens/>
              <w:jc w:val="center"/>
              <w:rPr>
                <w:rFonts w:eastAsia="SimSun"/>
                <w:noProof/>
                <w:sz w:val="18"/>
                <w:szCs w:val="18"/>
                <w:lang w:val="it-IT"/>
              </w:rPr>
              <w:pPrChange w:id="4631" w:author="Author">
                <w:pPr>
                  <w:keepNext/>
                  <w:keepLines/>
                  <w:spacing w:before="50" w:after="50" w:line="240" w:lineRule="exact"/>
                  <w:jc w:val="center"/>
                </w:pPr>
              </w:pPrChange>
            </w:pPr>
            <w:r>
              <w:rPr>
                <w:noProof/>
                <w:sz w:val="18"/>
                <w:szCs w:val="18"/>
                <w:lang w:val="it-IT"/>
              </w:rPr>
              <w:t>35,41%**</w:t>
            </w:r>
          </w:p>
          <w:p>
            <w:pPr>
              <w:pStyle w:val="Standard"/>
              <w:suppressAutoHyphens/>
              <w:jc w:val="center"/>
              <w:rPr>
                <w:rFonts w:eastAsia="SimSun"/>
                <w:noProof/>
                <w:sz w:val="18"/>
                <w:szCs w:val="18"/>
                <w:lang w:val="it-IT" w:eastAsia="zh-CN"/>
              </w:rPr>
              <w:pPrChange w:id="4632" w:author="Author">
                <w:pPr>
                  <w:pStyle w:val="Standard"/>
                  <w:keepNext/>
                  <w:keepLines/>
                  <w:spacing w:before="50" w:after="50" w:line="240" w:lineRule="exact"/>
                  <w:jc w:val="center"/>
                </w:pPr>
              </w:pPrChange>
            </w:pPr>
            <w:r>
              <w:rPr>
                <w:noProof/>
                <w:sz w:val="18"/>
                <w:szCs w:val="18"/>
                <w:lang w:val="it-IT"/>
              </w:rPr>
              <w:t>(10,41; 60,41)</w:t>
            </w:r>
          </w:p>
        </w:tc>
      </w:tr>
      <w:tr>
        <w:tblPrEx>
          <w:tblPrExChange w:id="4633" w:author="Author">
            <w:tblPrEx>
              <w:tblCellMar>
                <w:left w:w="0" w:type="dxa"/>
                <w:right w:w="0" w:type="dxa"/>
              </w:tblCellMar>
            </w:tblPrEx>
          </w:tblPrExChange>
        </w:tblPrEx>
        <w:trPr>
          <w:cantSplit/>
          <w:trPrChange w:id="4634" w:author="Author">
            <w:trPr>
              <w:cantSplit/>
            </w:trPr>
          </w:trPrChange>
        </w:trPr>
        <w:tc>
          <w:tcPr>
            <w:tcW w:w="5000" w:type="pct"/>
            <w:gridSpan w:val="6"/>
            <w:tcMar>
              <w:top w:w="0" w:type="dxa"/>
              <w:left w:w="57" w:type="dxa"/>
              <w:bottom w:w="0" w:type="dxa"/>
              <w:right w:w="57" w:type="dxa"/>
            </w:tcMar>
            <w:tcPrChange w:id="4635" w:author="Author">
              <w:tcPr>
                <w:tcW w:w="5000" w:type="pct"/>
                <w:gridSpan w:val="14"/>
                <w:tcMar>
                  <w:top w:w="0" w:type="dxa"/>
                  <w:left w:w="57" w:type="dxa"/>
                  <w:bottom w:w="0" w:type="dxa"/>
                  <w:right w:w="57" w:type="dxa"/>
                </w:tcMar>
              </w:tcPr>
            </w:tcPrChange>
          </w:tcPr>
          <w:p>
            <w:pPr>
              <w:pStyle w:val="Standard"/>
              <w:keepNext/>
              <w:suppressAutoHyphens/>
              <w:rPr>
                <w:rFonts w:eastAsia="SimSun"/>
                <w:noProof/>
                <w:sz w:val="18"/>
                <w:szCs w:val="18"/>
                <w:lang w:val="it-IT" w:eastAsia="zh-CN"/>
              </w:rPr>
              <w:pPrChange w:id="4636" w:author="Author">
                <w:pPr>
                  <w:pStyle w:val="Standard"/>
                  <w:keepNext/>
                  <w:keepLines/>
                  <w:spacing w:before="50" w:after="50" w:line="240" w:lineRule="exact"/>
                </w:pPr>
              </w:pPrChange>
            </w:pPr>
            <w:r>
              <w:rPr>
                <w:b/>
                <w:noProof/>
                <w:sz w:val="18"/>
                <w:szCs w:val="18"/>
                <w:lang w:val="it-IT"/>
              </w:rPr>
              <w:lastRenderedPageBreak/>
              <w:t>Altri endpoint secondari</w:t>
            </w:r>
          </w:p>
        </w:tc>
      </w:tr>
      <w:tr>
        <w:trPr>
          <w:cantSplit/>
          <w:trPrChange w:id="4637" w:author="Author">
            <w:trPr>
              <w:cantSplit/>
            </w:trPr>
          </w:trPrChange>
        </w:trPr>
        <w:tc>
          <w:tcPr>
            <w:tcW w:w="2135" w:type="pct"/>
            <w:tcMar>
              <w:top w:w="0" w:type="dxa"/>
              <w:left w:w="57" w:type="dxa"/>
              <w:bottom w:w="0" w:type="dxa"/>
              <w:right w:w="57" w:type="dxa"/>
            </w:tcMar>
            <w:tcPrChange w:id="4638" w:author="Author">
              <w:tcPr>
                <w:tcW w:w="2099" w:type="pct"/>
                <w:gridSpan w:val="3"/>
                <w:tcMar>
                  <w:top w:w="0" w:type="dxa"/>
                  <w:left w:w="57" w:type="dxa"/>
                  <w:bottom w:w="0" w:type="dxa"/>
                  <w:right w:w="57" w:type="dxa"/>
                </w:tcMar>
              </w:tcPr>
            </w:tcPrChange>
          </w:tcPr>
          <w:p>
            <w:pPr>
              <w:suppressAutoHyphens/>
              <w:rPr>
                <w:noProof/>
                <w:sz w:val="18"/>
                <w:szCs w:val="18"/>
                <w:lang w:val="it-IT"/>
              </w:rPr>
              <w:pPrChange w:id="4639" w:author="Author">
                <w:pPr>
                  <w:keepNext/>
                  <w:keepLines/>
                  <w:spacing w:before="50" w:after="50" w:line="240" w:lineRule="exact"/>
                </w:pPr>
              </w:pPrChange>
            </w:pPr>
            <w:r>
              <w:rPr>
                <w:noProof/>
                <w:sz w:val="18"/>
                <w:szCs w:val="18"/>
                <w:lang w:val="it-IT"/>
              </w:rPr>
              <w:t>Tempo alla prima riacutizzazione della ACG¹ (gruppi tocilizumab vs. placebo+26)</w:t>
            </w:r>
          </w:p>
          <w:p>
            <w:pPr>
              <w:pStyle w:val="Standard"/>
              <w:suppressAutoHyphens/>
              <w:ind w:left="1440"/>
              <w:rPr>
                <w:noProof/>
                <w:sz w:val="18"/>
                <w:szCs w:val="18"/>
                <w:lang w:val="it-IT"/>
              </w:rPr>
              <w:pPrChange w:id="4640" w:author="Author">
                <w:pPr>
                  <w:pStyle w:val="Standard"/>
                  <w:keepNext/>
                  <w:keepLines/>
                  <w:spacing w:before="50" w:after="50" w:line="240" w:lineRule="exact"/>
                  <w:ind w:left="1440"/>
                </w:pPr>
              </w:pPrChange>
            </w:pPr>
            <w:r>
              <w:rPr>
                <w:noProof/>
                <w:sz w:val="18"/>
                <w:szCs w:val="18"/>
                <w:lang w:val="it-IT"/>
              </w:rPr>
              <w:t>HR (IC al 99%)</w:t>
            </w:r>
          </w:p>
          <w:p>
            <w:pPr>
              <w:suppressAutoHyphens/>
              <w:rPr>
                <w:noProof/>
                <w:sz w:val="18"/>
                <w:szCs w:val="18"/>
                <w:lang w:val="it-IT"/>
              </w:rPr>
              <w:pPrChange w:id="4641" w:author="Author">
                <w:pPr>
                  <w:keepNext/>
                  <w:keepLines/>
                  <w:spacing w:before="50" w:after="50" w:line="240" w:lineRule="exact"/>
                </w:pPr>
              </w:pPrChange>
            </w:pPr>
            <w:r>
              <w:rPr>
                <w:noProof/>
                <w:sz w:val="18"/>
                <w:szCs w:val="18"/>
                <w:lang w:val="it-IT"/>
              </w:rPr>
              <w:t>Tempo alla prima riacutizzazione della ACG¹ (gruppi tocilizumab vs. placebo+52)</w:t>
            </w:r>
          </w:p>
          <w:p>
            <w:pPr>
              <w:suppressAutoHyphens/>
              <w:rPr>
                <w:noProof/>
                <w:sz w:val="18"/>
                <w:szCs w:val="18"/>
                <w:lang w:val="it-IT"/>
              </w:rPr>
              <w:pPrChange w:id="4642" w:author="Author">
                <w:pPr>
                  <w:keepNext/>
                  <w:keepLines/>
                  <w:spacing w:before="50" w:after="50" w:line="240" w:lineRule="exact"/>
                </w:pPr>
              </w:pPrChange>
            </w:pPr>
            <w:r>
              <w:rPr>
                <w:noProof/>
                <w:sz w:val="18"/>
                <w:szCs w:val="18"/>
                <w:lang w:val="it-IT"/>
              </w:rPr>
              <w:t xml:space="preserve">                                HR (IC al 99%)</w:t>
            </w:r>
          </w:p>
          <w:p>
            <w:pPr>
              <w:suppressAutoHyphens/>
              <w:rPr>
                <w:noProof/>
                <w:sz w:val="18"/>
                <w:szCs w:val="18"/>
                <w:lang w:val="it-IT"/>
              </w:rPr>
              <w:pPrChange w:id="4643" w:author="Author">
                <w:pPr>
                  <w:keepNext/>
                  <w:keepLines/>
                  <w:spacing w:before="50" w:after="50" w:line="240" w:lineRule="exact"/>
                </w:pPr>
              </w:pPrChange>
            </w:pPr>
            <w:r>
              <w:rPr>
                <w:noProof/>
                <w:sz w:val="18"/>
                <w:szCs w:val="18"/>
                <w:lang w:val="it-IT"/>
              </w:rPr>
              <w:t>Tempo alla prima riacutizzazione della ACG¹ (pazienti recidivanti; gruppi tocilizumab vs. placebo+26) HR (IC al 99%)</w:t>
            </w:r>
          </w:p>
          <w:p>
            <w:pPr>
              <w:suppressAutoHyphens/>
              <w:rPr>
                <w:noProof/>
                <w:sz w:val="18"/>
                <w:szCs w:val="18"/>
                <w:lang w:val="it-IT"/>
              </w:rPr>
              <w:pPrChange w:id="4644" w:author="Author">
                <w:pPr>
                  <w:keepNext/>
                  <w:keepLines/>
                  <w:spacing w:before="50" w:after="50" w:line="240" w:lineRule="exact"/>
                </w:pPr>
              </w:pPrChange>
            </w:pPr>
            <w:r>
              <w:rPr>
                <w:noProof/>
                <w:sz w:val="18"/>
                <w:szCs w:val="18"/>
                <w:lang w:val="it-IT"/>
              </w:rPr>
              <w:t>Tempo alla prima riacutizzazione della ACG¹ (pazienti recidivanti; gruppi tocilizumab vs. placebo+52) HR (IC al 99%)</w:t>
            </w:r>
          </w:p>
          <w:p>
            <w:pPr>
              <w:suppressAutoHyphens/>
              <w:rPr>
                <w:noProof/>
                <w:sz w:val="18"/>
                <w:szCs w:val="18"/>
                <w:lang w:val="it-IT"/>
              </w:rPr>
              <w:pPrChange w:id="4645" w:author="Author">
                <w:pPr>
                  <w:keepNext/>
                  <w:keepLines/>
                  <w:spacing w:before="50" w:after="50" w:line="240" w:lineRule="exact"/>
                </w:pPr>
              </w:pPrChange>
            </w:pPr>
            <w:r>
              <w:rPr>
                <w:noProof/>
                <w:sz w:val="18"/>
                <w:szCs w:val="18"/>
                <w:lang w:val="it-IT"/>
              </w:rPr>
              <w:t>Tempo alla prima riacutizzazione della ACG¹ (pazienti con nuova insorgenza; gruppi tocilizumab vs. placebo+26) HR (IC al 99%)</w:t>
            </w:r>
          </w:p>
          <w:p>
            <w:pPr>
              <w:pStyle w:val="Standard"/>
              <w:suppressAutoHyphens/>
              <w:rPr>
                <w:rFonts w:eastAsia="SimSun"/>
                <w:noProof/>
                <w:sz w:val="18"/>
                <w:szCs w:val="18"/>
                <w:lang w:val="it-IT" w:eastAsia="zh-CN"/>
              </w:rPr>
              <w:pPrChange w:id="4646" w:author="Author">
                <w:pPr>
                  <w:pStyle w:val="Standard"/>
                  <w:keepNext/>
                  <w:keepLines/>
                  <w:spacing w:before="50" w:after="50" w:line="240" w:lineRule="exact"/>
                </w:pPr>
              </w:pPrChange>
            </w:pPr>
            <w:r>
              <w:rPr>
                <w:noProof/>
                <w:sz w:val="18"/>
                <w:szCs w:val="18"/>
                <w:lang w:val="it-IT"/>
              </w:rPr>
              <w:t>Tempo alla prima riacutizzazione della ACG¹ (pazienti con nuova insorgenza; gruppi tocilizumab vs. placebo+52) HR (IC al 99%)</w:t>
            </w:r>
          </w:p>
        </w:tc>
        <w:tc>
          <w:tcPr>
            <w:tcW w:w="682" w:type="pct"/>
            <w:tcMar>
              <w:top w:w="0" w:type="dxa"/>
              <w:left w:w="57" w:type="dxa"/>
              <w:bottom w:w="0" w:type="dxa"/>
              <w:right w:w="57" w:type="dxa"/>
            </w:tcMar>
            <w:tcPrChange w:id="4647" w:author="Author">
              <w:tcPr>
                <w:tcW w:w="689" w:type="pct"/>
                <w:gridSpan w:val="2"/>
                <w:tcMar>
                  <w:top w:w="0" w:type="dxa"/>
                  <w:left w:w="57" w:type="dxa"/>
                  <w:bottom w:w="0" w:type="dxa"/>
                  <w:right w:w="57" w:type="dxa"/>
                </w:tcMar>
              </w:tcPr>
            </w:tcPrChange>
          </w:tcPr>
          <w:p>
            <w:pPr>
              <w:suppressAutoHyphens/>
              <w:jc w:val="center"/>
              <w:rPr>
                <w:rFonts w:eastAsia="SimSun"/>
                <w:noProof/>
                <w:sz w:val="18"/>
                <w:szCs w:val="18"/>
                <w:lang w:val="pt-BR"/>
                <w:rPrChange w:id="4648" w:author="Author">
                  <w:rPr>
                    <w:rFonts w:eastAsia="SimSun"/>
                    <w:sz w:val="18"/>
                    <w:szCs w:val="18"/>
                    <w:lang w:val="it-IT"/>
                  </w:rPr>
                </w:rPrChange>
              </w:rPr>
              <w:pPrChange w:id="4649" w:author="Author">
                <w:pPr>
                  <w:keepNext/>
                  <w:keepLines/>
                  <w:spacing w:before="50" w:after="50" w:line="240" w:lineRule="exact"/>
                  <w:jc w:val="center"/>
                </w:pPr>
              </w:pPrChange>
            </w:pPr>
            <w:r>
              <w:rPr>
                <w:noProof/>
                <w:sz w:val="18"/>
                <w:szCs w:val="18"/>
                <w:lang w:val="pt-BR"/>
                <w:rPrChange w:id="4650" w:author="Author">
                  <w:rPr>
                    <w:sz w:val="18"/>
                    <w:szCs w:val="18"/>
                    <w:lang w:val="it-IT"/>
                  </w:rPr>
                </w:rPrChange>
              </w:rPr>
              <w:t>N/A</w:t>
            </w:r>
          </w:p>
          <w:p>
            <w:pPr>
              <w:suppressAutoHyphens/>
              <w:jc w:val="center"/>
              <w:rPr>
                <w:rFonts w:eastAsia="SimSun"/>
                <w:noProof/>
                <w:sz w:val="18"/>
                <w:szCs w:val="18"/>
                <w:lang w:val="pt-BR" w:eastAsia="zh-CN"/>
                <w:rPrChange w:id="4651" w:author="Author">
                  <w:rPr>
                    <w:rFonts w:eastAsia="SimSun"/>
                    <w:sz w:val="18"/>
                    <w:szCs w:val="18"/>
                    <w:lang w:val="it-IT" w:eastAsia="zh-CN"/>
                  </w:rPr>
                </w:rPrChange>
              </w:rPr>
              <w:pPrChange w:id="4652" w:author="Author">
                <w:pPr>
                  <w:keepNext/>
                  <w:keepLines/>
                  <w:spacing w:before="50" w:after="50" w:line="240" w:lineRule="exact"/>
                  <w:jc w:val="center"/>
                </w:pPr>
              </w:pPrChange>
            </w:pPr>
          </w:p>
          <w:p>
            <w:pPr>
              <w:suppressAutoHyphens/>
              <w:jc w:val="center"/>
              <w:rPr>
                <w:rFonts w:eastAsia="SimSun"/>
                <w:noProof/>
                <w:sz w:val="18"/>
                <w:szCs w:val="18"/>
                <w:lang w:val="pt-BR" w:eastAsia="zh-CN"/>
                <w:rPrChange w:id="4653" w:author="Author">
                  <w:rPr>
                    <w:rFonts w:eastAsia="SimSun"/>
                    <w:sz w:val="18"/>
                    <w:szCs w:val="18"/>
                    <w:lang w:val="it-IT" w:eastAsia="zh-CN"/>
                  </w:rPr>
                </w:rPrChange>
              </w:rPr>
              <w:pPrChange w:id="4654" w:author="Author">
                <w:pPr>
                  <w:keepNext/>
                  <w:keepLines/>
                  <w:spacing w:before="50" w:after="50" w:line="240" w:lineRule="exact"/>
                  <w:jc w:val="center"/>
                </w:pPr>
              </w:pPrChange>
            </w:pPr>
          </w:p>
          <w:p>
            <w:pPr>
              <w:suppressAutoHyphens/>
              <w:jc w:val="center"/>
              <w:rPr>
                <w:rFonts w:eastAsia="SimSun"/>
                <w:noProof/>
                <w:sz w:val="18"/>
                <w:szCs w:val="18"/>
                <w:lang w:val="pt-BR"/>
                <w:rPrChange w:id="4655" w:author="Author">
                  <w:rPr>
                    <w:rFonts w:eastAsia="SimSun"/>
                    <w:sz w:val="18"/>
                    <w:szCs w:val="18"/>
                    <w:lang w:val="it-IT"/>
                  </w:rPr>
                </w:rPrChange>
              </w:rPr>
              <w:pPrChange w:id="4656" w:author="Author">
                <w:pPr>
                  <w:keepNext/>
                  <w:keepLines/>
                  <w:spacing w:before="50" w:after="50" w:line="240" w:lineRule="exact"/>
                  <w:jc w:val="center"/>
                </w:pPr>
              </w:pPrChange>
            </w:pPr>
            <w:r>
              <w:rPr>
                <w:noProof/>
                <w:sz w:val="18"/>
                <w:szCs w:val="18"/>
                <w:lang w:val="pt-BR"/>
                <w:rPrChange w:id="4657" w:author="Author">
                  <w:rPr>
                    <w:sz w:val="18"/>
                    <w:szCs w:val="18"/>
                    <w:lang w:val="it-IT"/>
                  </w:rPr>
                </w:rPrChange>
              </w:rPr>
              <w:t>N/A</w:t>
            </w:r>
          </w:p>
          <w:p>
            <w:pPr>
              <w:suppressAutoHyphens/>
              <w:jc w:val="center"/>
              <w:rPr>
                <w:rFonts w:eastAsia="SimSun"/>
                <w:noProof/>
                <w:sz w:val="18"/>
                <w:szCs w:val="18"/>
                <w:lang w:val="pt-BR" w:eastAsia="zh-CN"/>
                <w:rPrChange w:id="4658" w:author="Author">
                  <w:rPr>
                    <w:rFonts w:eastAsia="SimSun"/>
                    <w:sz w:val="18"/>
                    <w:szCs w:val="18"/>
                    <w:lang w:val="it-IT" w:eastAsia="zh-CN"/>
                  </w:rPr>
                </w:rPrChange>
              </w:rPr>
              <w:pPrChange w:id="4659" w:author="Author">
                <w:pPr>
                  <w:keepNext/>
                  <w:keepLines/>
                  <w:spacing w:before="50" w:after="50" w:line="240" w:lineRule="exact"/>
                  <w:jc w:val="center"/>
                </w:pPr>
              </w:pPrChange>
            </w:pPr>
          </w:p>
          <w:p>
            <w:pPr>
              <w:suppressAutoHyphens/>
              <w:jc w:val="center"/>
              <w:rPr>
                <w:rFonts w:eastAsia="SimSun"/>
                <w:noProof/>
                <w:sz w:val="18"/>
                <w:szCs w:val="18"/>
                <w:lang w:val="pt-BR" w:eastAsia="zh-CN"/>
                <w:rPrChange w:id="4660" w:author="Author">
                  <w:rPr>
                    <w:rFonts w:eastAsia="SimSun"/>
                    <w:sz w:val="18"/>
                    <w:szCs w:val="18"/>
                    <w:lang w:val="it-IT" w:eastAsia="zh-CN"/>
                  </w:rPr>
                </w:rPrChange>
              </w:rPr>
              <w:pPrChange w:id="4661" w:author="Author">
                <w:pPr>
                  <w:keepNext/>
                  <w:keepLines/>
                  <w:spacing w:before="50" w:after="50" w:line="240" w:lineRule="exact"/>
                  <w:jc w:val="center"/>
                </w:pPr>
              </w:pPrChange>
            </w:pPr>
          </w:p>
          <w:p>
            <w:pPr>
              <w:suppressAutoHyphens/>
              <w:jc w:val="center"/>
              <w:rPr>
                <w:rFonts w:eastAsia="SimSun"/>
                <w:noProof/>
                <w:sz w:val="18"/>
                <w:szCs w:val="18"/>
                <w:lang w:val="pt-BR"/>
                <w:rPrChange w:id="4662" w:author="Author">
                  <w:rPr>
                    <w:rFonts w:eastAsia="SimSun"/>
                    <w:sz w:val="18"/>
                    <w:szCs w:val="18"/>
                    <w:lang w:val="it-IT"/>
                  </w:rPr>
                </w:rPrChange>
              </w:rPr>
              <w:pPrChange w:id="4663" w:author="Author">
                <w:pPr>
                  <w:keepNext/>
                  <w:keepLines/>
                  <w:spacing w:before="50" w:after="50" w:line="240" w:lineRule="exact"/>
                  <w:jc w:val="center"/>
                </w:pPr>
              </w:pPrChange>
            </w:pPr>
            <w:r>
              <w:rPr>
                <w:noProof/>
                <w:sz w:val="18"/>
                <w:szCs w:val="18"/>
                <w:lang w:val="pt-BR"/>
                <w:rPrChange w:id="4664" w:author="Author">
                  <w:rPr>
                    <w:sz w:val="18"/>
                    <w:szCs w:val="18"/>
                    <w:lang w:val="it-IT"/>
                  </w:rPr>
                </w:rPrChange>
              </w:rPr>
              <w:t>N/A</w:t>
            </w:r>
          </w:p>
          <w:p>
            <w:pPr>
              <w:suppressAutoHyphens/>
              <w:rPr>
                <w:rFonts w:eastAsia="SimSun"/>
                <w:noProof/>
                <w:sz w:val="18"/>
                <w:szCs w:val="18"/>
                <w:lang w:val="pt-BR" w:eastAsia="zh-CN"/>
                <w:rPrChange w:id="4665" w:author="Author">
                  <w:rPr>
                    <w:rFonts w:eastAsia="SimSun"/>
                    <w:sz w:val="18"/>
                    <w:szCs w:val="18"/>
                    <w:lang w:val="it-IT" w:eastAsia="zh-CN"/>
                  </w:rPr>
                </w:rPrChange>
              </w:rPr>
              <w:pPrChange w:id="4666" w:author="Author">
                <w:pPr>
                  <w:keepNext/>
                  <w:keepLines/>
                  <w:spacing w:before="50" w:after="50" w:line="240" w:lineRule="exact"/>
                </w:pPr>
              </w:pPrChange>
            </w:pPr>
          </w:p>
          <w:p>
            <w:pPr>
              <w:suppressAutoHyphens/>
              <w:rPr>
                <w:rFonts w:eastAsia="SimSun"/>
                <w:noProof/>
                <w:sz w:val="18"/>
                <w:szCs w:val="18"/>
                <w:lang w:val="pt-BR" w:eastAsia="zh-CN"/>
                <w:rPrChange w:id="4667" w:author="Author">
                  <w:rPr>
                    <w:rFonts w:eastAsia="SimSun"/>
                    <w:sz w:val="18"/>
                    <w:szCs w:val="18"/>
                    <w:lang w:val="it-IT" w:eastAsia="zh-CN"/>
                  </w:rPr>
                </w:rPrChange>
              </w:rPr>
              <w:pPrChange w:id="4668" w:author="Author">
                <w:pPr>
                  <w:keepNext/>
                  <w:keepLines/>
                  <w:spacing w:before="50" w:after="50" w:line="240" w:lineRule="exact"/>
                </w:pPr>
              </w:pPrChange>
            </w:pPr>
          </w:p>
          <w:p>
            <w:pPr>
              <w:suppressAutoHyphens/>
              <w:jc w:val="center"/>
              <w:rPr>
                <w:rFonts w:eastAsia="SimSun"/>
                <w:noProof/>
                <w:sz w:val="18"/>
                <w:szCs w:val="18"/>
                <w:lang w:val="pt-BR"/>
                <w:rPrChange w:id="4669" w:author="Author">
                  <w:rPr>
                    <w:rFonts w:eastAsia="SimSun"/>
                    <w:sz w:val="18"/>
                    <w:szCs w:val="18"/>
                    <w:lang w:val="it-IT"/>
                  </w:rPr>
                </w:rPrChange>
              </w:rPr>
              <w:pPrChange w:id="4670" w:author="Author">
                <w:pPr>
                  <w:keepNext/>
                  <w:keepLines/>
                  <w:spacing w:before="50" w:after="50" w:line="240" w:lineRule="exact"/>
                  <w:jc w:val="center"/>
                </w:pPr>
              </w:pPrChange>
            </w:pPr>
            <w:r>
              <w:rPr>
                <w:noProof/>
                <w:sz w:val="18"/>
                <w:szCs w:val="18"/>
                <w:lang w:val="pt-BR"/>
                <w:rPrChange w:id="4671" w:author="Author">
                  <w:rPr>
                    <w:sz w:val="18"/>
                    <w:szCs w:val="18"/>
                    <w:lang w:val="it-IT"/>
                  </w:rPr>
                </w:rPrChange>
              </w:rPr>
              <w:t>N/A</w:t>
            </w:r>
          </w:p>
          <w:p>
            <w:pPr>
              <w:suppressAutoHyphens/>
              <w:jc w:val="center"/>
              <w:rPr>
                <w:ins w:id="4672" w:author="Author"/>
                <w:rFonts w:eastAsia="SimSun"/>
                <w:noProof/>
                <w:sz w:val="18"/>
                <w:szCs w:val="18"/>
                <w:lang w:val="pt-BR" w:eastAsia="zh-CN"/>
                <w:rPrChange w:id="4673" w:author="Author">
                  <w:rPr>
                    <w:ins w:id="4674" w:author="Author"/>
                    <w:rFonts w:eastAsia="SimSun"/>
                    <w:noProof/>
                    <w:sz w:val="18"/>
                    <w:szCs w:val="18"/>
                    <w:lang w:val="it-IT" w:eastAsia="zh-CN"/>
                  </w:rPr>
                </w:rPrChange>
              </w:rPr>
              <w:pPrChange w:id="4675" w:author="Author">
                <w:pPr>
                  <w:keepNext/>
                  <w:suppressAutoHyphens/>
                  <w:jc w:val="center"/>
                </w:pPr>
              </w:pPrChange>
            </w:pPr>
          </w:p>
          <w:p>
            <w:pPr>
              <w:suppressAutoHyphens/>
              <w:jc w:val="center"/>
              <w:rPr>
                <w:rFonts w:eastAsia="SimSun"/>
                <w:noProof/>
                <w:sz w:val="18"/>
                <w:szCs w:val="18"/>
                <w:lang w:val="pt-BR" w:eastAsia="zh-CN"/>
                <w:rPrChange w:id="4676" w:author="Author">
                  <w:rPr>
                    <w:rFonts w:eastAsia="SimSun"/>
                    <w:sz w:val="18"/>
                    <w:szCs w:val="18"/>
                    <w:lang w:val="it-IT" w:eastAsia="zh-CN"/>
                  </w:rPr>
                </w:rPrChange>
              </w:rPr>
              <w:pPrChange w:id="4677" w:author="Author">
                <w:pPr>
                  <w:keepNext/>
                  <w:keepLines/>
                  <w:spacing w:before="50" w:after="50" w:line="240" w:lineRule="exact"/>
                  <w:jc w:val="center"/>
                </w:pPr>
              </w:pPrChange>
            </w:pPr>
          </w:p>
          <w:p>
            <w:pPr>
              <w:suppressAutoHyphens/>
              <w:jc w:val="center"/>
              <w:rPr>
                <w:rFonts w:eastAsia="SimSun"/>
                <w:noProof/>
                <w:sz w:val="18"/>
                <w:szCs w:val="18"/>
                <w:lang w:val="pt-BR"/>
                <w:rPrChange w:id="4678" w:author="Author">
                  <w:rPr>
                    <w:rFonts w:eastAsia="SimSun"/>
                    <w:sz w:val="18"/>
                    <w:szCs w:val="18"/>
                    <w:lang w:val="it-IT"/>
                  </w:rPr>
                </w:rPrChange>
              </w:rPr>
              <w:pPrChange w:id="4679" w:author="Author">
                <w:pPr>
                  <w:keepNext/>
                  <w:keepLines/>
                  <w:spacing w:before="50" w:after="50" w:line="240" w:lineRule="exact"/>
                  <w:jc w:val="center"/>
                </w:pPr>
              </w:pPrChange>
            </w:pPr>
            <w:r>
              <w:rPr>
                <w:noProof/>
                <w:sz w:val="18"/>
                <w:szCs w:val="18"/>
                <w:lang w:val="pt-BR"/>
                <w:rPrChange w:id="4680" w:author="Author">
                  <w:rPr>
                    <w:sz w:val="18"/>
                    <w:szCs w:val="18"/>
                    <w:lang w:val="it-IT"/>
                  </w:rPr>
                </w:rPrChange>
              </w:rPr>
              <w:t>N/A</w:t>
            </w:r>
          </w:p>
          <w:p>
            <w:pPr>
              <w:suppressAutoHyphens/>
              <w:rPr>
                <w:rFonts w:eastAsia="SimSun"/>
                <w:noProof/>
                <w:sz w:val="18"/>
                <w:szCs w:val="18"/>
                <w:lang w:val="pt-BR" w:eastAsia="zh-CN"/>
                <w:rPrChange w:id="4681" w:author="Author">
                  <w:rPr>
                    <w:rFonts w:eastAsia="SimSun"/>
                    <w:sz w:val="18"/>
                    <w:szCs w:val="18"/>
                    <w:lang w:val="it-IT" w:eastAsia="zh-CN"/>
                  </w:rPr>
                </w:rPrChange>
              </w:rPr>
              <w:pPrChange w:id="4682" w:author="Author">
                <w:pPr>
                  <w:keepNext/>
                  <w:keepLines/>
                  <w:spacing w:before="50" w:after="50" w:line="240" w:lineRule="exact"/>
                </w:pPr>
              </w:pPrChange>
            </w:pPr>
          </w:p>
          <w:p>
            <w:pPr>
              <w:suppressAutoHyphens/>
              <w:rPr>
                <w:rFonts w:eastAsia="SimSun"/>
                <w:noProof/>
                <w:sz w:val="18"/>
                <w:szCs w:val="18"/>
                <w:lang w:val="pt-BR" w:eastAsia="zh-CN"/>
                <w:rPrChange w:id="4683" w:author="Author">
                  <w:rPr>
                    <w:rFonts w:eastAsia="SimSun"/>
                    <w:sz w:val="18"/>
                    <w:szCs w:val="18"/>
                    <w:lang w:val="it-IT" w:eastAsia="zh-CN"/>
                  </w:rPr>
                </w:rPrChange>
              </w:rPr>
              <w:pPrChange w:id="4684" w:author="Author">
                <w:pPr>
                  <w:keepNext/>
                  <w:keepLines/>
                  <w:spacing w:before="50" w:after="50" w:line="240" w:lineRule="exact"/>
                </w:pPr>
              </w:pPrChange>
            </w:pPr>
          </w:p>
          <w:p>
            <w:pPr>
              <w:pStyle w:val="Standard"/>
              <w:suppressAutoHyphens/>
              <w:jc w:val="center"/>
              <w:rPr>
                <w:rFonts w:eastAsia="SimSun"/>
                <w:noProof/>
                <w:sz w:val="18"/>
                <w:szCs w:val="18"/>
                <w:lang w:val="pt-BR" w:eastAsia="zh-CN"/>
                <w:rPrChange w:id="4685" w:author="Author">
                  <w:rPr>
                    <w:rFonts w:eastAsia="SimSun"/>
                    <w:sz w:val="18"/>
                    <w:szCs w:val="18"/>
                    <w:lang w:val="it-IT" w:eastAsia="zh-CN"/>
                  </w:rPr>
                </w:rPrChange>
              </w:rPr>
              <w:pPrChange w:id="4686" w:author="Author">
                <w:pPr>
                  <w:pStyle w:val="Standard"/>
                  <w:keepNext/>
                  <w:keepLines/>
                  <w:spacing w:before="50" w:after="50" w:line="240" w:lineRule="exact"/>
                  <w:jc w:val="center"/>
                </w:pPr>
              </w:pPrChange>
            </w:pPr>
            <w:r>
              <w:rPr>
                <w:noProof/>
                <w:sz w:val="18"/>
                <w:szCs w:val="18"/>
                <w:lang w:val="pt-BR"/>
                <w:rPrChange w:id="4687" w:author="Author">
                  <w:rPr>
                    <w:sz w:val="18"/>
                    <w:szCs w:val="18"/>
                    <w:lang w:val="it-IT"/>
                  </w:rPr>
                </w:rPrChange>
              </w:rPr>
              <w:t>N/A</w:t>
            </w:r>
          </w:p>
        </w:tc>
        <w:tc>
          <w:tcPr>
            <w:tcW w:w="670" w:type="pct"/>
            <w:gridSpan w:val="2"/>
            <w:tcMar>
              <w:top w:w="0" w:type="dxa"/>
              <w:left w:w="57" w:type="dxa"/>
              <w:bottom w:w="0" w:type="dxa"/>
              <w:right w:w="57" w:type="dxa"/>
            </w:tcMar>
            <w:tcPrChange w:id="4688" w:author="Author">
              <w:tcPr>
                <w:tcW w:w="689" w:type="pct"/>
                <w:gridSpan w:val="3"/>
                <w:tcMar>
                  <w:top w:w="0" w:type="dxa"/>
                  <w:left w:w="57" w:type="dxa"/>
                  <w:bottom w:w="0" w:type="dxa"/>
                  <w:right w:w="57" w:type="dxa"/>
                </w:tcMar>
              </w:tcPr>
            </w:tcPrChange>
          </w:tcPr>
          <w:p>
            <w:pPr>
              <w:suppressAutoHyphens/>
              <w:jc w:val="center"/>
              <w:rPr>
                <w:rFonts w:eastAsia="SimSun"/>
                <w:noProof/>
                <w:sz w:val="18"/>
                <w:szCs w:val="18"/>
                <w:lang w:val="pt-BR"/>
                <w:rPrChange w:id="4689" w:author="Author">
                  <w:rPr>
                    <w:rFonts w:eastAsia="SimSun"/>
                    <w:sz w:val="18"/>
                    <w:szCs w:val="18"/>
                    <w:lang w:val="it-IT"/>
                  </w:rPr>
                </w:rPrChange>
              </w:rPr>
              <w:pPrChange w:id="4690" w:author="Author">
                <w:pPr>
                  <w:keepNext/>
                  <w:keepLines/>
                  <w:spacing w:before="50" w:after="50" w:line="240" w:lineRule="exact"/>
                  <w:jc w:val="center"/>
                </w:pPr>
              </w:pPrChange>
            </w:pPr>
            <w:r>
              <w:rPr>
                <w:noProof/>
                <w:sz w:val="18"/>
                <w:szCs w:val="18"/>
                <w:lang w:val="pt-BR"/>
                <w:rPrChange w:id="4691" w:author="Author">
                  <w:rPr>
                    <w:sz w:val="18"/>
                    <w:szCs w:val="18"/>
                    <w:lang w:val="it-IT"/>
                  </w:rPr>
                </w:rPrChange>
              </w:rPr>
              <w:t>N/A</w:t>
            </w:r>
          </w:p>
          <w:p>
            <w:pPr>
              <w:suppressAutoHyphens/>
              <w:jc w:val="center"/>
              <w:rPr>
                <w:rFonts w:eastAsia="SimSun"/>
                <w:noProof/>
                <w:sz w:val="18"/>
                <w:szCs w:val="18"/>
                <w:lang w:val="pt-BR" w:eastAsia="zh-CN"/>
                <w:rPrChange w:id="4692" w:author="Author">
                  <w:rPr>
                    <w:rFonts w:eastAsia="SimSun"/>
                    <w:sz w:val="18"/>
                    <w:szCs w:val="18"/>
                    <w:lang w:val="it-IT" w:eastAsia="zh-CN"/>
                  </w:rPr>
                </w:rPrChange>
              </w:rPr>
              <w:pPrChange w:id="4693" w:author="Author">
                <w:pPr>
                  <w:keepNext/>
                  <w:keepLines/>
                  <w:spacing w:before="50" w:after="50" w:line="240" w:lineRule="exact"/>
                  <w:jc w:val="center"/>
                </w:pPr>
              </w:pPrChange>
            </w:pPr>
          </w:p>
          <w:p>
            <w:pPr>
              <w:suppressAutoHyphens/>
              <w:jc w:val="center"/>
              <w:rPr>
                <w:rFonts w:eastAsia="SimSun"/>
                <w:noProof/>
                <w:sz w:val="18"/>
                <w:szCs w:val="18"/>
                <w:lang w:val="pt-BR" w:eastAsia="zh-CN"/>
                <w:rPrChange w:id="4694" w:author="Author">
                  <w:rPr>
                    <w:rFonts w:eastAsia="SimSun"/>
                    <w:sz w:val="18"/>
                    <w:szCs w:val="18"/>
                    <w:lang w:val="it-IT" w:eastAsia="zh-CN"/>
                  </w:rPr>
                </w:rPrChange>
              </w:rPr>
              <w:pPrChange w:id="4695" w:author="Author">
                <w:pPr>
                  <w:keepNext/>
                  <w:keepLines/>
                  <w:spacing w:before="50" w:after="50" w:line="240" w:lineRule="exact"/>
                  <w:jc w:val="center"/>
                </w:pPr>
              </w:pPrChange>
            </w:pPr>
          </w:p>
          <w:p>
            <w:pPr>
              <w:suppressAutoHyphens/>
              <w:jc w:val="center"/>
              <w:rPr>
                <w:rFonts w:eastAsia="SimSun"/>
                <w:noProof/>
                <w:sz w:val="18"/>
                <w:szCs w:val="18"/>
                <w:lang w:val="pt-BR"/>
                <w:rPrChange w:id="4696" w:author="Author">
                  <w:rPr>
                    <w:rFonts w:eastAsia="SimSun"/>
                    <w:sz w:val="18"/>
                    <w:szCs w:val="18"/>
                    <w:lang w:val="it-IT"/>
                  </w:rPr>
                </w:rPrChange>
              </w:rPr>
              <w:pPrChange w:id="4697" w:author="Author">
                <w:pPr>
                  <w:keepNext/>
                  <w:keepLines/>
                  <w:spacing w:before="50" w:after="50" w:line="240" w:lineRule="exact"/>
                  <w:jc w:val="center"/>
                </w:pPr>
              </w:pPrChange>
            </w:pPr>
            <w:r>
              <w:rPr>
                <w:noProof/>
                <w:sz w:val="18"/>
                <w:szCs w:val="18"/>
                <w:lang w:val="pt-BR"/>
                <w:rPrChange w:id="4698" w:author="Author">
                  <w:rPr>
                    <w:sz w:val="18"/>
                    <w:szCs w:val="18"/>
                    <w:lang w:val="it-IT"/>
                  </w:rPr>
                </w:rPrChange>
              </w:rPr>
              <w:t>N/A</w:t>
            </w:r>
          </w:p>
          <w:p>
            <w:pPr>
              <w:suppressAutoHyphens/>
              <w:jc w:val="center"/>
              <w:rPr>
                <w:rFonts w:eastAsia="SimSun"/>
                <w:noProof/>
                <w:sz w:val="18"/>
                <w:szCs w:val="18"/>
                <w:lang w:val="pt-BR" w:eastAsia="zh-CN"/>
                <w:rPrChange w:id="4699" w:author="Author">
                  <w:rPr>
                    <w:rFonts w:eastAsia="SimSun"/>
                    <w:sz w:val="18"/>
                    <w:szCs w:val="18"/>
                    <w:lang w:val="it-IT" w:eastAsia="zh-CN"/>
                  </w:rPr>
                </w:rPrChange>
              </w:rPr>
              <w:pPrChange w:id="4700" w:author="Author">
                <w:pPr>
                  <w:keepNext/>
                  <w:keepLines/>
                  <w:spacing w:before="50" w:after="50" w:line="240" w:lineRule="exact"/>
                  <w:jc w:val="center"/>
                </w:pPr>
              </w:pPrChange>
            </w:pPr>
          </w:p>
          <w:p>
            <w:pPr>
              <w:suppressAutoHyphens/>
              <w:jc w:val="center"/>
              <w:rPr>
                <w:rFonts w:eastAsia="SimSun"/>
                <w:noProof/>
                <w:sz w:val="18"/>
                <w:szCs w:val="18"/>
                <w:lang w:val="pt-BR" w:eastAsia="zh-CN"/>
                <w:rPrChange w:id="4701" w:author="Author">
                  <w:rPr>
                    <w:rFonts w:eastAsia="SimSun"/>
                    <w:sz w:val="18"/>
                    <w:szCs w:val="18"/>
                    <w:lang w:val="it-IT" w:eastAsia="zh-CN"/>
                  </w:rPr>
                </w:rPrChange>
              </w:rPr>
              <w:pPrChange w:id="4702" w:author="Author">
                <w:pPr>
                  <w:keepNext/>
                  <w:keepLines/>
                  <w:spacing w:before="50" w:after="50" w:line="240" w:lineRule="exact"/>
                  <w:jc w:val="center"/>
                </w:pPr>
              </w:pPrChange>
            </w:pPr>
          </w:p>
          <w:p>
            <w:pPr>
              <w:suppressAutoHyphens/>
              <w:jc w:val="center"/>
              <w:rPr>
                <w:rFonts w:eastAsia="SimSun"/>
                <w:noProof/>
                <w:sz w:val="18"/>
                <w:szCs w:val="18"/>
                <w:lang w:val="pt-BR"/>
                <w:rPrChange w:id="4703" w:author="Author">
                  <w:rPr>
                    <w:rFonts w:eastAsia="SimSun"/>
                    <w:sz w:val="18"/>
                    <w:szCs w:val="18"/>
                    <w:lang w:val="it-IT"/>
                  </w:rPr>
                </w:rPrChange>
              </w:rPr>
              <w:pPrChange w:id="4704" w:author="Author">
                <w:pPr>
                  <w:keepNext/>
                  <w:keepLines/>
                  <w:spacing w:before="50" w:after="50" w:line="240" w:lineRule="exact"/>
                  <w:jc w:val="center"/>
                </w:pPr>
              </w:pPrChange>
            </w:pPr>
            <w:r>
              <w:rPr>
                <w:noProof/>
                <w:sz w:val="18"/>
                <w:szCs w:val="18"/>
                <w:lang w:val="pt-BR"/>
                <w:rPrChange w:id="4705" w:author="Author">
                  <w:rPr>
                    <w:sz w:val="18"/>
                    <w:szCs w:val="18"/>
                    <w:lang w:val="it-IT"/>
                  </w:rPr>
                </w:rPrChange>
              </w:rPr>
              <w:t>N/A</w:t>
            </w:r>
          </w:p>
          <w:p>
            <w:pPr>
              <w:suppressAutoHyphens/>
              <w:rPr>
                <w:rFonts w:eastAsia="SimSun"/>
                <w:noProof/>
                <w:sz w:val="18"/>
                <w:szCs w:val="18"/>
                <w:lang w:val="pt-BR" w:eastAsia="zh-CN"/>
                <w:rPrChange w:id="4706" w:author="Author">
                  <w:rPr>
                    <w:rFonts w:eastAsia="SimSun"/>
                    <w:sz w:val="18"/>
                    <w:szCs w:val="18"/>
                    <w:lang w:val="it-IT" w:eastAsia="zh-CN"/>
                  </w:rPr>
                </w:rPrChange>
              </w:rPr>
              <w:pPrChange w:id="4707" w:author="Author">
                <w:pPr>
                  <w:keepNext/>
                  <w:keepLines/>
                  <w:spacing w:before="50" w:after="50" w:line="240" w:lineRule="exact"/>
                </w:pPr>
              </w:pPrChange>
            </w:pPr>
          </w:p>
          <w:p>
            <w:pPr>
              <w:suppressAutoHyphens/>
              <w:rPr>
                <w:rFonts w:eastAsia="SimSun"/>
                <w:noProof/>
                <w:sz w:val="18"/>
                <w:szCs w:val="18"/>
                <w:lang w:val="pt-BR" w:eastAsia="zh-CN"/>
                <w:rPrChange w:id="4708" w:author="Author">
                  <w:rPr>
                    <w:rFonts w:eastAsia="SimSun"/>
                    <w:sz w:val="18"/>
                    <w:szCs w:val="18"/>
                    <w:lang w:val="it-IT" w:eastAsia="zh-CN"/>
                  </w:rPr>
                </w:rPrChange>
              </w:rPr>
              <w:pPrChange w:id="4709" w:author="Author">
                <w:pPr>
                  <w:keepNext/>
                  <w:keepLines/>
                  <w:spacing w:before="50" w:after="50" w:line="240" w:lineRule="exact"/>
                </w:pPr>
              </w:pPrChange>
            </w:pPr>
          </w:p>
          <w:p>
            <w:pPr>
              <w:suppressAutoHyphens/>
              <w:jc w:val="center"/>
              <w:rPr>
                <w:rFonts w:eastAsia="SimSun"/>
                <w:noProof/>
                <w:sz w:val="18"/>
                <w:szCs w:val="18"/>
                <w:lang w:val="pt-BR"/>
                <w:rPrChange w:id="4710" w:author="Author">
                  <w:rPr>
                    <w:rFonts w:eastAsia="SimSun"/>
                    <w:sz w:val="18"/>
                    <w:szCs w:val="18"/>
                    <w:lang w:val="it-IT"/>
                  </w:rPr>
                </w:rPrChange>
              </w:rPr>
              <w:pPrChange w:id="4711" w:author="Author">
                <w:pPr>
                  <w:keepNext/>
                  <w:keepLines/>
                  <w:spacing w:before="50" w:after="50" w:line="240" w:lineRule="exact"/>
                  <w:jc w:val="center"/>
                </w:pPr>
              </w:pPrChange>
            </w:pPr>
            <w:r>
              <w:rPr>
                <w:noProof/>
                <w:sz w:val="18"/>
                <w:szCs w:val="18"/>
                <w:lang w:val="pt-BR"/>
                <w:rPrChange w:id="4712" w:author="Author">
                  <w:rPr>
                    <w:sz w:val="18"/>
                    <w:szCs w:val="18"/>
                    <w:lang w:val="it-IT"/>
                  </w:rPr>
                </w:rPrChange>
              </w:rPr>
              <w:t>N/A</w:t>
            </w:r>
          </w:p>
          <w:p>
            <w:pPr>
              <w:suppressAutoHyphens/>
              <w:jc w:val="center"/>
              <w:rPr>
                <w:ins w:id="4713" w:author="Author"/>
                <w:rFonts w:eastAsia="SimSun"/>
                <w:noProof/>
                <w:sz w:val="18"/>
                <w:szCs w:val="18"/>
                <w:lang w:val="pt-BR" w:eastAsia="zh-CN"/>
                <w:rPrChange w:id="4714" w:author="Author">
                  <w:rPr>
                    <w:ins w:id="4715" w:author="Author"/>
                    <w:rFonts w:eastAsia="SimSun"/>
                    <w:noProof/>
                    <w:sz w:val="18"/>
                    <w:szCs w:val="18"/>
                    <w:lang w:val="it-IT" w:eastAsia="zh-CN"/>
                  </w:rPr>
                </w:rPrChange>
              </w:rPr>
              <w:pPrChange w:id="4716" w:author="Author">
                <w:pPr>
                  <w:keepNext/>
                  <w:suppressAutoHyphens/>
                  <w:jc w:val="center"/>
                </w:pPr>
              </w:pPrChange>
            </w:pPr>
          </w:p>
          <w:p>
            <w:pPr>
              <w:suppressAutoHyphens/>
              <w:jc w:val="center"/>
              <w:rPr>
                <w:rFonts w:eastAsia="SimSun"/>
                <w:noProof/>
                <w:sz w:val="18"/>
                <w:szCs w:val="18"/>
                <w:lang w:val="pt-BR" w:eastAsia="zh-CN"/>
                <w:rPrChange w:id="4717" w:author="Author">
                  <w:rPr>
                    <w:rFonts w:eastAsia="SimSun"/>
                    <w:sz w:val="18"/>
                    <w:szCs w:val="18"/>
                    <w:lang w:val="it-IT" w:eastAsia="zh-CN"/>
                  </w:rPr>
                </w:rPrChange>
              </w:rPr>
              <w:pPrChange w:id="4718" w:author="Author">
                <w:pPr>
                  <w:keepNext/>
                  <w:keepLines/>
                  <w:spacing w:before="50" w:after="50" w:line="240" w:lineRule="exact"/>
                  <w:jc w:val="center"/>
                </w:pPr>
              </w:pPrChange>
            </w:pPr>
          </w:p>
          <w:p>
            <w:pPr>
              <w:suppressAutoHyphens/>
              <w:jc w:val="center"/>
              <w:rPr>
                <w:rFonts w:eastAsia="SimSun"/>
                <w:noProof/>
                <w:sz w:val="18"/>
                <w:szCs w:val="18"/>
                <w:lang w:val="pt-BR"/>
                <w:rPrChange w:id="4719" w:author="Author">
                  <w:rPr>
                    <w:rFonts w:eastAsia="SimSun"/>
                    <w:sz w:val="18"/>
                    <w:szCs w:val="18"/>
                    <w:lang w:val="it-IT"/>
                  </w:rPr>
                </w:rPrChange>
              </w:rPr>
              <w:pPrChange w:id="4720" w:author="Author">
                <w:pPr>
                  <w:keepNext/>
                  <w:keepLines/>
                  <w:spacing w:before="50" w:after="50" w:line="240" w:lineRule="exact"/>
                  <w:jc w:val="center"/>
                </w:pPr>
              </w:pPrChange>
            </w:pPr>
            <w:r>
              <w:rPr>
                <w:noProof/>
                <w:sz w:val="18"/>
                <w:szCs w:val="18"/>
                <w:lang w:val="pt-BR"/>
                <w:rPrChange w:id="4721" w:author="Author">
                  <w:rPr>
                    <w:sz w:val="18"/>
                    <w:szCs w:val="18"/>
                    <w:lang w:val="it-IT"/>
                  </w:rPr>
                </w:rPrChange>
              </w:rPr>
              <w:t>N/A</w:t>
            </w:r>
          </w:p>
          <w:p>
            <w:pPr>
              <w:suppressAutoHyphens/>
              <w:rPr>
                <w:rFonts w:eastAsia="SimSun"/>
                <w:noProof/>
                <w:sz w:val="18"/>
                <w:szCs w:val="18"/>
                <w:lang w:val="pt-BR" w:eastAsia="zh-CN"/>
                <w:rPrChange w:id="4722" w:author="Author">
                  <w:rPr>
                    <w:rFonts w:eastAsia="SimSun"/>
                    <w:sz w:val="18"/>
                    <w:szCs w:val="18"/>
                    <w:lang w:val="it-IT" w:eastAsia="zh-CN"/>
                  </w:rPr>
                </w:rPrChange>
              </w:rPr>
              <w:pPrChange w:id="4723" w:author="Author">
                <w:pPr>
                  <w:keepNext/>
                  <w:keepLines/>
                  <w:spacing w:before="50" w:after="50" w:line="240" w:lineRule="exact"/>
                </w:pPr>
              </w:pPrChange>
            </w:pPr>
          </w:p>
          <w:p>
            <w:pPr>
              <w:suppressAutoHyphens/>
              <w:rPr>
                <w:rFonts w:eastAsia="SimSun"/>
                <w:noProof/>
                <w:sz w:val="18"/>
                <w:szCs w:val="18"/>
                <w:lang w:val="pt-BR" w:eastAsia="zh-CN"/>
                <w:rPrChange w:id="4724" w:author="Author">
                  <w:rPr>
                    <w:rFonts w:eastAsia="SimSun"/>
                    <w:sz w:val="18"/>
                    <w:szCs w:val="18"/>
                    <w:lang w:val="it-IT" w:eastAsia="zh-CN"/>
                  </w:rPr>
                </w:rPrChange>
              </w:rPr>
              <w:pPrChange w:id="4725" w:author="Author">
                <w:pPr>
                  <w:keepNext/>
                  <w:keepLines/>
                  <w:spacing w:before="50" w:after="50" w:line="240" w:lineRule="exact"/>
                </w:pPr>
              </w:pPrChange>
            </w:pPr>
          </w:p>
          <w:p>
            <w:pPr>
              <w:pStyle w:val="Standard"/>
              <w:suppressAutoHyphens/>
              <w:jc w:val="center"/>
              <w:rPr>
                <w:rFonts w:eastAsia="SimSun"/>
                <w:noProof/>
                <w:sz w:val="18"/>
                <w:szCs w:val="18"/>
                <w:lang w:val="pt-BR" w:eastAsia="zh-CN"/>
                <w:rPrChange w:id="4726" w:author="Author">
                  <w:rPr>
                    <w:rFonts w:eastAsia="SimSun"/>
                    <w:sz w:val="18"/>
                    <w:szCs w:val="18"/>
                    <w:lang w:val="it-IT" w:eastAsia="zh-CN"/>
                  </w:rPr>
                </w:rPrChange>
              </w:rPr>
              <w:pPrChange w:id="4727" w:author="Author">
                <w:pPr>
                  <w:pStyle w:val="Standard"/>
                  <w:keepNext/>
                  <w:keepLines/>
                  <w:spacing w:before="50" w:after="50" w:line="240" w:lineRule="exact"/>
                  <w:jc w:val="center"/>
                </w:pPr>
              </w:pPrChange>
            </w:pPr>
            <w:r>
              <w:rPr>
                <w:noProof/>
                <w:sz w:val="18"/>
                <w:szCs w:val="18"/>
                <w:lang w:val="pt-BR"/>
                <w:rPrChange w:id="4728" w:author="Author">
                  <w:rPr>
                    <w:sz w:val="18"/>
                    <w:szCs w:val="18"/>
                    <w:lang w:val="it-IT"/>
                  </w:rPr>
                </w:rPrChange>
              </w:rPr>
              <w:t>N/A</w:t>
            </w:r>
          </w:p>
        </w:tc>
        <w:tc>
          <w:tcPr>
            <w:tcW w:w="725" w:type="pct"/>
            <w:tcPrChange w:id="4729" w:author="Author">
              <w:tcPr>
                <w:tcW w:w="826" w:type="pct"/>
                <w:gridSpan w:val="4"/>
              </w:tcPr>
            </w:tcPrChange>
          </w:tcPr>
          <w:p>
            <w:pPr>
              <w:suppressAutoHyphens/>
              <w:jc w:val="center"/>
              <w:rPr>
                <w:noProof/>
                <w:sz w:val="18"/>
                <w:szCs w:val="18"/>
                <w:lang w:val="it-IT"/>
              </w:rPr>
              <w:pPrChange w:id="4730" w:author="Author">
                <w:pPr>
                  <w:keepNext/>
                  <w:keepLines/>
                  <w:spacing w:before="50" w:after="50" w:line="240" w:lineRule="exact"/>
                  <w:jc w:val="center"/>
                </w:pPr>
              </w:pPrChange>
            </w:pPr>
            <w:r>
              <w:rPr>
                <w:noProof/>
                <w:sz w:val="18"/>
                <w:szCs w:val="18"/>
                <w:lang w:val="it-IT"/>
              </w:rPr>
              <w:t>0,23*</w:t>
            </w:r>
          </w:p>
          <w:p>
            <w:pPr>
              <w:suppressAutoHyphens/>
              <w:jc w:val="center"/>
              <w:rPr>
                <w:del w:id="4731" w:author="Author"/>
                <w:rFonts w:eastAsia="SimSun"/>
                <w:noProof/>
                <w:sz w:val="18"/>
                <w:szCs w:val="18"/>
                <w:lang w:val="it-IT"/>
              </w:rPr>
              <w:pPrChange w:id="4732" w:author="Author">
                <w:pPr>
                  <w:keepNext/>
                  <w:keepLines/>
                  <w:spacing w:before="50" w:after="50" w:line="240" w:lineRule="exact"/>
                  <w:jc w:val="center"/>
                </w:pPr>
              </w:pPrChange>
            </w:pPr>
          </w:p>
          <w:p>
            <w:pPr>
              <w:suppressAutoHyphens/>
              <w:jc w:val="center"/>
              <w:rPr>
                <w:ins w:id="4733" w:author="Author"/>
                <w:noProof/>
                <w:sz w:val="18"/>
                <w:szCs w:val="18"/>
                <w:lang w:val="it-IT"/>
              </w:rPr>
              <w:pPrChange w:id="4734" w:author="Author">
                <w:pPr>
                  <w:keepNext/>
                  <w:suppressAutoHyphens/>
                  <w:jc w:val="center"/>
                </w:pPr>
              </w:pPrChange>
            </w:pPr>
            <w:r>
              <w:rPr>
                <w:noProof/>
                <w:sz w:val="18"/>
                <w:szCs w:val="18"/>
                <w:lang w:val="it-IT"/>
              </w:rPr>
              <w:t>(0,11; 0,46)</w:t>
            </w:r>
          </w:p>
          <w:p>
            <w:pPr>
              <w:suppressAutoHyphens/>
              <w:jc w:val="center"/>
              <w:rPr>
                <w:noProof/>
                <w:sz w:val="18"/>
                <w:szCs w:val="18"/>
                <w:lang w:val="it-IT"/>
              </w:rPr>
              <w:pPrChange w:id="4735" w:author="Author">
                <w:pPr>
                  <w:keepNext/>
                  <w:keepLines/>
                  <w:spacing w:before="50" w:after="50" w:line="240" w:lineRule="exact"/>
                  <w:jc w:val="center"/>
                </w:pPr>
              </w:pPrChange>
            </w:pPr>
          </w:p>
          <w:p>
            <w:pPr>
              <w:suppressAutoHyphens/>
              <w:jc w:val="center"/>
              <w:rPr>
                <w:rFonts w:eastAsia="SimSun"/>
                <w:noProof/>
                <w:sz w:val="18"/>
                <w:szCs w:val="18"/>
                <w:lang w:val="it-IT"/>
              </w:rPr>
              <w:pPrChange w:id="4736" w:author="Author">
                <w:pPr>
                  <w:keepNext/>
                  <w:keepLines/>
                  <w:spacing w:before="50" w:after="50" w:line="240" w:lineRule="exact"/>
                  <w:jc w:val="center"/>
                </w:pPr>
              </w:pPrChange>
            </w:pPr>
            <w:r>
              <w:rPr>
                <w:noProof/>
                <w:sz w:val="18"/>
                <w:szCs w:val="18"/>
                <w:lang w:val="it-IT"/>
              </w:rPr>
              <w:t>0,39**</w:t>
            </w:r>
          </w:p>
          <w:p>
            <w:pPr>
              <w:suppressAutoHyphens/>
              <w:jc w:val="center"/>
              <w:rPr>
                <w:rFonts w:eastAsia="SimSun"/>
                <w:noProof/>
                <w:sz w:val="18"/>
                <w:szCs w:val="18"/>
                <w:lang w:val="it-IT"/>
              </w:rPr>
              <w:pPrChange w:id="4737" w:author="Author">
                <w:pPr>
                  <w:keepNext/>
                  <w:keepLines/>
                  <w:spacing w:before="50" w:after="50" w:line="240" w:lineRule="exact"/>
                  <w:jc w:val="center"/>
                </w:pPr>
              </w:pPrChange>
            </w:pPr>
            <w:r>
              <w:rPr>
                <w:noProof/>
                <w:sz w:val="18"/>
                <w:szCs w:val="18"/>
                <w:lang w:val="it-IT"/>
              </w:rPr>
              <w:t xml:space="preserve">(0,18; 0,82) </w:t>
            </w:r>
          </w:p>
          <w:p>
            <w:pPr>
              <w:suppressAutoHyphens/>
              <w:jc w:val="center"/>
              <w:rPr>
                <w:rFonts w:eastAsia="SimSun"/>
                <w:noProof/>
                <w:sz w:val="18"/>
                <w:szCs w:val="18"/>
                <w:lang w:val="it-IT" w:eastAsia="zh-CN"/>
              </w:rPr>
              <w:pPrChange w:id="4738" w:author="Author">
                <w:pPr>
                  <w:keepNext/>
                  <w:keepLines/>
                  <w:spacing w:before="50" w:after="50" w:line="240" w:lineRule="exact"/>
                  <w:jc w:val="center"/>
                </w:pPr>
              </w:pPrChange>
            </w:pPr>
          </w:p>
          <w:p>
            <w:pPr>
              <w:suppressAutoHyphens/>
              <w:jc w:val="center"/>
              <w:rPr>
                <w:rFonts w:eastAsia="SimSun"/>
                <w:noProof/>
                <w:sz w:val="18"/>
                <w:szCs w:val="18"/>
                <w:lang w:val="it-IT"/>
              </w:rPr>
              <w:pPrChange w:id="4739" w:author="Author">
                <w:pPr>
                  <w:keepNext/>
                  <w:keepLines/>
                  <w:spacing w:line="240" w:lineRule="exact"/>
                  <w:jc w:val="center"/>
                </w:pPr>
              </w:pPrChange>
            </w:pPr>
            <w:r>
              <w:rPr>
                <w:noProof/>
                <w:sz w:val="18"/>
                <w:szCs w:val="18"/>
                <w:lang w:val="it-IT"/>
              </w:rPr>
              <w:t>0,23***</w:t>
            </w:r>
          </w:p>
          <w:p>
            <w:pPr>
              <w:suppressAutoHyphens/>
              <w:jc w:val="center"/>
              <w:rPr>
                <w:noProof/>
                <w:sz w:val="18"/>
                <w:szCs w:val="18"/>
                <w:lang w:val="it-IT"/>
              </w:rPr>
              <w:pPrChange w:id="4740" w:author="Author">
                <w:pPr>
                  <w:keepNext/>
                  <w:keepLines/>
                  <w:spacing w:line="240" w:lineRule="exact"/>
                  <w:jc w:val="center"/>
                </w:pPr>
              </w:pPrChange>
            </w:pPr>
            <w:r>
              <w:rPr>
                <w:noProof/>
                <w:sz w:val="18"/>
                <w:szCs w:val="18"/>
                <w:lang w:val="it-IT"/>
              </w:rPr>
              <w:t>(0,09; 0,61)</w:t>
            </w:r>
          </w:p>
          <w:p>
            <w:pPr>
              <w:suppressAutoHyphens/>
              <w:jc w:val="center"/>
              <w:rPr>
                <w:rFonts w:eastAsia="SimSun"/>
                <w:noProof/>
                <w:sz w:val="18"/>
                <w:szCs w:val="18"/>
                <w:lang w:val="it-IT"/>
              </w:rPr>
              <w:pPrChange w:id="4741" w:author="Author">
                <w:pPr>
                  <w:keepNext/>
                  <w:keepLines/>
                  <w:spacing w:line="240" w:lineRule="exact"/>
                  <w:jc w:val="center"/>
                </w:pPr>
              </w:pPrChange>
            </w:pPr>
          </w:p>
          <w:p>
            <w:pPr>
              <w:suppressAutoHyphens/>
              <w:jc w:val="center"/>
              <w:rPr>
                <w:rFonts w:eastAsia="SimSun"/>
                <w:noProof/>
                <w:sz w:val="18"/>
                <w:szCs w:val="18"/>
                <w:lang w:val="it-IT"/>
              </w:rPr>
              <w:pPrChange w:id="4742" w:author="Author">
                <w:pPr>
                  <w:keepNext/>
                  <w:keepLines/>
                  <w:spacing w:line="240" w:lineRule="exact"/>
                  <w:jc w:val="center"/>
                </w:pPr>
              </w:pPrChange>
            </w:pPr>
            <w:r>
              <w:rPr>
                <w:noProof/>
                <w:sz w:val="18"/>
                <w:szCs w:val="18"/>
                <w:lang w:val="it-IT"/>
              </w:rPr>
              <w:t>0,36</w:t>
            </w:r>
          </w:p>
          <w:p>
            <w:pPr>
              <w:suppressAutoHyphens/>
              <w:jc w:val="center"/>
              <w:rPr>
                <w:noProof/>
                <w:sz w:val="18"/>
                <w:szCs w:val="18"/>
                <w:lang w:val="it-IT"/>
              </w:rPr>
              <w:pPrChange w:id="4743" w:author="Author">
                <w:pPr>
                  <w:keepNext/>
                  <w:keepLines/>
                  <w:spacing w:line="240" w:lineRule="exact"/>
                  <w:jc w:val="center"/>
                </w:pPr>
              </w:pPrChange>
            </w:pPr>
            <w:r>
              <w:rPr>
                <w:noProof/>
                <w:sz w:val="18"/>
                <w:szCs w:val="18"/>
                <w:lang w:val="it-IT"/>
              </w:rPr>
              <w:t>(0,13; 1,00)</w:t>
            </w:r>
          </w:p>
          <w:p>
            <w:pPr>
              <w:suppressAutoHyphens/>
              <w:jc w:val="center"/>
              <w:rPr>
                <w:rFonts w:eastAsia="SimSun"/>
                <w:noProof/>
                <w:sz w:val="18"/>
                <w:szCs w:val="18"/>
                <w:lang w:val="it-IT"/>
              </w:rPr>
              <w:pPrChange w:id="4744" w:author="Author">
                <w:pPr>
                  <w:keepNext/>
                  <w:keepLines/>
                  <w:spacing w:line="240" w:lineRule="exact"/>
                  <w:jc w:val="center"/>
                </w:pPr>
              </w:pPrChange>
            </w:pPr>
          </w:p>
          <w:p>
            <w:pPr>
              <w:suppressAutoHyphens/>
              <w:jc w:val="center"/>
              <w:rPr>
                <w:rFonts w:eastAsia="SimSun"/>
                <w:noProof/>
                <w:sz w:val="18"/>
                <w:szCs w:val="18"/>
                <w:lang w:val="it-IT"/>
              </w:rPr>
              <w:pPrChange w:id="4745" w:author="Author">
                <w:pPr>
                  <w:keepNext/>
                  <w:keepLines/>
                  <w:spacing w:line="240" w:lineRule="exact"/>
                  <w:jc w:val="center"/>
                </w:pPr>
              </w:pPrChange>
            </w:pPr>
            <w:r>
              <w:rPr>
                <w:noProof/>
                <w:sz w:val="18"/>
                <w:szCs w:val="18"/>
                <w:lang w:val="it-IT"/>
              </w:rPr>
              <w:t>0,25***</w:t>
            </w:r>
          </w:p>
          <w:p>
            <w:pPr>
              <w:suppressAutoHyphens/>
              <w:jc w:val="center"/>
              <w:rPr>
                <w:noProof/>
                <w:sz w:val="18"/>
                <w:szCs w:val="18"/>
                <w:lang w:val="it-IT"/>
              </w:rPr>
              <w:pPrChange w:id="4746" w:author="Author">
                <w:pPr>
                  <w:keepNext/>
                  <w:keepLines/>
                  <w:spacing w:line="240" w:lineRule="exact"/>
                  <w:jc w:val="center"/>
                </w:pPr>
              </w:pPrChange>
            </w:pPr>
            <w:r>
              <w:rPr>
                <w:noProof/>
                <w:sz w:val="18"/>
                <w:szCs w:val="18"/>
                <w:lang w:val="it-IT"/>
              </w:rPr>
              <w:t>(0,09; 0,70)</w:t>
            </w:r>
          </w:p>
          <w:p>
            <w:pPr>
              <w:suppressAutoHyphens/>
              <w:jc w:val="center"/>
              <w:rPr>
                <w:rFonts w:eastAsia="SimSun"/>
                <w:noProof/>
                <w:sz w:val="18"/>
                <w:szCs w:val="18"/>
                <w:lang w:val="it-IT"/>
              </w:rPr>
              <w:pPrChange w:id="4747" w:author="Author">
                <w:pPr>
                  <w:keepNext/>
                  <w:keepLines/>
                  <w:spacing w:line="240" w:lineRule="exact"/>
                  <w:jc w:val="center"/>
                </w:pPr>
              </w:pPrChange>
            </w:pPr>
          </w:p>
          <w:p>
            <w:pPr>
              <w:suppressAutoHyphens/>
              <w:jc w:val="center"/>
              <w:rPr>
                <w:rFonts w:eastAsia="SimSun"/>
                <w:noProof/>
                <w:sz w:val="18"/>
                <w:szCs w:val="18"/>
                <w:lang w:val="it-IT"/>
              </w:rPr>
              <w:pPrChange w:id="4748" w:author="Author">
                <w:pPr>
                  <w:keepNext/>
                  <w:keepLines/>
                  <w:spacing w:line="240" w:lineRule="exact"/>
                  <w:jc w:val="center"/>
                </w:pPr>
              </w:pPrChange>
            </w:pPr>
            <w:r>
              <w:rPr>
                <w:noProof/>
                <w:sz w:val="18"/>
                <w:szCs w:val="18"/>
                <w:lang w:val="it-IT"/>
              </w:rPr>
              <w:t>0,44</w:t>
            </w:r>
          </w:p>
          <w:p>
            <w:pPr>
              <w:suppressAutoHyphens/>
              <w:jc w:val="center"/>
              <w:rPr>
                <w:rFonts w:eastAsia="SimSun"/>
                <w:noProof/>
                <w:sz w:val="18"/>
                <w:szCs w:val="18"/>
                <w:lang w:val="it-IT"/>
              </w:rPr>
              <w:pPrChange w:id="4749" w:author="Author">
                <w:pPr>
                  <w:keepNext/>
                  <w:keepLines/>
                  <w:spacing w:line="240" w:lineRule="exact"/>
                  <w:jc w:val="center"/>
                </w:pPr>
              </w:pPrChange>
            </w:pPr>
            <w:r>
              <w:rPr>
                <w:noProof/>
                <w:sz w:val="18"/>
                <w:szCs w:val="18"/>
                <w:lang w:val="it-IT"/>
              </w:rPr>
              <w:t>(0,14; 1,32)</w:t>
            </w:r>
          </w:p>
          <w:p>
            <w:pPr>
              <w:pStyle w:val="Standard"/>
              <w:suppressAutoHyphens/>
              <w:jc w:val="center"/>
              <w:rPr>
                <w:rFonts w:eastAsia="SimSun"/>
                <w:noProof/>
                <w:sz w:val="18"/>
                <w:szCs w:val="18"/>
                <w:lang w:val="it-IT" w:eastAsia="zh-CN"/>
              </w:rPr>
              <w:pPrChange w:id="4750" w:author="Author">
                <w:pPr>
                  <w:pStyle w:val="Standard"/>
                  <w:keepNext/>
                  <w:keepLines/>
                  <w:spacing w:before="50" w:after="50" w:line="240" w:lineRule="exact"/>
                  <w:jc w:val="center"/>
                </w:pPr>
              </w:pPrChange>
            </w:pPr>
          </w:p>
        </w:tc>
        <w:tc>
          <w:tcPr>
            <w:tcW w:w="787" w:type="pct"/>
            <w:tcMar>
              <w:top w:w="0" w:type="dxa"/>
              <w:left w:w="57" w:type="dxa"/>
              <w:bottom w:w="0" w:type="dxa"/>
              <w:right w:w="57" w:type="dxa"/>
            </w:tcMar>
            <w:tcPrChange w:id="4751" w:author="Author">
              <w:tcPr>
                <w:tcW w:w="697" w:type="pct"/>
                <w:gridSpan w:val="2"/>
                <w:tcMar>
                  <w:top w:w="0" w:type="dxa"/>
                  <w:left w:w="57" w:type="dxa"/>
                  <w:bottom w:w="0" w:type="dxa"/>
                  <w:right w:w="57" w:type="dxa"/>
                </w:tcMar>
              </w:tcPr>
            </w:tcPrChange>
          </w:tcPr>
          <w:p>
            <w:pPr>
              <w:suppressAutoHyphens/>
              <w:jc w:val="center"/>
              <w:rPr>
                <w:noProof/>
                <w:sz w:val="18"/>
                <w:szCs w:val="18"/>
                <w:lang w:val="it-IT"/>
              </w:rPr>
              <w:pPrChange w:id="4752" w:author="Author">
                <w:pPr>
                  <w:keepNext/>
                  <w:keepLines/>
                  <w:spacing w:before="50" w:after="50" w:line="240" w:lineRule="exact"/>
                  <w:jc w:val="center"/>
                </w:pPr>
              </w:pPrChange>
            </w:pPr>
            <w:r>
              <w:rPr>
                <w:noProof/>
                <w:sz w:val="18"/>
                <w:szCs w:val="18"/>
                <w:lang w:val="it-IT"/>
              </w:rPr>
              <w:t>0,28**</w:t>
            </w:r>
          </w:p>
          <w:p>
            <w:pPr>
              <w:suppressAutoHyphens/>
              <w:jc w:val="center"/>
              <w:rPr>
                <w:del w:id="4753" w:author="Author"/>
                <w:rFonts w:eastAsia="SimSun"/>
                <w:noProof/>
                <w:sz w:val="18"/>
                <w:szCs w:val="18"/>
                <w:lang w:val="it-IT"/>
              </w:rPr>
              <w:pPrChange w:id="4754" w:author="Author">
                <w:pPr>
                  <w:keepNext/>
                  <w:keepLines/>
                  <w:spacing w:before="50" w:after="50" w:line="240" w:lineRule="exact"/>
                  <w:jc w:val="center"/>
                </w:pPr>
              </w:pPrChange>
            </w:pPr>
          </w:p>
          <w:p>
            <w:pPr>
              <w:suppressAutoHyphens/>
              <w:jc w:val="center"/>
              <w:rPr>
                <w:ins w:id="4755" w:author="Author"/>
                <w:noProof/>
                <w:sz w:val="18"/>
                <w:szCs w:val="18"/>
                <w:lang w:val="it-IT"/>
              </w:rPr>
              <w:pPrChange w:id="4756" w:author="Author">
                <w:pPr>
                  <w:keepNext/>
                  <w:suppressAutoHyphens/>
                  <w:jc w:val="center"/>
                </w:pPr>
              </w:pPrChange>
            </w:pPr>
            <w:r>
              <w:rPr>
                <w:noProof/>
                <w:sz w:val="18"/>
                <w:szCs w:val="18"/>
                <w:lang w:val="it-IT"/>
              </w:rPr>
              <w:t>(0,12; 0,66)</w:t>
            </w:r>
          </w:p>
          <w:p>
            <w:pPr>
              <w:suppressAutoHyphens/>
              <w:jc w:val="center"/>
              <w:rPr>
                <w:noProof/>
                <w:sz w:val="18"/>
                <w:szCs w:val="18"/>
                <w:lang w:val="it-IT"/>
              </w:rPr>
              <w:pPrChange w:id="4757" w:author="Author">
                <w:pPr>
                  <w:keepNext/>
                  <w:keepLines/>
                  <w:spacing w:before="50" w:after="50" w:line="240" w:lineRule="exact"/>
                  <w:jc w:val="center"/>
                </w:pPr>
              </w:pPrChange>
            </w:pPr>
          </w:p>
          <w:p>
            <w:pPr>
              <w:suppressAutoHyphens/>
              <w:jc w:val="center"/>
              <w:rPr>
                <w:rFonts w:eastAsia="SimSun"/>
                <w:noProof/>
                <w:sz w:val="18"/>
                <w:szCs w:val="18"/>
                <w:lang w:val="it-IT"/>
              </w:rPr>
              <w:pPrChange w:id="4758" w:author="Author">
                <w:pPr>
                  <w:keepNext/>
                  <w:keepLines/>
                  <w:spacing w:before="50" w:after="50" w:line="240" w:lineRule="exact"/>
                  <w:jc w:val="center"/>
                </w:pPr>
              </w:pPrChange>
            </w:pPr>
            <w:r>
              <w:rPr>
                <w:noProof/>
                <w:sz w:val="18"/>
                <w:szCs w:val="18"/>
                <w:lang w:val="it-IT"/>
              </w:rPr>
              <w:t>0,48</w:t>
            </w:r>
          </w:p>
          <w:p>
            <w:pPr>
              <w:suppressAutoHyphens/>
              <w:jc w:val="center"/>
              <w:rPr>
                <w:rFonts w:eastAsia="SimSun"/>
                <w:noProof/>
                <w:sz w:val="18"/>
                <w:szCs w:val="18"/>
                <w:lang w:val="it-IT"/>
              </w:rPr>
              <w:pPrChange w:id="4759" w:author="Author">
                <w:pPr>
                  <w:keepNext/>
                  <w:keepLines/>
                  <w:spacing w:before="50" w:after="50" w:line="240" w:lineRule="exact"/>
                  <w:jc w:val="center"/>
                </w:pPr>
              </w:pPrChange>
            </w:pPr>
            <w:r>
              <w:rPr>
                <w:noProof/>
                <w:sz w:val="18"/>
                <w:szCs w:val="18"/>
                <w:lang w:val="it-IT"/>
              </w:rPr>
              <w:t xml:space="preserve">(0,20; 1,16) </w:t>
            </w:r>
          </w:p>
          <w:p>
            <w:pPr>
              <w:suppressAutoHyphens/>
              <w:jc w:val="center"/>
              <w:rPr>
                <w:rFonts w:eastAsia="SimSun"/>
                <w:noProof/>
                <w:sz w:val="18"/>
                <w:szCs w:val="18"/>
                <w:lang w:val="it-IT" w:eastAsia="zh-CN"/>
              </w:rPr>
              <w:pPrChange w:id="4760" w:author="Author">
                <w:pPr>
                  <w:keepNext/>
                  <w:keepLines/>
                  <w:spacing w:before="50" w:after="50" w:line="240" w:lineRule="exact"/>
                  <w:jc w:val="center"/>
                </w:pPr>
              </w:pPrChange>
            </w:pPr>
          </w:p>
          <w:p>
            <w:pPr>
              <w:suppressAutoHyphens/>
              <w:jc w:val="center"/>
              <w:rPr>
                <w:rFonts w:eastAsia="SimSun"/>
                <w:noProof/>
                <w:sz w:val="18"/>
                <w:szCs w:val="18"/>
                <w:lang w:val="it-IT"/>
              </w:rPr>
              <w:pPrChange w:id="4761" w:author="Author">
                <w:pPr>
                  <w:keepNext/>
                  <w:keepLines/>
                  <w:spacing w:line="240" w:lineRule="exact"/>
                  <w:jc w:val="center"/>
                </w:pPr>
              </w:pPrChange>
            </w:pPr>
            <w:r>
              <w:rPr>
                <w:noProof/>
                <w:sz w:val="18"/>
                <w:szCs w:val="18"/>
                <w:lang w:val="it-IT"/>
              </w:rPr>
              <w:t>0,42</w:t>
            </w:r>
          </w:p>
          <w:p>
            <w:pPr>
              <w:suppressAutoHyphens/>
              <w:jc w:val="center"/>
              <w:rPr>
                <w:noProof/>
                <w:sz w:val="18"/>
                <w:szCs w:val="18"/>
                <w:lang w:val="it-IT"/>
              </w:rPr>
              <w:pPrChange w:id="4762" w:author="Author">
                <w:pPr>
                  <w:keepNext/>
                  <w:keepLines/>
                  <w:spacing w:line="240" w:lineRule="exact"/>
                  <w:jc w:val="center"/>
                </w:pPr>
              </w:pPrChange>
            </w:pPr>
            <w:r>
              <w:rPr>
                <w:noProof/>
                <w:sz w:val="18"/>
                <w:szCs w:val="18"/>
                <w:lang w:val="it-IT"/>
              </w:rPr>
              <w:t>(0,14; 1,28)</w:t>
            </w:r>
          </w:p>
          <w:p>
            <w:pPr>
              <w:suppressAutoHyphens/>
              <w:jc w:val="center"/>
              <w:rPr>
                <w:rFonts w:eastAsia="SimSun"/>
                <w:noProof/>
                <w:sz w:val="18"/>
                <w:szCs w:val="18"/>
                <w:lang w:val="it-IT"/>
              </w:rPr>
              <w:pPrChange w:id="4763" w:author="Author">
                <w:pPr>
                  <w:keepNext/>
                  <w:keepLines/>
                  <w:spacing w:line="240" w:lineRule="exact"/>
                  <w:jc w:val="center"/>
                </w:pPr>
              </w:pPrChange>
            </w:pPr>
          </w:p>
          <w:p>
            <w:pPr>
              <w:suppressAutoHyphens/>
              <w:jc w:val="center"/>
              <w:rPr>
                <w:rFonts w:eastAsia="SimSun"/>
                <w:noProof/>
                <w:sz w:val="18"/>
                <w:szCs w:val="18"/>
                <w:lang w:val="it-IT"/>
              </w:rPr>
              <w:pPrChange w:id="4764" w:author="Author">
                <w:pPr>
                  <w:keepNext/>
                  <w:keepLines/>
                  <w:spacing w:line="240" w:lineRule="exact"/>
                  <w:jc w:val="center"/>
                </w:pPr>
              </w:pPrChange>
            </w:pPr>
            <w:r>
              <w:rPr>
                <w:noProof/>
                <w:sz w:val="18"/>
                <w:szCs w:val="18"/>
                <w:lang w:val="it-IT"/>
              </w:rPr>
              <w:t>0,67</w:t>
            </w:r>
          </w:p>
          <w:p>
            <w:pPr>
              <w:suppressAutoHyphens/>
              <w:jc w:val="center"/>
              <w:rPr>
                <w:noProof/>
                <w:sz w:val="18"/>
                <w:szCs w:val="18"/>
                <w:lang w:val="it-IT"/>
              </w:rPr>
              <w:pPrChange w:id="4765" w:author="Author">
                <w:pPr>
                  <w:keepNext/>
                  <w:keepLines/>
                  <w:spacing w:line="240" w:lineRule="exact"/>
                  <w:jc w:val="center"/>
                </w:pPr>
              </w:pPrChange>
            </w:pPr>
            <w:r>
              <w:rPr>
                <w:noProof/>
                <w:sz w:val="18"/>
                <w:szCs w:val="18"/>
                <w:lang w:val="it-IT"/>
              </w:rPr>
              <w:t>(0,21; 2,10)</w:t>
            </w:r>
          </w:p>
          <w:p>
            <w:pPr>
              <w:suppressAutoHyphens/>
              <w:jc w:val="center"/>
              <w:rPr>
                <w:rFonts w:eastAsia="SimSun"/>
                <w:noProof/>
                <w:sz w:val="18"/>
                <w:szCs w:val="18"/>
                <w:lang w:val="it-IT"/>
              </w:rPr>
              <w:pPrChange w:id="4766" w:author="Author">
                <w:pPr>
                  <w:keepNext/>
                  <w:keepLines/>
                  <w:spacing w:line="240" w:lineRule="exact"/>
                  <w:jc w:val="center"/>
                </w:pPr>
              </w:pPrChange>
            </w:pPr>
          </w:p>
          <w:p>
            <w:pPr>
              <w:suppressAutoHyphens/>
              <w:jc w:val="center"/>
              <w:rPr>
                <w:rFonts w:eastAsia="SimSun"/>
                <w:noProof/>
                <w:sz w:val="18"/>
                <w:szCs w:val="18"/>
                <w:lang w:val="it-IT"/>
              </w:rPr>
              <w:pPrChange w:id="4767" w:author="Author">
                <w:pPr>
                  <w:keepNext/>
                  <w:keepLines/>
                  <w:spacing w:line="240" w:lineRule="exact"/>
                  <w:jc w:val="center"/>
                </w:pPr>
              </w:pPrChange>
            </w:pPr>
            <w:r>
              <w:rPr>
                <w:noProof/>
                <w:sz w:val="18"/>
                <w:szCs w:val="18"/>
                <w:lang w:val="it-IT"/>
              </w:rPr>
              <w:t>0,20***</w:t>
            </w:r>
          </w:p>
          <w:p>
            <w:pPr>
              <w:suppressAutoHyphens/>
              <w:jc w:val="center"/>
              <w:rPr>
                <w:noProof/>
                <w:sz w:val="18"/>
                <w:szCs w:val="18"/>
                <w:lang w:val="it-IT"/>
              </w:rPr>
              <w:pPrChange w:id="4768" w:author="Author">
                <w:pPr>
                  <w:keepNext/>
                  <w:keepLines/>
                  <w:spacing w:line="240" w:lineRule="exact"/>
                  <w:jc w:val="center"/>
                </w:pPr>
              </w:pPrChange>
            </w:pPr>
            <w:r>
              <w:rPr>
                <w:noProof/>
                <w:sz w:val="18"/>
                <w:szCs w:val="18"/>
                <w:lang w:val="it-IT"/>
              </w:rPr>
              <w:t>(0,05; 0,76)</w:t>
            </w:r>
          </w:p>
          <w:p>
            <w:pPr>
              <w:suppressAutoHyphens/>
              <w:jc w:val="center"/>
              <w:rPr>
                <w:rFonts w:eastAsia="SimSun"/>
                <w:noProof/>
                <w:sz w:val="18"/>
                <w:szCs w:val="18"/>
                <w:lang w:val="it-IT"/>
              </w:rPr>
              <w:pPrChange w:id="4769" w:author="Author">
                <w:pPr>
                  <w:keepNext/>
                  <w:keepLines/>
                  <w:spacing w:line="240" w:lineRule="exact"/>
                  <w:jc w:val="center"/>
                </w:pPr>
              </w:pPrChange>
            </w:pPr>
          </w:p>
          <w:p>
            <w:pPr>
              <w:suppressAutoHyphens/>
              <w:jc w:val="center"/>
              <w:rPr>
                <w:rFonts w:eastAsia="SimSun"/>
                <w:noProof/>
                <w:sz w:val="18"/>
                <w:szCs w:val="18"/>
                <w:lang w:val="it-IT"/>
              </w:rPr>
              <w:pPrChange w:id="4770" w:author="Author">
                <w:pPr>
                  <w:keepNext/>
                  <w:keepLines/>
                  <w:spacing w:line="240" w:lineRule="exact"/>
                  <w:jc w:val="center"/>
                </w:pPr>
              </w:pPrChange>
            </w:pPr>
            <w:r>
              <w:rPr>
                <w:noProof/>
                <w:sz w:val="18"/>
                <w:szCs w:val="18"/>
                <w:lang w:val="it-IT"/>
              </w:rPr>
              <w:t>0,35</w:t>
            </w:r>
          </w:p>
          <w:p>
            <w:pPr>
              <w:suppressAutoHyphens/>
              <w:jc w:val="center"/>
              <w:rPr>
                <w:rFonts w:eastAsia="SimSun"/>
                <w:noProof/>
                <w:sz w:val="18"/>
                <w:szCs w:val="18"/>
                <w:lang w:val="it-IT"/>
              </w:rPr>
              <w:pPrChange w:id="4771" w:author="Author">
                <w:pPr>
                  <w:keepNext/>
                  <w:keepLines/>
                  <w:spacing w:line="240" w:lineRule="exact"/>
                  <w:jc w:val="center"/>
                </w:pPr>
              </w:pPrChange>
            </w:pPr>
            <w:r>
              <w:rPr>
                <w:noProof/>
                <w:sz w:val="18"/>
                <w:szCs w:val="18"/>
                <w:lang w:val="it-IT"/>
              </w:rPr>
              <w:t>(0,09; 1,42)</w:t>
            </w:r>
          </w:p>
          <w:p>
            <w:pPr>
              <w:pStyle w:val="Standard"/>
              <w:suppressAutoHyphens/>
              <w:jc w:val="center"/>
              <w:rPr>
                <w:rFonts w:eastAsia="SimSun"/>
                <w:noProof/>
                <w:sz w:val="18"/>
                <w:szCs w:val="18"/>
                <w:lang w:val="it-IT" w:eastAsia="zh-CN"/>
              </w:rPr>
              <w:pPrChange w:id="4772" w:author="Author">
                <w:pPr>
                  <w:pStyle w:val="Standard"/>
                  <w:keepNext/>
                  <w:keepLines/>
                  <w:spacing w:before="50" w:after="50" w:line="240" w:lineRule="exact"/>
                  <w:jc w:val="center"/>
                </w:pPr>
              </w:pPrChange>
            </w:pPr>
          </w:p>
        </w:tc>
      </w:tr>
      <w:tr>
        <w:trPr>
          <w:cantSplit/>
          <w:trPrChange w:id="4773" w:author="Author">
            <w:trPr>
              <w:cantSplit/>
            </w:trPr>
          </w:trPrChange>
        </w:trPr>
        <w:tc>
          <w:tcPr>
            <w:tcW w:w="2135" w:type="pct"/>
            <w:tcMar>
              <w:top w:w="0" w:type="dxa"/>
              <w:left w:w="57" w:type="dxa"/>
              <w:bottom w:w="0" w:type="dxa"/>
              <w:right w:w="57" w:type="dxa"/>
            </w:tcMar>
            <w:tcPrChange w:id="4774" w:author="Author">
              <w:tcPr>
                <w:tcW w:w="2099" w:type="pct"/>
                <w:gridSpan w:val="3"/>
                <w:tcMar>
                  <w:top w:w="0" w:type="dxa"/>
                  <w:left w:w="57" w:type="dxa"/>
                  <w:bottom w:w="0" w:type="dxa"/>
                  <w:right w:w="57" w:type="dxa"/>
                </w:tcMar>
              </w:tcPr>
            </w:tcPrChange>
          </w:tcPr>
          <w:p>
            <w:pPr>
              <w:suppressAutoHyphens/>
              <w:rPr>
                <w:rFonts w:eastAsia="SimSun"/>
                <w:i/>
                <w:noProof/>
                <w:sz w:val="18"/>
                <w:szCs w:val="18"/>
                <w:lang w:val="it-IT"/>
              </w:rPr>
              <w:pPrChange w:id="4775" w:author="Author">
                <w:pPr>
                  <w:spacing w:before="50" w:after="50" w:line="240" w:lineRule="exact"/>
                </w:pPr>
              </w:pPrChange>
            </w:pPr>
            <w:r>
              <w:rPr>
                <w:i/>
                <w:noProof/>
                <w:sz w:val="18"/>
                <w:szCs w:val="18"/>
                <w:lang w:val="it-IT"/>
              </w:rPr>
              <w:t>Dose cumulativa di glucocorticoidi (mg)</w:t>
            </w:r>
          </w:p>
          <w:p>
            <w:pPr>
              <w:suppressAutoHyphens/>
              <w:ind w:left="720"/>
              <w:rPr>
                <w:rFonts w:eastAsia="SimSun"/>
                <w:i/>
                <w:noProof/>
                <w:sz w:val="18"/>
                <w:szCs w:val="18"/>
                <w:lang w:val="it-IT"/>
              </w:rPr>
              <w:pPrChange w:id="4776" w:author="Author">
                <w:pPr>
                  <w:spacing w:before="50" w:after="50" w:line="240" w:lineRule="exact"/>
                  <w:ind w:left="720"/>
                </w:pPr>
              </w:pPrChange>
            </w:pPr>
            <w:r>
              <w:rPr>
                <w:i/>
                <w:noProof/>
                <w:sz w:val="18"/>
                <w:szCs w:val="18"/>
                <w:lang w:val="it-IT"/>
              </w:rPr>
              <w:t>mediana alla settimana 52 (gruppi tocilizumab vs. placebo +26</w:t>
            </w:r>
            <w:r>
              <w:rPr>
                <w:i/>
                <w:noProof/>
                <w:sz w:val="18"/>
                <w:szCs w:val="18"/>
                <w:vertAlign w:val="superscript"/>
                <w:lang w:val="it-IT"/>
              </w:rPr>
              <w:t>2</w:t>
            </w:r>
            <w:r>
              <w:rPr>
                <w:i/>
                <w:noProof/>
                <w:sz w:val="18"/>
                <w:szCs w:val="18"/>
                <w:lang w:val="it-IT"/>
              </w:rPr>
              <w:t xml:space="preserve">)                          </w:t>
            </w:r>
          </w:p>
          <w:p>
            <w:pPr>
              <w:pStyle w:val="Standard"/>
              <w:suppressAutoHyphens/>
              <w:ind w:left="720"/>
              <w:rPr>
                <w:rFonts w:eastAsia="SimSun"/>
                <w:i/>
                <w:noProof/>
                <w:sz w:val="18"/>
                <w:szCs w:val="18"/>
                <w:lang w:val="it-IT" w:eastAsia="zh-CN"/>
              </w:rPr>
              <w:pPrChange w:id="4777" w:author="Author">
                <w:pPr>
                  <w:pStyle w:val="Standard"/>
                  <w:keepNext/>
                  <w:keepLines/>
                  <w:spacing w:before="50" w:after="50" w:line="240" w:lineRule="exact"/>
                  <w:ind w:left="720"/>
                </w:pPr>
              </w:pPrChange>
            </w:pPr>
            <w:r>
              <w:rPr>
                <w:i/>
                <w:noProof/>
                <w:sz w:val="18"/>
                <w:szCs w:val="18"/>
                <w:lang w:val="it-IT"/>
              </w:rPr>
              <w:t>mediana alla settimana 52 (gruppi tocilizumab vs. placebo +52</w:t>
            </w:r>
            <w:r>
              <w:rPr>
                <w:i/>
                <w:noProof/>
                <w:sz w:val="18"/>
                <w:szCs w:val="18"/>
                <w:vertAlign w:val="superscript"/>
                <w:lang w:val="it-IT"/>
              </w:rPr>
              <w:t>2</w:t>
            </w:r>
            <w:r>
              <w:rPr>
                <w:i/>
                <w:noProof/>
                <w:sz w:val="18"/>
                <w:szCs w:val="18"/>
                <w:lang w:val="it-IT"/>
              </w:rPr>
              <w:t>)</w:t>
            </w:r>
            <w:r>
              <w:rPr>
                <w:noProof/>
                <w:sz w:val="18"/>
                <w:szCs w:val="18"/>
                <w:lang w:val="it-IT"/>
              </w:rPr>
              <w:t xml:space="preserve">                         </w:t>
            </w:r>
          </w:p>
        </w:tc>
        <w:tc>
          <w:tcPr>
            <w:tcW w:w="682" w:type="pct"/>
            <w:tcMar>
              <w:top w:w="0" w:type="dxa"/>
              <w:left w:w="57" w:type="dxa"/>
              <w:bottom w:w="0" w:type="dxa"/>
              <w:right w:w="57" w:type="dxa"/>
            </w:tcMar>
            <w:tcPrChange w:id="4778" w:author="Author">
              <w:tcPr>
                <w:tcW w:w="689" w:type="pct"/>
                <w:gridSpan w:val="2"/>
                <w:tcMar>
                  <w:top w:w="0" w:type="dxa"/>
                  <w:left w:w="57" w:type="dxa"/>
                  <w:bottom w:w="0" w:type="dxa"/>
                  <w:right w:w="57" w:type="dxa"/>
                </w:tcMar>
              </w:tcPr>
            </w:tcPrChange>
          </w:tcPr>
          <w:p>
            <w:pPr>
              <w:suppressAutoHyphens/>
              <w:jc w:val="center"/>
              <w:rPr>
                <w:rFonts w:eastAsia="SimSun"/>
                <w:noProof/>
                <w:sz w:val="18"/>
                <w:szCs w:val="18"/>
                <w:lang w:val="it-IT" w:eastAsia="zh-CN"/>
              </w:rPr>
              <w:pPrChange w:id="4779" w:author="Author">
                <w:pPr>
                  <w:spacing w:before="50" w:after="50" w:line="240" w:lineRule="exact"/>
                  <w:jc w:val="center"/>
                </w:pPr>
              </w:pPrChange>
            </w:pPr>
          </w:p>
          <w:p>
            <w:pPr>
              <w:suppressAutoHyphens/>
              <w:jc w:val="center"/>
              <w:rPr>
                <w:rFonts w:eastAsia="SimSun"/>
                <w:noProof/>
                <w:sz w:val="18"/>
                <w:szCs w:val="18"/>
                <w:lang w:val="it-IT"/>
              </w:rPr>
              <w:pPrChange w:id="4780" w:author="Author">
                <w:pPr>
                  <w:spacing w:before="50" w:after="50" w:line="240" w:lineRule="exact"/>
                  <w:jc w:val="center"/>
                </w:pPr>
              </w:pPrChange>
            </w:pPr>
            <w:r>
              <w:rPr>
                <w:noProof/>
                <w:sz w:val="18"/>
                <w:szCs w:val="18"/>
                <w:lang w:val="it-IT"/>
              </w:rPr>
              <w:t>32</w:t>
            </w:r>
            <w:ins w:id="4781" w:author="Author">
              <w:r>
                <w:rPr>
                  <w:noProof/>
                  <w:sz w:val="18"/>
                  <w:szCs w:val="18"/>
                  <w:lang w:val="it-IT"/>
                </w:rPr>
                <w:t> </w:t>
              </w:r>
            </w:ins>
            <w:r>
              <w:rPr>
                <w:noProof/>
                <w:sz w:val="18"/>
                <w:szCs w:val="18"/>
                <w:lang w:val="it-IT"/>
              </w:rPr>
              <w:t>96,00</w:t>
            </w:r>
          </w:p>
          <w:p>
            <w:pPr>
              <w:suppressAutoHyphens/>
              <w:jc w:val="center"/>
              <w:rPr>
                <w:rFonts w:eastAsia="SimSun"/>
                <w:noProof/>
                <w:sz w:val="18"/>
                <w:szCs w:val="18"/>
                <w:lang w:val="it-IT" w:eastAsia="zh-CN"/>
              </w:rPr>
              <w:pPrChange w:id="4782" w:author="Author">
                <w:pPr>
                  <w:spacing w:before="50" w:after="50" w:line="240" w:lineRule="exact"/>
                  <w:jc w:val="center"/>
                </w:pPr>
              </w:pPrChange>
            </w:pPr>
          </w:p>
          <w:p>
            <w:pPr>
              <w:pStyle w:val="Standard"/>
              <w:suppressAutoHyphens/>
              <w:jc w:val="center"/>
              <w:rPr>
                <w:rFonts w:eastAsia="SimSun"/>
                <w:noProof/>
                <w:sz w:val="18"/>
                <w:szCs w:val="18"/>
                <w:lang w:val="it-IT" w:eastAsia="zh-CN"/>
              </w:rPr>
              <w:pPrChange w:id="4783" w:author="Author">
                <w:pPr>
                  <w:pStyle w:val="Standard"/>
                  <w:keepNext/>
                  <w:keepLines/>
                  <w:spacing w:before="50" w:after="50" w:line="240" w:lineRule="exact"/>
                  <w:jc w:val="center"/>
                </w:pPr>
              </w:pPrChange>
            </w:pPr>
            <w:r>
              <w:rPr>
                <w:noProof/>
                <w:sz w:val="18"/>
                <w:szCs w:val="18"/>
                <w:lang w:val="it-IT"/>
              </w:rPr>
              <w:t>N/A</w:t>
            </w:r>
          </w:p>
        </w:tc>
        <w:tc>
          <w:tcPr>
            <w:tcW w:w="670" w:type="pct"/>
            <w:gridSpan w:val="2"/>
            <w:tcMar>
              <w:top w:w="0" w:type="dxa"/>
              <w:left w:w="57" w:type="dxa"/>
              <w:bottom w:w="0" w:type="dxa"/>
              <w:right w:w="57" w:type="dxa"/>
            </w:tcMar>
            <w:tcPrChange w:id="4784" w:author="Author">
              <w:tcPr>
                <w:tcW w:w="689" w:type="pct"/>
                <w:gridSpan w:val="3"/>
                <w:tcMar>
                  <w:top w:w="0" w:type="dxa"/>
                  <w:left w:w="57" w:type="dxa"/>
                  <w:bottom w:w="0" w:type="dxa"/>
                  <w:right w:w="57" w:type="dxa"/>
                </w:tcMar>
              </w:tcPr>
            </w:tcPrChange>
          </w:tcPr>
          <w:p>
            <w:pPr>
              <w:suppressAutoHyphens/>
              <w:jc w:val="center"/>
              <w:rPr>
                <w:rFonts w:eastAsia="SimSun"/>
                <w:noProof/>
                <w:sz w:val="18"/>
                <w:szCs w:val="18"/>
                <w:lang w:val="it-IT" w:eastAsia="zh-CN"/>
              </w:rPr>
              <w:pPrChange w:id="4785" w:author="Author">
                <w:pPr>
                  <w:spacing w:before="50" w:after="50" w:line="240" w:lineRule="exact"/>
                  <w:jc w:val="center"/>
                </w:pPr>
              </w:pPrChange>
            </w:pPr>
          </w:p>
          <w:p>
            <w:pPr>
              <w:suppressAutoHyphens/>
              <w:jc w:val="center"/>
              <w:rPr>
                <w:rFonts w:eastAsia="SimSun"/>
                <w:noProof/>
                <w:sz w:val="18"/>
                <w:szCs w:val="18"/>
                <w:lang w:val="it-IT"/>
              </w:rPr>
              <w:pPrChange w:id="4786" w:author="Author">
                <w:pPr>
                  <w:spacing w:before="50" w:after="50" w:line="240" w:lineRule="exact"/>
                  <w:jc w:val="center"/>
                </w:pPr>
              </w:pPrChange>
            </w:pPr>
            <w:r>
              <w:rPr>
                <w:noProof/>
                <w:sz w:val="18"/>
                <w:szCs w:val="18"/>
                <w:lang w:val="it-IT"/>
              </w:rPr>
              <w:t>N/A</w:t>
            </w:r>
          </w:p>
          <w:p>
            <w:pPr>
              <w:suppressAutoHyphens/>
              <w:jc w:val="center"/>
              <w:rPr>
                <w:rFonts w:eastAsia="SimSun"/>
                <w:noProof/>
                <w:sz w:val="18"/>
                <w:szCs w:val="18"/>
                <w:lang w:val="it-IT" w:eastAsia="zh-CN"/>
              </w:rPr>
              <w:pPrChange w:id="4787" w:author="Author">
                <w:pPr>
                  <w:spacing w:before="50" w:after="50" w:line="240" w:lineRule="exact"/>
                  <w:jc w:val="center"/>
                </w:pPr>
              </w:pPrChange>
            </w:pPr>
          </w:p>
          <w:p>
            <w:pPr>
              <w:pStyle w:val="Standard"/>
              <w:suppressAutoHyphens/>
              <w:jc w:val="center"/>
              <w:rPr>
                <w:rFonts w:eastAsia="SimSun"/>
                <w:noProof/>
                <w:sz w:val="18"/>
                <w:szCs w:val="18"/>
                <w:lang w:val="it-IT" w:eastAsia="zh-CN"/>
              </w:rPr>
              <w:pPrChange w:id="4788" w:author="Author">
                <w:pPr>
                  <w:pStyle w:val="Standard"/>
                  <w:keepNext/>
                  <w:keepLines/>
                  <w:spacing w:before="50" w:after="50" w:line="240" w:lineRule="exact"/>
                  <w:jc w:val="center"/>
                </w:pPr>
              </w:pPrChange>
            </w:pPr>
            <w:r>
              <w:rPr>
                <w:noProof/>
                <w:sz w:val="18"/>
                <w:szCs w:val="18"/>
                <w:lang w:val="it-IT"/>
              </w:rPr>
              <w:t>3</w:t>
            </w:r>
            <w:ins w:id="4789" w:author="Author">
              <w:r>
                <w:rPr>
                  <w:noProof/>
                  <w:sz w:val="18"/>
                  <w:szCs w:val="18"/>
                  <w:lang w:val="it-IT"/>
                </w:rPr>
                <w:t> </w:t>
              </w:r>
            </w:ins>
            <w:r>
              <w:rPr>
                <w:noProof/>
                <w:sz w:val="18"/>
                <w:szCs w:val="18"/>
                <w:lang w:val="it-IT"/>
              </w:rPr>
              <w:t>817,50</w:t>
            </w:r>
          </w:p>
        </w:tc>
        <w:tc>
          <w:tcPr>
            <w:tcW w:w="725" w:type="pct"/>
            <w:tcPrChange w:id="4790" w:author="Author">
              <w:tcPr>
                <w:tcW w:w="826" w:type="pct"/>
                <w:gridSpan w:val="4"/>
              </w:tcPr>
            </w:tcPrChange>
          </w:tcPr>
          <w:p>
            <w:pPr>
              <w:suppressAutoHyphens/>
              <w:jc w:val="center"/>
              <w:rPr>
                <w:rFonts w:eastAsia="SimSun"/>
                <w:noProof/>
                <w:sz w:val="18"/>
                <w:szCs w:val="18"/>
                <w:lang w:val="it-IT" w:eastAsia="zh-CN"/>
              </w:rPr>
              <w:pPrChange w:id="4791" w:author="Author">
                <w:pPr>
                  <w:spacing w:before="50" w:after="50" w:line="240" w:lineRule="exact"/>
                  <w:jc w:val="center"/>
                </w:pPr>
              </w:pPrChange>
            </w:pPr>
          </w:p>
          <w:p>
            <w:pPr>
              <w:suppressAutoHyphens/>
              <w:jc w:val="center"/>
              <w:rPr>
                <w:rFonts w:eastAsia="SimSun"/>
                <w:noProof/>
                <w:sz w:val="18"/>
                <w:szCs w:val="18"/>
                <w:lang w:val="it-IT"/>
              </w:rPr>
              <w:pPrChange w:id="4792" w:author="Author">
                <w:pPr>
                  <w:spacing w:before="50" w:after="50" w:line="240" w:lineRule="exact"/>
                  <w:jc w:val="center"/>
                </w:pPr>
              </w:pPrChange>
            </w:pPr>
            <w:r>
              <w:rPr>
                <w:noProof/>
                <w:sz w:val="18"/>
                <w:szCs w:val="18"/>
                <w:lang w:val="it-IT"/>
              </w:rPr>
              <w:t>1</w:t>
            </w:r>
            <w:ins w:id="4793" w:author="Author">
              <w:r>
                <w:rPr>
                  <w:noProof/>
                  <w:sz w:val="18"/>
                  <w:szCs w:val="18"/>
                  <w:lang w:val="it-IT"/>
                </w:rPr>
                <w:t> </w:t>
              </w:r>
            </w:ins>
            <w:r>
              <w:rPr>
                <w:noProof/>
                <w:sz w:val="18"/>
                <w:szCs w:val="18"/>
                <w:lang w:val="it-IT"/>
              </w:rPr>
              <w:t>862,00*</w:t>
            </w:r>
          </w:p>
          <w:p>
            <w:pPr>
              <w:suppressAutoHyphens/>
              <w:jc w:val="center"/>
              <w:rPr>
                <w:rFonts w:eastAsia="SimSun"/>
                <w:noProof/>
                <w:sz w:val="18"/>
                <w:szCs w:val="18"/>
                <w:lang w:val="it-IT" w:eastAsia="zh-CN"/>
              </w:rPr>
              <w:pPrChange w:id="4794" w:author="Author">
                <w:pPr>
                  <w:spacing w:before="50" w:after="50" w:line="240" w:lineRule="exact"/>
                  <w:jc w:val="center"/>
                </w:pPr>
              </w:pPrChange>
            </w:pPr>
          </w:p>
          <w:p>
            <w:pPr>
              <w:pStyle w:val="Standard"/>
              <w:suppressAutoHyphens/>
              <w:jc w:val="center"/>
              <w:rPr>
                <w:rFonts w:eastAsia="SimSun"/>
                <w:noProof/>
                <w:sz w:val="18"/>
                <w:szCs w:val="18"/>
                <w:lang w:val="it-IT" w:eastAsia="zh-CN"/>
              </w:rPr>
              <w:pPrChange w:id="4795" w:author="Author">
                <w:pPr>
                  <w:pStyle w:val="Standard"/>
                  <w:keepNext/>
                  <w:keepLines/>
                  <w:spacing w:before="50" w:after="50" w:line="240" w:lineRule="exact"/>
                  <w:jc w:val="center"/>
                </w:pPr>
              </w:pPrChange>
            </w:pPr>
            <w:r>
              <w:rPr>
                <w:noProof/>
                <w:sz w:val="18"/>
                <w:szCs w:val="18"/>
                <w:lang w:val="it-IT"/>
              </w:rPr>
              <w:t>1</w:t>
            </w:r>
            <w:ins w:id="4796" w:author="Author">
              <w:r>
                <w:rPr>
                  <w:noProof/>
                  <w:sz w:val="18"/>
                  <w:szCs w:val="18"/>
                  <w:lang w:val="it-IT"/>
                </w:rPr>
                <w:t> </w:t>
              </w:r>
            </w:ins>
            <w:r>
              <w:rPr>
                <w:noProof/>
                <w:sz w:val="18"/>
                <w:szCs w:val="18"/>
                <w:lang w:val="it-IT"/>
              </w:rPr>
              <w:t>862,00*</w:t>
            </w:r>
          </w:p>
        </w:tc>
        <w:tc>
          <w:tcPr>
            <w:tcW w:w="787" w:type="pct"/>
            <w:tcMar>
              <w:top w:w="0" w:type="dxa"/>
              <w:left w:w="57" w:type="dxa"/>
              <w:bottom w:w="0" w:type="dxa"/>
              <w:right w:w="57" w:type="dxa"/>
            </w:tcMar>
            <w:tcPrChange w:id="4797" w:author="Author">
              <w:tcPr>
                <w:tcW w:w="697" w:type="pct"/>
                <w:gridSpan w:val="2"/>
                <w:tcMar>
                  <w:top w:w="0" w:type="dxa"/>
                  <w:left w:w="57" w:type="dxa"/>
                  <w:bottom w:w="0" w:type="dxa"/>
                  <w:right w:w="57" w:type="dxa"/>
                </w:tcMar>
              </w:tcPr>
            </w:tcPrChange>
          </w:tcPr>
          <w:p>
            <w:pPr>
              <w:suppressAutoHyphens/>
              <w:jc w:val="center"/>
              <w:rPr>
                <w:rFonts w:eastAsia="SimSun"/>
                <w:noProof/>
                <w:sz w:val="18"/>
                <w:szCs w:val="18"/>
                <w:lang w:val="it-IT" w:eastAsia="zh-CN"/>
              </w:rPr>
              <w:pPrChange w:id="4798" w:author="Author">
                <w:pPr>
                  <w:spacing w:before="50" w:after="50" w:line="240" w:lineRule="exact"/>
                  <w:jc w:val="center"/>
                </w:pPr>
              </w:pPrChange>
            </w:pPr>
          </w:p>
          <w:p>
            <w:pPr>
              <w:suppressAutoHyphens/>
              <w:jc w:val="center"/>
              <w:rPr>
                <w:rFonts w:eastAsia="SimSun"/>
                <w:noProof/>
                <w:sz w:val="18"/>
                <w:szCs w:val="18"/>
                <w:lang w:val="it-IT"/>
              </w:rPr>
              <w:pPrChange w:id="4799" w:author="Author">
                <w:pPr>
                  <w:spacing w:before="50" w:after="50" w:line="240" w:lineRule="exact"/>
                  <w:jc w:val="center"/>
                </w:pPr>
              </w:pPrChange>
            </w:pPr>
            <w:r>
              <w:rPr>
                <w:noProof/>
                <w:sz w:val="18"/>
                <w:szCs w:val="18"/>
                <w:lang w:val="it-IT"/>
              </w:rPr>
              <w:t>1</w:t>
            </w:r>
            <w:ins w:id="4800" w:author="Author">
              <w:r>
                <w:rPr>
                  <w:noProof/>
                  <w:sz w:val="18"/>
                  <w:szCs w:val="18"/>
                  <w:lang w:val="it-IT"/>
                </w:rPr>
                <w:t> </w:t>
              </w:r>
            </w:ins>
            <w:r>
              <w:rPr>
                <w:noProof/>
                <w:sz w:val="18"/>
                <w:szCs w:val="18"/>
                <w:lang w:val="it-IT"/>
              </w:rPr>
              <w:t>862,00*</w:t>
            </w:r>
          </w:p>
          <w:p>
            <w:pPr>
              <w:suppressAutoHyphens/>
              <w:jc w:val="center"/>
              <w:rPr>
                <w:rFonts w:eastAsia="SimSun"/>
                <w:noProof/>
                <w:sz w:val="18"/>
                <w:szCs w:val="18"/>
                <w:lang w:val="it-IT" w:eastAsia="zh-CN"/>
              </w:rPr>
              <w:pPrChange w:id="4801" w:author="Author">
                <w:pPr>
                  <w:spacing w:before="50" w:after="50" w:line="240" w:lineRule="exact"/>
                  <w:jc w:val="center"/>
                </w:pPr>
              </w:pPrChange>
            </w:pPr>
          </w:p>
          <w:p>
            <w:pPr>
              <w:pStyle w:val="Standard"/>
              <w:suppressAutoHyphens/>
              <w:jc w:val="center"/>
              <w:rPr>
                <w:rFonts w:eastAsia="SimSun"/>
                <w:noProof/>
                <w:sz w:val="18"/>
                <w:szCs w:val="18"/>
                <w:lang w:val="it-IT" w:eastAsia="zh-CN"/>
              </w:rPr>
              <w:pPrChange w:id="4802" w:author="Author">
                <w:pPr>
                  <w:pStyle w:val="Standard"/>
                  <w:keepNext/>
                  <w:keepLines/>
                  <w:spacing w:before="50" w:after="50" w:line="240" w:lineRule="exact"/>
                  <w:jc w:val="center"/>
                </w:pPr>
              </w:pPrChange>
            </w:pPr>
            <w:r>
              <w:rPr>
                <w:noProof/>
                <w:sz w:val="18"/>
                <w:szCs w:val="18"/>
                <w:lang w:val="it-IT"/>
              </w:rPr>
              <w:t>1</w:t>
            </w:r>
            <w:ins w:id="4803" w:author="Author">
              <w:r>
                <w:rPr>
                  <w:noProof/>
                  <w:sz w:val="18"/>
                  <w:szCs w:val="18"/>
                  <w:lang w:val="it-IT"/>
                </w:rPr>
                <w:t> </w:t>
              </w:r>
            </w:ins>
            <w:r>
              <w:rPr>
                <w:noProof/>
                <w:sz w:val="18"/>
                <w:szCs w:val="18"/>
                <w:lang w:val="it-IT"/>
              </w:rPr>
              <w:t>862,00*</w:t>
            </w:r>
          </w:p>
        </w:tc>
      </w:tr>
      <w:tr>
        <w:tblPrEx>
          <w:tblPrExChange w:id="4804" w:author="Author">
            <w:tblPrEx>
              <w:tblCellMar>
                <w:left w:w="0" w:type="dxa"/>
                <w:right w:w="0" w:type="dxa"/>
              </w:tblCellMar>
            </w:tblPrEx>
          </w:tblPrExChange>
        </w:tblPrEx>
        <w:trPr>
          <w:gridAfter w:val="1"/>
          <w:wAfter w:w="787" w:type="pct"/>
          <w:cantSplit/>
          <w:trPrChange w:id="4805" w:author="Author">
            <w:trPr>
              <w:cantSplit/>
            </w:trPr>
          </w:trPrChange>
        </w:trPr>
        <w:tc>
          <w:tcPr>
            <w:tcW w:w="4213" w:type="pct"/>
            <w:gridSpan w:val="5"/>
            <w:tcPrChange w:id="4806" w:author="Author">
              <w:tcPr>
                <w:tcW w:w="5000" w:type="pct"/>
                <w:gridSpan w:val="14"/>
              </w:tcPr>
            </w:tcPrChange>
          </w:tcPr>
          <w:p>
            <w:pPr>
              <w:pStyle w:val="Standard"/>
              <w:keepNext/>
              <w:suppressAutoHyphens/>
              <w:rPr>
                <w:rFonts w:eastAsia="SimSun"/>
                <w:b/>
                <w:noProof/>
                <w:sz w:val="18"/>
                <w:szCs w:val="18"/>
                <w:lang w:val="it-IT" w:eastAsia="zh-CN"/>
              </w:rPr>
              <w:pPrChange w:id="4807" w:author="Author">
                <w:pPr>
                  <w:pStyle w:val="Standard"/>
                  <w:keepNext/>
                  <w:keepLines/>
                  <w:spacing w:before="50" w:after="50" w:line="240" w:lineRule="exact"/>
                </w:pPr>
              </w:pPrChange>
            </w:pPr>
            <w:del w:id="4808" w:author="Author">
              <w:r>
                <w:rPr>
                  <w:rFonts w:eastAsia="SimSun"/>
                  <w:b/>
                  <w:noProof/>
                  <w:sz w:val="18"/>
                  <w:szCs w:val="18"/>
                  <w:lang w:val="it-IT" w:eastAsia="zh-CN"/>
                </w:rPr>
                <w:delText xml:space="preserve"> </w:delText>
              </w:r>
            </w:del>
            <w:r>
              <w:rPr>
                <w:b/>
                <w:noProof/>
                <w:sz w:val="18"/>
                <w:szCs w:val="18"/>
                <w:lang w:val="it-IT"/>
              </w:rPr>
              <w:t>Endpoint esplorativi</w:t>
            </w:r>
          </w:p>
        </w:tc>
      </w:tr>
      <w:tr>
        <w:trPr>
          <w:cantSplit/>
          <w:trPrChange w:id="4809" w:author="Author">
            <w:trPr>
              <w:cantSplit/>
            </w:trPr>
          </w:trPrChange>
        </w:trPr>
        <w:tc>
          <w:tcPr>
            <w:tcW w:w="2135" w:type="pct"/>
            <w:tcMar>
              <w:top w:w="0" w:type="dxa"/>
              <w:left w:w="57" w:type="dxa"/>
              <w:bottom w:w="0" w:type="dxa"/>
              <w:right w:w="57" w:type="dxa"/>
            </w:tcMar>
            <w:tcPrChange w:id="4810" w:author="Author">
              <w:tcPr>
                <w:tcW w:w="2099" w:type="pct"/>
                <w:gridSpan w:val="2"/>
                <w:tcMar>
                  <w:top w:w="0" w:type="dxa"/>
                  <w:left w:w="57" w:type="dxa"/>
                  <w:bottom w:w="0" w:type="dxa"/>
                  <w:right w:w="57" w:type="dxa"/>
                </w:tcMar>
              </w:tcPr>
            </w:tcPrChange>
          </w:tcPr>
          <w:p>
            <w:pPr>
              <w:pStyle w:val="Standard"/>
              <w:keepNext/>
              <w:suppressAutoHyphens/>
              <w:rPr>
                <w:rFonts w:eastAsia="SimSun"/>
                <w:noProof/>
                <w:sz w:val="18"/>
                <w:szCs w:val="18"/>
                <w:lang w:val="it-IT" w:eastAsia="zh-CN"/>
              </w:rPr>
              <w:pPrChange w:id="4811" w:author="Author">
                <w:pPr>
                  <w:pStyle w:val="Standard"/>
                  <w:keepNext/>
                  <w:keepLines/>
                  <w:spacing w:before="50" w:after="50" w:line="240" w:lineRule="exact"/>
                  <w:ind w:right="-279"/>
                </w:pPr>
              </w:pPrChange>
            </w:pPr>
            <w:r>
              <w:rPr>
                <w:noProof/>
                <w:sz w:val="18"/>
                <w:szCs w:val="18"/>
                <w:lang w:val="it-IT"/>
              </w:rPr>
              <w:t>Tasso di recidiva annualizzato, settimana 52</w:t>
            </w:r>
            <w:r>
              <w:rPr>
                <w:noProof/>
                <w:sz w:val="18"/>
                <w:szCs w:val="18"/>
                <w:vertAlign w:val="superscript"/>
                <w:lang w:val="it-IT"/>
              </w:rPr>
              <w:t>§</w:t>
            </w:r>
          </w:p>
          <w:p>
            <w:pPr>
              <w:pStyle w:val="Standard"/>
              <w:keepNext/>
              <w:suppressAutoHyphens/>
              <w:rPr>
                <w:del w:id="4812" w:author="Author"/>
                <w:rFonts w:eastAsia="SimSun"/>
                <w:noProof/>
                <w:sz w:val="18"/>
                <w:szCs w:val="18"/>
                <w:lang w:val="it-IT" w:eastAsia="zh-CN"/>
              </w:rPr>
              <w:pPrChange w:id="4813" w:author="Author">
                <w:pPr>
                  <w:pStyle w:val="Standard"/>
                  <w:keepNext/>
                  <w:keepLines/>
                  <w:spacing w:before="50" w:after="50" w:line="240" w:lineRule="exact"/>
                </w:pPr>
              </w:pPrChange>
            </w:pPr>
            <w:r>
              <w:rPr>
                <w:rFonts w:eastAsia="SimSun"/>
                <w:noProof/>
                <w:sz w:val="18"/>
                <w:szCs w:val="18"/>
                <w:lang w:val="it-IT" w:eastAsia="zh-CN"/>
              </w:rPr>
              <w:t xml:space="preserve">               </w:t>
            </w:r>
          </w:p>
          <w:p>
            <w:pPr>
              <w:pStyle w:val="Standard"/>
              <w:keepNext/>
              <w:suppressAutoHyphens/>
              <w:rPr>
                <w:rFonts w:eastAsia="SimSun"/>
                <w:noProof/>
                <w:sz w:val="18"/>
                <w:szCs w:val="18"/>
                <w:lang w:val="it-IT" w:eastAsia="zh-CN"/>
              </w:rPr>
              <w:pPrChange w:id="4814" w:author="Author">
                <w:pPr>
                  <w:pStyle w:val="Standard"/>
                  <w:keepNext/>
                  <w:keepLines/>
                  <w:spacing w:before="50" w:after="50" w:line="240" w:lineRule="exact"/>
                </w:pPr>
              </w:pPrChange>
            </w:pPr>
            <w:r>
              <w:rPr>
                <w:rFonts w:eastAsia="SimSun"/>
                <w:noProof/>
                <w:sz w:val="18"/>
                <w:szCs w:val="18"/>
                <w:lang w:val="it-IT" w:eastAsia="zh-CN"/>
              </w:rPr>
              <w:t xml:space="preserve">  </w:t>
            </w:r>
            <w:r>
              <w:rPr>
                <w:noProof/>
                <w:sz w:val="18"/>
                <w:szCs w:val="18"/>
                <w:lang w:val="it-IT"/>
              </w:rPr>
              <w:t>Media (DS)</w:t>
            </w:r>
          </w:p>
        </w:tc>
        <w:tc>
          <w:tcPr>
            <w:tcW w:w="682" w:type="pct"/>
            <w:tcMar>
              <w:top w:w="0" w:type="dxa"/>
              <w:left w:w="57" w:type="dxa"/>
              <w:bottom w:w="0" w:type="dxa"/>
              <w:right w:w="57" w:type="dxa"/>
            </w:tcMar>
            <w:vAlign w:val="center"/>
            <w:tcPrChange w:id="4815" w:author="Author">
              <w:tcPr>
                <w:tcW w:w="689" w:type="pct"/>
                <w:gridSpan w:val="2"/>
                <w:tcMar>
                  <w:top w:w="0" w:type="dxa"/>
                  <w:left w:w="57" w:type="dxa"/>
                  <w:bottom w:w="0" w:type="dxa"/>
                  <w:right w:w="57" w:type="dxa"/>
                </w:tcMar>
                <w:vAlign w:val="center"/>
              </w:tcPr>
            </w:tcPrChange>
          </w:tcPr>
          <w:p>
            <w:pPr>
              <w:keepNext/>
              <w:suppressAutoHyphens/>
              <w:jc w:val="center"/>
              <w:rPr>
                <w:rFonts w:eastAsia="SimSun"/>
                <w:noProof/>
                <w:sz w:val="18"/>
                <w:szCs w:val="18"/>
                <w:lang w:val="it-IT" w:eastAsia="zh-CN"/>
              </w:rPr>
              <w:pPrChange w:id="4816" w:author="Author">
                <w:pPr>
                  <w:keepNext/>
                  <w:keepLines/>
                  <w:spacing w:before="50" w:after="50" w:line="240" w:lineRule="exact"/>
                  <w:jc w:val="center"/>
                </w:pPr>
              </w:pPrChange>
            </w:pPr>
          </w:p>
          <w:p>
            <w:pPr>
              <w:keepNext/>
              <w:suppressAutoHyphens/>
              <w:jc w:val="center"/>
              <w:rPr>
                <w:rFonts w:eastAsia="SimSun"/>
                <w:noProof/>
                <w:sz w:val="18"/>
                <w:szCs w:val="18"/>
                <w:lang w:val="it-IT"/>
              </w:rPr>
              <w:pPrChange w:id="4817" w:author="Author">
                <w:pPr>
                  <w:keepNext/>
                  <w:keepLines/>
                  <w:spacing w:before="50" w:after="50" w:line="240" w:lineRule="exact"/>
                  <w:jc w:val="center"/>
                </w:pPr>
              </w:pPrChange>
            </w:pPr>
            <w:r>
              <w:rPr>
                <w:noProof/>
                <w:sz w:val="18"/>
                <w:szCs w:val="18"/>
                <w:lang w:val="it-IT"/>
              </w:rPr>
              <w:t xml:space="preserve">1,74 </w:t>
            </w:r>
          </w:p>
          <w:p>
            <w:pPr>
              <w:pStyle w:val="Standard"/>
              <w:keepNext/>
              <w:suppressAutoHyphens/>
              <w:jc w:val="center"/>
              <w:rPr>
                <w:rFonts w:eastAsia="SimSun"/>
                <w:noProof/>
                <w:sz w:val="18"/>
                <w:szCs w:val="18"/>
                <w:lang w:val="it-IT" w:eastAsia="zh-CN"/>
              </w:rPr>
              <w:pPrChange w:id="4818" w:author="Author">
                <w:pPr>
                  <w:pStyle w:val="Standard"/>
                  <w:keepNext/>
                  <w:keepLines/>
                  <w:spacing w:before="50" w:after="50" w:line="240" w:lineRule="exact"/>
                  <w:jc w:val="center"/>
                </w:pPr>
              </w:pPrChange>
            </w:pPr>
            <w:r>
              <w:rPr>
                <w:noProof/>
                <w:sz w:val="18"/>
                <w:szCs w:val="18"/>
                <w:lang w:val="it-IT"/>
              </w:rPr>
              <w:t>(2,18)</w:t>
            </w:r>
          </w:p>
        </w:tc>
        <w:tc>
          <w:tcPr>
            <w:tcW w:w="670" w:type="pct"/>
            <w:gridSpan w:val="2"/>
            <w:tcMar>
              <w:top w:w="0" w:type="dxa"/>
              <w:left w:w="57" w:type="dxa"/>
              <w:bottom w:w="0" w:type="dxa"/>
              <w:right w:w="57" w:type="dxa"/>
            </w:tcMar>
            <w:vAlign w:val="center"/>
            <w:tcPrChange w:id="4819" w:author="Author">
              <w:tcPr>
                <w:tcW w:w="690" w:type="pct"/>
                <w:gridSpan w:val="3"/>
                <w:tcMar>
                  <w:top w:w="0" w:type="dxa"/>
                  <w:left w:w="57" w:type="dxa"/>
                  <w:bottom w:w="0" w:type="dxa"/>
                  <w:right w:w="57" w:type="dxa"/>
                </w:tcMar>
                <w:vAlign w:val="center"/>
              </w:tcPr>
            </w:tcPrChange>
          </w:tcPr>
          <w:p>
            <w:pPr>
              <w:keepNext/>
              <w:suppressAutoHyphens/>
              <w:jc w:val="center"/>
              <w:rPr>
                <w:rFonts w:eastAsia="SimSun"/>
                <w:noProof/>
                <w:sz w:val="18"/>
                <w:szCs w:val="18"/>
                <w:lang w:val="it-IT" w:eastAsia="zh-CN"/>
              </w:rPr>
              <w:pPrChange w:id="4820" w:author="Author">
                <w:pPr>
                  <w:keepNext/>
                  <w:keepLines/>
                  <w:spacing w:before="50" w:after="50" w:line="240" w:lineRule="exact"/>
                  <w:jc w:val="center"/>
                </w:pPr>
              </w:pPrChange>
            </w:pPr>
          </w:p>
          <w:p>
            <w:pPr>
              <w:keepNext/>
              <w:suppressAutoHyphens/>
              <w:jc w:val="center"/>
              <w:rPr>
                <w:rFonts w:eastAsia="SimSun"/>
                <w:noProof/>
                <w:sz w:val="18"/>
                <w:szCs w:val="18"/>
                <w:lang w:val="it-IT"/>
              </w:rPr>
              <w:pPrChange w:id="4821" w:author="Author">
                <w:pPr>
                  <w:keepNext/>
                  <w:keepLines/>
                  <w:spacing w:before="50" w:after="50" w:line="240" w:lineRule="exact"/>
                  <w:jc w:val="center"/>
                </w:pPr>
              </w:pPrChange>
            </w:pPr>
            <w:r>
              <w:rPr>
                <w:noProof/>
                <w:sz w:val="18"/>
                <w:szCs w:val="18"/>
                <w:lang w:val="it-IT"/>
              </w:rPr>
              <w:t xml:space="preserve">1,30 </w:t>
            </w:r>
          </w:p>
          <w:p>
            <w:pPr>
              <w:pStyle w:val="Standard"/>
              <w:keepNext/>
              <w:suppressAutoHyphens/>
              <w:jc w:val="center"/>
              <w:rPr>
                <w:rFonts w:eastAsia="SimSun"/>
                <w:noProof/>
                <w:sz w:val="18"/>
                <w:szCs w:val="18"/>
                <w:lang w:val="it-IT" w:eastAsia="zh-CN"/>
              </w:rPr>
              <w:pPrChange w:id="4822" w:author="Author">
                <w:pPr>
                  <w:pStyle w:val="Standard"/>
                  <w:keepNext/>
                  <w:keepLines/>
                  <w:spacing w:before="50" w:after="50" w:line="240" w:lineRule="exact"/>
                  <w:jc w:val="center"/>
                </w:pPr>
              </w:pPrChange>
            </w:pPr>
            <w:r>
              <w:rPr>
                <w:noProof/>
                <w:sz w:val="18"/>
                <w:szCs w:val="18"/>
                <w:lang w:val="it-IT"/>
              </w:rPr>
              <w:t>(1,84)</w:t>
            </w:r>
          </w:p>
        </w:tc>
        <w:tc>
          <w:tcPr>
            <w:tcW w:w="725" w:type="pct"/>
            <w:vAlign w:val="center"/>
            <w:tcPrChange w:id="4823" w:author="Author">
              <w:tcPr>
                <w:tcW w:w="826" w:type="pct"/>
                <w:gridSpan w:val="5"/>
                <w:vAlign w:val="center"/>
              </w:tcPr>
            </w:tcPrChange>
          </w:tcPr>
          <w:p>
            <w:pPr>
              <w:keepNext/>
              <w:suppressAutoHyphens/>
              <w:jc w:val="center"/>
              <w:rPr>
                <w:rFonts w:eastAsia="SimSun"/>
                <w:noProof/>
                <w:sz w:val="18"/>
                <w:szCs w:val="18"/>
                <w:lang w:val="it-IT" w:eastAsia="zh-CN"/>
              </w:rPr>
              <w:pPrChange w:id="4824" w:author="Author">
                <w:pPr>
                  <w:keepNext/>
                  <w:keepLines/>
                  <w:spacing w:before="50" w:after="50" w:line="240" w:lineRule="exact"/>
                  <w:jc w:val="center"/>
                </w:pPr>
              </w:pPrChange>
            </w:pPr>
          </w:p>
          <w:p>
            <w:pPr>
              <w:keepNext/>
              <w:suppressAutoHyphens/>
              <w:jc w:val="center"/>
              <w:rPr>
                <w:rFonts w:eastAsia="SimSun"/>
                <w:noProof/>
                <w:sz w:val="18"/>
                <w:szCs w:val="18"/>
                <w:lang w:val="it-IT"/>
              </w:rPr>
              <w:pPrChange w:id="4825" w:author="Author">
                <w:pPr>
                  <w:keepNext/>
                  <w:keepLines/>
                  <w:spacing w:before="50" w:after="50" w:line="240" w:lineRule="exact"/>
                  <w:jc w:val="center"/>
                </w:pPr>
              </w:pPrChange>
            </w:pPr>
            <w:r>
              <w:rPr>
                <w:noProof/>
                <w:sz w:val="18"/>
                <w:szCs w:val="18"/>
                <w:lang w:val="it-IT"/>
              </w:rPr>
              <w:t>0,41</w:t>
            </w:r>
          </w:p>
          <w:p>
            <w:pPr>
              <w:pStyle w:val="Standard"/>
              <w:keepNext/>
              <w:suppressAutoHyphens/>
              <w:jc w:val="center"/>
              <w:rPr>
                <w:rFonts w:eastAsia="SimSun"/>
                <w:noProof/>
                <w:sz w:val="18"/>
                <w:szCs w:val="18"/>
                <w:lang w:val="it-IT" w:eastAsia="zh-CN"/>
              </w:rPr>
              <w:pPrChange w:id="4826" w:author="Author">
                <w:pPr>
                  <w:pStyle w:val="Standard"/>
                  <w:keepNext/>
                  <w:keepLines/>
                  <w:spacing w:before="50" w:after="50" w:line="240" w:lineRule="exact"/>
                  <w:jc w:val="center"/>
                </w:pPr>
              </w:pPrChange>
            </w:pPr>
            <w:r>
              <w:rPr>
                <w:noProof/>
                <w:sz w:val="18"/>
                <w:szCs w:val="18"/>
                <w:lang w:val="it-IT"/>
              </w:rPr>
              <w:t xml:space="preserve"> (0,78)</w:t>
            </w:r>
          </w:p>
        </w:tc>
        <w:tc>
          <w:tcPr>
            <w:tcW w:w="787" w:type="pct"/>
            <w:tcMar>
              <w:top w:w="0" w:type="dxa"/>
              <w:left w:w="57" w:type="dxa"/>
              <w:bottom w:w="0" w:type="dxa"/>
              <w:right w:w="57" w:type="dxa"/>
            </w:tcMar>
            <w:vAlign w:val="center"/>
            <w:tcPrChange w:id="4827" w:author="Author">
              <w:tcPr>
                <w:tcW w:w="696" w:type="pct"/>
                <w:gridSpan w:val="2"/>
                <w:tcMar>
                  <w:top w:w="0" w:type="dxa"/>
                  <w:left w:w="57" w:type="dxa"/>
                  <w:bottom w:w="0" w:type="dxa"/>
                  <w:right w:w="57" w:type="dxa"/>
                </w:tcMar>
                <w:vAlign w:val="center"/>
              </w:tcPr>
            </w:tcPrChange>
          </w:tcPr>
          <w:p>
            <w:pPr>
              <w:keepNext/>
              <w:suppressAutoHyphens/>
              <w:jc w:val="center"/>
              <w:rPr>
                <w:rFonts w:eastAsia="SimSun"/>
                <w:noProof/>
                <w:sz w:val="18"/>
                <w:szCs w:val="18"/>
                <w:lang w:val="it-IT" w:eastAsia="zh-CN"/>
              </w:rPr>
              <w:pPrChange w:id="4828" w:author="Author">
                <w:pPr>
                  <w:keepNext/>
                  <w:keepLines/>
                  <w:spacing w:before="50" w:after="50" w:line="240" w:lineRule="exact"/>
                  <w:jc w:val="center"/>
                </w:pPr>
              </w:pPrChange>
            </w:pPr>
          </w:p>
          <w:p>
            <w:pPr>
              <w:keepNext/>
              <w:suppressAutoHyphens/>
              <w:jc w:val="center"/>
              <w:rPr>
                <w:rFonts w:eastAsia="SimSun"/>
                <w:noProof/>
                <w:sz w:val="18"/>
                <w:szCs w:val="18"/>
                <w:lang w:val="it-IT"/>
              </w:rPr>
              <w:pPrChange w:id="4829" w:author="Author">
                <w:pPr>
                  <w:keepNext/>
                  <w:keepLines/>
                  <w:spacing w:before="50" w:after="50" w:line="240" w:lineRule="exact"/>
                  <w:jc w:val="center"/>
                </w:pPr>
              </w:pPrChange>
            </w:pPr>
            <w:r>
              <w:rPr>
                <w:noProof/>
                <w:sz w:val="18"/>
                <w:szCs w:val="18"/>
                <w:lang w:val="it-IT"/>
              </w:rPr>
              <w:t>0,67</w:t>
            </w:r>
          </w:p>
          <w:p>
            <w:pPr>
              <w:pStyle w:val="Standard"/>
              <w:keepNext/>
              <w:suppressAutoHyphens/>
              <w:jc w:val="center"/>
              <w:rPr>
                <w:rFonts w:eastAsia="SimSun"/>
                <w:noProof/>
                <w:sz w:val="18"/>
                <w:szCs w:val="18"/>
                <w:lang w:val="it-IT" w:eastAsia="zh-CN"/>
              </w:rPr>
              <w:pPrChange w:id="4830" w:author="Author">
                <w:pPr>
                  <w:pStyle w:val="Standard"/>
                  <w:keepNext/>
                  <w:keepLines/>
                  <w:spacing w:before="50" w:after="50" w:line="240" w:lineRule="exact"/>
                  <w:jc w:val="center"/>
                </w:pPr>
              </w:pPrChange>
            </w:pPr>
            <w:r>
              <w:rPr>
                <w:noProof/>
                <w:sz w:val="18"/>
                <w:szCs w:val="18"/>
                <w:lang w:val="it-IT"/>
              </w:rPr>
              <w:t xml:space="preserve"> (1,10)</w:t>
            </w:r>
          </w:p>
        </w:tc>
      </w:tr>
    </w:tbl>
    <w:p>
      <w:pPr>
        <w:jc w:val="both"/>
        <w:rPr>
          <w:noProof/>
          <w:sz w:val="18"/>
          <w:szCs w:val="18"/>
          <w:lang w:val="it-IT"/>
        </w:rPr>
        <w:pPrChange w:id="4831" w:author="Author">
          <w:pPr>
            <w:keepNext/>
            <w:keepLines/>
            <w:jc w:val="both"/>
          </w:pPr>
        </w:pPrChange>
      </w:pPr>
      <w:r>
        <w:rPr>
          <w:noProof/>
          <w:sz w:val="18"/>
          <w:szCs w:val="18"/>
          <w:lang w:val="it-IT"/>
        </w:rPr>
        <w:t>*</w:t>
      </w:r>
      <w:del w:id="4832" w:author="Author">
        <w:r>
          <w:rPr>
            <w:noProof/>
            <w:sz w:val="18"/>
            <w:szCs w:val="18"/>
            <w:lang w:val="it-IT"/>
          </w:rPr>
          <w:delText xml:space="preserve"> </w:delText>
        </w:r>
      </w:del>
      <w:r>
        <w:rPr>
          <w:noProof/>
          <w:sz w:val="18"/>
          <w:szCs w:val="18"/>
          <w:lang w:val="it-IT"/>
        </w:rPr>
        <w:t xml:space="preserve"> p &lt; 0,0001</w:t>
      </w:r>
    </w:p>
    <w:p>
      <w:pPr>
        <w:jc w:val="both"/>
        <w:rPr>
          <w:noProof/>
          <w:sz w:val="18"/>
          <w:szCs w:val="18"/>
          <w:lang w:val="it-IT"/>
        </w:rPr>
        <w:pPrChange w:id="4833" w:author="Author">
          <w:pPr>
            <w:keepNext/>
            <w:keepLines/>
            <w:jc w:val="both"/>
          </w:pPr>
        </w:pPrChange>
      </w:pPr>
      <w:r>
        <w:rPr>
          <w:noProof/>
          <w:sz w:val="18"/>
          <w:szCs w:val="18"/>
          <w:lang w:val="it-IT"/>
        </w:rPr>
        <w:t>** p &lt;0,005 (soglia di significatività per i test di superiorità primari e secondari principali)</w:t>
      </w:r>
    </w:p>
    <w:p>
      <w:pPr>
        <w:jc w:val="both"/>
        <w:rPr>
          <w:noProof/>
          <w:sz w:val="18"/>
          <w:szCs w:val="18"/>
          <w:u w:val="single"/>
          <w:lang w:val="it-IT"/>
        </w:rPr>
        <w:pPrChange w:id="4834" w:author="Author">
          <w:pPr>
            <w:keepNext/>
            <w:keepLines/>
            <w:jc w:val="both"/>
          </w:pPr>
        </w:pPrChange>
      </w:pPr>
      <w:r>
        <w:rPr>
          <w:noProof/>
          <w:sz w:val="18"/>
          <w:szCs w:val="18"/>
          <w:lang w:val="it-IT"/>
        </w:rPr>
        <w:t xml:space="preserve">***Valore p descrittivo </w:t>
      </w:r>
      <w:r>
        <w:rPr>
          <w:noProof/>
          <w:sz w:val="18"/>
          <w:szCs w:val="18"/>
          <w:lang w:val="it-IT"/>
          <w:rPrChange w:id="4835" w:author="Author">
            <w:rPr>
              <w:sz w:val="18"/>
              <w:szCs w:val="18"/>
              <w:u w:val="single"/>
              <w:lang w:val="it-IT"/>
            </w:rPr>
          </w:rPrChange>
        </w:rPr>
        <w:t>&lt; 0,005</w:t>
      </w:r>
    </w:p>
    <w:p>
      <w:pPr>
        <w:jc w:val="both"/>
        <w:rPr>
          <w:noProof/>
          <w:sz w:val="18"/>
          <w:szCs w:val="18"/>
          <w:lang w:val="it-IT"/>
        </w:rPr>
        <w:pPrChange w:id="4836" w:author="Author">
          <w:pPr>
            <w:keepNext/>
            <w:keepLines/>
            <w:jc w:val="both"/>
          </w:pPr>
        </w:pPrChange>
      </w:pPr>
      <w:r>
        <w:rPr>
          <w:noProof/>
          <w:sz w:val="18"/>
          <w:szCs w:val="18"/>
          <w:lang w:val="it-IT"/>
        </w:rPr>
        <w:t>****Riacutizzazione: ripresentazione di segni o sintomi di ACG e/o VES ≥ 30 mm/h – Richiesto aumento della dose di prednisone</w:t>
      </w:r>
    </w:p>
    <w:p>
      <w:pPr>
        <w:jc w:val="both"/>
        <w:rPr>
          <w:noProof/>
          <w:sz w:val="18"/>
          <w:szCs w:val="18"/>
          <w:lang w:val="it-IT"/>
        </w:rPr>
        <w:pPrChange w:id="4837" w:author="Author">
          <w:pPr>
            <w:keepNext/>
            <w:keepLines/>
            <w:jc w:val="both"/>
          </w:pPr>
        </w:pPrChange>
      </w:pPr>
      <w:r>
        <w:rPr>
          <w:noProof/>
          <w:sz w:val="18"/>
          <w:szCs w:val="18"/>
          <w:lang w:val="it-IT"/>
        </w:rPr>
        <w:t>Remissione: assenza di riacutizzazione e normalizzazione della PCR</w:t>
      </w:r>
    </w:p>
    <w:p>
      <w:pPr>
        <w:keepNext/>
        <w:jc w:val="both"/>
        <w:rPr>
          <w:noProof/>
          <w:sz w:val="18"/>
          <w:szCs w:val="18"/>
          <w:lang w:val="it-IT"/>
        </w:rPr>
        <w:pPrChange w:id="4838" w:author="Author">
          <w:pPr>
            <w:keepNext/>
            <w:keepLines/>
            <w:jc w:val="both"/>
          </w:pPr>
        </w:pPrChange>
      </w:pPr>
      <w:r>
        <w:rPr>
          <w:noProof/>
          <w:sz w:val="18"/>
          <w:szCs w:val="18"/>
          <w:lang w:val="it-IT"/>
        </w:rPr>
        <w:t>Remissione sostenuta: remissione dalla settimana 12 alla settimana 52 – I pazienti devono aderire alla riduzione graduale di prednisone definita dal protocollo.</w:t>
      </w:r>
    </w:p>
    <w:p>
      <w:pPr>
        <w:jc w:val="both"/>
        <w:rPr>
          <w:noProof/>
          <w:sz w:val="18"/>
          <w:szCs w:val="18"/>
          <w:lang w:val="it-IT"/>
        </w:rPr>
        <w:pPrChange w:id="4839" w:author="Author">
          <w:pPr>
            <w:keepNext/>
            <w:keepLines/>
            <w:jc w:val="both"/>
          </w:pPr>
        </w:pPrChange>
      </w:pPr>
      <w:r>
        <w:rPr>
          <w:noProof/>
          <w:sz w:val="18"/>
          <w:szCs w:val="18"/>
          <w:lang w:val="it-IT"/>
        </w:rPr>
        <w:t>¹ Analisi del tempo (espresso in giorni) che intercorre tra la remissione clinica e la prima riacutizzazione della malattia</w:t>
      </w:r>
    </w:p>
    <w:p>
      <w:pPr>
        <w:jc w:val="both"/>
        <w:rPr>
          <w:noProof/>
          <w:sz w:val="18"/>
          <w:szCs w:val="18"/>
          <w:lang w:val="it-IT"/>
        </w:rPr>
        <w:pPrChange w:id="4840" w:author="Author">
          <w:pPr>
            <w:keepNext/>
            <w:keepLines/>
            <w:jc w:val="both"/>
          </w:pPr>
        </w:pPrChange>
      </w:pPr>
      <w:r>
        <w:rPr>
          <w:noProof/>
          <w:sz w:val="18"/>
          <w:szCs w:val="18"/>
          <w:vertAlign w:val="superscript"/>
          <w:lang w:val="it-IT"/>
        </w:rPr>
        <w:t>2</w:t>
      </w:r>
      <w:r>
        <w:rPr>
          <w:noProof/>
          <w:sz w:val="18"/>
          <w:szCs w:val="18"/>
          <w:lang w:val="it-IT"/>
        </w:rPr>
        <w:t xml:space="preserve"> I valori p sono determinati utilizzando un’analisi di Van Elteren per i dati non parametrici</w:t>
      </w:r>
    </w:p>
    <w:p>
      <w:pPr>
        <w:jc w:val="both"/>
        <w:rPr>
          <w:noProof/>
          <w:sz w:val="18"/>
          <w:szCs w:val="18"/>
          <w:lang w:val="it-IT"/>
        </w:rPr>
        <w:pPrChange w:id="4841" w:author="Author">
          <w:pPr>
            <w:keepNext/>
            <w:keepLines/>
            <w:jc w:val="both"/>
          </w:pPr>
        </w:pPrChange>
      </w:pPr>
      <w:r>
        <w:rPr>
          <w:noProof/>
          <w:sz w:val="18"/>
          <w:szCs w:val="18"/>
          <w:vertAlign w:val="superscript"/>
          <w:lang w:val="it-IT"/>
        </w:rPr>
        <w:t>§</w:t>
      </w:r>
      <w:r>
        <w:rPr>
          <w:noProof/>
          <w:sz w:val="18"/>
          <w:szCs w:val="18"/>
          <w:lang w:val="it-IT"/>
        </w:rPr>
        <w:t xml:space="preserve"> L’analisi statistica non è stata eseguita</w:t>
      </w:r>
    </w:p>
    <w:p>
      <w:pPr>
        <w:jc w:val="both"/>
        <w:rPr>
          <w:noProof/>
          <w:sz w:val="18"/>
          <w:szCs w:val="18"/>
          <w:lang w:val="it-IT"/>
        </w:rPr>
        <w:pPrChange w:id="4842" w:author="Author">
          <w:pPr>
            <w:keepNext/>
            <w:keepLines/>
            <w:jc w:val="both"/>
          </w:pPr>
        </w:pPrChange>
      </w:pPr>
      <w:r>
        <w:rPr>
          <w:noProof/>
          <w:sz w:val="18"/>
          <w:szCs w:val="18"/>
          <w:lang w:val="it-IT"/>
        </w:rPr>
        <w:t>N/A</w:t>
      </w:r>
      <w:del w:id="4843" w:author="Author">
        <w:r>
          <w:rPr>
            <w:noProof/>
            <w:sz w:val="18"/>
            <w:szCs w:val="18"/>
            <w:lang w:val="it-IT"/>
          </w:rPr>
          <w:delText xml:space="preserve"> </w:delText>
        </w:r>
      </w:del>
      <w:ins w:id="4844" w:author="Author">
        <w:r>
          <w:rPr>
            <w:noProof/>
            <w:sz w:val="18"/>
            <w:szCs w:val="18"/>
            <w:lang w:val="it-IT"/>
          </w:rPr>
          <w:t> </w:t>
        </w:r>
      </w:ins>
      <w:r>
        <w:rPr>
          <w:noProof/>
          <w:sz w:val="18"/>
          <w:szCs w:val="18"/>
          <w:lang w:val="it-IT"/>
        </w:rPr>
        <w:t>=</w:t>
      </w:r>
      <w:ins w:id="4845" w:author="Author">
        <w:r>
          <w:rPr>
            <w:noProof/>
            <w:sz w:val="18"/>
            <w:szCs w:val="18"/>
            <w:lang w:val="it-IT"/>
          </w:rPr>
          <w:t> </w:t>
        </w:r>
      </w:ins>
      <w:del w:id="4846" w:author="Author">
        <w:r>
          <w:rPr>
            <w:noProof/>
            <w:sz w:val="18"/>
            <w:szCs w:val="18"/>
            <w:lang w:val="it-IT"/>
          </w:rPr>
          <w:delText xml:space="preserve"> </w:delText>
        </w:r>
      </w:del>
      <w:r>
        <w:rPr>
          <w:noProof/>
          <w:sz w:val="18"/>
          <w:szCs w:val="18"/>
          <w:lang w:val="it-IT"/>
        </w:rPr>
        <w:t>non applicabile</w:t>
      </w:r>
    </w:p>
    <w:p>
      <w:pPr>
        <w:jc w:val="both"/>
        <w:rPr>
          <w:noProof/>
          <w:sz w:val="18"/>
          <w:szCs w:val="18"/>
          <w:lang w:val="it-IT"/>
        </w:rPr>
        <w:pPrChange w:id="4847" w:author="Author">
          <w:pPr>
            <w:keepNext/>
            <w:keepLines/>
            <w:jc w:val="both"/>
          </w:pPr>
        </w:pPrChange>
      </w:pPr>
      <w:r>
        <w:rPr>
          <w:noProof/>
          <w:sz w:val="18"/>
          <w:szCs w:val="18"/>
          <w:lang w:val="it-IT"/>
        </w:rPr>
        <w:t>HR</w:t>
      </w:r>
      <w:del w:id="4848" w:author="Author">
        <w:r>
          <w:rPr>
            <w:noProof/>
            <w:sz w:val="18"/>
            <w:szCs w:val="18"/>
            <w:lang w:val="it-IT"/>
          </w:rPr>
          <w:delText xml:space="preserve"> </w:delText>
        </w:r>
      </w:del>
      <w:ins w:id="4849" w:author="Author">
        <w:r>
          <w:rPr>
            <w:noProof/>
            <w:sz w:val="18"/>
            <w:szCs w:val="18"/>
            <w:lang w:val="it-IT"/>
          </w:rPr>
          <w:t> </w:t>
        </w:r>
      </w:ins>
      <w:r>
        <w:rPr>
          <w:noProof/>
          <w:sz w:val="18"/>
          <w:szCs w:val="18"/>
          <w:lang w:val="it-IT"/>
        </w:rPr>
        <w:t>=</w:t>
      </w:r>
      <w:ins w:id="4850" w:author="Author">
        <w:r>
          <w:rPr>
            <w:noProof/>
            <w:sz w:val="18"/>
            <w:szCs w:val="18"/>
            <w:lang w:val="it-IT"/>
          </w:rPr>
          <w:t> </w:t>
        </w:r>
      </w:ins>
      <w:del w:id="4851" w:author="Author">
        <w:r>
          <w:rPr>
            <w:noProof/>
            <w:sz w:val="18"/>
            <w:szCs w:val="18"/>
            <w:lang w:val="it-IT"/>
          </w:rPr>
          <w:delText xml:space="preserve"> </w:delText>
        </w:r>
      </w:del>
      <w:r>
        <w:rPr>
          <w:noProof/>
          <w:sz w:val="18"/>
          <w:szCs w:val="18"/>
          <w:lang w:val="it-IT"/>
        </w:rPr>
        <w:t>hazard ratio</w:t>
      </w:r>
    </w:p>
    <w:p>
      <w:pPr>
        <w:jc w:val="both"/>
        <w:rPr>
          <w:noProof/>
          <w:sz w:val="18"/>
          <w:szCs w:val="18"/>
          <w:lang w:val="it-IT"/>
        </w:rPr>
        <w:pPrChange w:id="4852" w:author="Author">
          <w:pPr>
            <w:keepNext/>
            <w:keepLines/>
            <w:jc w:val="both"/>
          </w:pPr>
        </w:pPrChange>
      </w:pPr>
      <w:r>
        <w:rPr>
          <w:noProof/>
          <w:sz w:val="18"/>
          <w:szCs w:val="18"/>
          <w:lang w:val="it-IT"/>
        </w:rPr>
        <w:t>IC</w:t>
      </w:r>
      <w:del w:id="4853" w:author="Author">
        <w:r>
          <w:rPr>
            <w:noProof/>
            <w:sz w:val="18"/>
            <w:szCs w:val="18"/>
            <w:lang w:val="it-IT"/>
          </w:rPr>
          <w:delText xml:space="preserve"> </w:delText>
        </w:r>
      </w:del>
      <w:ins w:id="4854" w:author="Author">
        <w:r>
          <w:rPr>
            <w:noProof/>
            <w:sz w:val="18"/>
            <w:szCs w:val="18"/>
            <w:lang w:val="it-IT"/>
          </w:rPr>
          <w:t> </w:t>
        </w:r>
      </w:ins>
      <w:r>
        <w:rPr>
          <w:noProof/>
          <w:sz w:val="18"/>
          <w:szCs w:val="18"/>
          <w:lang w:val="it-IT"/>
        </w:rPr>
        <w:t>=</w:t>
      </w:r>
      <w:ins w:id="4855" w:author="Author">
        <w:r>
          <w:rPr>
            <w:noProof/>
            <w:sz w:val="18"/>
            <w:szCs w:val="18"/>
            <w:lang w:val="it-IT"/>
          </w:rPr>
          <w:t> </w:t>
        </w:r>
      </w:ins>
      <w:del w:id="4856" w:author="Author">
        <w:r>
          <w:rPr>
            <w:noProof/>
            <w:sz w:val="18"/>
            <w:szCs w:val="18"/>
            <w:lang w:val="it-IT"/>
          </w:rPr>
          <w:delText xml:space="preserve"> </w:delText>
        </w:r>
      </w:del>
      <w:r>
        <w:rPr>
          <w:noProof/>
          <w:sz w:val="18"/>
          <w:szCs w:val="18"/>
          <w:lang w:val="it-IT"/>
        </w:rPr>
        <w:t>intervallo di confidenza</w:t>
      </w:r>
    </w:p>
    <w:p>
      <w:pPr>
        <w:tabs>
          <w:tab w:val="left" w:pos="180"/>
        </w:tabs>
        <w:rPr>
          <w:noProof/>
          <w:sz w:val="18"/>
          <w:szCs w:val="18"/>
          <w:lang w:val="it-IT"/>
        </w:rPr>
        <w:pPrChange w:id="4857" w:author="Author">
          <w:pPr>
            <w:keepNext/>
            <w:keepLines/>
            <w:tabs>
              <w:tab w:val="left" w:pos="180"/>
            </w:tabs>
          </w:pPr>
        </w:pPrChange>
      </w:pPr>
      <w:r>
        <w:rPr>
          <w:noProof/>
          <w:sz w:val="18"/>
          <w:szCs w:val="18"/>
          <w:lang w:val="it-IT"/>
        </w:rPr>
        <w:t>SC</w:t>
      </w:r>
      <w:ins w:id="4858" w:author="Author">
        <w:r>
          <w:rPr>
            <w:noProof/>
            <w:sz w:val="18"/>
            <w:szCs w:val="18"/>
            <w:lang w:val="it-IT"/>
          </w:rPr>
          <w:t> </w:t>
        </w:r>
      </w:ins>
      <w:r>
        <w:rPr>
          <w:noProof/>
          <w:sz w:val="18"/>
          <w:szCs w:val="18"/>
          <w:lang w:val="it-IT"/>
        </w:rPr>
        <w:t>=</w:t>
      </w:r>
      <w:ins w:id="4859" w:author="Author">
        <w:r>
          <w:rPr>
            <w:noProof/>
            <w:sz w:val="18"/>
            <w:szCs w:val="18"/>
            <w:lang w:val="it-IT"/>
          </w:rPr>
          <w:t> </w:t>
        </w:r>
      </w:ins>
      <w:r>
        <w:rPr>
          <w:noProof/>
          <w:sz w:val="18"/>
          <w:szCs w:val="18"/>
          <w:lang w:val="it-IT"/>
        </w:rPr>
        <w:t>sottocutanea</w:t>
      </w:r>
    </w:p>
    <w:p>
      <w:pPr>
        <w:tabs>
          <w:tab w:val="left" w:pos="180"/>
        </w:tabs>
        <w:rPr>
          <w:noProof/>
          <w:szCs w:val="22"/>
          <w:lang w:val="it-IT"/>
          <w:rPrChange w:id="4860" w:author="Author">
            <w:rPr>
              <w:sz w:val="18"/>
              <w:szCs w:val="18"/>
              <w:lang w:val="it-IT"/>
            </w:rPr>
          </w:rPrChange>
        </w:rPr>
        <w:pPrChange w:id="4861" w:author="Author">
          <w:pPr>
            <w:keepNext/>
            <w:keepLines/>
            <w:tabs>
              <w:tab w:val="left" w:pos="180"/>
            </w:tabs>
          </w:pPr>
        </w:pPrChange>
      </w:pPr>
    </w:p>
    <w:p>
      <w:pPr>
        <w:keepNext/>
        <w:keepLines/>
        <w:spacing w:line="280" w:lineRule="atLeast"/>
        <w:jc w:val="both"/>
        <w:rPr>
          <w:del w:id="4862" w:author="Author"/>
          <w:i/>
          <w:noProof/>
          <w:u w:val="single"/>
          <w:lang w:val="it-IT"/>
        </w:rPr>
      </w:pPr>
      <w:r>
        <w:rPr>
          <w:i/>
          <w:noProof/>
          <w:u w:val="single"/>
          <w:lang w:val="it-IT"/>
        </w:rPr>
        <w:lastRenderedPageBreak/>
        <w:t>Esiti correlati alla qualità di vita</w:t>
      </w:r>
    </w:p>
    <w:p>
      <w:pPr>
        <w:keepNext/>
        <w:keepLines/>
        <w:spacing w:line="280" w:lineRule="atLeast"/>
        <w:jc w:val="both"/>
        <w:rPr>
          <w:i/>
          <w:noProof/>
          <w:lang w:val="it-IT" w:eastAsia="de-DE"/>
        </w:rPr>
      </w:pPr>
    </w:p>
    <w:p>
      <w:pPr>
        <w:keepNext/>
        <w:keepLines/>
        <w:rPr>
          <w:noProof/>
          <w:lang w:val="it-IT"/>
        </w:rPr>
      </w:pPr>
      <w:r>
        <w:rPr>
          <w:noProof/>
          <w:lang w:val="it-IT"/>
        </w:rPr>
        <w:t xml:space="preserve">Nello </w:t>
      </w:r>
      <w:del w:id="4863" w:author="Author">
        <w:r>
          <w:rPr>
            <w:noProof/>
            <w:lang w:val="it-IT"/>
          </w:rPr>
          <w:delText xml:space="preserve">studio </w:delText>
        </w:r>
      </w:del>
      <w:ins w:id="4864" w:author="Author">
        <w:r>
          <w:rPr>
            <w:noProof/>
            <w:lang w:val="it-IT"/>
          </w:rPr>
          <w:t xml:space="preserve">Studio </w:t>
        </w:r>
      </w:ins>
      <w:r>
        <w:rPr>
          <w:noProof/>
          <w:lang w:val="it-IT"/>
        </w:rPr>
        <w:t xml:space="preserve">WA28119, i risultati del questionario SF-36 sono stati separati nei punteggi riepilogativi relativi alle componenti fisica e mentale (rispettivamente PCS e MCS). La variazione media della PCS dal basale alla settimana 52 è stata più marcata (a indicare un miglioramento maggiore) nei gruppi tocilizumab </w:t>
      </w:r>
      <w:del w:id="4865" w:author="Author">
        <w:r>
          <w:rPr>
            <w:noProof/>
            <w:lang w:val="it-IT"/>
          </w:rPr>
          <w:delText xml:space="preserve">settimanale </w:delText>
        </w:r>
      </w:del>
      <w:bookmarkStart w:id="4866" w:name="_Hlk224039994"/>
      <w:ins w:id="4867" w:author="Author">
        <w:r>
          <w:rPr>
            <w:noProof/>
            <w:lang w:val="it-IT"/>
          </w:rPr>
          <w:t xml:space="preserve">somministrato una volta a settimana </w:t>
        </w:r>
      </w:ins>
      <w:bookmarkEnd w:id="4866"/>
      <w:r>
        <w:rPr>
          <w:noProof/>
          <w:lang w:val="it-IT"/>
        </w:rPr>
        <w:t xml:space="preserve">e </w:t>
      </w:r>
      <w:del w:id="4868" w:author="Author">
        <w:r>
          <w:rPr>
            <w:noProof/>
            <w:lang w:val="it-IT"/>
          </w:rPr>
          <w:delText>a settimane alterne</w:delText>
        </w:r>
      </w:del>
      <w:ins w:id="4869" w:author="Author">
        <w:r>
          <w:rPr>
            <w:noProof/>
            <w:lang w:val="it-IT"/>
          </w:rPr>
          <w:t>ogni due settimane</w:t>
        </w:r>
      </w:ins>
      <w:r>
        <w:rPr>
          <w:noProof/>
          <w:lang w:val="it-IT"/>
        </w:rPr>
        <w:t xml:space="preserve"> [rispettivamente 4,10 e 2,76] rispetto ai due gruppi placebo [placebo più 26 settimane, -0,28; placebo più 52 settimane, -1,49], sebbene soltanto il confronto tra il gruppo tocilizumab </w:t>
      </w:r>
      <w:ins w:id="4870" w:author="Author">
        <w:r>
          <w:rPr>
            <w:noProof/>
            <w:lang w:val="it-IT"/>
          </w:rPr>
          <w:t xml:space="preserve">somministrato una volta a settimana </w:t>
        </w:r>
      </w:ins>
      <w:del w:id="4871" w:author="Author">
        <w:r>
          <w:rPr>
            <w:noProof/>
            <w:lang w:val="it-IT"/>
          </w:rPr>
          <w:delText xml:space="preserve">settimanale </w:delText>
        </w:r>
      </w:del>
      <w:r>
        <w:rPr>
          <w:noProof/>
          <w:lang w:val="it-IT"/>
        </w:rPr>
        <w:t xml:space="preserve">più 26 settimane di prednisone a scalare e il gruppo placebo più 52 settimane di prednisone a scalare (5,59; IC al 99%: 8,6; 10,32) abbia fatto rilevare una differenza statisticamente significativa (p = 0,0024). Per quanto concerne la componente MCS, la variazione media dal basale alla settimana 52 sia nel gruppo tocilizumab </w:t>
      </w:r>
      <w:del w:id="4872" w:author="Author">
        <w:r>
          <w:rPr>
            <w:noProof/>
            <w:lang w:val="it-IT"/>
          </w:rPr>
          <w:delText xml:space="preserve">settimanale </w:delText>
        </w:r>
      </w:del>
      <w:ins w:id="4873" w:author="Author">
        <w:r>
          <w:rPr>
            <w:noProof/>
            <w:lang w:val="it-IT"/>
          </w:rPr>
          <w:t xml:space="preserve">somministrato una volta a settimana </w:t>
        </w:r>
      </w:ins>
      <w:r>
        <w:rPr>
          <w:noProof/>
          <w:lang w:val="it-IT"/>
        </w:rPr>
        <w:t xml:space="preserve">sia nel gruppo tocilizumab </w:t>
      </w:r>
      <w:del w:id="4874" w:author="Author">
        <w:r>
          <w:rPr>
            <w:noProof/>
            <w:lang w:val="it-IT"/>
          </w:rPr>
          <w:delText>a settimane alterne</w:delText>
        </w:r>
      </w:del>
      <w:ins w:id="4875" w:author="Author">
        <w:r>
          <w:rPr>
            <w:noProof/>
            <w:lang w:val="it-IT"/>
          </w:rPr>
          <w:t>somministrato ogni due settimane</w:t>
        </w:r>
      </w:ins>
      <w:r>
        <w:rPr>
          <w:noProof/>
          <w:lang w:val="it-IT"/>
        </w:rPr>
        <w:t xml:space="preserve"> [rispettivamente 7,28 e 6,12] è stata superiore rispetto al gruppo placebo più 52 settimane di prednisone a scalare [2,84] (sebbene le differenze non siano risultate statisticamente significative [p = 0,0252 per la somministrazione settimanale e p = 0,1468 per la somministrazione </w:t>
      </w:r>
      <w:del w:id="4876" w:author="Author">
        <w:r>
          <w:rPr>
            <w:noProof/>
            <w:lang w:val="it-IT"/>
          </w:rPr>
          <w:delText>a settimane alterne</w:delText>
        </w:r>
      </w:del>
      <w:ins w:id="4877" w:author="Author">
        <w:r>
          <w:rPr>
            <w:noProof/>
            <w:lang w:val="it-IT"/>
          </w:rPr>
          <w:t>ogni due settimane</w:t>
        </w:r>
      </w:ins>
      <w:r>
        <w:rPr>
          <w:noProof/>
          <w:lang w:val="it-IT"/>
        </w:rPr>
        <w:t>]) e simile al gruppo placebo più 26 settimane di prednisone a scalare [6,67].</w:t>
      </w:r>
    </w:p>
    <w:p>
      <w:pPr>
        <w:rPr>
          <w:i/>
          <w:noProof/>
          <w:lang w:val="it-IT" w:eastAsia="de-DE"/>
        </w:rPr>
      </w:pPr>
    </w:p>
    <w:p>
      <w:pPr>
        <w:rPr>
          <w:noProof/>
          <w:lang w:val="it-IT"/>
        </w:rPr>
      </w:pPr>
      <w:r>
        <w:rPr>
          <w:noProof/>
          <w:lang w:val="it-IT"/>
        </w:rPr>
        <w:t xml:space="preserve">La valutazione globale dell’attività di malattia da parte del paziente è stata effettuata su una scala analogica visiva (VAS) da 0 a 100 mm. La variazione media della VAS globale del paziente dal basale alla settimana 52 è stata inferiore (a indicare un miglioramento maggiore) nei gruppi tocilizumab </w:t>
      </w:r>
      <w:ins w:id="4878" w:author="Author">
        <w:r>
          <w:rPr>
            <w:noProof/>
            <w:lang w:val="it-IT"/>
          </w:rPr>
          <w:t xml:space="preserve">somministrato una volta a </w:t>
        </w:r>
      </w:ins>
      <w:r>
        <w:rPr>
          <w:noProof/>
          <w:lang w:val="it-IT"/>
        </w:rPr>
        <w:t>settimana</w:t>
      </w:r>
      <w:del w:id="4879" w:author="Author">
        <w:r>
          <w:rPr>
            <w:noProof/>
            <w:lang w:val="it-IT"/>
          </w:rPr>
          <w:delText>le</w:delText>
        </w:r>
      </w:del>
      <w:r>
        <w:rPr>
          <w:noProof/>
          <w:lang w:val="it-IT"/>
        </w:rPr>
        <w:t xml:space="preserve"> e </w:t>
      </w:r>
      <w:del w:id="4880" w:author="Author">
        <w:r>
          <w:rPr>
            <w:noProof/>
            <w:lang w:val="it-IT"/>
          </w:rPr>
          <w:delText xml:space="preserve">a </w:delText>
        </w:r>
      </w:del>
      <w:ins w:id="4881" w:author="Author">
        <w:r>
          <w:rPr>
            <w:noProof/>
            <w:lang w:val="it-IT"/>
          </w:rPr>
          <w:t xml:space="preserve">ogni due </w:t>
        </w:r>
      </w:ins>
      <w:r>
        <w:rPr>
          <w:noProof/>
          <w:lang w:val="it-IT"/>
        </w:rPr>
        <w:t xml:space="preserve">settimane </w:t>
      </w:r>
      <w:del w:id="4882" w:author="Author">
        <w:r>
          <w:rPr>
            <w:noProof/>
            <w:lang w:val="it-IT"/>
          </w:rPr>
          <w:delText xml:space="preserve">alterne </w:delText>
        </w:r>
      </w:del>
      <w:r>
        <w:rPr>
          <w:noProof/>
          <w:lang w:val="it-IT"/>
        </w:rPr>
        <w:t xml:space="preserve">[rispettivamente -19,0 e -25,3] rispetto a entrambi i gruppi placebo [placebo più 26 settimane, -3,4; placebo più 52 settimane, -7,2], sebbene solo il gruppo tocilizumab </w:t>
      </w:r>
      <w:del w:id="4883" w:author="Author">
        <w:r>
          <w:rPr>
            <w:noProof/>
            <w:lang w:val="it-IT"/>
          </w:rPr>
          <w:delText>a settimane alterne</w:delText>
        </w:r>
      </w:del>
      <w:ins w:id="4884" w:author="Author">
        <w:r>
          <w:rPr>
            <w:noProof/>
            <w:lang w:val="it-IT"/>
          </w:rPr>
          <w:t>ogni due settimane</w:t>
        </w:r>
      </w:ins>
      <w:r>
        <w:rPr>
          <w:noProof/>
          <w:lang w:val="it-IT"/>
        </w:rPr>
        <w:t xml:space="preserve"> più 26 settimane di prednisone a scalare abbia fatto rilevare una differenza statisticamente significativa rispetto al placebo [placebo più 26 settimane a scalare, p = 0,0059; e placebo più 52 settimane a scalare p = 0,0081].</w:t>
      </w:r>
    </w:p>
    <w:p>
      <w:pPr>
        <w:rPr>
          <w:noProof/>
          <w:lang w:val="it-IT" w:eastAsia="de-DE"/>
        </w:rPr>
      </w:pPr>
    </w:p>
    <w:p>
      <w:pPr>
        <w:rPr>
          <w:noProof/>
          <w:lang w:val="it-IT"/>
        </w:rPr>
      </w:pPr>
      <w:r>
        <w:rPr>
          <w:noProof/>
          <w:lang w:val="it-IT"/>
        </w:rPr>
        <w:t xml:space="preserve">In tutti i gruppi è stata calcolata la variazione dei punteggi della scala FACIT-Fatigue dal basale alla settimana 52. Le variazioni medie [DS] dei punteggi sono state le seguenti: tocilizumab </w:t>
      </w:r>
      <w:ins w:id="4885" w:author="Author">
        <w:r>
          <w:rPr>
            <w:noProof/>
            <w:lang w:val="it-IT"/>
          </w:rPr>
          <w:t xml:space="preserve">somministrato una volta a settimana </w:t>
        </w:r>
      </w:ins>
      <w:del w:id="4886" w:author="Author">
        <w:r>
          <w:rPr>
            <w:noProof/>
            <w:lang w:val="it-IT"/>
          </w:rPr>
          <w:delText xml:space="preserve">settimanale </w:delText>
        </w:r>
      </w:del>
      <w:r>
        <w:rPr>
          <w:noProof/>
          <w:lang w:val="it-IT"/>
        </w:rPr>
        <w:t xml:space="preserve">più 26 settimane, 5,61 [10,115], tocilizumab </w:t>
      </w:r>
      <w:del w:id="4887" w:author="Author">
        <w:r>
          <w:rPr>
            <w:noProof/>
            <w:lang w:val="it-IT"/>
          </w:rPr>
          <w:delText>a settimane alterne</w:delText>
        </w:r>
      </w:del>
      <w:ins w:id="4888" w:author="Author">
        <w:r>
          <w:rPr>
            <w:noProof/>
            <w:lang w:val="it-IT"/>
          </w:rPr>
          <w:t>ogni due settimane</w:t>
        </w:r>
      </w:ins>
      <w:r>
        <w:rPr>
          <w:noProof/>
          <w:lang w:val="it-IT"/>
        </w:rPr>
        <w:t xml:space="preserve"> più 26 settimane, 1,81 [8,836], placebo più 26 settimane, 0,26 [10,702] e placebo più 52 settimane, -1,63 [6,753].</w:t>
      </w:r>
    </w:p>
    <w:p>
      <w:pPr>
        <w:rPr>
          <w:noProof/>
          <w:lang w:val="it-IT" w:eastAsia="de-DE"/>
        </w:rPr>
      </w:pPr>
    </w:p>
    <w:p>
      <w:pPr>
        <w:rPr>
          <w:noProof/>
          <w:lang w:val="it-IT"/>
        </w:rPr>
      </w:pPr>
      <w:r>
        <w:rPr>
          <w:noProof/>
          <w:lang w:val="it-IT"/>
        </w:rPr>
        <w:t xml:space="preserve">Le variazioni dei punteggi del questionario EQ5D dal basale alla settimana 52 sono state le seguenti: tocilizumab </w:t>
      </w:r>
      <w:ins w:id="4889" w:author="Author">
        <w:r>
          <w:rPr>
            <w:noProof/>
            <w:lang w:val="it-IT"/>
          </w:rPr>
          <w:t xml:space="preserve">somministrato una volta a settimana </w:t>
        </w:r>
      </w:ins>
      <w:del w:id="4890" w:author="Author">
        <w:r>
          <w:rPr>
            <w:noProof/>
            <w:lang w:val="it-IT"/>
          </w:rPr>
          <w:delText xml:space="preserve">settimanale </w:delText>
        </w:r>
      </w:del>
      <w:r>
        <w:rPr>
          <w:noProof/>
          <w:lang w:val="it-IT"/>
        </w:rPr>
        <w:t xml:space="preserve">più 26 settimane, 0,10 [0,198], tocilizumab </w:t>
      </w:r>
      <w:del w:id="4891" w:author="Author">
        <w:r>
          <w:rPr>
            <w:noProof/>
            <w:lang w:val="it-IT"/>
          </w:rPr>
          <w:delText>a settimane alterne</w:delText>
        </w:r>
      </w:del>
      <w:ins w:id="4892" w:author="Author">
        <w:r>
          <w:rPr>
            <w:noProof/>
            <w:lang w:val="it-IT"/>
          </w:rPr>
          <w:t>ogni due settimane</w:t>
        </w:r>
      </w:ins>
      <w:r>
        <w:rPr>
          <w:noProof/>
          <w:lang w:val="it-IT"/>
        </w:rPr>
        <w:t xml:space="preserve"> più 26 settimane, 0,05 [0,215], placebo più 26 settimane, 0,07 [0,293] e placebo più 52 settimane, -0,02 [0,159].</w:t>
      </w:r>
    </w:p>
    <w:p>
      <w:pPr>
        <w:rPr>
          <w:noProof/>
          <w:lang w:val="it-IT" w:eastAsia="de-DE"/>
        </w:rPr>
      </w:pPr>
    </w:p>
    <w:p>
      <w:pPr>
        <w:rPr>
          <w:noProof/>
          <w:lang w:val="it-IT"/>
        </w:rPr>
      </w:pPr>
      <w:r>
        <w:rPr>
          <w:noProof/>
          <w:lang w:val="it-IT"/>
        </w:rPr>
        <w:t>I punteggi più alti rappresentano un segnale di miglioramento sia nel questionario FACIT-Fatigue sia nel questionario EQ5D.</w:t>
      </w:r>
    </w:p>
    <w:p>
      <w:pPr>
        <w:rPr>
          <w:noProof/>
          <w:lang w:val="it-IT"/>
        </w:rPr>
      </w:pPr>
    </w:p>
    <w:p>
      <w:pPr>
        <w:keepNext/>
        <w:keepLines/>
        <w:numPr>
          <w:ilvl w:val="12"/>
          <w:numId w:val="0"/>
        </w:numPr>
        <w:tabs>
          <w:tab w:val="left" w:pos="180"/>
        </w:tabs>
        <w:rPr>
          <w:del w:id="4893" w:author="Author"/>
          <w:noProof/>
          <w:u w:val="single"/>
          <w:lang w:val="it-IT"/>
        </w:rPr>
      </w:pPr>
      <w:r>
        <w:rPr>
          <w:noProof/>
          <w:u w:val="single"/>
          <w:lang w:val="it-IT"/>
        </w:rPr>
        <w:t>Uso endovenoso</w:t>
      </w:r>
    </w:p>
    <w:p>
      <w:pPr>
        <w:keepNext/>
        <w:keepLines/>
        <w:numPr>
          <w:ilvl w:val="12"/>
          <w:numId w:val="0"/>
        </w:numPr>
        <w:tabs>
          <w:tab w:val="left" w:pos="180"/>
        </w:tabs>
        <w:rPr>
          <w:noProof/>
          <w:u w:val="single"/>
          <w:lang w:val="it-IT"/>
        </w:rPr>
      </w:pPr>
    </w:p>
    <w:p>
      <w:pPr>
        <w:keepNext/>
        <w:keepLines/>
        <w:numPr>
          <w:ilvl w:val="12"/>
          <w:numId w:val="0"/>
        </w:numPr>
        <w:tabs>
          <w:tab w:val="left" w:pos="180"/>
        </w:tabs>
        <w:rPr>
          <w:bCs/>
          <w:i/>
          <w:iCs/>
          <w:noProof/>
          <w:lang w:val="it-IT"/>
          <w:rPrChange w:id="4894" w:author="Author">
            <w:rPr>
              <w:bCs/>
              <w:lang w:val="it-IT"/>
            </w:rPr>
          </w:rPrChange>
        </w:rPr>
      </w:pPr>
      <w:r>
        <w:rPr>
          <w:bCs/>
          <w:i/>
          <w:iCs/>
          <w:noProof/>
          <w:lang w:val="it-IT"/>
          <w:rPrChange w:id="4895" w:author="Author">
            <w:rPr>
              <w:bCs/>
              <w:lang w:val="it-IT"/>
            </w:rPr>
          </w:rPrChange>
        </w:rPr>
        <w:t>Pazienti affetti da</w:t>
      </w:r>
      <w:del w:id="4896" w:author="Author">
        <w:r>
          <w:rPr>
            <w:bCs/>
            <w:i/>
            <w:iCs/>
            <w:noProof/>
            <w:lang w:val="it-IT"/>
            <w:rPrChange w:id="4897" w:author="Author">
              <w:rPr>
                <w:bCs/>
                <w:lang w:val="it-IT"/>
              </w:rPr>
            </w:rPrChange>
          </w:rPr>
          <w:delText>a</w:delText>
        </w:r>
      </w:del>
      <w:r>
        <w:rPr>
          <w:bCs/>
          <w:i/>
          <w:iCs/>
          <w:noProof/>
          <w:lang w:val="it-IT"/>
          <w:rPrChange w:id="4898" w:author="Author">
            <w:rPr>
              <w:bCs/>
              <w:lang w:val="it-IT"/>
            </w:rPr>
          </w:rPrChange>
        </w:rPr>
        <w:t xml:space="preserve"> AR</w:t>
      </w:r>
    </w:p>
    <w:p>
      <w:pPr>
        <w:keepNext/>
        <w:keepLines/>
        <w:numPr>
          <w:ilvl w:val="12"/>
          <w:numId w:val="0"/>
        </w:numPr>
        <w:tabs>
          <w:tab w:val="left" w:pos="180"/>
        </w:tabs>
        <w:rPr>
          <w:b/>
          <w:noProof/>
          <w:u w:val="single"/>
          <w:lang w:val="it-IT"/>
        </w:rPr>
      </w:pPr>
    </w:p>
    <w:p>
      <w:pPr>
        <w:keepNext/>
        <w:keepLines/>
        <w:numPr>
          <w:ilvl w:val="12"/>
          <w:numId w:val="0"/>
        </w:numPr>
        <w:tabs>
          <w:tab w:val="left" w:pos="180"/>
        </w:tabs>
        <w:rPr>
          <w:i/>
          <w:iCs/>
          <w:noProof/>
          <w:u w:val="single"/>
          <w:lang w:val="it-IT"/>
        </w:rPr>
        <w:pPrChange w:id="4899" w:author="Author">
          <w:pPr>
            <w:numPr>
              <w:ilvl w:val="12"/>
            </w:numPr>
            <w:tabs>
              <w:tab w:val="left" w:pos="180"/>
            </w:tabs>
          </w:pPr>
        </w:pPrChange>
      </w:pPr>
      <w:r>
        <w:rPr>
          <w:i/>
          <w:iCs/>
          <w:noProof/>
          <w:u w:val="single"/>
          <w:lang w:val="it-IT"/>
        </w:rPr>
        <w:t xml:space="preserve">Efficacia clinica </w:t>
      </w:r>
    </w:p>
    <w:p>
      <w:pPr>
        <w:numPr>
          <w:ilvl w:val="12"/>
          <w:numId w:val="0"/>
        </w:numPr>
        <w:tabs>
          <w:tab w:val="left" w:pos="180"/>
        </w:tabs>
        <w:ind w:right="-2"/>
        <w:rPr>
          <w:noProof/>
          <w:lang w:val="it-IT"/>
        </w:rPr>
      </w:pPr>
      <w:r>
        <w:rPr>
          <w:noProof/>
          <w:lang w:val="it-IT"/>
        </w:rPr>
        <w:t xml:space="preserve">L’efficacia di tocilizumab nel ridurre segni e sintomi dell’AR è stata valutata in cinque studi multicentrici randomizzati e in doppio cieco. Gli </w:t>
      </w:r>
      <w:del w:id="4900" w:author="Author">
        <w:r>
          <w:rPr>
            <w:noProof/>
            <w:lang w:val="it-IT"/>
          </w:rPr>
          <w:delText xml:space="preserve">studi </w:delText>
        </w:r>
      </w:del>
      <w:ins w:id="4901" w:author="Author">
        <w:r>
          <w:rPr>
            <w:noProof/>
            <w:lang w:val="it-IT"/>
          </w:rPr>
          <w:t xml:space="preserve">Studi </w:t>
        </w:r>
      </w:ins>
      <w:r>
        <w:rPr>
          <w:noProof/>
          <w:lang w:val="it-IT"/>
        </w:rPr>
        <w:t xml:space="preserve">I-V hanno arruolato pazienti di età </w:t>
      </w:r>
      <w:r>
        <w:rPr>
          <w:noProof/>
          <w:lang w:val="it-IT"/>
        </w:rPr>
        <w:sym w:font="Symbol" w:char="F0B3"/>
      </w:r>
      <w:r>
        <w:rPr>
          <w:noProof/>
          <w:lang w:val="it-IT"/>
        </w:rPr>
        <w:t xml:space="preserve">18 anni affetti da AR attiva diagnosticata in base ai criteri dell’American College of Rheumatology (ACR) e che presentavano almeno otto articolazioni dolenti e sei articolazioni tumefatte al basale. </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 xml:space="preserve">Nello </w:t>
      </w:r>
      <w:del w:id="4902" w:author="Author">
        <w:r>
          <w:rPr>
            <w:noProof/>
            <w:lang w:val="it-IT"/>
          </w:rPr>
          <w:delText xml:space="preserve">studio </w:delText>
        </w:r>
      </w:del>
      <w:ins w:id="4903" w:author="Author">
        <w:r>
          <w:rPr>
            <w:noProof/>
            <w:lang w:val="it-IT"/>
          </w:rPr>
          <w:t xml:space="preserve">Studio </w:t>
        </w:r>
      </w:ins>
      <w:r>
        <w:rPr>
          <w:noProof/>
          <w:lang w:val="it-IT"/>
        </w:rPr>
        <w:t xml:space="preserve">I, tocilizumab è stato somministrato per via endovenosa ogni quattro settimane in monoterapia. Negli </w:t>
      </w:r>
      <w:del w:id="4904" w:author="Author">
        <w:r>
          <w:rPr>
            <w:noProof/>
            <w:lang w:val="it-IT"/>
          </w:rPr>
          <w:delText xml:space="preserve">studi </w:delText>
        </w:r>
      </w:del>
      <w:ins w:id="4905" w:author="Author">
        <w:r>
          <w:rPr>
            <w:noProof/>
            <w:lang w:val="it-IT"/>
          </w:rPr>
          <w:t xml:space="preserve">Studi </w:t>
        </w:r>
      </w:ins>
      <w:r>
        <w:rPr>
          <w:noProof/>
          <w:lang w:val="it-IT"/>
        </w:rPr>
        <w:t xml:space="preserve">II, III e V, tocilizumab è stato somministrato per via endovenosa ogni quattro settimane in associazione con MTX versus placebo e MTX. Nello </w:t>
      </w:r>
      <w:del w:id="4906" w:author="Author">
        <w:r>
          <w:rPr>
            <w:noProof/>
            <w:lang w:val="it-IT"/>
          </w:rPr>
          <w:delText xml:space="preserve">studio </w:delText>
        </w:r>
      </w:del>
      <w:ins w:id="4907" w:author="Author">
        <w:r>
          <w:rPr>
            <w:noProof/>
            <w:lang w:val="it-IT"/>
          </w:rPr>
          <w:t xml:space="preserve">Studio </w:t>
        </w:r>
      </w:ins>
      <w:r>
        <w:rPr>
          <w:noProof/>
          <w:lang w:val="it-IT"/>
        </w:rPr>
        <w:t xml:space="preserve">IV, tocilizumab è stato somministrato per via endovenosa ogni 4 settimane in associazione con altri DMARD versus placebo e altri DMARD. L’endpoint primario di ciascuno dei cinque studi è stata la percentuale dei pazienti che hanno conseguito una risposta ACR 20 alla settimana 24. </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lastRenderedPageBreak/>
        <w:t xml:space="preserve">Lo </w:t>
      </w:r>
      <w:del w:id="4908" w:author="Author">
        <w:r>
          <w:rPr>
            <w:noProof/>
            <w:lang w:val="it-IT"/>
          </w:rPr>
          <w:delText xml:space="preserve">studio </w:delText>
        </w:r>
      </w:del>
      <w:ins w:id="4909" w:author="Author">
        <w:r>
          <w:rPr>
            <w:noProof/>
            <w:lang w:val="it-IT"/>
          </w:rPr>
          <w:t xml:space="preserve">Studio </w:t>
        </w:r>
      </w:ins>
      <w:r>
        <w:rPr>
          <w:noProof/>
          <w:lang w:val="it-IT"/>
        </w:rPr>
        <w:t xml:space="preserve">I ha valutato 673 pazienti non trattati con MTX nei sei mesi precedenti la randomizzazione e che non avevano interrotto il precedente trattamento con MTX a causa di effetti tossici di rilievo clinico o assenza di risposta. La maggior parte dei pazienti (67%) era naïve al MTX. Dosi da 8 mg/kg di tocilizumab sono state somministrate ogni quattro settimane in monoterapia. Il gruppo di confronto è stato trattato a cadenza settimanale con MTX (con titolazione della dose da 7,5 mg fino a un massimo di 20 mg a settimana per un periodo di otto settimane). </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 xml:space="preserve">Lo </w:t>
      </w:r>
      <w:del w:id="4910" w:author="Author">
        <w:r>
          <w:rPr>
            <w:noProof/>
            <w:lang w:val="it-IT"/>
          </w:rPr>
          <w:delText xml:space="preserve">studio </w:delText>
        </w:r>
      </w:del>
      <w:ins w:id="4911" w:author="Author">
        <w:r>
          <w:rPr>
            <w:noProof/>
            <w:lang w:val="it-IT"/>
          </w:rPr>
          <w:t xml:space="preserve">Studio </w:t>
        </w:r>
      </w:ins>
      <w:r>
        <w:rPr>
          <w:noProof/>
          <w:lang w:val="it-IT"/>
        </w:rPr>
        <w:t xml:space="preserve">II, uno studio </w:t>
      </w:r>
      <w:ins w:id="4912" w:author="Author">
        <w:r>
          <w:rPr>
            <w:noProof/>
            <w:lang w:val="it-IT"/>
          </w:rPr>
          <w:t xml:space="preserve">clinico </w:t>
        </w:r>
      </w:ins>
      <w:r>
        <w:rPr>
          <w:noProof/>
          <w:lang w:val="it-IT"/>
        </w:rPr>
        <w:t>della durata di due anni con analisi pianificate alla settimana 24, alla settimana 52 e alla settimana 104, ha valutato 1.196 pazienti con una risposta clinica a MTX inadeguata. Dosi da 4 o 8 mg/kg di tocilizumab o placebo sono state somministrate in cieco ogni quattro settimane per 52 settimane in associazione con una dose stabile di MTX (da 10 mg a 25 mg a settimana). Dopo 52 settimane, tutti i pazienti potevano ricevere il trattamento in aperto con tocilizumab 8 mg/kg. Tra i pazienti che hanno completato lo studio e che sono stati inizialmente randomizzati a placebo + MTX, l'86% ha ricevuto tocilizumab alla dose di 8 mg/kg in aperto nel corso del secondo anno. L’endpoint primario alla settimana 24 è stata la percentuale dei pazienti che hanno conseguito una risposta ACR 20. Alla settimana 52 e alla settimana 104 gli endpoint coprimari sono stati la prevenzione del danno articolare e il miglioramento della funzione fisica.</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 xml:space="preserve">Lo </w:t>
      </w:r>
      <w:del w:id="4913" w:author="Author">
        <w:r>
          <w:rPr>
            <w:noProof/>
            <w:lang w:val="it-IT"/>
          </w:rPr>
          <w:delText xml:space="preserve">studio </w:delText>
        </w:r>
      </w:del>
      <w:ins w:id="4914" w:author="Author">
        <w:r>
          <w:rPr>
            <w:noProof/>
            <w:lang w:val="it-IT"/>
          </w:rPr>
          <w:t xml:space="preserve">Studio </w:t>
        </w:r>
      </w:ins>
      <w:r>
        <w:rPr>
          <w:noProof/>
          <w:lang w:val="it-IT"/>
        </w:rPr>
        <w:t xml:space="preserve">III ha valutato 623 pazienti con una risposta clinica a MTX inadeguata. Dosi da 4 a 8 mg/kg di tocilizumab o placebo sono state somministrate ogni quattro settimane in associazione con una dose stabile di MTX (da 10 mg a 25 mg a settimana). </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 xml:space="preserve">Lo </w:t>
      </w:r>
      <w:del w:id="4915" w:author="Author">
        <w:r>
          <w:rPr>
            <w:noProof/>
            <w:lang w:val="it-IT"/>
          </w:rPr>
          <w:delText xml:space="preserve">studio </w:delText>
        </w:r>
      </w:del>
      <w:ins w:id="4916" w:author="Author">
        <w:r>
          <w:rPr>
            <w:noProof/>
            <w:lang w:val="it-IT"/>
          </w:rPr>
          <w:t xml:space="preserve">Studio </w:t>
        </w:r>
      </w:ins>
      <w:r>
        <w:rPr>
          <w:noProof/>
          <w:lang w:val="it-IT"/>
        </w:rPr>
        <w:t>IV ha valutato 1</w:t>
      </w:r>
      <w:del w:id="4917" w:author="Author">
        <w:r>
          <w:rPr>
            <w:noProof/>
            <w:lang w:val="it-IT"/>
          </w:rPr>
          <w:delText>.</w:delText>
        </w:r>
      </w:del>
      <w:ins w:id="4918" w:author="Author">
        <w:r>
          <w:rPr>
            <w:noProof/>
            <w:lang w:val="it-IT"/>
          </w:rPr>
          <w:t> </w:t>
        </w:r>
      </w:ins>
      <w:r>
        <w:rPr>
          <w:noProof/>
          <w:lang w:val="it-IT"/>
        </w:rPr>
        <w:t>220</w:t>
      </w:r>
      <w:ins w:id="4919" w:author="Author">
        <w:r>
          <w:rPr>
            <w:noProof/>
            <w:lang w:val="it-IT"/>
          </w:rPr>
          <w:t> </w:t>
        </w:r>
      </w:ins>
      <w:del w:id="4920" w:author="Author">
        <w:r>
          <w:rPr>
            <w:noProof/>
            <w:lang w:val="it-IT"/>
          </w:rPr>
          <w:delText xml:space="preserve"> </w:delText>
        </w:r>
      </w:del>
      <w:r>
        <w:rPr>
          <w:noProof/>
          <w:lang w:val="it-IT"/>
        </w:rPr>
        <w:t xml:space="preserve">pazienti con una risposta inadeguata alla terapia reumatologica in atto, inclusi uno o più DMARD. Dosi da 8 mg/kg di tocilizumab o placebo sono state somministrate ogni quattro settimane in associazione con una dose stabile di DMARD. </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 xml:space="preserve">Lo </w:t>
      </w:r>
      <w:del w:id="4921" w:author="Author">
        <w:r>
          <w:rPr>
            <w:noProof/>
            <w:lang w:val="it-IT"/>
          </w:rPr>
          <w:delText xml:space="preserve">studio </w:delText>
        </w:r>
      </w:del>
      <w:ins w:id="4922" w:author="Author">
        <w:r>
          <w:rPr>
            <w:noProof/>
            <w:lang w:val="it-IT"/>
          </w:rPr>
          <w:t xml:space="preserve">Studio </w:t>
        </w:r>
      </w:ins>
      <w:r>
        <w:rPr>
          <w:noProof/>
          <w:lang w:val="it-IT"/>
        </w:rPr>
        <w:t xml:space="preserve">V ha valutato 499 pazienti con risposta clinica inadeguata o intolleranza a una o più terapie con antagonisti del TNF. La terapia con antagonista del TNF è stata interrotta prima della randomizzazione. Dosi di 4 o 8 mg/kg di tocilizumab o placebo sono state somministrate ogni quattro settimane in associazione con una dose stabile di MTX (da 10 mg a 25 mg a settimana). </w:t>
      </w:r>
    </w:p>
    <w:p>
      <w:pPr>
        <w:numPr>
          <w:ilvl w:val="12"/>
          <w:numId w:val="0"/>
        </w:numPr>
        <w:tabs>
          <w:tab w:val="left" w:pos="180"/>
        </w:tabs>
        <w:ind w:right="-2"/>
        <w:rPr>
          <w:noProof/>
          <w:lang w:val="it-IT"/>
        </w:rPr>
      </w:pPr>
    </w:p>
    <w:p>
      <w:pPr>
        <w:keepNext/>
        <w:keepLines/>
        <w:numPr>
          <w:ilvl w:val="12"/>
          <w:numId w:val="0"/>
        </w:numPr>
        <w:tabs>
          <w:tab w:val="left" w:pos="180"/>
        </w:tabs>
        <w:rPr>
          <w:i/>
          <w:iCs/>
          <w:noProof/>
          <w:u w:val="single"/>
          <w:lang w:val="it-IT"/>
        </w:rPr>
      </w:pPr>
      <w:r>
        <w:rPr>
          <w:i/>
          <w:iCs/>
          <w:noProof/>
          <w:u w:val="single"/>
          <w:lang w:val="it-IT"/>
        </w:rPr>
        <w:t>Risposta clinica</w:t>
      </w:r>
    </w:p>
    <w:p>
      <w:pPr>
        <w:keepNext/>
        <w:keepLines/>
        <w:numPr>
          <w:ilvl w:val="12"/>
          <w:numId w:val="0"/>
        </w:numPr>
        <w:tabs>
          <w:tab w:val="left" w:pos="180"/>
        </w:tabs>
        <w:rPr>
          <w:noProof/>
          <w:lang w:val="it-IT"/>
        </w:rPr>
      </w:pPr>
      <w:r>
        <w:rPr>
          <w:noProof/>
          <w:lang w:val="it-IT"/>
        </w:rPr>
        <w:t>In tutti gli studi</w:t>
      </w:r>
      <w:ins w:id="4923" w:author="Author">
        <w:del w:id="4924" w:author="Author">
          <w:r>
            <w:rPr>
              <w:noProof/>
              <w:lang w:val="it-IT"/>
            </w:rPr>
            <w:delText xml:space="preserve"> clinici</w:delText>
          </w:r>
        </w:del>
      </w:ins>
      <w:r>
        <w:rPr>
          <w:noProof/>
          <w:lang w:val="it-IT"/>
        </w:rPr>
        <w:t xml:space="preserve">, i pazienti trattati con tocilizumab alla dose di 8 mg/kg hanno manifestato tassi di risposta ACR 20, 50, 70 </w:t>
      </w:r>
      <w:ins w:id="4925" w:author="Author">
        <w:r>
          <w:rPr>
            <w:noProof/>
            <w:lang w:val="it-IT"/>
          </w:rPr>
          <w:t xml:space="preserve">a 6 mesi </w:t>
        </w:r>
      </w:ins>
      <w:r>
        <w:rPr>
          <w:noProof/>
          <w:lang w:val="it-IT"/>
        </w:rPr>
        <w:t xml:space="preserve">significativamente più elevati </w:t>
      </w:r>
      <w:del w:id="4926" w:author="Author">
        <w:r>
          <w:rPr>
            <w:noProof/>
            <w:lang w:val="it-IT"/>
          </w:rPr>
          <w:delText xml:space="preserve">a 6 mesi </w:delText>
        </w:r>
      </w:del>
      <w:r>
        <w:rPr>
          <w:noProof/>
          <w:lang w:val="it-IT"/>
        </w:rPr>
        <w:t xml:space="preserve">rispetto al gruppo di controllo (tabella 5). Nello </w:t>
      </w:r>
      <w:ins w:id="4927" w:author="Author">
        <w:r>
          <w:rPr>
            <w:noProof/>
            <w:lang w:val="it-IT"/>
          </w:rPr>
          <w:t>S</w:t>
        </w:r>
      </w:ins>
      <w:del w:id="4928" w:author="Author">
        <w:r>
          <w:rPr>
            <w:noProof/>
            <w:lang w:val="it-IT"/>
          </w:rPr>
          <w:delText>s</w:delText>
        </w:r>
      </w:del>
      <w:r>
        <w:rPr>
          <w:noProof/>
          <w:lang w:val="it-IT"/>
        </w:rPr>
        <w:t>tudio I è stata dimostrata la superiorità di tocilizumab alla dose di 8 mg/kg rispetto al prodotto attivo di confronto MTX.</w:t>
      </w:r>
    </w:p>
    <w:p>
      <w:pPr>
        <w:numPr>
          <w:ilvl w:val="12"/>
          <w:numId w:val="0"/>
        </w:numPr>
        <w:tabs>
          <w:tab w:val="left" w:pos="180"/>
        </w:tabs>
        <w:ind w:right="-2"/>
        <w:rPr>
          <w:noProof/>
          <w:lang w:val="it-IT"/>
        </w:rPr>
      </w:pPr>
      <w:r>
        <w:rPr>
          <w:noProof/>
          <w:lang w:val="it-IT"/>
        </w:rPr>
        <w:t xml:space="preserve">L’effetto del trattamento sui pazienti è stato simile a prescindere da stato del fattore reumatoide, età, sesso, razza, numero di trattamenti precedenti o stato della malattia. L’insorgenza dell’effetto è stata rapida (già alla settimana 2) e l’entità della risposta ha continuato a migliorare con il proseguimento del trattamento. Risposte durevoli e continuative sono state osservate per più di 3 anni negli </w:t>
      </w:r>
      <w:ins w:id="4929" w:author="Author">
        <w:r>
          <w:rPr>
            <w:noProof/>
            <w:lang w:val="it-IT"/>
          </w:rPr>
          <w:t>S</w:t>
        </w:r>
      </w:ins>
      <w:del w:id="4930" w:author="Author">
        <w:r>
          <w:rPr>
            <w:noProof/>
            <w:lang w:val="it-IT"/>
          </w:rPr>
          <w:delText>s</w:delText>
        </w:r>
      </w:del>
      <w:r>
        <w:rPr>
          <w:noProof/>
          <w:lang w:val="it-IT"/>
        </w:rPr>
        <w:t xml:space="preserve">tudi di estensione in aperto da I a V. </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 xml:space="preserve">Nei pazienti trattati con tocilizumab alla dose di 8 mg/kg sono stati notati miglioramenti significativi in tutte le singole componenti della risposta ACR, incluse le seguenti: conta delle articolazioni dolenti e tumefatte; valutazione globale di paziente e medico; punteggi dell’indice di invalidità; valutazione del dolore e PCR rispetto ai pazienti trattati con placebo più MTX o altri DMARD in tutti gli studi. </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 xml:space="preserve">I pazienti degli </w:t>
      </w:r>
      <w:ins w:id="4931" w:author="Author">
        <w:r>
          <w:rPr>
            <w:noProof/>
            <w:lang w:val="it-IT"/>
          </w:rPr>
          <w:t>S</w:t>
        </w:r>
      </w:ins>
      <w:del w:id="4932" w:author="Author">
        <w:r>
          <w:rPr>
            <w:noProof/>
            <w:lang w:val="it-IT"/>
          </w:rPr>
          <w:delText>s</w:delText>
        </w:r>
      </w:del>
      <w:r>
        <w:rPr>
          <w:noProof/>
          <w:lang w:val="it-IT"/>
        </w:rPr>
        <w:t xml:space="preserve">tudi da I a V avevano un Punteggio di Attività di Malattia (DAS28) al basale di 6,5-6,8. Una riduzione significativa nel DAS28 dal basale (miglioramento medio) di 3,1-3,4 è stata osservata nei pazienti trattati con tocilizumab rispetto ai pazienti di controllo (1,3-2,1). La percentuale dei pazienti che hanno raggiunto la remissione clinica secondo i criteri del DAS28 (DAS28 &lt;2,6) era significativamente maggiore nei pazienti che avevano ricevuto tocilizumab (28-34%) rispetto all’1-12% dei pazienti di controllo alla settimana 24. Nello </w:t>
      </w:r>
      <w:del w:id="4933" w:author="Author">
        <w:r>
          <w:rPr>
            <w:noProof/>
            <w:lang w:val="it-IT"/>
          </w:rPr>
          <w:delText xml:space="preserve">studio </w:delText>
        </w:r>
      </w:del>
      <w:ins w:id="4934" w:author="Author">
        <w:r>
          <w:rPr>
            <w:noProof/>
            <w:lang w:val="it-IT"/>
          </w:rPr>
          <w:t xml:space="preserve">Studio </w:t>
        </w:r>
      </w:ins>
      <w:r>
        <w:rPr>
          <w:noProof/>
          <w:lang w:val="it-IT"/>
        </w:rPr>
        <w:t>II, il 65% dei pazienti ha raggiunto un DAS28 &lt;2,6 alla settimana 104 rispetto al 48% dei pazienti alla settimana 52 e al 33% dei pazienti alla settimana 24.</w:t>
      </w:r>
    </w:p>
    <w:p>
      <w:pPr>
        <w:tabs>
          <w:tab w:val="left" w:pos="180"/>
        </w:tabs>
        <w:outlineLvl w:val="0"/>
        <w:rPr>
          <w:noProof/>
          <w:lang w:val="it-IT"/>
        </w:rPr>
      </w:pPr>
    </w:p>
    <w:p>
      <w:pPr>
        <w:numPr>
          <w:ilvl w:val="12"/>
          <w:numId w:val="0"/>
        </w:numPr>
        <w:tabs>
          <w:tab w:val="left" w:pos="180"/>
        </w:tabs>
        <w:ind w:right="-2"/>
        <w:rPr>
          <w:noProof/>
          <w:lang w:val="it-IT"/>
        </w:rPr>
      </w:pPr>
      <w:r>
        <w:rPr>
          <w:noProof/>
          <w:lang w:val="it-IT"/>
        </w:rPr>
        <w:lastRenderedPageBreak/>
        <w:t xml:space="preserve">In un’analisi di dati </w:t>
      </w:r>
      <w:ins w:id="4935" w:author="Author">
        <w:r>
          <w:rPr>
            <w:noProof/>
            <w:lang w:val="it-IT"/>
          </w:rPr>
          <w:t xml:space="preserve">aggregati </w:t>
        </w:r>
      </w:ins>
      <w:del w:id="4936" w:author="Author">
        <w:r>
          <w:rPr>
            <w:noProof/>
            <w:lang w:val="it-IT"/>
          </w:rPr>
          <w:delText xml:space="preserve">accorpati </w:delText>
        </w:r>
      </w:del>
      <w:r>
        <w:rPr>
          <w:noProof/>
          <w:lang w:val="it-IT"/>
        </w:rPr>
        <w:t xml:space="preserve">degli </w:t>
      </w:r>
      <w:del w:id="4937" w:author="Author">
        <w:r>
          <w:rPr>
            <w:noProof/>
            <w:lang w:val="it-IT"/>
          </w:rPr>
          <w:delText xml:space="preserve">studi </w:delText>
        </w:r>
      </w:del>
      <w:ins w:id="4938" w:author="Author">
        <w:r>
          <w:rPr>
            <w:noProof/>
            <w:lang w:val="it-IT"/>
          </w:rPr>
          <w:t xml:space="preserve">Studi </w:t>
        </w:r>
      </w:ins>
      <w:r>
        <w:rPr>
          <w:noProof/>
          <w:lang w:val="it-IT"/>
        </w:rPr>
        <w:t>II, III e IV, la percentuale dei pazienti che hanno conseguito una risposta ACR 20, 50 e 70 è stata significativamente maggiore (rispettivamente 59% vs. 50%; 37% vs. 27%; 18% vs. 11%) nel gruppo trattato con tocilizumab 8 mg/kg più DMARD rispetto al gruppo trattato con tocilizumab 4 mg/kg più DMARD (p &lt;0,03). Analogamente, la percentuale dei pazienti che hanno conseguito una remissione in base al criterio DAS28 (DAS28 &lt;2,6) è stata significativamente maggiore (rispettivamente 31% vs. 16%) nei pazienti trattati con tocilizumab 8 mg/kg più DMARD rispetto ai pazienti trattati con tocilizumab 4 mg/kg più DMARD (p &lt;0,0001).</w:t>
      </w:r>
    </w:p>
    <w:p>
      <w:pPr>
        <w:numPr>
          <w:ilvl w:val="12"/>
          <w:numId w:val="0"/>
        </w:numPr>
        <w:tabs>
          <w:tab w:val="left" w:pos="180"/>
        </w:tabs>
        <w:ind w:right="-2"/>
        <w:rPr>
          <w:noProof/>
          <w:lang w:val="it-IT"/>
        </w:rPr>
      </w:pPr>
    </w:p>
    <w:p>
      <w:pPr>
        <w:keepNext/>
        <w:keepLines/>
        <w:numPr>
          <w:ilvl w:val="12"/>
          <w:numId w:val="0"/>
        </w:numPr>
        <w:tabs>
          <w:tab w:val="left" w:pos="180"/>
        </w:tabs>
        <w:ind w:right="-2"/>
        <w:rPr>
          <w:bCs/>
          <w:i/>
          <w:noProof/>
          <w:lang w:val="it-IT"/>
        </w:rPr>
      </w:pPr>
      <w:r>
        <w:rPr>
          <w:bCs/>
          <w:i/>
          <w:noProof/>
          <w:lang w:val="it-IT"/>
        </w:rPr>
        <w:t>Tabella 5. Risposte ACR osservate negli studi controllati con placebo / MTX / DMARD (% di pazienti)</w:t>
      </w:r>
    </w:p>
    <w:p>
      <w:pPr>
        <w:keepNext/>
        <w:keepLines/>
        <w:numPr>
          <w:ilvl w:val="12"/>
          <w:numId w:val="0"/>
        </w:numPr>
        <w:tabs>
          <w:tab w:val="left" w:pos="180"/>
        </w:tabs>
        <w:ind w:right="-2"/>
        <w:rPr>
          <w:i/>
          <w:noProof/>
          <w:lang w:val="it-IT"/>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4939" w:author="Author">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687"/>
        <w:gridCol w:w="974"/>
        <w:gridCol w:w="679"/>
        <w:gridCol w:w="973"/>
        <w:gridCol w:w="827"/>
        <w:gridCol w:w="979"/>
        <w:gridCol w:w="821"/>
        <w:gridCol w:w="990"/>
        <w:gridCol w:w="979"/>
        <w:gridCol w:w="11"/>
        <w:gridCol w:w="900"/>
        <w:gridCol w:w="900"/>
        <w:tblGridChange w:id="4940">
          <w:tblGrid>
            <w:gridCol w:w="12"/>
            <w:gridCol w:w="675"/>
            <w:gridCol w:w="12"/>
            <w:gridCol w:w="974"/>
            <w:gridCol w:w="667"/>
            <w:gridCol w:w="12"/>
            <w:gridCol w:w="973"/>
            <w:gridCol w:w="815"/>
            <w:gridCol w:w="12"/>
            <w:gridCol w:w="900"/>
            <w:gridCol w:w="888"/>
            <w:gridCol w:w="12"/>
            <w:gridCol w:w="990"/>
            <w:gridCol w:w="978"/>
            <w:gridCol w:w="1"/>
            <w:gridCol w:w="11"/>
            <w:gridCol w:w="900"/>
            <w:gridCol w:w="888"/>
            <w:gridCol w:w="12"/>
          </w:tblGrid>
        </w:tblGridChange>
      </w:tblGrid>
      <w:tr>
        <w:trPr>
          <w:cantSplit/>
          <w:tblHeader/>
          <w:trPrChange w:id="4941" w:author="Author">
            <w:trPr>
              <w:gridAfter w:val="0"/>
              <w:trHeight w:val="463"/>
            </w:trPr>
          </w:trPrChange>
        </w:trPr>
        <w:tc>
          <w:tcPr>
            <w:tcW w:w="687" w:type="dxa"/>
            <w:tcPrChange w:id="4942" w:author="Author">
              <w:tcPr>
                <w:tcW w:w="687" w:type="dxa"/>
                <w:gridSpan w:val="2"/>
              </w:tcPr>
            </w:tcPrChange>
          </w:tcPr>
          <w:p>
            <w:pPr>
              <w:keepNext/>
              <w:numPr>
                <w:ilvl w:val="12"/>
                <w:numId w:val="0"/>
              </w:numPr>
              <w:tabs>
                <w:tab w:val="left" w:pos="180"/>
              </w:tabs>
              <w:suppressAutoHyphens/>
              <w:jc w:val="center"/>
              <w:rPr>
                <w:noProof/>
                <w:sz w:val="20"/>
                <w:lang w:val="it-IT"/>
              </w:rPr>
              <w:pPrChange w:id="4943" w:author="Author">
                <w:pPr>
                  <w:keepNext/>
                  <w:keepLines/>
                  <w:numPr>
                    <w:ilvl w:val="12"/>
                  </w:numPr>
                  <w:tabs>
                    <w:tab w:val="left" w:pos="180"/>
                  </w:tabs>
                  <w:ind w:right="-2"/>
                  <w:jc w:val="center"/>
                </w:pPr>
              </w:pPrChange>
            </w:pPr>
          </w:p>
        </w:tc>
        <w:tc>
          <w:tcPr>
            <w:tcW w:w="1653" w:type="dxa"/>
            <w:gridSpan w:val="2"/>
            <w:tcBorders>
              <w:bottom w:val="single" w:sz="4" w:space="0" w:color="auto"/>
            </w:tcBorders>
            <w:tcPrChange w:id="4944" w:author="Author">
              <w:tcPr>
                <w:tcW w:w="1653" w:type="dxa"/>
                <w:gridSpan w:val="3"/>
                <w:tcBorders>
                  <w:bottom w:val="single" w:sz="4" w:space="0" w:color="auto"/>
                </w:tcBorders>
              </w:tcPr>
            </w:tcPrChange>
          </w:tcPr>
          <w:p>
            <w:pPr>
              <w:keepNext/>
              <w:numPr>
                <w:ilvl w:val="12"/>
                <w:numId w:val="0"/>
              </w:numPr>
              <w:tabs>
                <w:tab w:val="left" w:pos="180"/>
              </w:tabs>
              <w:suppressAutoHyphens/>
              <w:jc w:val="center"/>
              <w:rPr>
                <w:b/>
                <w:bCs/>
                <w:noProof/>
                <w:sz w:val="20"/>
                <w:lang w:val="it-IT"/>
              </w:rPr>
              <w:pPrChange w:id="4945" w:author="Author">
                <w:pPr>
                  <w:keepNext/>
                  <w:keepLines/>
                  <w:numPr>
                    <w:ilvl w:val="12"/>
                  </w:numPr>
                  <w:tabs>
                    <w:tab w:val="left" w:pos="180"/>
                  </w:tabs>
                  <w:ind w:right="-2"/>
                  <w:jc w:val="center"/>
                </w:pPr>
              </w:pPrChange>
            </w:pPr>
            <w:r>
              <w:rPr>
                <w:b/>
                <w:bCs/>
                <w:noProof/>
                <w:sz w:val="20"/>
                <w:lang w:val="it-IT"/>
              </w:rPr>
              <w:t>Studio I</w:t>
            </w:r>
          </w:p>
          <w:p>
            <w:pPr>
              <w:keepNext/>
              <w:numPr>
                <w:ilvl w:val="12"/>
                <w:numId w:val="0"/>
              </w:numPr>
              <w:tabs>
                <w:tab w:val="left" w:pos="180"/>
              </w:tabs>
              <w:suppressAutoHyphens/>
              <w:jc w:val="center"/>
              <w:rPr>
                <w:b/>
                <w:bCs/>
                <w:noProof/>
                <w:sz w:val="20"/>
                <w:lang w:val="it-IT"/>
              </w:rPr>
              <w:pPrChange w:id="4946" w:author="Author">
                <w:pPr>
                  <w:keepNext/>
                  <w:keepLines/>
                  <w:numPr>
                    <w:ilvl w:val="12"/>
                  </w:numPr>
                  <w:tabs>
                    <w:tab w:val="left" w:pos="180"/>
                  </w:tabs>
                  <w:ind w:right="-2"/>
                  <w:jc w:val="center"/>
                </w:pPr>
              </w:pPrChange>
            </w:pPr>
            <w:r>
              <w:rPr>
                <w:b/>
                <w:bCs/>
                <w:noProof/>
                <w:sz w:val="20"/>
                <w:lang w:val="it-IT"/>
              </w:rPr>
              <w:t>AMBITION</w:t>
            </w:r>
          </w:p>
        </w:tc>
        <w:tc>
          <w:tcPr>
            <w:tcW w:w="1800" w:type="dxa"/>
            <w:gridSpan w:val="2"/>
            <w:tcBorders>
              <w:bottom w:val="single" w:sz="4" w:space="0" w:color="auto"/>
            </w:tcBorders>
            <w:tcPrChange w:id="4947" w:author="Author">
              <w:tcPr>
                <w:tcW w:w="1800" w:type="dxa"/>
                <w:gridSpan w:val="3"/>
                <w:tcBorders>
                  <w:bottom w:val="single" w:sz="4" w:space="0" w:color="auto"/>
                </w:tcBorders>
              </w:tcPr>
            </w:tcPrChange>
          </w:tcPr>
          <w:p>
            <w:pPr>
              <w:keepNext/>
              <w:numPr>
                <w:ilvl w:val="12"/>
                <w:numId w:val="0"/>
              </w:numPr>
              <w:tabs>
                <w:tab w:val="left" w:pos="180"/>
              </w:tabs>
              <w:suppressAutoHyphens/>
              <w:jc w:val="center"/>
              <w:rPr>
                <w:b/>
                <w:bCs/>
                <w:noProof/>
                <w:sz w:val="20"/>
                <w:lang w:val="it-IT"/>
              </w:rPr>
              <w:pPrChange w:id="4948" w:author="Author">
                <w:pPr>
                  <w:keepNext/>
                  <w:keepLines/>
                  <w:numPr>
                    <w:ilvl w:val="12"/>
                  </w:numPr>
                  <w:tabs>
                    <w:tab w:val="left" w:pos="180"/>
                  </w:tabs>
                  <w:ind w:right="-2"/>
                  <w:jc w:val="center"/>
                </w:pPr>
              </w:pPrChange>
            </w:pPr>
            <w:r>
              <w:rPr>
                <w:b/>
                <w:bCs/>
                <w:noProof/>
                <w:sz w:val="20"/>
                <w:lang w:val="it-IT"/>
              </w:rPr>
              <w:t>Studio II</w:t>
            </w:r>
          </w:p>
          <w:p>
            <w:pPr>
              <w:keepNext/>
              <w:numPr>
                <w:ilvl w:val="12"/>
                <w:numId w:val="0"/>
              </w:numPr>
              <w:tabs>
                <w:tab w:val="left" w:pos="180"/>
              </w:tabs>
              <w:suppressAutoHyphens/>
              <w:jc w:val="center"/>
              <w:rPr>
                <w:noProof/>
                <w:sz w:val="20"/>
                <w:lang w:val="it-IT"/>
              </w:rPr>
              <w:pPrChange w:id="4949" w:author="Author">
                <w:pPr>
                  <w:keepNext/>
                  <w:keepLines/>
                  <w:numPr>
                    <w:ilvl w:val="12"/>
                  </w:numPr>
                  <w:tabs>
                    <w:tab w:val="left" w:pos="180"/>
                  </w:tabs>
                  <w:ind w:right="-2"/>
                  <w:jc w:val="center"/>
                </w:pPr>
              </w:pPrChange>
            </w:pPr>
            <w:r>
              <w:rPr>
                <w:b/>
                <w:bCs/>
                <w:noProof/>
                <w:sz w:val="20"/>
                <w:lang w:val="it-IT"/>
              </w:rPr>
              <w:t>LITHE</w:t>
            </w:r>
          </w:p>
        </w:tc>
        <w:tc>
          <w:tcPr>
            <w:tcW w:w="1800" w:type="dxa"/>
            <w:gridSpan w:val="2"/>
            <w:tcBorders>
              <w:bottom w:val="single" w:sz="4" w:space="0" w:color="auto"/>
            </w:tcBorders>
            <w:tcPrChange w:id="4950" w:author="Author">
              <w:tcPr>
                <w:tcW w:w="1800" w:type="dxa"/>
                <w:gridSpan w:val="3"/>
                <w:tcBorders>
                  <w:bottom w:val="single" w:sz="4" w:space="0" w:color="auto"/>
                </w:tcBorders>
              </w:tcPr>
            </w:tcPrChange>
          </w:tcPr>
          <w:p>
            <w:pPr>
              <w:keepNext/>
              <w:numPr>
                <w:ilvl w:val="12"/>
                <w:numId w:val="0"/>
              </w:numPr>
              <w:tabs>
                <w:tab w:val="left" w:pos="180"/>
              </w:tabs>
              <w:suppressAutoHyphens/>
              <w:jc w:val="center"/>
              <w:rPr>
                <w:b/>
                <w:bCs/>
                <w:noProof/>
                <w:sz w:val="20"/>
                <w:lang w:val="it-IT"/>
              </w:rPr>
              <w:pPrChange w:id="4951" w:author="Author">
                <w:pPr>
                  <w:keepNext/>
                  <w:keepLines/>
                  <w:numPr>
                    <w:ilvl w:val="12"/>
                  </w:numPr>
                  <w:tabs>
                    <w:tab w:val="left" w:pos="180"/>
                  </w:tabs>
                  <w:ind w:right="-2"/>
                  <w:jc w:val="center"/>
                </w:pPr>
              </w:pPrChange>
            </w:pPr>
            <w:r>
              <w:rPr>
                <w:b/>
                <w:bCs/>
                <w:noProof/>
                <w:sz w:val="20"/>
                <w:lang w:val="it-IT"/>
              </w:rPr>
              <w:t>Studio III</w:t>
            </w:r>
          </w:p>
          <w:p>
            <w:pPr>
              <w:keepNext/>
              <w:numPr>
                <w:ilvl w:val="12"/>
                <w:numId w:val="0"/>
              </w:numPr>
              <w:tabs>
                <w:tab w:val="left" w:pos="180"/>
              </w:tabs>
              <w:suppressAutoHyphens/>
              <w:jc w:val="center"/>
              <w:rPr>
                <w:noProof/>
                <w:sz w:val="20"/>
                <w:lang w:val="it-IT"/>
              </w:rPr>
              <w:pPrChange w:id="4952" w:author="Author">
                <w:pPr>
                  <w:keepNext/>
                  <w:keepLines/>
                  <w:numPr>
                    <w:ilvl w:val="12"/>
                  </w:numPr>
                  <w:tabs>
                    <w:tab w:val="left" w:pos="180"/>
                  </w:tabs>
                  <w:ind w:right="-2"/>
                  <w:jc w:val="center"/>
                </w:pPr>
              </w:pPrChange>
            </w:pPr>
            <w:r>
              <w:rPr>
                <w:b/>
                <w:bCs/>
                <w:noProof/>
                <w:sz w:val="20"/>
                <w:lang w:val="it-IT"/>
              </w:rPr>
              <w:t>OPTION</w:t>
            </w:r>
          </w:p>
        </w:tc>
        <w:tc>
          <w:tcPr>
            <w:tcW w:w="1980" w:type="dxa"/>
            <w:gridSpan w:val="3"/>
            <w:tcBorders>
              <w:bottom w:val="single" w:sz="4" w:space="0" w:color="auto"/>
            </w:tcBorders>
            <w:tcPrChange w:id="4953" w:author="Author">
              <w:tcPr>
                <w:tcW w:w="1980" w:type="dxa"/>
                <w:gridSpan w:val="3"/>
                <w:tcBorders>
                  <w:bottom w:val="single" w:sz="4" w:space="0" w:color="auto"/>
                </w:tcBorders>
              </w:tcPr>
            </w:tcPrChange>
          </w:tcPr>
          <w:p>
            <w:pPr>
              <w:keepNext/>
              <w:numPr>
                <w:ilvl w:val="12"/>
                <w:numId w:val="0"/>
              </w:numPr>
              <w:tabs>
                <w:tab w:val="left" w:pos="180"/>
              </w:tabs>
              <w:suppressAutoHyphens/>
              <w:jc w:val="center"/>
              <w:rPr>
                <w:b/>
                <w:bCs/>
                <w:noProof/>
                <w:sz w:val="20"/>
                <w:lang w:val="it-IT"/>
              </w:rPr>
              <w:pPrChange w:id="4954" w:author="Author">
                <w:pPr>
                  <w:keepNext/>
                  <w:keepLines/>
                  <w:numPr>
                    <w:ilvl w:val="12"/>
                  </w:numPr>
                  <w:tabs>
                    <w:tab w:val="left" w:pos="180"/>
                  </w:tabs>
                  <w:ind w:right="-2"/>
                  <w:jc w:val="center"/>
                </w:pPr>
              </w:pPrChange>
            </w:pPr>
            <w:r>
              <w:rPr>
                <w:b/>
                <w:bCs/>
                <w:noProof/>
                <w:sz w:val="20"/>
                <w:lang w:val="it-IT"/>
              </w:rPr>
              <w:t>Studio IV</w:t>
            </w:r>
          </w:p>
          <w:p>
            <w:pPr>
              <w:keepNext/>
              <w:numPr>
                <w:ilvl w:val="12"/>
                <w:numId w:val="0"/>
              </w:numPr>
              <w:tabs>
                <w:tab w:val="left" w:pos="180"/>
              </w:tabs>
              <w:suppressAutoHyphens/>
              <w:jc w:val="center"/>
              <w:rPr>
                <w:b/>
                <w:bCs/>
                <w:noProof/>
                <w:sz w:val="20"/>
                <w:lang w:val="it-IT"/>
              </w:rPr>
              <w:pPrChange w:id="4955" w:author="Author">
                <w:pPr>
                  <w:keepNext/>
                  <w:keepLines/>
                  <w:numPr>
                    <w:ilvl w:val="12"/>
                  </w:numPr>
                  <w:tabs>
                    <w:tab w:val="left" w:pos="180"/>
                  </w:tabs>
                  <w:ind w:right="-2"/>
                  <w:jc w:val="center"/>
                </w:pPr>
              </w:pPrChange>
            </w:pPr>
            <w:r>
              <w:rPr>
                <w:b/>
                <w:bCs/>
                <w:noProof/>
                <w:sz w:val="20"/>
                <w:lang w:val="it-IT"/>
              </w:rPr>
              <w:t>TOWARD</w:t>
            </w:r>
          </w:p>
        </w:tc>
        <w:tc>
          <w:tcPr>
            <w:tcW w:w="1800" w:type="dxa"/>
            <w:gridSpan w:val="2"/>
            <w:tcBorders>
              <w:bottom w:val="single" w:sz="4" w:space="0" w:color="auto"/>
            </w:tcBorders>
            <w:tcPrChange w:id="4956" w:author="Author">
              <w:tcPr>
                <w:tcW w:w="1800" w:type="dxa"/>
                <w:gridSpan w:val="4"/>
                <w:tcBorders>
                  <w:bottom w:val="single" w:sz="4" w:space="0" w:color="auto"/>
                </w:tcBorders>
              </w:tcPr>
            </w:tcPrChange>
          </w:tcPr>
          <w:p>
            <w:pPr>
              <w:keepNext/>
              <w:numPr>
                <w:ilvl w:val="12"/>
                <w:numId w:val="0"/>
              </w:numPr>
              <w:tabs>
                <w:tab w:val="left" w:pos="180"/>
              </w:tabs>
              <w:suppressAutoHyphens/>
              <w:jc w:val="center"/>
              <w:rPr>
                <w:b/>
                <w:bCs/>
                <w:noProof/>
                <w:sz w:val="20"/>
                <w:lang w:val="it-IT"/>
              </w:rPr>
              <w:pPrChange w:id="4957" w:author="Author">
                <w:pPr>
                  <w:keepNext/>
                  <w:keepLines/>
                  <w:numPr>
                    <w:ilvl w:val="12"/>
                  </w:numPr>
                  <w:tabs>
                    <w:tab w:val="left" w:pos="180"/>
                  </w:tabs>
                  <w:ind w:right="-2"/>
                  <w:jc w:val="center"/>
                </w:pPr>
              </w:pPrChange>
            </w:pPr>
            <w:r>
              <w:rPr>
                <w:b/>
                <w:bCs/>
                <w:noProof/>
                <w:sz w:val="20"/>
                <w:lang w:val="it-IT"/>
              </w:rPr>
              <w:t>Studio V</w:t>
            </w:r>
          </w:p>
          <w:p>
            <w:pPr>
              <w:keepNext/>
              <w:numPr>
                <w:ilvl w:val="12"/>
                <w:numId w:val="0"/>
              </w:numPr>
              <w:tabs>
                <w:tab w:val="left" w:pos="180"/>
              </w:tabs>
              <w:suppressAutoHyphens/>
              <w:jc w:val="center"/>
              <w:rPr>
                <w:b/>
                <w:bCs/>
                <w:noProof/>
                <w:sz w:val="20"/>
                <w:lang w:val="it-IT"/>
              </w:rPr>
              <w:pPrChange w:id="4958" w:author="Author">
                <w:pPr>
                  <w:keepNext/>
                  <w:keepLines/>
                  <w:numPr>
                    <w:ilvl w:val="12"/>
                  </w:numPr>
                  <w:tabs>
                    <w:tab w:val="left" w:pos="180"/>
                  </w:tabs>
                  <w:ind w:right="-2"/>
                  <w:jc w:val="center"/>
                </w:pPr>
              </w:pPrChange>
            </w:pPr>
            <w:r>
              <w:rPr>
                <w:b/>
                <w:bCs/>
                <w:noProof/>
                <w:sz w:val="20"/>
                <w:lang w:val="it-IT"/>
              </w:rPr>
              <w:t>RADIATE</w:t>
            </w:r>
          </w:p>
        </w:tc>
      </w:tr>
      <w:tr>
        <w:tblPrEx>
          <w:tblPrExChange w:id="4959" w:author="Author">
            <w:tblPrEx>
              <w:tblInd w:w="0" w:type="dxa"/>
              <w:tblCellMar>
                <w:top w:w="28" w:type="dxa"/>
                <w:bottom w:w="28" w:type="dxa"/>
              </w:tblCellMar>
            </w:tblPrEx>
          </w:tblPrExChange>
        </w:tblPrEx>
        <w:trPr>
          <w:cantSplit/>
          <w:tblHeader/>
          <w:trPrChange w:id="4960" w:author="Author">
            <w:trPr>
              <w:gridBefore w:val="1"/>
              <w:cantSplit/>
            </w:trPr>
          </w:trPrChange>
        </w:trPr>
        <w:tc>
          <w:tcPr>
            <w:tcW w:w="687" w:type="dxa"/>
            <w:tcPrChange w:id="4961" w:author="Author">
              <w:tcPr>
                <w:tcW w:w="687" w:type="dxa"/>
                <w:gridSpan w:val="2"/>
              </w:tcPr>
            </w:tcPrChange>
          </w:tcPr>
          <w:p>
            <w:pPr>
              <w:keepNext/>
              <w:numPr>
                <w:ilvl w:val="12"/>
                <w:numId w:val="0"/>
              </w:numPr>
              <w:tabs>
                <w:tab w:val="left" w:pos="180"/>
              </w:tabs>
              <w:suppressAutoHyphens/>
              <w:rPr>
                <w:noProof/>
                <w:sz w:val="20"/>
                <w:lang w:val="it-IT"/>
              </w:rPr>
              <w:pPrChange w:id="4962" w:author="Author">
                <w:pPr>
                  <w:keepNext/>
                  <w:keepLines/>
                  <w:numPr>
                    <w:ilvl w:val="12"/>
                  </w:numPr>
                  <w:tabs>
                    <w:tab w:val="left" w:pos="180"/>
                  </w:tabs>
                  <w:ind w:right="-2"/>
                </w:pPr>
              </w:pPrChange>
            </w:pPr>
            <w:r>
              <w:rPr>
                <w:bCs/>
                <w:noProof/>
                <w:sz w:val="20"/>
                <w:lang w:val="it-IT"/>
              </w:rPr>
              <w:t>sett.</w:t>
            </w:r>
          </w:p>
        </w:tc>
        <w:tc>
          <w:tcPr>
            <w:tcW w:w="974" w:type="dxa"/>
            <w:tcBorders>
              <w:right w:val="single" w:sz="4" w:space="0" w:color="auto"/>
            </w:tcBorders>
            <w:tcPrChange w:id="4963" w:author="Author">
              <w:tcPr>
                <w:tcW w:w="974" w:type="dxa"/>
                <w:tcBorders>
                  <w:right w:val="single" w:sz="4" w:space="0" w:color="auto"/>
                </w:tcBorders>
              </w:tcPr>
            </w:tcPrChange>
          </w:tcPr>
          <w:p>
            <w:pPr>
              <w:keepNext/>
              <w:numPr>
                <w:ilvl w:val="12"/>
                <w:numId w:val="0"/>
              </w:numPr>
              <w:tabs>
                <w:tab w:val="left" w:pos="180"/>
              </w:tabs>
              <w:suppressAutoHyphens/>
              <w:jc w:val="center"/>
              <w:rPr>
                <w:b/>
                <w:bCs/>
                <w:noProof/>
                <w:sz w:val="20"/>
                <w:lang w:val="it-IT"/>
              </w:rPr>
              <w:pPrChange w:id="4964" w:author="Author">
                <w:pPr>
                  <w:keepNext/>
                  <w:keepLines/>
                  <w:numPr>
                    <w:ilvl w:val="12"/>
                  </w:numPr>
                  <w:tabs>
                    <w:tab w:val="left" w:pos="180"/>
                  </w:tabs>
                  <w:ind w:right="-2"/>
                  <w:jc w:val="center"/>
                </w:pPr>
              </w:pPrChange>
            </w:pPr>
            <w:r>
              <w:rPr>
                <w:b/>
                <w:bCs/>
                <w:noProof/>
                <w:sz w:val="20"/>
                <w:lang w:val="it-IT"/>
              </w:rPr>
              <w:t>TCZ</w:t>
            </w:r>
          </w:p>
          <w:p>
            <w:pPr>
              <w:keepNext/>
              <w:numPr>
                <w:ilvl w:val="12"/>
                <w:numId w:val="0"/>
              </w:numPr>
              <w:tabs>
                <w:tab w:val="left" w:pos="180"/>
              </w:tabs>
              <w:suppressAutoHyphens/>
              <w:jc w:val="center"/>
              <w:rPr>
                <w:noProof/>
                <w:sz w:val="20"/>
                <w:lang w:val="it-IT"/>
              </w:rPr>
              <w:pPrChange w:id="4965" w:author="Author">
                <w:pPr>
                  <w:keepNext/>
                  <w:keepLines/>
                  <w:numPr>
                    <w:ilvl w:val="12"/>
                  </w:numPr>
                  <w:tabs>
                    <w:tab w:val="left" w:pos="180"/>
                  </w:tabs>
                  <w:ind w:right="-2"/>
                  <w:jc w:val="center"/>
                </w:pPr>
              </w:pPrChange>
            </w:pPr>
            <w:r>
              <w:rPr>
                <w:b/>
                <w:bCs/>
                <w:noProof/>
                <w:sz w:val="20"/>
                <w:lang w:val="it-IT"/>
              </w:rPr>
              <w:t>8 mg/kg</w:t>
            </w:r>
          </w:p>
        </w:tc>
        <w:tc>
          <w:tcPr>
            <w:tcW w:w="679" w:type="dxa"/>
            <w:tcBorders>
              <w:left w:val="single" w:sz="4" w:space="0" w:color="auto"/>
              <w:right w:val="single" w:sz="4" w:space="0" w:color="auto"/>
            </w:tcBorders>
            <w:tcPrChange w:id="4966" w:author="Author">
              <w:tcPr>
                <w:tcW w:w="679" w:type="dxa"/>
                <w:gridSpan w:val="2"/>
                <w:tcBorders>
                  <w:left w:val="single" w:sz="4" w:space="0" w:color="auto"/>
                  <w:right w:val="single" w:sz="4" w:space="0" w:color="auto"/>
                </w:tcBorders>
              </w:tcPr>
            </w:tcPrChange>
          </w:tcPr>
          <w:p>
            <w:pPr>
              <w:keepNext/>
              <w:numPr>
                <w:ilvl w:val="12"/>
                <w:numId w:val="0"/>
              </w:numPr>
              <w:tabs>
                <w:tab w:val="left" w:pos="180"/>
              </w:tabs>
              <w:suppressAutoHyphens/>
              <w:jc w:val="center"/>
              <w:rPr>
                <w:noProof/>
                <w:sz w:val="20"/>
                <w:lang w:val="it-IT"/>
              </w:rPr>
              <w:pPrChange w:id="4967" w:author="Author">
                <w:pPr>
                  <w:keepNext/>
                  <w:keepLines/>
                  <w:numPr>
                    <w:ilvl w:val="12"/>
                  </w:numPr>
                  <w:tabs>
                    <w:tab w:val="left" w:pos="180"/>
                  </w:tabs>
                  <w:ind w:right="-2"/>
                  <w:jc w:val="center"/>
                </w:pPr>
              </w:pPrChange>
            </w:pPr>
            <w:r>
              <w:rPr>
                <w:b/>
                <w:bCs/>
                <w:noProof/>
                <w:sz w:val="20"/>
                <w:lang w:val="it-IT"/>
              </w:rPr>
              <w:t>MTX</w:t>
            </w:r>
          </w:p>
        </w:tc>
        <w:tc>
          <w:tcPr>
            <w:tcW w:w="973" w:type="dxa"/>
            <w:tcBorders>
              <w:left w:val="single" w:sz="4" w:space="0" w:color="auto"/>
              <w:right w:val="single" w:sz="4" w:space="0" w:color="auto"/>
            </w:tcBorders>
            <w:tcPrChange w:id="4968" w:author="Author">
              <w:tcPr>
                <w:tcW w:w="973" w:type="dxa"/>
                <w:tcBorders>
                  <w:left w:val="single" w:sz="4" w:space="0" w:color="auto"/>
                  <w:right w:val="single" w:sz="4" w:space="0" w:color="auto"/>
                </w:tcBorders>
              </w:tcPr>
            </w:tcPrChange>
          </w:tcPr>
          <w:p>
            <w:pPr>
              <w:keepNext/>
              <w:numPr>
                <w:ilvl w:val="12"/>
                <w:numId w:val="0"/>
              </w:numPr>
              <w:tabs>
                <w:tab w:val="left" w:pos="180"/>
              </w:tabs>
              <w:suppressAutoHyphens/>
              <w:jc w:val="center"/>
              <w:rPr>
                <w:b/>
                <w:bCs/>
                <w:noProof/>
                <w:sz w:val="20"/>
                <w:lang w:val="it-IT"/>
              </w:rPr>
              <w:pPrChange w:id="4969" w:author="Author">
                <w:pPr>
                  <w:keepNext/>
                  <w:keepLines/>
                  <w:numPr>
                    <w:ilvl w:val="12"/>
                  </w:numPr>
                  <w:tabs>
                    <w:tab w:val="left" w:pos="180"/>
                  </w:tabs>
                  <w:ind w:right="-2"/>
                  <w:jc w:val="center"/>
                </w:pPr>
              </w:pPrChange>
            </w:pPr>
            <w:r>
              <w:rPr>
                <w:b/>
                <w:bCs/>
                <w:noProof/>
                <w:sz w:val="20"/>
                <w:lang w:val="it-IT"/>
              </w:rPr>
              <w:t>TCZ</w:t>
            </w:r>
          </w:p>
          <w:p>
            <w:pPr>
              <w:keepNext/>
              <w:numPr>
                <w:ilvl w:val="12"/>
                <w:numId w:val="0"/>
              </w:numPr>
              <w:tabs>
                <w:tab w:val="left" w:pos="180"/>
              </w:tabs>
              <w:suppressAutoHyphens/>
              <w:jc w:val="center"/>
              <w:rPr>
                <w:b/>
                <w:bCs/>
                <w:noProof/>
                <w:sz w:val="20"/>
                <w:lang w:val="it-IT"/>
              </w:rPr>
              <w:pPrChange w:id="4970" w:author="Author">
                <w:pPr>
                  <w:keepNext/>
                  <w:keepLines/>
                  <w:numPr>
                    <w:ilvl w:val="12"/>
                  </w:numPr>
                  <w:tabs>
                    <w:tab w:val="left" w:pos="180"/>
                  </w:tabs>
                  <w:ind w:right="-2"/>
                  <w:jc w:val="center"/>
                </w:pPr>
              </w:pPrChange>
            </w:pPr>
            <w:r>
              <w:rPr>
                <w:b/>
                <w:bCs/>
                <w:noProof/>
                <w:sz w:val="20"/>
                <w:lang w:val="it-IT"/>
              </w:rPr>
              <w:t>8 mg/kg + MTX</w:t>
            </w:r>
          </w:p>
        </w:tc>
        <w:tc>
          <w:tcPr>
            <w:tcW w:w="827" w:type="dxa"/>
            <w:tcBorders>
              <w:left w:val="single" w:sz="4" w:space="0" w:color="auto"/>
              <w:right w:val="single" w:sz="4" w:space="0" w:color="auto"/>
            </w:tcBorders>
            <w:tcPrChange w:id="4971" w:author="Author">
              <w:tcPr>
                <w:tcW w:w="827" w:type="dxa"/>
                <w:gridSpan w:val="2"/>
                <w:tcBorders>
                  <w:left w:val="single" w:sz="4" w:space="0" w:color="auto"/>
                  <w:right w:val="single" w:sz="4" w:space="0" w:color="auto"/>
                </w:tcBorders>
              </w:tcPr>
            </w:tcPrChange>
          </w:tcPr>
          <w:p>
            <w:pPr>
              <w:keepNext/>
              <w:numPr>
                <w:ilvl w:val="12"/>
                <w:numId w:val="0"/>
              </w:numPr>
              <w:tabs>
                <w:tab w:val="left" w:pos="180"/>
              </w:tabs>
              <w:suppressAutoHyphens/>
              <w:jc w:val="center"/>
              <w:rPr>
                <w:noProof/>
                <w:sz w:val="20"/>
                <w:lang w:val="it-IT"/>
              </w:rPr>
              <w:pPrChange w:id="4972" w:author="Author">
                <w:pPr>
                  <w:keepNext/>
                  <w:keepLines/>
                  <w:numPr>
                    <w:ilvl w:val="12"/>
                  </w:numPr>
                  <w:tabs>
                    <w:tab w:val="left" w:pos="180"/>
                  </w:tabs>
                  <w:ind w:right="-2"/>
                  <w:jc w:val="center"/>
                </w:pPr>
              </w:pPrChange>
            </w:pPr>
            <w:r>
              <w:rPr>
                <w:b/>
                <w:bCs/>
                <w:noProof/>
                <w:sz w:val="20"/>
                <w:lang w:val="it-IT"/>
              </w:rPr>
              <w:t>PBO + MTX</w:t>
            </w:r>
          </w:p>
        </w:tc>
        <w:tc>
          <w:tcPr>
            <w:tcW w:w="979" w:type="dxa"/>
            <w:tcBorders>
              <w:left w:val="single" w:sz="4" w:space="0" w:color="auto"/>
              <w:right w:val="single" w:sz="4" w:space="0" w:color="auto"/>
            </w:tcBorders>
            <w:tcPrChange w:id="4973" w:author="Author">
              <w:tcPr>
                <w:tcW w:w="900" w:type="dxa"/>
                <w:tcBorders>
                  <w:left w:val="single" w:sz="4" w:space="0" w:color="auto"/>
                  <w:right w:val="single" w:sz="4" w:space="0" w:color="auto"/>
                </w:tcBorders>
              </w:tcPr>
            </w:tcPrChange>
          </w:tcPr>
          <w:p>
            <w:pPr>
              <w:keepNext/>
              <w:numPr>
                <w:ilvl w:val="12"/>
                <w:numId w:val="0"/>
              </w:numPr>
              <w:tabs>
                <w:tab w:val="left" w:pos="180"/>
              </w:tabs>
              <w:suppressAutoHyphens/>
              <w:jc w:val="center"/>
              <w:rPr>
                <w:b/>
                <w:bCs/>
                <w:noProof/>
                <w:sz w:val="20"/>
                <w:lang w:val="it-IT"/>
              </w:rPr>
              <w:pPrChange w:id="4974" w:author="Author">
                <w:pPr>
                  <w:keepNext/>
                  <w:keepLines/>
                  <w:numPr>
                    <w:ilvl w:val="12"/>
                  </w:numPr>
                  <w:tabs>
                    <w:tab w:val="left" w:pos="180"/>
                  </w:tabs>
                  <w:ind w:right="-2"/>
                  <w:jc w:val="center"/>
                </w:pPr>
              </w:pPrChange>
            </w:pPr>
            <w:r>
              <w:rPr>
                <w:b/>
                <w:bCs/>
                <w:noProof/>
                <w:sz w:val="20"/>
                <w:lang w:val="it-IT"/>
              </w:rPr>
              <w:t>TCZ</w:t>
            </w:r>
          </w:p>
          <w:p>
            <w:pPr>
              <w:keepNext/>
              <w:numPr>
                <w:ilvl w:val="12"/>
                <w:numId w:val="0"/>
              </w:numPr>
              <w:tabs>
                <w:tab w:val="left" w:pos="180"/>
              </w:tabs>
              <w:suppressAutoHyphens/>
              <w:jc w:val="center"/>
              <w:rPr>
                <w:b/>
                <w:bCs/>
                <w:noProof/>
                <w:sz w:val="20"/>
                <w:lang w:val="it-IT"/>
              </w:rPr>
              <w:pPrChange w:id="4975" w:author="Author">
                <w:pPr>
                  <w:keepNext/>
                  <w:keepLines/>
                  <w:numPr>
                    <w:ilvl w:val="12"/>
                  </w:numPr>
                  <w:tabs>
                    <w:tab w:val="left" w:pos="180"/>
                  </w:tabs>
                  <w:ind w:right="-2"/>
                  <w:jc w:val="center"/>
                </w:pPr>
              </w:pPrChange>
            </w:pPr>
            <w:r>
              <w:rPr>
                <w:b/>
                <w:bCs/>
                <w:noProof/>
                <w:sz w:val="20"/>
                <w:lang w:val="it-IT"/>
              </w:rPr>
              <w:t>8 mg/kg + MTX</w:t>
            </w:r>
          </w:p>
        </w:tc>
        <w:tc>
          <w:tcPr>
            <w:tcW w:w="821" w:type="dxa"/>
            <w:tcBorders>
              <w:left w:val="single" w:sz="4" w:space="0" w:color="auto"/>
            </w:tcBorders>
            <w:tcPrChange w:id="4976" w:author="Author">
              <w:tcPr>
                <w:tcW w:w="900" w:type="dxa"/>
                <w:gridSpan w:val="2"/>
                <w:tcBorders>
                  <w:left w:val="single" w:sz="4" w:space="0" w:color="auto"/>
                </w:tcBorders>
              </w:tcPr>
            </w:tcPrChange>
          </w:tcPr>
          <w:p>
            <w:pPr>
              <w:keepNext/>
              <w:numPr>
                <w:ilvl w:val="12"/>
                <w:numId w:val="0"/>
              </w:numPr>
              <w:tabs>
                <w:tab w:val="left" w:pos="180"/>
              </w:tabs>
              <w:suppressAutoHyphens/>
              <w:jc w:val="center"/>
              <w:rPr>
                <w:b/>
                <w:bCs/>
                <w:noProof/>
                <w:sz w:val="20"/>
                <w:lang w:val="it-IT"/>
              </w:rPr>
              <w:pPrChange w:id="4977" w:author="Author">
                <w:pPr>
                  <w:keepNext/>
                  <w:keepLines/>
                  <w:numPr>
                    <w:ilvl w:val="12"/>
                  </w:numPr>
                  <w:tabs>
                    <w:tab w:val="left" w:pos="180"/>
                  </w:tabs>
                  <w:ind w:right="-2"/>
                  <w:jc w:val="center"/>
                </w:pPr>
              </w:pPrChange>
            </w:pPr>
            <w:r>
              <w:rPr>
                <w:b/>
                <w:bCs/>
                <w:noProof/>
                <w:sz w:val="20"/>
                <w:lang w:val="it-IT"/>
              </w:rPr>
              <w:t>PBO + MTX</w:t>
            </w:r>
          </w:p>
        </w:tc>
        <w:tc>
          <w:tcPr>
            <w:tcW w:w="990" w:type="dxa"/>
            <w:tcBorders>
              <w:left w:val="nil"/>
              <w:right w:val="single" w:sz="4" w:space="0" w:color="auto"/>
            </w:tcBorders>
            <w:tcPrChange w:id="4978" w:author="Author">
              <w:tcPr>
                <w:tcW w:w="990" w:type="dxa"/>
                <w:tcBorders>
                  <w:left w:val="nil"/>
                  <w:right w:val="single" w:sz="4" w:space="0" w:color="auto"/>
                </w:tcBorders>
              </w:tcPr>
            </w:tcPrChange>
          </w:tcPr>
          <w:p>
            <w:pPr>
              <w:keepNext/>
              <w:numPr>
                <w:ilvl w:val="12"/>
                <w:numId w:val="0"/>
              </w:numPr>
              <w:tabs>
                <w:tab w:val="left" w:pos="180"/>
              </w:tabs>
              <w:suppressAutoHyphens/>
              <w:jc w:val="center"/>
              <w:rPr>
                <w:b/>
                <w:bCs/>
                <w:noProof/>
                <w:sz w:val="20"/>
                <w:lang w:val="it-IT"/>
              </w:rPr>
              <w:pPrChange w:id="4979" w:author="Author">
                <w:pPr>
                  <w:keepNext/>
                  <w:keepLines/>
                  <w:numPr>
                    <w:ilvl w:val="12"/>
                  </w:numPr>
                  <w:tabs>
                    <w:tab w:val="left" w:pos="180"/>
                  </w:tabs>
                  <w:ind w:right="-2"/>
                  <w:jc w:val="center"/>
                </w:pPr>
              </w:pPrChange>
            </w:pPr>
            <w:r>
              <w:rPr>
                <w:b/>
                <w:bCs/>
                <w:noProof/>
                <w:sz w:val="20"/>
                <w:lang w:val="it-IT"/>
              </w:rPr>
              <w:t>TCZ</w:t>
            </w:r>
          </w:p>
          <w:p>
            <w:pPr>
              <w:keepNext/>
              <w:numPr>
                <w:ilvl w:val="12"/>
                <w:numId w:val="0"/>
              </w:numPr>
              <w:tabs>
                <w:tab w:val="left" w:pos="180"/>
              </w:tabs>
              <w:suppressAutoHyphens/>
              <w:jc w:val="center"/>
              <w:rPr>
                <w:b/>
                <w:bCs/>
                <w:noProof/>
                <w:sz w:val="20"/>
                <w:lang w:val="it-IT"/>
              </w:rPr>
              <w:pPrChange w:id="4980" w:author="Author">
                <w:pPr>
                  <w:keepNext/>
                  <w:keepLines/>
                  <w:numPr>
                    <w:ilvl w:val="12"/>
                  </w:numPr>
                  <w:tabs>
                    <w:tab w:val="left" w:pos="180"/>
                  </w:tabs>
                  <w:ind w:right="-2"/>
                  <w:jc w:val="center"/>
                </w:pPr>
              </w:pPrChange>
            </w:pPr>
            <w:r>
              <w:rPr>
                <w:b/>
                <w:bCs/>
                <w:noProof/>
                <w:sz w:val="20"/>
                <w:lang w:val="it-IT"/>
              </w:rPr>
              <w:t>8 mg/kg + DMARD</w:t>
            </w:r>
          </w:p>
        </w:tc>
        <w:tc>
          <w:tcPr>
            <w:tcW w:w="990" w:type="dxa"/>
            <w:gridSpan w:val="2"/>
            <w:tcBorders>
              <w:left w:val="single" w:sz="4" w:space="0" w:color="auto"/>
            </w:tcBorders>
            <w:tcPrChange w:id="4981" w:author="Author">
              <w:tcPr>
                <w:tcW w:w="990" w:type="dxa"/>
                <w:gridSpan w:val="3"/>
                <w:tcBorders>
                  <w:left w:val="single" w:sz="4" w:space="0" w:color="auto"/>
                </w:tcBorders>
              </w:tcPr>
            </w:tcPrChange>
          </w:tcPr>
          <w:p>
            <w:pPr>
              <w:keepNext/>
              <w:numPr>
                <w:ilvl w:val="12"/>
                <w:numId w:val="0"/>
              </w:numPr>
              <w:tabs>
                <w:tab w:val="left" w:pos="180"/>
              </w:tabs>
              <w:suppressAutoHyphens/>
              <w:jc w:val="center"/>
              <w:rPr>
                <w:b/>
                <w:bCs/>
                <w:noProof/>
                <w:sz w:val="20"/>
                <w:lang w:val="it-IT"/>
              </w:rPr>
              <w:pPrChange w:id="4982" w:author="Author">
                <w:pPr>
                  <w:keepNext/>
                  <w:keepLines/>
                  <w:numPr>
                    <w:ilvl w:val="12"/>
                  </w:numPr>
                  <w:tabs>
                    <w:tab w:val="left" w:pos="180"/>
                  </w:tabs>
                  <w:ind w:right="-2"/>
                  <w:jc w:val="center"/>
                </w:pPr>
              </w:pPrChange>
            </w:pPr>
            <w:r>
              <w:rPr>
                <w:b/>
                <w:bCs/>
                <w:noProof/>
                <w:sz w:val="20"/>
                <w:lang w:val="it-IT"/>
              </w:rPr>
              <w:t>PBO + DMARD</w:t>
            </w:r>
          </w:p>
        </w:tc>
        <w:tc>
          <w:tcPr>
            <w:tcW w:w="900" w:type="dxa"/>
            <w:tcBorders>
              <w:left w:val="nil"/>
              <w:right w:val="single" w:sz="4" w:space="0" w:color="auto"/>
            </w:tcBorders>
            <w:tcPrChange w:id="4983" w:author="Author">
              <w:tcPr>
                <w:tcW w:w="900" w:type="dxa"/>
                <w:tcBorders>
                  <w:left w:val="nil"/>
                  <w:right w:val="single" w:sz="4" w:space="0" w:color="auto"/>
                </w:tcBorders>
              </w:tcPr>
            </w:tcPrChange>
          </w:tcPr>
          <w:p>
            <w:pPr>
              <w:keepNext/>
              <w:numPr>
                <w:ilvl w:val="12"/>
                <w:numId w:val="0"/>
              </w:numPr>
              <w:tabs>
                <w:tab w:val="left" w:pos="180"/>
              </w:tabs>
              <w:suppressAutoHyphens/>
              <w:jc w:val="center"/>
              <w:rPr>
                <w:b/>
                <w:bCs/>
                <w:noProof/>
                <w:sz w:val="20"/>
                <w:lang w:val="it-IT"/>
              </w:rPr>
              <w:pPrChange w:id="4984" w:author="Author">
                <w:pPr>
                  <w:keepNext/>
                  <w:keepLines/>
                  <w:numPr>
                    <w:ilvl w:val="12"/>
                  </w:numPr>
                  <w:tabs>
                    <w:tab w:val="left" w:pos="180"/>
                  </w:tabs>
                  <w:ind w:right="-2"/>
                  <w:jc w:val="center"/>
                </w:pPr>
              </w:pPrChange>
            </w:pPr>
            <w:r>
              <w:rPr>
                <w:b/>
                <w:bCs/>
                <w:noProof/>
                <w:sz w:val="20"/>
                <w:lang w:val="it-IT"/>
              </w:rPr>
              <w:t>TCZ 8 mg/kg + MTX</w:t>
            </w:r>
          </w:p>
        </w:tc>
        <w:tc>
          <w:tcPr>
            <w:tcW w:w="900" w:type="dxa"/>
            <w:tcBorders>
              <w:left w:val="single" w:sz="4" w:space="0" w:color="auto"/>
            </w:tcBorders>
            <w:tcPrChange w:id="4985" w:author="Author">
              <w:tcPr>
                <w:tcW w:w="900" w:type="dxa"/>
                <w:gridSpan w:val="2"/>
                <w:tcBorders>
                  <w:left w:val="single" w:sz="4" w:space="0" w:color="auto"/>
                </w:tcBorders>
              </w:tcPr>
            </w:tcPrChange>
          </w:tcPr>
          <w:p>
            <w:pPr>
              <w:keepNext/>
              <w:numPr>
                <w:ilvl w:val="12"/>
                <w:numId w:val="0"/>
              </w:numPr>
              <w:tabs>
                <w:tab w:val="left" w:pos="180"/>
              </w:tabs>
              <w:suppressAutoHyphens/>
              <w:jc w:val="center"/>
              <w:rPr>
                <w:b/>
                <w:bCs/>
                <w:noProof/>
                <w:sz w:val="20"/>
                <w:lang w:val="it-IT"/>
              </w:rPr>
              <w:pPrChange w:id="4986" w:author="Author">
                <w:pPr>
                  <w:keepNext/>
                  <w:keepLines/>
                  <w:numPr>
                    <w:ilvl w:val="12"/>
                  </w:numPr>
                  <w:tabs>
                    <w:tab w:val="left" w:pos="180"/>
                  </w:tabs>
                  <w:ind w:right="-2"/>
                  <w:jc w:val="center"/>
                </w:pPr>
              </w:pPrChange>
            </w:pPr>
            <w:r>
              <w:rPr>
                <w:b/>
                <w:bCs/>
                <w:noProof/>
                <w:sz w:val="20"/>
                <w:lang w:val="it-IT"/>
              </w:rPr>
              <w:t>PBO + MTX</w:t>
            </w:r>
            <w:r>
              <w:rPr>
                <w:noProof/>
                <w:sz w:val="20"/>
                <w:lang w:val="it-IT"/>
                <w:rPrChange w:id="4987" w:author="Author">
                  <w:rPr>
                    <w:lang w:val="it-IT"/>
                  </w:rPr>
                </w:rPrChange>
              </w:rPr>
              <w:br/>
            </w:r>
          </w:p>
        </w:tc>
      </w:tr>
      <w:tr>
        <w:tblPrEx>
          <w:tblPrExChange w:id="4988" w:author="Author">
            <w:tblPrEx>
              <w:tblInd w:w="0" w:type="dxa"/>
              <w:tblCellMar>
                <w:top w:w="28" w:type="dxa"/>
                <w:bottom w:w="28" w:type="dxa"/>
              </w:tblCellMar>
            </w:tblPrEx>
          </w:tblPrExChange>
        </w:tblPrEx>
        <w:trPr>
          <w:cantSplit/>
          <w:tblHeader/>
          <w:trPrChange w:id="4989" w:author="Author">
            <w:trPr>
              <w:gridBefore w:val="1"/>
              <w:cantSplit/>
            </w:trPr>
          </w:trPrChange>
        </w:trPr>
        <w:tc>
          <w:tcPr>
            <w:tcW w:w="687" w:type="dxa"/>
            <w:tcPrChange w:id="4990" w:author="Author">
              <w:tcPr>
                <w:tcW w:w="687" w:type="dxa"/>
                <w:gridSpan w:val="2"/>
              </w:tcPr>
            </w:tcPrChange>
          </w:tcPr>
          <w:p>
            <w:pPr>
              <w:keepNext/>
              <w:numPr>
                <w:ilvl w:val="12"/>
                <w:numId w:val="0"/>
              </w:numPr>
              <w:tabs>
                <w:tab w:val="left" w:pos="180"/>
              </w:tabs>
              <w:suppressAutoHyphens/>
              <w:jc w:val="center"/>
              <w:rPr>
                <w:b/>
                <w:bCs/>
                <w:noProof/>
                <w:sz w:val="20"/>
                <w:lang w:val="it-IT"/>
                <w:rPrChange w:id="4991" w:author="Author">
                  <w:rPr>
                    <w:b/>
                    <w:bCs/>
                    <w:szCs w:val="22"/>
                    <w:lang w:val="it-IT"/>
                  </w:rPr>
                </w:rPrChange>
              </w:rPr>
              <w:pPrChange w:id="4992" w:author="Author">
                <w:pPr>
                  <w:keepNext/>
                  <w:keepLines/>
                  <w:numPr>
                    <w:ilvl w:val="12"/>
                  </w:numPr>
                  <w:tabs>
                    <w:tab w:val="left" w:pos="180"/>
                  </w:tabs>
                  <w:ind w:right="-2"/>
                  <w:jc w:val="center"/>
                </w:pPr>
              </w:pPrChange>
            </w:pPr>
          </w:p>
        </w:tc>
        <w:tc>
          <w:tcPr>
            <w:tcW w:w="974" w:type="dxa"/>
            <w:tcBorders>
              <w:right w:val="single" w:sz="4" w:space="0" w:color="auto"/>
            </w:tcBorders>
            <w:tcPrChange w:id="4993" w:author="Author">
              <w:tcPr>
                <w:tcW w:w="974" w:type="dxa"/>
                <w:tcBorders>
                  <w:right w:val="single" w:sz="4" w:space="0" w:color="auto"/>
                </w:tcBorders>
              </w:tcPr>
            </w:tcPrChange>
          </w:tcPr>
          <w:p>
            <w:pPr>
              <w:keepNext/>
              <w:numPr>
                <w:ilvl w:val="12"/>
                <w:numId w:val="0"/>
              </w:numPr>
              <w:tabs>
                <w:tab w:val="left" w:pos="180"/>
              </w:tabs>
              <w:suppressAutoHyphens/>
              <w:jc w:val="center"/>
              <w:rPr>
                <w:b/>
                <w:bCs/>
                <w:noProof/>
                <w:sz w:val="20"/>
                <w:lang w:val="it-IT"/>
                <w:rPrChange w:id="4994" w:author="Author">
                  <w:rPr>
                    <w:b/>
                    <w:bCs/>
                    <w:szCs w:val="22"/>
                    <w:lang w:val="it-IT"/>
                  </w:rPr>
                </w:rPrChange>
              </w:rPr>
              <w:pPrChange w:id="4995" w:author="Author">
                <w:pPr>
                  <w:keepNext/>
                  <w:keepLines/>
                  <w:numPr>
                    <w:ilvl w:val="12"/>
                  </w:numPr>
                  <w:tabs>
                    <w:tab w:val="left" w:pos="180"/>
                  </w:tabs>
                  <w:ind w:right="-2"/>
                  <w:jc w:val="center"/>
                </w:pPr>
              </w:pPrChange>
            </w:pPr>
            <w:del w:id="4996" w:author="Author">
              <w:r>
                <w:rPr>
                  <w:b/>
                  <w:bCs/>
                  <w:noProof/>
                  <w:sz w:val="20"/>
                  <w:lang w:val="it-IT"/>
                  <w:rPrChange w:id="4997" w:author="Author">
                    <w:rPr>
                      <w:b/>
                      <w:bCs/>
                      <w:szCs w:val="22"/>
                      <w:lang w:val="it-IT"/>
                    </w:rPr>
                  </w:rPrChange>
                </w:rPr>
                <w:delText xml:space="preserve">N </w:delText>
              </w:r>
            </w:del>
            <w:ins w:id="4998" w:author="Author">
              <w:r>
                <w:rPr>
                  <w:b/>
                  <w:bCs/>
                  <w:noProof/>
                  <w:sz w:val="20"/>
                  <w:lang w:val="it-IT"/>
                  <w:rPrChange w:id="4999" w:author="Author">
                    <w:rPr>
                      <w:b/>
                      <w:bCs/>
                      <w:szCs w:val="22"/>
                      <w:lang w:val="it-IT"/>
                    </w:rPr>
                  </w:rPrChange>
                </w:rPr>
                <w:t>n </w:t>
              </w:r>
            </w:ins>
            <w:r>
              <w:rPr>
                <w:b/>
                <w:bCs/>
                <w:noProof/>
                <w:sz w:val="20"/>
                <w:lang w:val="it-IT"/>
                <w:rPrChange w:id="5000" w:author="Author">
                  <w:rPr>
                    <w:b/>
                    <w:bCs/>
                    <w:szCs w:val="22"/>
                    <w:lang w:val="it-IT"/>
                  </w:rPr>
                </w:rPrChange>
              </w:rPr>
              <w:t>=</w:t>
            </w:r>
            <w:ins w:id="5001" w:author="Author">
              <w:r>
                <w:rPr>
                  <w:b/>
                  <w:bCs/>
                  <w:noProof/>
                  <w:sz w:val="20"/>
                  <w:lang w:val="it-IT"/>
                  <w:rPrChange w:id="5002" w:author="Author">
                    <w:rPr>
                      <w:b/>
                      <w:bCs/>
                      <w:szCs w:val="22"/>
                      <w:lang w:val="it-IT"/>
                    </w:rPr>
                  </w:rPrChange>
                </w:rPr>
                <w:t> </w:t>
              </w:r>
            </w:ins>
          </w:p>
          <w:p>
            <w:pPr>
              <w:keepNext/>
              <w:numPr>
                <w:ilvl w:val="12"/>
                <w:numId w:val="0"/>
              </w:numPr>
              <w:tabs>
                <w:tab w:val="left" w:pos="180"/>
              </w:tabs>
              <w:suppressAutoHyphens/>
              <w:jc w:val="center"/>
              <w:rPr>
                <w:b/>
                <w:bCs/>
                <w:noProof/>
                <w:sz w:val="20"/>
                <w:lang w:val="it-IT"/>
                <w:rPrChange w:id="5003" w:author="Author">
                  <w:rPr>
                    <w:b/>
                    <w:bCs/>
                    <w:szCs w:val="22"/>
                    <w:lang w:val="it-IT"/>
                  </w:rPr>
                </w:rPrChange>
              </w:rPr>
              <w:pPrChange w:id="5004" w:author="Author">
                <w:pPr>
                  <w:keepNext/>
                  <w:keepLines/>
                  <w:numPr>
                    <w:ilvl w:val="12"/>
                  </w:numPr>
                  <w:tabs>
                    <w:tab w:val="left" w:pos="180"/>
                  </w:tabs>
                  <w:ind w:right="-2"/>
                  <w:jc w:val="center"/>
                </w:pPr>
              </w:pPrChange>
            </w:pPr>
            <w:r>
              <w:rPr>
                <w:b/>
                <w:bCs/>
                <w:noProof/>
                <w:sz w:val="20"/>
                <w:lang w:val="it-IT"/>
                <w:rPrChange w:id="5005" w:author="Author">
                  <w:rPr>
                    <w:b/>
                    <w:bCs/>
                    <w:szCs w:val="22"/>
                    <w:lang w:val="it-IT"/>
                  </w:rPr>
                </w:rPrChange>
              </w:rPr>
              <w:t>286</w:t>
            </w:r>
          </w:p>
        </w:tc>
        <w:tc>
          <w:tcPr>
            <w:tcW w:w="679" w:type="dxa"/>
            <w:tcBorders>
              <w:left w:val="single" w:sz="4" w:space="0" w:color="auto"/>
              <w:right w:val="single" w:sz="4" w:space="0" w:color="auto"/>
            </w:tcBorders>
            <w:tcPrChange w:id="5006" w:author="Author">
              <w:tcPr>
                <w:tcW w:w="679" w:type="dxa"/>
                <w:gridSpan w:val="2"/>
                <w:tcBorders>
                  <w:left w:val="single" w:sz="4" w:space="0" w:color="auto"/>
                  <w:right w:val="single" w:sz="4" w:space="0" w:color="auto"/>
                </w:tcBorders>
              </w:tcPr>
            </w:tcPrChange>
          </w:tcPr>
          <w:p>
            <w:pPr>
              <w:keepNext/>
              <w:numPr>
                <w:ilvl w:val="12"/>
                <w:numId w:val="0"/>
              </w:numPr>
              <w:tabs>
                <w:tab w:val="left" w:pos="180"/>
              </w:tabs>
              <w:suppressAutoHyphens/>
              <w:jc w:val="center"/>
              <w:rPr>
                <w:b/>
                <w:bCs/>
                <w:noProof/>
                <w:sz w:val="20"/>
                <w:lang w:val="it-IT"/>
                <w:rPrChange w:id="5007" w:author="Author">
                  <w:rPr>
                    <w:b/>
                    <w:bCs/>
                    <w:szCs w:val="22"/>
                    <w:lang w:val="it-IT"/>
                  </w:rPr>
                </w:rPrChange>
              </w:rPr>
              <w:pPrChange w:id="5008" w:author="Author">
                <w:pPr>
                  <w:keepNext/>
                  <w:keepLines/>
                  <w:numPr>
                    <w:ilvl w:val="12"/>
                  </w:numPr>
                  <w:tabs>
                    <w:tab w:val="left" w:pos="180"/>
                  </w:tabs>
                  <w:ind w:right="-2"/>
                  <w:jc w:val="center"/>
                </w:pPr>
              </w:pPrChange>
            </w:pPr>
            <w:del w:id="5009" w:author="Author">
              <w:r>
                <w:rPr>
                  <w:b/>
                  <w:bCs/>
                  <w:noProof/>
                  <w:sz w:val="20"/>
                  <w:lang w:val="it-IT"/>
                  <w:rPrChange w:id="5010" w:author="Author">
                    <w:rPr>
                      <w:b/>
                      <w:bCs/>
                      <w:szCs w:val="22"/>
                      <w:lang w:val="it-IT"/>
                    </w:rPr>
                  </w:rPrChange>
                </w:rPr>
                <w:delText xml:space="preserve">N </w:delText>
              </w:r>
            </w:del>
            <w:ins w:id="5011" w:author="Author">
              <w:r>
                <w:rPr>
                  <w:b/>
                  <w:bCs/>
                  <w:noProof/>
                  <w:sz w:val="20"/>
                  <w:lang w:val="it-IT"/>
                  <w:rPrChange w:id="5012" w:author="Author">
                    <w:rPr>
                      <w:b/>
                      <w:bCs/>
                      <w:szCs w:val="22"/>
                      <w:lang w:val="it-IT"/>
                    </w:rPr>
                  </w:rPrChange>
                </w:rPr>
                <w:t>n </w:t>
              </w:r>
            </w:ins>
            <w:r>
              <w:rPr>
                <w:b/>
                <w:bCs/>
                <w:noProof/>
                <w:sz w:val="20"/>
                <w:lang w:val="it-IT"/>
                <w:rPrChange w:id="5013" w:author="Author">
                  <w:rPr>
                    <w:b/>
                    <w:bCs/>
                    <w:szCs w:val="22"/>
                    <w:lang w:val="it-IT"/>
                  </w:rPr>
                </w:rPrChange>
              </w:rPr>
              <w:t>=</w:t>
            </w:r>
            <w:ins w:id="5014" w:author="Author">
              <w:r>
                <w:rPr>
                  <w:b/>
                  <w:bCs/>
                  <w:noProof/>
                  <w:sz w:val="20"/>
                  <w:lang w:val="it-IT"/>
                  <w:rPrChange w:id="5015" w:author="Author">
                    <w:rPr>
                      <w:b/>
                      <w:bCs/>
                      <w:szCs w:val="22"/>
                      <w:lang w:val="it-IT"/>
                    </w:rPr>
                  </w:rPrChange>
                </w:rPr>
                <w:t> </w:t>
              </w:r>
            </w:ins>
          </w:p>
          <w:p>
            <w:pPr>
              <w:keepNext/>
              <w:numPr>
                <w:ilvl w:val="12"/>
                <w:numId w:val="0"/>
              </w:numPr>
              <w:tabs>
                <w:tab w:val="left" w:pos="180"/>
              </w:tabs>
              <w:suppressAutoHyphens/>
              <w:jc w:val="center"/>
              <w:rPr>
                <w:b/>
                <w:bCs/>
                <w:noProof/>
                <w:sz w:val="20"/>
                <w:lang w:val="it-IT"/>
                <w:rPrChange w:id="5016" w:author="Author">
                  <w:rPr>
                    <w:b/>
                    <w:bCs/>
                    <w:szCs w:val="22"/>
                    <w:lang w:val="it-IT"/>
                  </w:rPr>
                </w:rPrChange>
              </w:rPr>
              <w:pPrChange w:id="5017" w:author="Author">
                <w:pPr>
                  <w:keepNext/>
                  <w:keepLines/>
                  <w:numPr>
                    <w:ilvl w:val="12"/>
                  </w:numPr>
                  <w:tabs>
                    <w:tab w:val="left" w:pos="180"/>
                  </w:tabs>
                  <w:ind w:right="-2"/>
                  <w:jc w:val="center"/>
                </w:pPr>
              </w:pPrChange>
            </w:pPr>
            <w:r>
              <w:rPr>
                <w:b/>
                <w:bCs/>
                <w:noProof/>
                <w:sz w:val="20"/>
                <w:lang w:val="it-IT"/>
                <w:rPrChange w:id="5018" w:author="Author">
                  <w:rPr>
                    <w:b/>
                    <w:bCs/>
                    <w:szCs w:val="22"/>
                    <w:lang w:val="it-IT"/>
                  </w:rPr>
                </w:rPrChange>
              </w:rPr>
              <w:t>284</w:t>
            </w:r>
          </w:p>
        </w:tc>
        <w:tc>
          <w:tcPr>
            <w:tcW w:w="973" w:type="dxa"/>
            <w:tcBorders>
              <w:left w:val="single" w:sz="4" w:space="0" w:color="auto"/>
              <w:right w:val="single" w:sz="4" w:space="0" w:color="auto"/>
            </w:tcBorders>
            <w:tcPrChange w:id="5019" w:author="Author">
              <w:tcPr>
                <w:tcW w:w="973" w:type="dxa"/>
                <w:tcBorders>
                  <w:left w:val="single" w:sz="4" w:space="0" w:color="auto"/>
                  <w:right w:val="single" w:sz="4" w:space="0" w:color="auto"/>
                </w:tcBorders>
              </w:tcPr>
            </w:tcPrChange>
          </w:tcPr>
          <w:p>
            <w:pPr>
              <w:keepNext/>
              <w:numPr>
                <w:ilvl w:val="12"/>
                <w:numId w:val="0"/>
              </w:numPr>
              <w:tabs>
                <w:tab w:val="left" w:pos="180"/>
              </w:tabs>
              <w:suppressAutoHyphens/>
              <w:jc w:val="center"/>
              <w:rPr>
                <w:b/>
                <w:bCs/>
                <w:noProof/>
                <w:sz w:val="20"/>
                <w:lang w:val="it-IT"/>
                <w:rPrChange w:id="5020" w:author="Author">
                  <w:rPr>
                    <w:b/>
                    <w:bCs/>
                    <w:szCs w:val="22"/>
                    <w:lang w:val="it-IT"/>
                  </w:rPr>
                </w:rPrChange>
              </w:rPr>
              <w:pPrChange w:id="5021" w:author="Author">
                <w:pPr>
                  <w:keepNext/>
                  <w:keepLines/>
                  <w:numPr>
                    <w:ilvl w:val="12"/>
                  </w:numPr>
                  <w:tabs>
                    <w:tab w:val="left" w:pos="180"/>
                  </w:tabs>
                  <w:ind w:right="-2"/>
                  <w:jc w:val="center"/>
                </w:pPr>
              </w:pPrChange>
            </w:pPr>
            <w:del w:id="5022" w:author="Author">
              <w:r>
                <w:rPr>
                  <w:b/>
                  <w:bCs/>
                  <w:noProof/>
                  <w:sz w:val="20"/>
                  <w:lang w:val="it-IT"/>
                  <w:rPrChange w:id="5023" w:author="Author">
                    <w:rPr>
                      <w:b/>
                      <w:bCs/>
                      <w:szCs w:val="22"/>
                      <w:lang w:val="it-IT"/>
                    </w:rPr>
                  </w:rPrChange>
                </w:rPr>
                <w:delText xml:space="preserve">N </w:delText>
              </w:r>
            </w:del>
            <w:ins w:id="5024" w:author="Author">
              <w:r>
                <w:rPr>
                  <w:b/>
                  <w:bCs/>
                  <w:noProof/>
                  <w:sz w:val="20"/>
                  <w:lang w:val="it-IT"/>
                  <w:rPrChange w:id="5025" w:author="Author">
                    <w:rPr>
                      <w:b/>
                      <w:bCs/>
                      <w:szCs w:val="22"/>
                      <w:lang w:val="it-IT"/>
                    </w:rPr>
                  </w:rPrChange>
                </w:rPr>
                <w:t>n </w:t>
              </w:r>
            </w:ins>
            <w:r>
              <w:rPr>
                <w:b/>
                <w:bCs/>
                <w:noProof/>
                <w:sz w:val="20"/>
                <w:lang w:val="it-IT"/>
                <w:rPrChange w:id="5026" w:author="Author">
                  <w:rPr>
                    <w:b/>
                    <w:bCs/>
                    <w:szCs w:val="22"/>
                    <w:lang w:val="it-IT"/>
                  </w:rPr>
                </w:rPrChange>
              </w:rPr>
              <w:t>=</w:t>
            </w:r>
            <w:ins w:id="5027" w:author="Author">
              <w:r>
                <w:rPr>
                  <w:b/>
                  <w:bCs/>
                  <w:noProof/>
                  <w:sz w:val="20"/>
                  <w:lang w:val="it-IT"/>
                  <w:rPrChange w:id="5028" w:author="Author">
                    <w:rPr>
                      <w:b/>
                      <w:bCs/>
                      <w:szCs w:val="22"/>
                      <w:lang w:val="it-IT"/>
                    </w:rPr>
                  </w:rPrChange>
                </w:rPr>
                <w:t> </w:t>
              </w:r>
            </w:ins>
          </w:p>
          <w:p>
            <w:pPr>
              <w:keepNext/>
              <w:numPr>
                <w:ilvl w:val="12"/>
                <w:numId w:val="0"/>
              </w:numPr>
              <w:tabs>
                <w:tab w:val="left" w:pos="180"/>
              </w:tabs>
              <w:suppressAutoHyphens/>
              <w:jc w:val="center"/>
              <w:rPr>
                <w:b/>
                <w:bCs/>
                <w:noProof/>
                <w:sz w:val="20"/>
                <w:lang w:val="it-IT"/>
                <w:rPrChange w:id="5029" w:author="Author">
                  <w:rPr>
                    <w:b/>
                    <w:bCs/>
                    <w:szCs w:val="22"/>
                    <w:lang w:val="it-IT"/>
                  </w:rPr>
                </w:rPrChange>
              </w:rPr>
              <w:pPrChange w:id="5030" w:author="Author">
                <w:pPr>
                  <w:keepNext/>
                  <w:keepLines/>
                  <w:numPr>
                    <w:ilvl w:val="12"/>
                  </w:numPr>
                  <w:tabs>
                    <w:tab w:val="left" w:pos="180"/>
                  </w:tabs>
                  <w:ind w:right="-2"/>
                  <w:jc w:val="center"/>
                </w:pPr>
              </w:pPrChange>
            </w:pPr>
            <w:r>
              <w:rPr>
                <w:b/>
                <w:bCs/>
                <w:noProof/>
                <w:sz w:val="20"/>
                <w:lang w:val="it-IT"/>
                <w:rPrChange w:id="5031" w:author="Author">
                  <w:rPr>
                    <w:b/>
                    <w:bCs/>
                    <w:szCs w:val="22"/>
                    <w:lang w:val="it-IT"/>
                  </w:rPr>
                </w:rPrChange>
              </w:rPr>
              <w:t>398</w:t>
            </w:r>
          </w:p>
        </w:tc>
        <w:tc>
          <w:tcPr>
            <w:tcW w:w="827" w:type="dxa"/>
            <w:tcBorders>
              <w:left w:val="single" w:sz="4" w:space="0" w:color="auto"/>
              <w:right w:val="single" w:sz="4" w:space="0" w:color="auto"/>
            </w:tcBorders>
            <w:tcPrChange w:id="5032" w:author="Author">
              <w:tcPr>
                <w:tcW w:w="827" w:type="dxa"/>
                <w:gridSpan w:val="2"/>
                <w:tcBorders>
                  <w:left w:val="single" w:sz="4" w:space="0" w:color="auto"/>
                  <w:right w:val="single" w:sz="4" w:space="0" w:color="auto"/>
                </w:tcBorders>
              </w:tcPr>
            </w:tcPrChange>
          </w:tcPr>
          <w:p>
            <w:pPr>
              <w:keepNext/>
              <w:numPr>
                <w:ilvl w:val="12"/>
                <w:numId w:val="0"/>
              </w:numPr>
              <w:tabs>
                <w:tab w:val="left" w:pos="180"/>
              </w:tabs>
              <w:suppressAutoHyphens/>
              <w:jc w:val="center"/>
              <w:rPr>
                <w:b/>
                <w:bCs/>
                <w:noProof/>
                <w:sz w:val="20"/>
                <w:lang w:val="it-IT"/>
                <w:rPrChange w:id="5033" w:author="Author">
                  <w:rPr>
                    <w:b/>
                    <w:bCs/>
                    <w:szCs w:val="22"/>
                    <w:lang w:val="it-IT"/>
                  </w:rPr>
                </w:rPrChange>
              </w:rPr>
              <w:pPrChange w:id="5034" w:author="Author">
                <w:pPr>
                  <w:keepNext/>
                  <w:keepLines/>
                  <w:numPr>
                    <w:ilvl w:val="12"/>
                  </w:numPr>
                  <w:tabs>
                    <w:tab w:val="left" w:pos="180"/>
                  </w:tabs>
                  <w:ind w:right="-2"/>
                  <w:jc w:val="center"/>
                </w:pPr>
              </w:pPrChange>
            </w:pPr>
            <w:del w:id="5035" w:author="Author">
              <w:r>
                <w:rPr>
                  <w:b/>
                  <w:bCs/>
                  <w:noProof/>
                  <w:sz w:val="20"/>
                  <w:lang w:val="it-IT"/>
                  <w:rPrChange w:id="5036" w:author="Author">
                    <w:rPr>
                      <w:b/>
                      <w:bCs/>
                      <w:szCs w:val="22"/>
                      <w:lang w:val="it-IT"/>
                    </w:rPr>
                  </w:rPrChange>
                </w:rPr>
                <w:delText xml:space="preserve">N </w:delText>
              </w:r>
            </w:del>
            <w:ins w:id="5037" w:author="Author">
              <w:r>
                <w:rPr>
                  <w:b/>
                  <w:bCs/>
                  <w:noProof/>
                  <w:sz w:val="20"/>
                  <w:lang w:val="it-IT"/>
                  <w:rPrChange w:id="5038" w:author="Author">
                    <w:rPr>
                      <w:b/>
                      <w:bCs/>
                      <w:szCs w:val="22"/>
                      <w:lang w:val="it-IT"/>
                    </w:rPr>
                  </w:rPrChange>
                </w:rPr>
                <w:t>n </w:t>
              </w:r>
            </w:ins>
            <w:r>
              <w:rPr>
                <w:b/>
                <w:bCs/>
                <w:noProof/>
                <w:sz w:val="20"/>
                <w:lang w:val="it-IT"/>
                <w:rPrChange w:id="5039" w:author="Author">
                  <w:rPr>
                    <w:b/>
                    <w:bCs/>
                    <w:szCs w:val="22"/>
                    <w:lang w:val="it-IT"/>
                  </w:rPr>
                </w:rPrChange>
              </w:rPr>
              <w:t>=</w:t>
            </w:r>
            <w:ins w:id="5040" w:author="Author">
              <w:r>
                <w:rPr>
                  <w:b/>
                  <w:bCs/>
                  <w:noProof/>
                  <w:sz w:val="20"/>
                  <w:lang w:val="it-IT"/>
                  <w:rPrChange w:id="5041" w:author="Author">
                    <w:rPr>
                      <w:b/>
                      <w:bCs/>
                      <w:szCs w:val="22"/>
                      <w:lang w:val="it-IT"/>
                    </w:rPr>
                  </w:rPrChange>
                </w:rPr>
                <w:t> </w:t>
              </w:r>
            </w:ins>
          </w:p>
          <w:p>
            <w:pPr>
              <w:keepNext/>
              <w:numPr>
                <w:ilvl w:val="12"/>
                <w:numId w:val="0"/>
              </w:numPr>
              <w:tabs>
                <w:tab w:val="left" w:pos="180"/>
              </w:tabs>
              <w:suppressAutoHyphens/>
              <w:jc w:val="center"/>
              <w:rPr>
                <w:b/>
                <w:bCs/>
                <w:noProof/>
                <w:sz w:val="20"/>
                <w:lang w:val="it-IT"/>
                <w:rPrChange w:id="5042" w:author="Author">
                  <w:rPr>
                    <w:b/>
                    <w:bCs/>
                    <w:szCs w:val="22"/>
                    <w:lang w:val="it-IT"/>
                  </w:rPr>
                </w:rPrChange>
              </w:rPr>
              <w:pPrChange w:id="5043" w:author="Author">
                <w:pPr>
                  <w:keepNext/>
                  <w:keepLines/>
                  <w:numPr>
                    <w:ilvl w:val="12"/>
                  </w:numPr>
                  <w:tabs>
                    <w:tab w:val="left" w:pos="180"/>
                  </w:tabs>
                  <w:ind w:right="-2"/>
                  <w:jc w:val="center"/>
                </w:pPr>
              </w:pPrChange>
            </w:pPr>
            <w:r>
              <w:rPr>
                <w:b/>
                <w:bCs/>
                <w:noProof/>
                <w:sz w:val="20"/>
                <w:lang w:val="it-IT"/>
                <w:rPrChange w:id="5044" w:author="Author">
                  <w:rPr>
                    <w:b/>
                    <w:bCs/>
                    <w:szCs w:val="22"/>
                    <w:lang w:val="it-IT"/>
                  </w:rPr>
                </w:rPrChange>
              </w:rPr>
              <w:t>393</w:t>
            </w:r>
          </w:p>
        </w:tc>
        <w:tc>
          <w:tcPr>
            <w:tcW w:w="979" w:type="dxa"/>
            <w:tcBorders>
              <w:left w:val="single" w:sz="4" w:space="0" w:color="auto"/>
              <w:right w:val="single" w:sz="4" w:space="0" w:color="auto"/>
            </w:tcBorders>
            <w:tcPrChange w:id="5045" w:author="Author">
              <w:tcPr>
                <w:tcW w:w="900" w:type="dxa"/>
                <w:tcBorders>
                  <w:left w:val="single" w:sz="4" w:space="0" w:color="auto"/>
                  <w:right w:val="single" w:sz="4" w:space="0" w:color="auto"/>
                </w:tcBorders>
              </w:tcPr>
            </w:tcPrChange>
          </w:tcPr>
          <w:p>
            <w:pPr>
              <w:keepNext/>
              <w:numPr>
                <w:ilvl w:val="12"/>
                <w:numId w:val="0"/>
              </w:numPr>
              <w:tabs>
                <w:tab w:val="left" w:pos="180"/>
              </w:tabs>
              <w:suppressAutoHyphens/>
              <w:jc w:val="center"/>
              <w:rPr>
                <w:b/>
                <w:bCs/>
                <w:noProof/>
                <w:sz w:val="20"/>
                <w:lang w:val="it-IT"/>
                <w:rPrChange w:id="5046" w:author="Author">
                  <w:rPr>
                    <w:b/>
                    <w:bCs/>
                    <w:szCs w:val="22"/>
                    <w:lang w:val="it-IT"/>
                  </w:rPr>
                </w:rPrChange>
              </w:rPr>
              <w:pPrChange w:id="5047" w:author="Author">
                <w:pPr>
                  <w:keepNext/>
                  <w:keepLines/>
                  <w:numPr>
                    <w:ilvl w:val="12"/>
                  </w:numPr>
                  <w:tabs>
                    <w:tab w:val="left" w:pos="180"/>
                  </w:tabs>
                  <w:ind w:right="-2"/>
                  <w:jc w:val="center"/>
                </w:pPr>
              </w:pPrChange>
            </w:pPr>
            <w:ins w:id="5048" w:author="Author">
              <w:r>
                <w:rPr>
                  <w:b/>
                  <w:bCs/>
                  <w:noProof/>
                  <w:sz w:val="20"/>
                  <w:lang w:val="it-IT"/>
                  <w:rPrChange w:id="5049" w:author="Author">
                    <w:rPr>
                      <w:b/>
                      <w:bCs/>
                      <w:szCs w:val="22"/>
                      <w:lang w:val="it-IT"/>
                    </w:rPr>
                  </w:rPrChange>
                </w:rPr>
                <w:t>n </w:t>
              </w:r>
            </w:ins>
            <w:del w:id="5050" w:author="Author">
              <w:r>
                <w:rPr>
                  <w:b/>
                  <w:bCs/>
                  <w:noProof/>
                  <w:sz w:val="20"/>
                  <w:lang w:val="it-IT"/>
                  <w:rPrChange w:id="5051" w:author="Author">
                    <w:rPr>
                      <w:b/>
                      <w:bCs/>
                      <w:szCs w:val="22"/>
                      <w:lang w:val="it-IT"/>
                    </w:rPr>
                  </w:rPrChange>
                </w:rPr>
                <w:delText xml:space="preserve">N </w:delText>
              </w:r>
            </w:del>
            <w:r>
              <w:rPr>
                <w:b/>
                <w:bCs/>
                <w:noProof/>
                <w:sz w:val="20"/>
                <w:lang w:val="it-IT"/>
                <w:rPrChange w:id="5052" w:author="Author">
                  <w:rPr>
                    <w:b/>
                    <w:bCs/>
                    <w:szCs w:val="22"/>
                    <w:lang w:val="it-IT"/>
                  </w:rPr>
                </w:rPrChange>
              </w:rPr>
              <w:t>=</w:t>
            </w:r>
            <w:ins w:id="5053" w:author="Author">
              <w:r>
                <w:rPr>
                  <w:b/>
                  <w:bCs/>
                  <w:noProof/>
                  <w:sz w:val="20"/>
                  <w:lang w:val="it-IT"/>
                  <w:rPrChange w:id="5054" w:author="Author">
                    <w:rPr>
                      <w:b/>
                      <w:bCs/>
                      <w:szCs w:val="22"/>
                      <w:lang w:val="it-IT"/>
                    </w:rPr>
                  </w:rPrChange>
                </w:rPr>
                <w:t> </w:t>
              </w:r>
            </w:ins>
          </w:p>
          <w:p>
            <w:pPr>
              <w:keepNext/>
              <w:numPr>
                <w:ilvl w:val="12"/>
                <w:numId w:val="0"/>
              </w:numPr>
              <w:tabs>
                <w:tab w:val="left" w:pos="180"/>
              </w:tabs>
              <w:suppressAutoHyphens/>
              <w:jc w:val="center"/>
              <w:rPr>
                <w:b/>
                <w:bCs/>
                <w:noProof/>
                <w:sz w:val="20"/>
                <w:lang w:val="it-IT"/>
                <w:rPrChange w:id="5055" w:author="Author">
                  <w:rPr>
                    <w:b/>
                    <w:bCs/>
                    <w:szCs w:val="22"/>
                    <w:lang w:val="it-IT"/>
                  </w:rPr>
                </w:rPrChange>
              </w:rPr>
              <w:pPrChange w:id="5056" w:author="Author">
                <w:pPr>
                  <w:keepNext/>
                  <w:keepLines/>
                  <w:numPr>
                    <w:ilvl w:val="12"/>
                  </w:numPr>
                  <w:tabs>
                    <w:tab w:val="left" w:pos="180"/>
                  </w:tabs>
                  <w:ind w:right="-2"/>
                  <w:jc w:val="center"/>
                </w:pPr>
              </w:pPrChange>
            </w:pPr>
            <w:ins w:id="5057" w:author="Author">
              <w:r>
                <w:rPr>
                  <w:b/>
                  <w:bCs/>
                  <w:noProof/>
                  <w:sz w:val="20"/>
                  <w:lang w:val="it-IT"/>
                  <w:rPrChange w:id="5058" w:author="Author">
                    <w:rPr>
                      <w:b/>
                      <w:bCs/>
                      <w:szCs w:val="22"/>
                      <w:lang w:val="it-IT"/>
                    </w:rPr>
                  </w:rPrChange>
                </w:rPr>
                <w:t> </w:t>
              </w:r>
            </w:ins>
            <w:r>
              <w:rPr>
                <w:b/>
                <w:bCs/>
                <w:noProof/>
                <w:sz w:val="20"/>
                <w:lang w:val="it-IT"/>
                <w:rPrChange w:id="5059" w:author="Author">
                  <w:rPr>
                    <w:b/>
                    <w:bCs/>
                    <w:szCs w:val="22"/>
                    <w:lang w:val="it-IT"/>
                  </w:rPr>
                </w:rPrChange>
              </w:rPr>
              <w:t>205</w:t>
            </w:r>
          </w:p>
        </w:tc>
        <w:tc>
          <w:tcPr>
            <w:tcW w:w="821" w:type="dxa"/>
            <w:tcBorders>
              <w:left w:val="single" w:sz="4" w:space="0" w:color="auto"/>
            </w:tcBorders>
            <w:tcPrChange w:id="5060" w:author="Author">
              <w:tcPr>
                <w:tcW w:w="900" w:type="dxa"/>
                <w:gridSpan w:val="2"/>
                <w:tcBorders>
                  <w:left w:val="single" w:sz="4" w:space="0" w:color="auto"/>
                </w:tcBorders>
              </w:tcPr>
            </w:tcPrChange>
          </w:tcPr>
          <w:p>
            <w:pPr>
              <w:keepNext/>
              <w:numPr>
                <w:ilvl w:val="12"/>
                <w:numId w:val="0"/>
              </w:numPr>
              <w:tabs>
                <w:tab w:val="left" w:pos="180"/>
              </w:tabs>
              <w:suppressAutoHyphens/>
              <w:jc w:val="center"/>
              <w:rPr>
                <w:b/>
                <w:bCs/>
                <w:noProof/>
                <w:sz w:val="20"/>
                <w:lang w:val="it-IT"/>
                <w:rPrChange w:id="5061" w:author="Author">
                  <w:rPr>
                    <w:b/>
                    <w:bCs/>
                    <w:szCs w:val="22"/>
                    <w:lang w:val="it-IT"/>
                  </w:rPr>
                </w:rPrChange>
              </w:rPr>
              <w:pPrChange w:id="5062" w:author="Author">
                <w:pPr>
                  <w:keepNext/>
                  <w:keepLines/>
                  <w:numPr>
                    <w:ilvl w:val="12"/>
                  </w:numPr>
                  <w:tabs>
                    <w:tab w:val="left" w:pos="180"/>
                  </w:tabs>
                  <w:ind w:right="-2"/>
                  <w:jc w:val="center"/>
                </w:pPr>
              </w:pPrChange>
            </w:pPr>
            <w:del w:id="5063" w:author="Author">
              <w:r>
                <w:rPr>
                  <w:b/>
                  <w:bCs/>
                  <w:noProof/>
                  <w:sz w:val="20"/>
                  <w:lang w:val="it-IT"/>
                  <w:rPrChange w:id="5064" w:author="Author">
                    <w:rPr>
                      <w:b/>
                      <w:bCs/>
                      <w:szCs w:val="22"/>
                      <w:lang w:val="it-IT"/>
                    </w:rPr>
                  </w:rPrChange>
                </w:rPr>
                <w:delText xml:space="preserve">N </w:delText>
              </w:r>
            </w:del>
            <w:ins w:id="5065" w:author="Author">
              <w:r>
                <w:rPr>
                  <w:b/>
                  <w:bCs/>
                  <w:noProof/>
                  <w:sz w:val="20"/>
                  <w:lang w:val="it-IT"/>
                  <w:rPrChange w:id="5066" w:author="Author">
                    <w:rPr>
                      <w:b/>
                      <w:bCs/>
                      <w:szCs w:val="22"/>
                      <w:lang w:val="it-IT"/>
                    </w:rPr>
                  </w:rPrChange>
                </w:rPr>
                <w:t>n </w:t>
              </w:r>
            </w:ins>
            <w:r>
              <w:rPr>
                <w:b/>
                <w:bCs/>
                <w:noProof/>
                <w:sz w:val="20"/>
                <w:lang w:val="it-IT"/>
                <w:rPrChange w:id="5067" w:author="Author">
                  <w:rPr>
                    <w:b/>
                    <w:bCs/>
                    <w:szCs w:val="22"/>
                    <w:lang w:val="it-IT"/>
                  </w:rPr>
                </w:rPrChange>
              </w:rPr>
              <w:t>=</w:t>
            </w:r>
            <w:ins w:id="5068" w:author="Author">
              <w:r>
                <w:rPr>
                  <w:b/>
                  <w:bCs/>
                  <w:noProof/>
                  <w:sz w:val="20"/>
                  <w:lang w:val="it-IT"/>
                  <w:rPrChange w:id="5069" w:author="Author">
                    <w:rPr>
                      <w:b/>
                      <w:bCs/>
                      <w:szCs w:val="22"/>
                      <w:lang w:val="it-IT"/>
                    </w:rPr>
                  </w:rPrChange>
                </w:rPr>
                <w:t> </w:t>
              </w:r>
            </w:ins>
          </w:p>
          <w:p>
            <w:pPr>
              <w:keepNext/>
              <w:numPr>
                <w:ilvl w:val="12"/>
                <w:numId w:val="0"/>
              </w:numPr>
              <w:tabs>
                <w:tab w:val="left" w:pos="180"/>
              </w:tabs>
              <w:suppressAutoHyphens/>
              <w:jc w:val="center"/>
              <w:rPr>
                <w:b/>
                <w:bCs/>
                <w:noProof/>
                <w:sz w:val="20"/>
                <w:lang w:val="it-IT"/>
                <w:rPrChange w:id="5070" w:author="Author">
                  <w:rPr>
                    <w:b/>
                    <w:bCs/>
                    <w:szCs w:val="22"/>
                    <w:lang w:val="it-IT"/>
                  </w:rPr>
                </w:rPrChange>
              </w:rPr>
              <w:pPrChange w:id="5071" w:author="Author">
                <w:pPr>
                  <w:keepNext/>
                  <w:keepLines/>
                  <w:numPr>
                    <w:ilvl w:val="12"/>
                  </w:numPr>
                  <w:tabs>
                    <w:tab w:val="left" w:pos="180"/>
                  </w:tabs>
                  <w:ind w:right="-2"/>
                  <w:jc w:val="center"/>
                </w:pPr>
              </w:pPrChange>
            </w:pPr>
            <w:r>
              <w:rPr>
                <w:b/>
                <w:bCs/>
                <w:noProof/>
                <w:sz w:val="20"/>
                <w:lang w:val="it-IT"/>
                <w:rPrChange w:id="5072" w:author="Author">
                  <w:rPr>
                    <w:b/>
                    <w:bCs/>
                    <w:szCs w:val="22"/>
                    <w:lang w:val="it-IT"/>
                  </w:rPr>
                </w:rPrChange>
              </w:rPr>
              <w:t>204</w:t>
            </w:r>
          </w:p>
        </w:tc>
        <w:tc>
          <w:tcPr>
            <w:tcW w:w="990" w:type="dxa"/>
            <w:tcBorders>
              <w:left w:val="nil"/>
              <w:right w:val="single" w:sz="4" w:space="0" w:color="auto"/>
            </w:tcBorders>
            <w:tcPrChange w:id="5073" w:author="Author">
              <w:tcPr>
                <w:tcW w:w="990" w:type="dxa"/>
                <w:tcBorders>
                  <w:left w:val="nil"/>
                  <w:right w:val="single" w:sz="4" w:space="0" w:color="auto"/>
                </w:tcBorders>
              </w:tcPr>
            </w:tcPrChange>
          </w:tcPr>
          <w:p>
            <w:pPr>
              <w:keepNext/>
              <w:numPr>
                <w:ilvl w:val="12"/>
                <w:numId w:val="0"/>
              </w:numPr>
              <w:tabs>
                <w:tab w:val="left" w:pos="180"/>
              </w:tabs>
              <w:suppressAutoHyphens/>
              <w:jc w:val="center"/>
              <w:rPr>
                <w:b/>
                <w:bCs/>
                <w:noProof/>
                <w:sz w:val="20"/>
                <w:lang w:val="it-IT"/>
                <w:rPrChange w:id="5074" w:author="Author">
                  <w:rPr>
                    <w:b/>
                    <w:bCs/>
                    <w:szCs w:val="22"/>
                    <w:lang w:val="it-IT"/>
                  </w:rPr>
                </w:rPrChange>
              </w:rPr>
              <w:pPrChange w:id="5075" w:author="Author">
                <w:pPr>
                  <w:keepNext/>
                  <w:keepLines/>
                  <w:numPr>
                    <w:ilvl w:val="12"/>
                  </w:numPr>
                  <w:tabs>
                    <w:tab w:val="left" w:pos="180"/>
                  </w:tabs>
                  <w:ind w:right="-2"/>
                  <w:jc w:val="center"/>
                </w:pPr>
              </w:pPrChange>
            </w:pPr>
            <w:del w:id="5076" w:author="Author">
              <w:r>
                <w:rPr>
                  <w:b/>
                  <w:bCs/>
                  <w:noProof/>
                  <w:sz w:val="20"/>
                  <w:lang w:val="it-IT"/>
                  <w:rPrChange w:id="5077" w:author="Author">
                    <w:rPr>
                      <w:b/>
                      <w:bCs/>
                      <w:szCs w:val="22"/>
                      <w:lang w:val="it-IT"/>
                    </w:rPr>
                  </w:rPrChange>
                </w:rPr>
                <w:delText xml:space="preserve">N </w:delText>
              </w:r>
            </w:del>
            <w:ins w:id="5078" w:author="Author">
              <w:r>
                <w:rPr>
                  <w:b/>
                  <w:bCs/>
                  <w:noProof/>
                  <w:sz w:val="20"/>
                  <w:lang w:val="it-IT"/>
                  <w:rPrChange w:id="5079" w:author="Author">
                    <w:rPr>
                      <w:b/>
                      <w:bCs/>
                      <w:szCs w:val="22"/>
                      <w:lang w:val="it-IT"/>
                    </w:rPr>
                  </w:rPrChange>
                </w:rPr>
                <w:t>n </w:t>
              </w:r>
            </w:ins>
            <w:r>
              <w:rPr>
                <w:b/>
                <w:bCs/>
                <w:noProof/>
                <w:sz w:val="20"/>
                <w:lang w:val="it-IT"/>
                <w:rPrChange w:id="5080" w:author="Author">
                  <w:rPr>
                    <w:b/>
                    <w:bCs/>
                    <w:szCs w:val="22"/>
                    <w:lang w:val="it-IT"/>
                  </w:rPr>
                </w:rPrChange>
              </w:rPr>
              <w:t>=</w:t>
            </w:r>
            <w:ins w:id="5081" w:author="Author">
              <w:r>
                <w:rPr>
                  <w:b/>
                  <w:bCs/>
                  <w:noProof/>
                  <w:sz w:val="20"/>
                  <w:lang w:val="it-IT"/>
                  <w:rPrChange w:id="5082" w:author="Author">
                    <w:rPr>
                      <w:b/>
                      <w:bCs/>
                      <w:szCs w:val="22"/>
                      <w:lang w:val="it-IT"/>
                    </w:rPr>
                  </w:rPrChange>
                </w:rPr>
                <w:t> </w:t>
              </w:r>
            </w:ins>
          </w:p>
          <w:p>
            <w:pPr>
              <w:keepNext/>
              <w:numPr>
                <w:ilvl w:val="12"/>
                <w:numId w:val="0"/>
              </w:numPr>
              <w:tabs>
                <w:tab w:val="left" w:pos="180"/>
              </w:tabs>
              <w:suppressAutoHyphens/>
              <w:jc w:val="center"/>
              <w:rPr>
                <w:b/>
                <w:bCs/>
                <w:noProof/>
                <w:sz w:val="20"/>
                <w:lang w:val="it-IT"/>
                <w:rPrChange w:id="5083" w:author="Author">
                  <w:rPr>
                    <w:b/>
                    <w:bCs/>
                    <w:szCs w:val="22"/>
                    <w:lang w:val="it-IT"/>
                  </w:rPr>
                </w:rPrChange>
              </w:rPr>
              <w:pPrChange w:id="5084" w:author="Author">
                <w:pPr>
                  <w:keepNext/>
                  <w:keepLines/>
                  <w:numPr>
                    <w:ilvl w:val="12"/>
                  </w:numPr>
                  <w:tabs>
                    <w:tab w:val="left" w:pos="180"/>
                  </w:tabs>
                  <w:ind w:right="-2"/>
                  <w:jc w:val="center"/>
                </w:pPr>
              </w:pPrChange>
            </w:pPr>
            <w:r>
              <w:rPr>
                <w:b/>
                <w:bCs/>
                <w:noProof/>
                <w:sz w:val="20"/>
                <w:lang w:val="it-IT"/>
                <w:rPrChange w:id="5085" w:author="Author">
                  <w:rPr>
                    <w:b/>
                    <w:bCs/>
                    <w:szCs w:val="22"/>
                    <w:lang w:val="it-IT"/>
                  </w:rPr>
                </w:rPrChange>
              </w:rPr>
              <w:t>803</w:t>
            </w:r>
          </w:p>
        </w:tc>
        <w:tc>
          <w:tcPr>
            <w:tcW w:w="990" w:type="dxa"/>
            <w:gridSpan w:val="2"/>
            <w:tcBorders>
              <w:left w:val="single" w:sz="4" w:space="0" w:color="auto"/>
            </w:tcBorders>
            <w:tcPrChange w:id="5086" w:author="Author">
              <w:tcPr>
                <w:tcW w:w="990" w:type="dxa"/>
                <w:gridSpan w:val="3"/>
                <w:tcBorders>
                  <w:left w:val="single" w:sz="4" w:space="0" w:color="auto"/>
                </w:tcBorders>
              </w:tcPr>
            </w:tcPrChange>
          </w:tcPr>
          <w:p>
            <w:pPr>
              <w:keepNext/>
              <w:numPr>
                <w:ilvl w:val="12"/>
                <w:numId w:val="0"/>
              </w:numPr>
              <w:tabs>
                <w:tab w:val="left" w:pos="180"/>
              </w:tabs>
              <w:suppressAutoHyphens/>
              <w:jc w:val="center"/>
              <w:rPr>
                <w:b/>
                <w:bCs/>
                <w:noProof/>
                <w:sz w:val="20"/>
                <w:lang w:val="it-IT"/>
                <w:rPrChange w:id="5087" w:author="Author">
                  <w:rPr>
                    <w:b/>
                    <w:bCs/>
                    <w:szCs w:val="22"/>
                    <w:lang w:val="it-IT"/>
                  </w:rPr>
                </w:rPrChange>
              </w:rPr>
              <w:pPrChange w:id="5088" w:author="Author">
                <w:pPr>
                  <w:keepNext/>
                  <w:keepLines/>
                  <w:numPr>
                    <w:ilvl w:val="12"/>
                  </w:numPr>
                  <w:tabs>
                    <w:tab w:val="left" w:pos="180"/>
                  </w:tabs>
                  <w:ind w:right="-2"/>
                  <w:jc w:val="center"/>
                </w:pPr>
              </w:pPrChange>
            </w:pPr>
            <w:del w:id="5089" w:author="Author">
              <w:r>
                <w:rPr>
                  <w:b/>
                  <w:bCs/>
                  <w:noProof/>
                  <w:sz w:val="20"/>
                  <w:lang w:val="it-IT"/>
                  <w:rPrChange w:id="5090" w:author="Author">
                    <w:rPr>
                      <w:b/>
                      <w:bCs/>
                      <w:szCs w:val="22"/>
                      <w:lang w:val="it-IT"/>
                    </w:rPr>
                  </w:rPrChange>
                </w:rPr>
                <w:delText xml:space="preserve">N </w:delText>
              </w:r>
            </w:del>
            <w:ins w:id="5091" w:author="Author">
              <w:r>
                <w:rPr>
                  <w:b/>
                  <w:bCs/>
                  <w:noProof/>
                  <w:sz w:val="20"/>
                  <w:lang w:val="it-IT"/>
                  <w:rPrChange w:id="5092" w:author="Author">
                    <w:rPr>
                      <w:b/>
                      <w:bCs/>
                      <w:szCs w:val="22"/>
                      <w:lang w:val="it-IT"/>
                    </w:rPr>
                  </w:rPrChange>
                </w:rPr>
                <w:t>n </w:t>
              </w:r>
            </w:ins>
            <w:r>
              <w:rPr>
                <w:b/>
                <w:bCs/>
                <w:noProof/>
                <w:sz w:val="20"/>
                <w:lang w:val="it-IT"/>
                <w:rPrChange w:id="5093" w:author="Author">
                  <w:rPr>
                    <w:b/>
                    <w:bCs/>
                    <w:szCs w:val="22"/>
                    <w:lang w:val="it-IT"/>
                  </w:rPr>
                </w:rPrChange>
              </w:rPr>
              <w:t>=</w:t>
            </w:r>
            <w:ins w:id="5094" w:author="Author">
              <w:r>
                <w:rPr>
                  <w:b/>
                  <w:bCs/>
                  <w:noProof/>
                  <w:sz w:val="20"/>
                  <w:lang w:val="it-IT"/>
                  <w:rPrChange w:id="5095" w:author="Author">
                    <w:rPr>
                      <w:b/>
                      <w:bCs/>
                      <w:szCs w:val="22"/>
                      <w:lang w:val="it-IT"/>
                    </w:rPr>
                  </w:rPrChange>
                </w:rPr>
                <w:t> </w:t>
              </w:r>
            </w:ins>
          </w:p>
          <w:p>
            <w:pPr>
              <w:keepNext/>
              <w:numPr>
                <w:ilvl w:val="12"/>
                <w:numId w:val="0"/>
              </w:numPr>
              <w:tabs>
                <w:tab w:val="left" w:pos="180"/>
              </w:tabs>
              <w:suppressAutoHyphens/>
              <w:jc w:val="center"/>
              <w:rPr>
                <w:b/>
                <w:bCs/>
                <w:noProof/>
                <w:sz w:val="20"/>
                <w:lang w:val="it-IT"/>
                <w:rPrChange w:id="5096" w:author="Author">
                  <w:rPr>
                    <w:b/>
                    <w:bCs/>
                    <w:szCs w:val="22"/>
                    <w:lang w:val="it-IT"/>
                  </w:rPr>
                </w:rPrChange>
              </w:rPr>
              <w:pPrChange w:id="5097" w:author="Author">
                <w:pPr>
                  <w:keepNext/>
                  <w:keepLines/>
                  <w:numPr>
                    <w:ilvl w:val="12"/>
                  </w:numPr>
                  <w:tabs>
                    <w:tab w:val="left" w:pos="180"/>
                  </w:tabs>
                  <w:ind w:right="-2"/>
                  <w:jc w:val="center"/>
                </w:pPr>
              </w:pPrChange>
            </w:pPr>
            <w:r>
              <w:rPr>
                <w:b/>
                <w:bCs/>
                <w:noProof/>
                <w:sz w:val="20"/>
                <w:lang w:val="it-IT"/>
                <w:rPrChange w:id="5098" w:author="Author">
                  <w:rPr>
                    <w:b/>
                    <w:bCs/>
                    <w:szCs w:val="22"/>
                    <w:lang w:val="it-IT"/>
                  </w:rPr>
                </w:rPrChange>
              </w:rPr>
              <w:t>413</w:t>
            </w:r>
          </w:p>
        </w:tc>
        <w:tc>
          <w:tcPr>
            <w:tcW w:w="900" w:type="dxa"/>
            <w:tcBorders>
              <w:left w:val="nil"/>
              <w:right w:val="single" w:sz="4" w:space="0" w:color="auto"/>
            </w:tcBorders>
            <w:tcPrChange w:id="5099" w:author="Author">
              <w:tcPr>
                <w:tcW w:w="900" w:type="dxa"/>
                <w:tcBorders>
                  <w:left w:val="nil"/>
                  <w:right w:val="single" w:sz="4" w:space="0" w:color="auto"/>
                </w:tcBorders>
              </w:tcPr>
            </w:tcPrChange>
          </w:tcPr>
          <w:p>
            <w:pPr>
              <w:keepNext/>
              <w:numPr>
                <w:ilvl w:val="12"/>
                <w:numId w:val="0"/>
              </w:numPr>
              <w:tabs>
                <w:tab w:val="left" w:pos="180"/>
              </w:tabs>
              <w:suppressAutoHyphens/>
              <w:jc w:val="center"/>
              <w:rPr>
                <w:b/>
                <w:bCs/>
                <w:noProof/>
                <w:sz w:val="20"/>
                <w:lang w:val="it-IT"/>
                <w:rPrChange w:id="5100" w:author="Author">
                  <w:rPr>
                    <w:b/>
                    <w:bCs/>
                    <w:szCs w:val="22"/>
                    <w:lang w:val="it-IT"/>
                  </w:rPr>
                </w:rPrChange>
              </w:rPr>
              <w:pPrChange w:id="5101" w:author="Author">
                <w:pPr>
                  <w:keepNext/>
                  <w:keepLines/>
                  <w:numPr>
                    <w:ilvl w:val="12"/>
                  </w:numPr>
                  <w:tabs>
                    <w:tab w:val="left" w:pos="180"/>
                  </w:tabs>
                  <w:ind w:right="-2"/>
                  <w:jc w:val="center"/>
                </w:pPr>
              </w:pPrChange>
            </w:pPr>
            <w:del w:id="5102" w:author="Author">
              <w:r>
                <w:rPr>
                  <w:b/>
                  <w:bCs/>
                  <w:noProof/>
                  <w:sz w:val="20"/>
                  <w:lang w:val="it-IT"/>
                  <w:rPrChange w:id="5103" w:author="Author">
                    <w:rPr>
                      <w:b/>
                      <w:bCs/>
                      <w:szCs w:val="22"/>
                      <w:lang w:val="it-IT"/>
                    </w:rPr>
                  </w:rPrChange>
                </w:rPr>
                <w:delText xml:space="preserve">N </w:delText>
              </w:r>
            </w:del>
            <w:ins w:id="5104" w:author="Author">
              <w:r>
                <w:rPr>
                  <w:b/>
                  <w:bCs/>
                  <w:noProof/>
                  <w:sz w:val="20"/>
                  <w:lang w:val="it-IT"/>
                  <w:rPrChange w:id="5105" w:author="Author">
                    <w:rPr>
                      <w:b/>
                      <w:bCs/>
                      <w:szCs w:val="22"/>
                      <w:lang w:val="it-IT"/>
                    </w:rPr>
                  </w:rPrChange>
                </w:rPr>
                <w:t>n </w:t>
              </w:r>
            </w:ins>
            <w:r>
              <w:rPr>
                <w:b/>
                <w:bCs/>
                <w:noProof/>
                <w:sz w:val="20"/>
                <w:lang w:val="it-IT"/>
                <w:rPrChange w:id="5106" w:author="Author">
                  <w:rPr>
                    <w:b/>
                    <w:bCs/>
                    <w:szCs w:val="22"/>
                    <w:lang w:val="it-IT"/>
                  </w:rPr>
                </w:rPrChange>
              </w:rPr>
              <w:t>=</w:t>
            </w:r>
            <w:ins w:id="5107" w:author="Author">
              <w:r>
                <w:rPr>
                  <w:b/>
                  <w:bCs/>
                  <w:noProof/>
                  <w:sz w:val="20"/>
                  <w:lang w:val="it-IT"/>
                  <w:rPrChange w:id="5108" w:author="Author">
                    <w:rPr>
                      <w:b/>
                      <w:bCs/>
                      <w:szCs w:val="22"/>
                      <w:lang w:val="it-IT"/>
                    </w:rPr>
                  </w:rPrChange>
                </w:rPr>
                <w:t> </w:t>
              </w:r>
            </w:ins>
          </w:p>
          <w:p>
            <w:pPr>
              <w:keepNext/>
              <w:numPr>
                <w:ilvl w:val="12"/>
                <w:numId w:val="0"/>
              </w:numPr>
              <w:tabs>
                <w:tab w:val="left" w:pos="180"/>
              </w:tabs>
              <w:suppressAutoHyphens/>
              <w:jc w:val="center"/>
              <w:rPr>
                <w:b/>
                <w:bCs/>
                <w:noProof/>
                <w:sz w:val="20"/>
                <w:lang w:val="it-IT"/>
                <w:rPrChange w:id="5109" w:author="Author">
                  <w:rPr>
                    <w:b/>
                    <w:bCs/>
                    <w:szCs w:val="22"/>
                    <w:lang w:val="it-IT"/>
                  </w:rPr>
                </w:rPrChange>
              </w:rPr>
              <w:pPrChange w:id="5110" w:author="Author">
                <w:pPr>
                  <w:keepNext/>
                  <w:keepLines/>
                  <w:numPr>
                    <w:ilvl w:val="12"/>
                  </w:numPr>
                  <w:tabs>
                    <w:tab w:val="left" w:pos="180"/>
                  </w:tabs>
                  <w:ind w:right="-2"/>
                  <w:jc w:val="center"/>
                </w:pPr>
              </w:pPrChange>
            </w:pPr>
            <w:r>
              <w:rPr>
                <w:b/>
                <w:bCs/>
                <w:noProof/>
                <w:sz w:val="20"/>
                <w:lang w:val="it-IT"/>
                <w:rPrChange w:id="5111" w:author="Author">
                  <w:rPr>
                    <w:b/>
                    <w:bCs/>
                    <w:szCs w:val="22"/>
                    <w:lang w:val="it-IT"/>
                  </w:rPr>
                </w:rPrChange>
              </w:rPr>
              <w:t>170</w:t>
            </w:r>
          </w:p>
        </w:tc>
        <w:tc>
          <w:tcPr>
            <w:tcW w:w="900" w:type="dxa"/>
            <w:tcBorders>
              <w:left w:val="single" w:sz="4" w:space="0" w:color="auto"/>
            </w:tcBorders>
            <w:tcPrChange w:id="5112" w:author="Author">
              <w:tcPr>
                <w:tcW w:w="900" w:type="dxa"/>
                <w:gridSpan w:val="2"/>
                <w:tcBorders>
                  <w:left w:val="single" w:sz="4" w:space="0" w:color="auto"/>
                </w:tcBorders>
              </w:tcPr>
            </w:tcPrChange>
          </w:tcPr>
          <w:p>
            <w:pPr>
              <w:keepNext/>
              <w:numPr>
                <w:ilvl w:val="12"/>
                <w:numId w:val="0"/>
              </w:numPr>
              <w:tabs>
                <w:tab w:val="left" w:pos="180"/>
              </w:tabs>
              <w:suppressAutoHyphens/>
              <w:jc w:val="center"/>
              <w:rPr>
                <w:b/>
                <w:bCs/>
                <w:noProof/>
                <w:sz w:val="20"/>
                <w:lang w:val="it-IT"/>
              </w:rPr>
              <w:pPrChange w:id="5113" w:author="Author">
                <w:pPr>
                  <w:keepNext/>
                  <w:keepLines/>
                  <w:numPr>
                    <w:ilvl w:val="12"/>
                  </w:numPr>
                  <w:tabs>
                    <w:tab w:val="left" w:pos="180"/>
                  </w:tabs>
                  <w:ind w:right="-2"/>
                  <w:jc w:val="center"/>
                </w:pPr>
              </w:pPrChange>
            </w:pPr>
            <w:del w:id="5114" w:author="Author">
              <w:r>
                <w:rPr>
                  <w:b/>
                  <w:bCs/>
                  <w:noProof/>
                  <w:sz w:val="20"/>
                  <w:lang w:val="it-IT"/>
                </w:rPr>
                <w:delText xml:space="preserve">N </w:delText>
              </w:r>
            </w:del>
            <w:ins w:id="5115" w:author="Author">
              <w:r>
                <w:rPr>
                  <w:b/>
                  <w:bCs/>
                  <w:noProof/>
                  <w:sz w:val="20"/>
                  <w:lang w:val="it-IT"/>
                </w:rPr>
                <w:t>n </w:t>
              </w:r>
            </w:ins>
            <w:r>
              <w:rPr>
                <w:b/>
                <w:bCs/>
                <w:noProof/>
                <w:sz w:val="20"/>
                <w:lang w:val="it-IT"/>
              </w:rPr>
              <w:t>=</w:t>
            </w:r>
            <w:ins w:id="5116" w:author="Author">
              <w:r>
                <w:rPr>
                  <w:b/>
                  <w:bCs/>
                  <w:noProof/>
                  <w:sz w:val="20"/>
                  <w:lang w:val="it-IT"/>
                </w:rPr>
                <w:t> </w:t>
              </w:r>
            </w:ins>
          </w:p>
          <w:p>
            <w:pPr>
              <w:keepNext/>
              <w:numPr>
                <w:ilvl w:val="12"/>
                <w:numId w:val="0"/>
              </w:numPr>
              <w:tabs>
                <w:tab w:val="left" w:pos="180"/>
              </w:tabs>
              <w:suppressAutoHyphens/>
              <w:jc w:val="center"/>
              <w:rPr>
                <w:b/>
                <w:bCs/>
                <w:noProof/>
                <w:sz w:val="20"/>
                <w:lang w:val="it-IT"/>
              </w:rPr>
              <w:pPrChange w:id="5117" w:author="Author">
                <w:pPr>
                  <w:keepNext/>
                  <w:keepLines/>
                  <w:numPr>
                    <w:ilvl w:val="12"/>
                  </w:numPr>
                  <w:tabs>
                    <w:tab w:val="left" w:pos="180"/>
                  </w:tabs>
                  <w:ind w:right="-2"/>
                  <w:jc w:val="center"/>
                </w:pPr>
              </w:pPrChange>
            </w:pPr>
            <w:r>
              <w:rPr>
                <w:b/>
                <w:bCs/>
                <w:noProof/>
                <w:sz w:val="20"/>
                <w:lang w:val="it-IT"/>
              </w:rPr>
              <w:t>158</w:t>
            </w:r>
          </w:p>
        </w:tc>
      </w:tr>
      <w:tr>
        <w:trPr>
          <w:cantSplit/>
          <w:trPrChange w:id="5118" w:author="Author">
            <w:trPr>
              <w:gridAfter w:val="0"/>
            </w:trPr>
          </w:trPrChange>
        </w:trPr>
        <w:tc>
          <w:tcPr>
            <w:tcW w:w="9720" w:type="dxa"/>
            <w:gridSpan w:val="12"/>
            <w:tcPrChange w:id="5119" w:author="Author">
              <w:tcPr>
                <w:tcW w:w="9720" w:type="dxa"/>
                <w:gridSpan w:val="18"/>
              </w:tcPr>
            </w:tcPrChange>
          </w:tcPr>
          <w:p>
            <w:pPr>
              <w:keepNext/>
              <w:numPr>
                <w:ilvl w:val="12"/>
                <w:numId w:val="0"/>
              </w:numPr>
              <w:tabs>
                <w:tab w:val="left" w:pos="180"/>
              </w:tabs>
              <w:suppressAutoHyphens/>
              <w:jc w:val="center"/>
              <w:rPr>
                <w:b/>
                <w:noProof/>
                <w:sz w:val="20"/>
                <w:lang w:val="it-IT"/>
                <w:rPrChange w:id="5120" w:author="Author">
                  <w:rPr>
                    <w:b/>
                    <w:szCs w:val="22"/>
                    <w:lang w:val="it-IT"/>
                  </w:rPr>
                </w:rPrChange>
              </w:rPr>
              <w:pPrChange w:id="5121" w:author="Author">
                <w:pPr>
                  <w:keepNext/>
                  <w:keepLines/>
                  <w:numPr>
                    <w:ilvl w:val="12"/>
                  </w:numPr>
                  <w:tabs>
                    <w:tab w:val="left" w:pos="180"/>
                  </w:tabs>
                  <w:ind w:right="-2"/>
                  <w:jc w:val="center"/>
                </w:pPr>
              </w:pPrChange>
            </w:pPr>
            <w:r>
              <w:rPr>
                <w:b/>
                <w:noProof/>
                <w:sz w:val="20"/>
                <w:lang w:val="it-IT"/>
                <w:rPrChange w:id="5122" w:author="Author">
                  <w:rPr>
                    <w:b/>
                    <w:szCs w:val="22"/>
                    <w:lang w:val="it-IT"/>
                  </w:rPr>
                </w:rPrChange>
              </w:rPr>
              <w:t>ACR 20</w:t>
            </w:r>
          </w:p>
        </w:tc>
      </w:tr>
      <w:tr>
        <w:tblPrEx>
          <w:tblPrExChange w:id="5123" w:author="Author">
            <w:tblPrEx>
              <w:tblInd w:w="0" w:type="dxa"/>
              <w:tblCellMar>
                <w:top w:w="28" w:type="dxa"/>
                <w:bottom w:w="28" w:type="dxa"/>
              </w:tblCellMar>
            </w:tblPrEx>
          </w:tblPrExChange>
        </w:tblPrEx>
        <w:trPr>
          <w:cantSplit/>
          <w:trPrChange w:id="5124" w:author="Author">
            <w:trPr>
              <w:gridBefore w:val="1"/>
              <w:cantSplit/>
            </w:trPr>
          </w:trPrChange>
        </w:trPr>
        <w:tc>
          <w:tcPr>
            <w:tcW w:w="687" w:type="dxa"/>
            <w:tcBorders>
              <w:right w:val="single" w:sz="4" w:space="0" w:color="auto"/>
            </w:tcBorders>
            <w:tcPrChange w:id="5125" w:author="Author">
              <w:tcPr>
                <w:tcW w:w="687" w:type="dxa"/>
                <w:gridSpan w:val="2"/>
                <w:tcBorders>
                  <w:right w:val="single" w:sz="4" w:space="0" w:color="auto"/>
                </w:tcBorders>
              </w:tcPr>
            </w:tcPrChange>
          </w:tcPr>
          <w:p>
            <w:pPr>
              <w:keepNext/>
              <w:numPr>
                <w:ilvl w:val="12"/>
                <w:numId w:val="0"/>
              </w:numPr>
              <w:tabs>
                <w:tab w:val="left" w:pos="180"/>
              </w:tabs>
              <w:suppressAutoHyphens/>
              <w:jc w:val="center"/>
              <w:rPr>
                <w:noProof/>
                <w:sz w:val="20"/>
                <w:lang w:val="it-IT"/>
                <w:rPrChange w:id="5126" w:author="Author">
                  <w:rPr>
                    <w:szCs w:val="22"/>
                    <w:lang w:val="it-IT"/>
                  </w:rPr>
                </w:rPrChange>
              </w:rPr>
              <w:pPrChange w:id="5127" w:author="Author">
                <w:pPr>
                  <w:keepNext/>
                  <w:keepLines/>
                  <w:numPr>
                    <w:ilvl w:val="12"/>
                  </w:numPr>
                  <w:tabs>
                    <w:tab w:val="left" w:pos="180"/>
                  </w:tabs>
                  <w:ind w:right="-2"/>
                  <w:jc w:val="center"/>
                </w:pPr>
              </w:pPrChange>
            </w:pPr>
            <w:r>
              <w:rPr>
                <w:noProof/>
                <w:sz w:val="20"/>
                <w:lang w:val="it-IT"/>
                <w:rPrChange w:id="5128" w:author="Author">
                  <w:rPr>
                    <w:szCs w:val="22"/>
                    <w:lang w:val="it-IT"/>
                  </w:rPr>
                </w:rPrChange>
              </w:rPr>
              <w:t>24</w:t>
            </w:r>
          </w:p>
        </w:tc>
        <w:tc>
          <w:tcPr>
            <w:tcW w:w="974" w:type="dxa"/>
            <w:tcBorders>
              <w:left w:val="single" w:sz="4" w:space="0" w:color="auto"/>
              <w:right w:val="single" w:sz="4" w:space="0" w:color="auto"/>
            </w:tcBorders>
            <w:tcPrChange w:id="5129" w:author="Author">
              <w:tcPr>
                <w:tcW w:w="974" w:type="dxa"/>
                <w:tcBorders>
                  <w:left w:val="single" w:sz="4" w:space="0" w:color="auto"/>
                  <w:right w:val="single" w:sz="4" w:space="0" w:color="auto"/>
                </w:tcBorders>
              </w:tcPr>
            </w:tcPrChange>
          </w:tcPr>
          <w:p>
            <w:pPr>
              <w:keepNext/>
              <w:numPr>
                <w:ilvl w:val="12"/>
                <w:numId w:val="0"/>
              </w:numPr>
              <w:tabs>
                <w:tab w:val="left" w:pos="180"/>
              </w:tabs>
              <w:suppressAutoHyphens/>
              <w:jc w:val="center"/>
              <w:rPr>
                <w:noProof/>
                <w:sz w:val="20"/>
                <w:lang w:val="it-IT"/>
                <w:rPrChange w:id="5130" w:author="Author">
                  <w:rPr>
                    <w:szCs w:val="22"/>
                    <w:lang w:val="it-IT"/>
                  </w:rPr>
                </w:rPrChange>
              </w:rPr>
              <w:pPrChange w:id="5131" w:author="Author">
                <w:pPr>
                  <w:keepNext/>
                  <w:keepLines/>
                  <w:numPr>
                    <w:ilvl w:val="12"/>
                  </w:numPr>
                  <w:tabs>
                    <w:tab w:val="left" w:pos="180"/>
                  </w:tabs>
                  <w:ind w:right="-2"/>
                  <w:jc w:val="center"/>
                </w:pPr>
              </w:pPrChange>
            </w:pPr>
            <w:r>
              <w:rPr>
                <w:noProof/>
                <w:sz w:val="20"/>
                <w:lang w:val="it-IT"/>
                <w:rPrChange w:id="5132" w:author="Author">
                  <w:rPr>
                    <w:szCs w:val="22"/>
                    <w:lang w:val="it-IT"/>
                  </w:rPr>
                </w:rPrChange>
              </w:rPr>
              <w:t>70%***</w:t>
            </w:r>
          </w:p>
        </w:tc>
        <w:tc>
          <w:tcPr>
            <w:tcW w:w="679" w:type="dxa"/>
            <w:tcBorders>
              <w:left w:val="single" w:sz="4" w:space="0" w:color="auto"/>
              <w:right w:val="single" w:sz="4" w:space="0" w:color="auto"/>
            </w:tcBorders>
            <w:tcPrChange w:id="5133" w:author="Author">
              <w:tcPr>
                <w:tcW w:w="679" w:type="dxa"/>
                <w:gridSpan w:val="2"/>
                <w:tcBorders>
                  <w:left w:val="single" w:sz="4" w:space="0" w:color="auto"/>
                  <w:right w:val="single" w:sz="4" w:space="0" w:color="auto"/>
                </w:tcBorders>
              </w:tcPr>
            </w:tcPrChange>
          </w:tcPr>
          <w:p>
            <w:pPr>
              <w:keepNext/>
              <w:numPr>
                <w:ilvl w:val="12"/>
                <w:numId w:val="0"/>
              </w:numPr>
              <w:tabs>
                <w:tab w:val="left" w:pos="180"/>
              </w:tabs>
              <w:suppressAutoHyphens/>
              <w:jc w:val="center"/>
              <w:rPr>
                <w:noProof/>
                <w:sz w:val="20"/>
                <w:lang w:val="it-IT"/>
                <w:rPrChange w:id="5134" w:author="Author">
                  <w:rPr>
                    <w:szCs w:val="22"/>
                    <w:lang w:val="it-IT"/>
                  </w:rPr>
                </w:rPrChange>
              </w:rPr>
              <w:pPrChange w:id="5135" w:author="Author">
                <w:pPr>
                  <w:keepNext/>
                  <w:keepLines/>
                  <w:numPr>
                    <w:ilvl w:val="12"/>
                  </w:numPr>
                  <w:tabs>
                    <w:tab w:val="left" w:pos="180"/>
                  </w:tabs>
                  <w:ind w:right="-2"/>
                  <w:jc w:val="center"/>
                </w:pPr>
              </w:pPrChange>
            </w:pPr>
            <w:r>
              <w:rPr>
                <w:noProof/>
                <w:sz w:val="20"/>
                <w:lang w:val="it-IT"/>
                <w:rPrChange w:id="5136" w:author="Author">
                  <w:rPr>
                    <w:szCs w:val="22"/>
                    <w:lang w:val="it-IT"/>
                  </w:rPr>
                </w:rPrChange>
              </w:rPr>
              <w:t>52%</w:t>
            </w:r>
          </w:p>
        </w:tc>
        <w:tc>
          <w:tcPr>
            <w:tcW w:w="973" w:type="dxa"/>
            <w:tcBorders>
              <w:left w:val="single" w:sz="4" w:space="0" w:color="auto"/>
              <w:right w:val="single" w:sz="4" w:space="0" w:color="auto"/>
            </w:tcBorders>
            <w:tcPrChange w:id="5137" w:author="Author">
              <w:tcPr>
                <w:tcW w:w="973" w:type="dxa"/>
                <w:tcBorders>
                  <w:left w:val="single" w:sz="4" w:space="0" w:color="auto"/>
                  <w:right w:val="single" w:sz="4" w:space="0" w:color="auto"/>
                </w:tcBorders>
              </w:tcPr>
            </w:tcPrChange>
          </w:tcPr>
          <w:p>
            <w:pPr>
              <w:keepNext/>
              <w:numPr>
                <w:ilvl w:val="12"/>
                <w:numId w:val="0"/>
              </w:numPr>
              <w:tabs>
                <w:tab w:val="left" w:pos="180"/>
              </w:tabs>
              <w:suppressAutoHyphens/>
              <w:jc w:val="center"/>
              <w:rPr>
                <w:noProof/>
                <w:sz w:val="20"/>
                <w:lang w:val="it-IT"/>
                <w:rPrChange w:id="5138" w:author="Author">
                  <w:rPr>
                    <w:szCs w:val="22"/>
                    <w:lang w:val="it-IT"/>
                  </w:rPr>
                </w:rPrChange>
              </w:rPr>
              <w:pPrChange w:id="5139" w:author="Author">
                <w:pPr>
                  <w:keepNext/>
                  <w:keepLines/>
                  <w:numPr>
                    <w:ilvl w:val="12"/>
                  </w:numPr>
                  <w:tabs>
                    <w:tab w:val="left" w:pos="180"/>
                  </w:tabs>
                  <w:ind w:right="-2"/>
                  <w:jc w:val="center"/>
                </w:pPr>
              </w:pPrChange>
            </w:pPr>
            <w:r>
              <w:rPr>
                <w:noProof/>
                <w:sz w:val="20"/>
                <w:lang w:val="it-IT"/>
                <w:rPrChange w:id="5140" w:author="Author">
                  <w:rPr>
                    <w:szCs w:val="22"/>
                    <w:lang w:val="it-IT"/>
                  </w:rPr>
                </w:rPrChange>
              </w:rPr>
              <w:t>56%***</w:t>
            </w:r>
          </w:p>
        </w:tc>
        <w:tc>
          <w:tcPr>
            <w:tcW w:w="827" w:type="dxa"/>
            <w:tcBorders>
              <w:left w:val="single" w:sz="4" w:space="0" w:color="auto"/>
              <w:right w:val="single" w:sz="4" w:space="0" w:color="auto"/>
            </w:tcBorders>
            <w:tcPrChange w:id="5141" w:author="Author">
              <w:tcPr>
                <w:tcW w:w="827" w:type="dxa"/>
                <w:gridSpan w:val="2"/>
                <w:tcBorders>
                  <w:left w:val="single" w:sz="4" w:space="0" w:color="auto"/>
                  <w:right w:val="single" w:sz="4" w:space="0" w:color="auto"/>
                </w:tcBorders>
              </w:tcPr>
            </w:tcPrChange>
          </w:tcPr>
          <w:p>
            <w:pPr>
              <w:keepNext/>
              <w:numPr>
                <w:ilvl w:val="12"/>
                <w:numId w:val="0"/>
              </w:numPr>
              <w:tabs>
                <w:tab w:val="left" w:pos="180"/>
              </w:tabs>
              <w:suppressAutoHyphens/>
              <w:jc w:val="center"/>
              <w:rPr>
                <w:noProof/>
                <w:sz w:val="20"/>
                <w:lang w:val="it-IT"/>
                <w:rPrChange w:id="5142" w:author="Author">
                  <w:rPr>
                    <w:szCs w:val="22"/>
                    <w:lang w:val="it-IT"/>
                  </w:rPr>
                </w:rPrChange>
              </w:rPr>
              <w:pPrChange w:id="5143" w:author="Author">
                <w:pPr>
                  <w:keepNext/>
                  <w:keepLines/>
                  <w:numPr>
                    <w:ilvl w:val="12"/>
                  </w:numPr>
                  <w:tabs>
                    <w:tab w:val="left" w:pos="180"/>
                  </w:tabs>
                  <w:ind w:right="-2"/>
                  <w:jc w:val="center"/>
                </w:pPr>
              </w:pPrChange>
            </w:pPr>
            <w:r>
              <w:rPr>
                <w:noProof/>
                <w:sz w:val="20"/>
                <w:lang w:val="it-IT"/>
                <w:rPrChange w:id="5144" w:author="Author">
                  <w:rPr>
                    <w:szCs w:val="22"/>
                    <w:lang w:val="it-IT"/>
                  </w:rPr>
                </w:rPrChange>
              </w:rPr>
              <w:t>27%</w:t>
            </w:r>
          </w:p>
        </w:tc>
        <w:tc>
          <w:tcPr>
            <w:tcW w:w="979" w:type="dxa"/>
            <w:tcBorders>
              <w:left w:val="single" w:sz="4" w:space="0" w:color="auto"/>
              <w:right w:val="single" w:sz="4" w:space="0" w:color="auto"/>
            </w:tcBorders>
            <w:tcPrChange w:id="5145" w:author="Author">
              <w:tcPr>
                <w:tcW w:w="900" w:type="dxa"/>
                <w:tcBorders>
                  <w:left w:val="single" w:sz="4" w:space="0" w:color="auto"/>
                  <w:right w:val="single" w:sz="4" w:space="0" w:color="auto"/>
                </w:tcBorders>
              </w:tcPr>
            </w:tcPrChange>
          </w:tcPr>
          <w:p>
            <w:pPr>
              <w:keepNext/>
              <w:numPr>
                <w:ilvl w:val="12"/>
                <w:numId w:val="0"/>
              </w:numPr>
              <w:tabs>
                <w:tab w:val="left" w:pos="180"/>
              </w:tabs>
              <w:suppressAutoHyphens/>
              <w:jc w:val="center"/>
              <w:rPr>
                <w:noProof/>
                <w:sz w:val="20"/>
                <w:lang w:val="it-IT"/>
                <w:rPrChange w:id="5146" w:author="Author">
                  <w:rPr>
                    <w:szCs w:val="22"/>
                    <w:lang w:val="it-IT"/>
                  </w:rPr>
                </w:rPrChange>
              </w:rPr>
              <w:pPrChange w:id="5147" w:author="Author">
                <w:pPr>
                  <w:keepNext/>
                  <w:keepLines/>
                  <w:numPr>
                    <w:ilvl w:val="12"/>
                  </w:numPr>
                  <w:tabs>
                    <w:tab w:val="left" w:pos="180"/>
                  </w:tabs>
                  <w:ind w:right="-2"/>
                  <w:jc w:val="center"/>
                </w:pPr>
              </w:pPrChange>
            </w:pPr>
            <w:r>
              <w:rPr>
                <w:noProof/>
                <w:sz w:val="20"/>
                <w:lang w:val="it-IT"/>
                <w:rPrChange w:id="5148" w:author="Author">
                  <w:rPr>
                    <w:szCs w:val="22"/>
                    <w:lang w:val="it-IT"/>
                  </w:rPr>
                </w:rPrChange>
              </w:rPr>
              <w:t>59%***</w:t>
            </w:r>
          </w:p>
        </w:tc>
        <w:tc>
          <w:tcPr>
            <w:tcW w:w="821" w:type="dxa"/>
            <w:tcBorders>
              <w:left w:val="single" w:sz="4" w:space="0" w:color="auto"/>
            </w:tcBorders>
            <w:tcPrChange w:id="5149" w:author="Author">
              <w:tcPr>
                <w:tcW w:w="900" w:type="dxa"/>
                <w:gridSpan w:val="2"/>
                <w:tcBorders>
                  <w:left w:val="single" w:sz="4" w:space="0" w:color="auto"/>
                </w:tcBorders>
              </w:tcPr>
            </w:tcPrChange>
          </w:tcPr>
          <w:p>
            <w:pPr>
              <w:keepNext/>
              <w:numPr>
                <w:ilvl w:val="12"/>
                <w:numId w:val="0"/>
              </w:numPr>
              <w:tabs>
                <w:tab w:val="left" w:pos="180"/>
              </w:tabs>
              <w:suppressAutoHyphens/>
              <w:jc w:val="center"/>
              <w:rPr>
                <w:noProof/>
                <w:sz w:val="20"/>
                <w:lang w:val="it-IT"/>
                <w:rPrChange w:id="5150" w:author="Author">
                  <w:rPr>
                    <w:szCs w:val="22"/>
                    <w:lang w:val="it-IT"/>
                  </w:rPr>
                </w:rPrChange>
              </w:rPr>
              <w:pPrChange w:id="5151" w:author="Author">
                <w:pPr>
                  <w:keepNext/>
                  <w:keepLines/>
                  <w:numPr>
                    <w:ilvl w:val="12"/>
                  </w:numPr>
                  <w:tabs>
                    <w:tab w:val="left" w:pos="180"/>
                  </w:tabs>
                  <w:ind w:right="-2"/>
                  <w:jc w:val="center"/>
                </w:pPr>
              </w:pPrChange>
            </w:pPr>
            <w:r>
              <w:rPr>
                <w:noProof/>
                <w:sz w:val="20"/>
                <w:lang w:val="it-IT"/>
                <w:rPrChange w:id="5152" w:author="Author">
                  <w:rPr>
                    <w:szCs w:val="22"/>
                    <w:lang w:val="it-IT"/>
                  </w:rPr>
                </w:rPrChange>
              </w:rPr>
              <w:t>26%</w:t>
            </w:r>
          </w:p>
        </w:tc>
        <w:tc>
          <w:tcPr>
            <w:tcW w:w="990" w:type="dxa"/>
            <w:tcBorders>
              <w:left w:val="nil"/>
            </w:tcBorders>
            <w:tcPrChange w:id="5153" w:author="Author">
              <w:tcPr>
                <w:tcW w:w="990" w:type="dxa"/>
                <w:tcBorders>
                  <w:left w:val="nil"/>
                </w:tcBorders>
              </w:tcPr>
            </w:tcPrChange>
          </w:tcPr>
          <w:p>
            <w:pPr>
              <w:keepNext/>
              <w:numPr>
                <w:ilvl w:val="12"/>
                <w:numId w:val="0"/>
              </w:numPr>
              <w:tabs>
                <w:tab w:val="left" w:pos="180"/>
              </w:tabs>
              <w:suppressAutoHyphens/>
              <w:jc w:val="center"/>
              <w:rPr>
                <w:noProof/>
                <w:sz w:val="20"/>
                <w:lang w:val="it-IT"/>
                <w:rPrChange w:id="5154" w:author="Author">
                  <w:rPr>
                    <w:szCs w:val="22"/>
                    <w:lang w:val="it-IT"/>
                  </w:rPr>
                </w:rPrChange>
              </w:rPr>
              <w:pPrChange w:id="5155" w:author="Author">
                <w:pPr>
                  <w:keepNext/>
                  <w:keepLines/>
                  <w:numPr>
                    <w:ilvl w:val="12"/>
                  </w:numPr>
                  <w:tabs>
                    <w:tab w:val="left" w:pos="180"/>
                  </w:tabs>
                  <w:ind w:right="-2"/>
                  <w:jc w:val="center"/>
                </w:pPr>
              </w:pPrChange>
            </w:pPr>
            <w:r>
              <w:rPr>
                <w:noProof/>
                <w:sz w:val="20"/>
                <w:lang w:val="it-IT"/>
                <w:rPrChange w:id="5156" w:author="Author">
                  <w:rPr>
                    <w:szCs w:val="22"/>
                    <w:lang w:val="it-IT"/>
                  </w:rPr>
                </w:rPrChange>
              </w:rPr>
              <w:t>61%***</w:t>
            </w:r>
          </w:p>
        </w:tc>
        <w:tc>
          <w:tcPr>
            <w:tcW w:w="990" w:type="dxa"/>
            <w:gridSpan w:val="2"/>
            <w:tcBorders>
              <w:left w:val="nil"/>
            </w:tcBorders>
            <w:tcPrChange w:id="5157" w:author="Author">
              <w:tcPr>
                <w:tcW w:w="990" w:type="dxa"/>
                <w:gridSpan w:val="3"/>
                <w:tcBorders>
                  <w:left w:val="nil"/>
                </w:tcBorders>
              </w:tcPr>
            </w:tcPrChange>
          </w:tcPr>
          <w:p>
            <w:pPr>
              <w:keepNext/>
              <w:numPr>
                <w:ilvl w:val="12"/>
                <w:numId w:val="0"/>
              </w:numPr>
              <w:tabs>
                <w:tab w:val="left" w:pos="180"/>
              </w:tabs>
              <w:suppressAutoHyphens/>
              <w:jc w:val="center"/>
              <w:rPr>
                <w:noProof/>
                <w:sz w:val="20"/>
                <w:lang w:val="it-IT"/>
                <w:rPrChange w:id="5158" w:author="Author">
                  <w:rPr>
                    <w:szCs w:val="22"/>
                    <w:lang w:val="it-IT"/>
                  </w:rPr>
                </w:rPrChange>
              </w:rPr>
              <w:pPrChange w:id="5159" w:author="Author">
                <w:pPr>
                  <w:keepNext/>
                  <w:keepLines/>
                  <w:numPr>
                    <w:ilvl w:val="12"/>
                  </w:numPr>
                  <w:tabs>
                    <w:tab w:val="left" w:pos="180"/>
                  </w:tabs>
                  <w:ind w:right="-2"/>
                  <w:jc w:val="center"/>
                </w:pPr>
              </w:pPrChange>
            </w:pPr>
            <w:r>
              <w:rPr>
                <w:noProof/>
                <w:sz w:val="20"/>
                <w:lang w:val="it-IT"/>
                <w:rPrChange w:id="5160" w:author="Author">
                  <w:rPr>
                    <w:szCs w:val="22"/>
                    <w:lang w:val="it-IT"/>
                  </w:rPr>
                </w:rPrChange>
              </w:rPr>
              <w:t>24%</w:t>
            </w:r>
          </w:p>
        </w:tc>
        <w:tc>
          <w:tcPr>
            <w:tcW w:w="900" w:type="dxa"/>
            <w:tcBorders>
              <w:left w:val="nil"/>
            </w:tcBorders>
            <w:tcPrChange w:id="5161" w:author="Author">
              <w:tcPr>
                <w:tcW w:w="900" w:type="dxa"/>
                <w:tcBorders>
                  <w:left w:val="nil"/>
                </w:tcBorders>
              </w:tcPr>
            </w:tcPrChange>
          </w:tcPr>
          <w:p>
            <w:pPr>
              <w:keepNext/>
              <w:numPr>
                <w:ilvl w:val="12"/>
                <w:numId w:val="0"/>
              </w:numPr>
              <w:tabs>
                <w:tab w:val="left" w:pos="180"/>
              </w:tabs>
              <w:suppressAutoHyphens/>
              <w:jc w:val="center"/>
              <w:rPr>
                <w:noProof/>
                <w:sz w:val="20"/>
                <w:lang w:val="it-IT"/>
              </w:rPr>
              <w:pPrChange w:id="5162" w:author="Author">
                <w:pPr>
                  <w:keepNext/>
                  <w:keepLines/>
                  <w:numPr>
                    <w:ilvl w:val="12"/>
                  </w:numPr>
                  <w:tabs>
                    <w:tab w:val="left" w:pos="180"/>
                  </w:tabs>
                  <w:ind w:right="-2"/>
                  <w:jc w:val="center"/>
                </w:pPr>
              </w:pPrChange>
            </w:pPr>
            <w:r>
              <w:rPr>
                <w:noProof/>
                <w:sz w:val="20"/>
                <w:lang w:val="it-IT"/>
              </w:rPr>
              <w:t>50%***</w:t>
            </w:r>
          </w:p>
        </w:tc>
        <w:tc>
          <w:tcPr>
            <w:tcW w:w="900" w:type="dxa"/>
            <w:tcBorders>
              <w:left w:val="nil"/>
            </w:tcBorders>
            <w:tcPrChange w:id="5163" w:author="Author">
              <w:tcPr>
                <w:tcW w:w="900" w:type="dxa"/>
                <w:gridSpan w:val="2"/>
                <w:tcBorders>
                  <w:left w:val="nil"/>
                </w:tcBorders>
              </w:tcPr>
            </w:tcPrChange>
          </w:tcPr>
          <w:p>
            <w:pPr>
              <w:keepNext/>
              <w:numPr>
                <w:ilvl w:val="12"/>
                <w:numId w:val="0"/>
              </w:numPr>
              <w:tabs>
                <w:tab w:val="left" w:pos="180"/>
              </w:tabs>
              <w:suppressAutoHyphens/>
              <w:jc w:val="center"/>
              <w:rPr>
                <w:noProof/>
                <w:sz w:val="20"/>
                <w:lang w:val="it-IT"/>
              </w:rPr>
              <w:pPrChange w:id="5164" w:author="Author">
                <w:pPr>
                  <w:keepNext/>
                  <w:keepLines/>
                  <w:numPr>
                    <w:ilvl w:val="12"/>
                  </w:numPr>
                  <w:tabs>
                    <w:tab w:val="left" w:pos="180"/>
                  </w:tabs>
                  <w:ind w:right="-2"/>
                  <w:jc w:val="center"/>
                </w:pPr>
              </w:pPrChange>
            </w:pPr>
            <w:r>
              <w:rPr>
                <w:noProof/>
                <w:sz w:val="20"/>
                <w:lang w:val="it-IT"/>
              </w:rPr>
              <w:t>10%</w:t>
            </w:r>
          </w:p>
        </w:tc>
      </w:tr>
      <w:tr>
        <w:tblPrEx>
          <w:tblPrExChange w:id="5165" w:author="Author">
            <w:tblPrEx>
              <w:tblInd w:w="0" w:type="dxa"/>
              <w:tblCellMar>
                <w:top w:w="28" w:type="dxa"/>
                <w:bottom w:w="28" w:type="dxa"/>
              </w:tblCellMar>
            </w:tblPrEx>
          </w:tblPrExChange>
        </w:tblPrEx>
        <w:trPr>
          <w:cantSplit/>
          <w:trPrChange w:id="5166" w:author="Author">
            <w:trPr>
              <w:gridBefore w:val="1"/>
              <w:cantSplit/>
            </w:trPr>
          </w:trPrChange>
        </w:trPr>
        <w:tc>
          <w:tcPr>
            <w:tcW w:w="687" w:type="dxa"/>
            <w:tcBorders>
              <w:right w:val="single" w:sz="4" w:space="0" w:color="auto"/>
            </w:tcBorders>
            <w:tcPrChange w:id="5167" w:author="Author">
              <w:tcPr>
                <w:tcW w:w="687" w:type="dxa"/>
                <w:gridSpan w:val="2"/>
                <w:tcBorders>
                  <w:right w:val="single" w:sz="4" w:space="0" w:color="auto"/>
                </w:tcBorders>
              </w:tcPr>
            </w:tcPrChange>
          </w:tcPr>
          <w:p>
            <w:pPr>
              <w:numPr>
                <w:ilvl w:val="12"/>
                <w:numId w:val="0"/>
              </w:numPr>
              <w:tabs>
                <w:tab w:val="left" w:pos="180"/>
              </w:tabs>
              <w:suppressAutoHyphens/>
              <w:jc w:val="center"/>
              <w:rPr>
                <w:noProof/>
                <w:sz w:val="20"/>
                <w:lang w:val="it-IT"/>
                <w:rPrChange w:id="5168" w:author="Author">
                  <w:rPr>
                    <w:szCs w:val="22"/>
                    <w:lang w:val="it-IT"/>
                  </w:rPr>
                </w:rPrChange>
              </w:rPr>
              <w:pPrChange w:id="5169" w:author="Author">
                <w:pPr>
                  <w:keepNext/>
                  <w:keepLines/>
                  <w:numPr>
                    <w:ilvl w:val="12"/>
                  </w:numPr>
                  <w:tabs>
                    <w:tab w:val="left" w:pos="180"/>
                  </w:tabs>
                  <w:ind w:right="-2"/>
                  <w:jc w:val="center"/>
                </w:pPr>
              </w:pPrChange>
            </w:pPr>
            <w:r>
              <w:rPr>
                <w:noProof/>
                <w:sz w:val="20"/>
                <w:lang w:val="it-IT"/>
                <w:rPrChange w:id="5170" w:author="Author">
                  <w:rPr>
                    <w:szCs w:val="22"/>
                    <w:lang w:val="it-IT"/>
                  </w:rPr>
                </w:rPrChange>
              </w:rPr>
              <w:t>52</w:t>
            </w:r>
          </w:p>
        </w:tc>
        <w:tc>
          <w:tcPr>
            <w:tcW w:w="974" w:type="dxa"/>
            <w:tcBorders>
              <w:left w:val="single" w:sz="4" w:space="0" w:color="auto"/>
              <w:right w:val="single" w:sz="4" w:space="0" w:color="auto"/>
            </w:tcBorders>
            <w:tcPrChange w:id="5171" w:author="Author">
              <w:tcPr>
                <w:tcW w:w="974" w:type="dxa"/>
                <w:tcBorders>
                  <w:left w:val="single" w:sz="4" w:space="0" w:color="auto"/>
                  <w:right w:val="single" w:sz="4" w:space="0" w:color="auto"/>
                </w:tcBorders>
              </w:tcPr>
            </w:tcPrChange>
          </w:tcPr>
          <w:p>
            <w:pPr>
              <w:numPr>
                <w:ilvl w:val="12"/>
                <w:numId w:val="0"/>
              </w:numPr>
              <w:tabs>
                <w:tab w:val="left" w:pos="180"/>
              </w:tabs>
              <w:suppressAutoHyphens/>
              <w:jc w:val="center"/>
              <w:rPr>
                <w:noProof/>
                <w:sz w:val="20"/>
                <w:lang w:val="it-IT"/>
                <w:rPrChange w:id="5172" w:author="Author">
                  <w:rPr>
                    <w:szCs w:val="22"/>
                    <w:lang w:val="it-IT"/>
                  </w:rPr>
                </w:rPrChange>
              </w:rPr>
              <w:pPrChange w:id="5173" w:author="Author">
                <w:pPr>
                  <w:keepNext/>
                  <w:keepLines/>
                  <w:numPr>
                    <w:ilvl w:val="12"/>
                  </w:numPr>
                  <w:tabs>
                    <w:tab w:val="left" w:pos="180"/>
                  </w:tabs>
                  <w:ind w:right="-2"/>
                  <w:jc w:val="center"/>
                </w:pPr>
              </w:pPrChange>
            </w:pPr>
          </w:p>
        </w:tc>
        <w:tc>
          <w:tcPr>
            <w:tcW w:w="679" w:type="dxa"/>
            <w:tcBorders>
              <w:left w:val="single" w:sz="4" w:space="0" w:color="auto"/>
              <w:right w:val="single" w:sz="4" w:space="0" w:color="auto"/>
            </w:tcBorders>
            <w:tcPrChange w:id="5174" w:author="Author">
              <w:tcPr>
                <w:tcW w:w="679" w:type="dxa"/>
                <w:gridSpan w:val="2"/>
                <w:tcBorders>
                  <w:left w:val="single" w:sz="4" w:space="0" w:color="auto"/>
                  <w:right w:val="single" w:sz="4" w:space="0" w:color="auto"/>
                </w:tcBorders>
              </w:tcPr>
            </w:tcPrChange>
          </w:tcPr>
          <w:p>
            <w:pPr>
              <w:numPr>
                <w:ilvl w:val="12"/>
                <w:numId w:val="0"/>
              </w:numPr>
              <w:tabs>
                <w:tab w:val="left" w:pos="180"/>
              </w:tabs>
              <w:suppressAutoHyphens/>
              <w:jc w:val="center"/>
              <w:rPr>
                <w:noProof/>
                <w:sz w:val="20"/>
                <w:lang w:val="it-IT"/>
                <w:rPrChange w:id="5175" w:author="Author">
                  <w:rPr>
                    <w:szCs w:val="22"/>
                    <w:lang w:val="it-IT"/>
                  </w:rPr>
                </w:rPrChange>
              </w:rPr>
              <w:pPrChange w:id="5176" w:author="Author">
                <w:pPr>
                  <w:keepNext/>
                  <w:keepLines/>
                  <w:numPr>
                    <w:ilvl w:val="12"/>
                  </w:numPr>
                  <w:tabs>
                    <w:tab w:val="left" w:pos="180"/>
                  </w:tabs>
                  <w:ind w:right="-2"/>
                  <w:jc w:val="center"/>
                </w:pPr>
              </w:pPrChange>
            </w:pPr>
          </w:p>
        </w:tc>
        <w:tc>
          <w:tcPr>
            <w:tcW w:w="973" w:type="dxa"/>
            <w:tcBorders>
              <w:left w:val="single" w:sz="4" w:space="0" w:color="auto"/>
              <w:right w:val="single" w:sz="4" w:space="0" w:color="auto"/>
            </w:tcBorders>
            <w:tcPrChange w:id="5177" w:author="Author">
              <w:tcPr>
                <w:tcW w:w="973" w:type="dxa"/>
                <w:tcBorders>
                  <w:left w:val="single" w:sz="4" w:space="0" w:color="auto"/>
                  <w:right w:val="single" w:sz="4" w:space="0" w:color="auto"/>
                </w:tcBorders>
              </w:tcPr>
            </w:tcPrChange>
          </w:tcPr>
          <w:p>
            <w:pPr>
              <w:numPr>
                <w:ilvl w:val="12"/>
                <w:numId w:val="0"/>
              </w:numPr>
              <w:tabs>
                <w:tab w:val="left" w:pos="180"/>
              </w:tabs>
              <w:suppressAutoHyphens/>
              <w:jc w:val="center"/>
              <w:rPr>
                <w:noProof/>
                <w:sz w:val="20"/>
                <w:lang w:val="it-IT"/>
                <w:rPrChange w:id="5178" w:author="Author">
                  <w:rPr>
                    <w:szCs w:val="22"/>
                    <w:lang w:val="it-IT"/>
                  </w:rPr>
                </w:rPrChange>
              </w:rPr>
              <w:pPrChange w:id="5179" w:author="Author">
                <w:pPr>
                  <w:keepNext/>
                  <w:keepLines/>
                  <w:numPr>
                    <w:ilvl w:val="12"/>
                  </w:numPr>
                  <w:tabs>
                    <w:tab w:val="left" w:pos="180"/>
                  </w:tabs>
                  <w:ind w:right="-2"/>
                  <w:jc w:val="center"/>
                </w:pPr>
              </w:pPrChange>
            </w:pPr>
            <w:r>
              <w:rPr>
                <w:noProof/>
                <w:sz w:val="20"/>
                <w:lang w:val="it-IT"/>
                <w:rPrChange w:id="5180" w:author="Author">
                  <w:rPr>
                    <w:szCs w:val="22"/>
                    <w:lang w:val="it-IT"/>
                  </w:rPr>
                </w:rPrChange>
              </w:rPr>
              <w:t>56%***</w:t>
            </w:r>
          </w:p>
        </w:tc>
        <w:tc>
          <w:tcPr>
            <w:tcW w:w="827" w:type="dxa"/>
            <w:tcBorders>
              <w:left w:val="single" w:sz="4" w:space="0" w:color="auto"/>
              <w:right w:val="single" w:sz="4" w:space="0" w:color="auto"/>
            </w:tcBorders>
            <w:tcPrChange w:id="5181" w:author="Author">
              <w:tcPr>
                <w:tcW w:w="827" w:type="dxa"/>
                <w:gridSpan w:val="2"/>
                <w:tcBorders>
                  <w:left w:val="single" w:sz="4" w:space="0" w:color="auto"/>
                  <w:right w:val="single" w:sz="4" w:space="0" w:color="auto"/>
                </w:tcBorders>
              </w:tcPr>
            </w:tcPrChange>
          </w:tcPr>
          <w:p>
            <w:pPr>
              <w:numPr>
                <w:ilvl w:val="12"/>
                <w:numId w:val="0"/>
              </w:numPr>
              <w:tabs>
                <w:tab w:val="left" w:pos="180"/>
              </w:tabs>
              <w:suppressAutoHyphens/>
              <w:jc w:val="center"/>
              <w:rPr>
                <w:noProof/>
                <w:sz w:val="20"/>
                <w:lang w:val="it-IT"/>
                <w:rPrChange w:id="5182" w:author="Author">
                  <w:rPr>
                    <w:szCs w:val="22"/>
                    <w:lang w:val="it-IT"/>
                  </w:rPr>
                </w:rPrChange>
              </w:rPr>
              <w:pPrChange w:id="5183" w:author="Author">
                <w:pPr>
                  <w:keepNext/>
                  <w:keepLines/>
                  <w:numPr>
                    <w:ilvl w:val="12"/>
                  </w:numPr>
                  <w:tabs>
                    <w:tab w:val="left" w:pos="180"/>
                  </w:tabs>
                  <w:ind w:right="-2"/>
                  <w:jc w:val="center"/>
                </w:pPr>
              </w:pPrChange>
            </w:pPr>
            <w:r>
              <w:rPr>
                <w:noProof/>
                <w:sz w:val="20"/>
                <w:lang w:val="it-IT"/>
                <w:rPrChange w:id="5184" w:author="Author">
                  <w:rPr>
                    <w:szCs w:val="22"/>
                    <w:lang w:val="it-IT"/>
                  </w:rPr>
                </w:rPrChange>
              </w:rPr>
              <w:t>25%</w:t>
            </w:r>
          </w:p>
        </w:tc>
        <w:tc>
          <w:tcPr>
            <w:tcW w:w="979" w:type="dxa"/>
            <w:tcBorders>
              <w:left w:val="single" w:sz="4" w:space="0" w:color="auto"/>
              <w:right w:val="single" w:sz="4" w:space="0" w:color="auto"/>
            </w:tcBorders>
            <w:tcPrChange w:id="5185" w:author="Author">
              <w:tcPr>
                <w:tcW w:w="900" w:type="dxa"/>
                <w:tcBorders>
                  <w:left w:val="single" w:sz="4" w:space="0" w:color="auto"/>
                  <w:right w:val="single" w:sz="4" w:space="0" w:color="auto"/>
                </w:tcBorders>
              </w:tcPr>
            </w:tcPrChange>
          </w:tcPr>
          <w:p>
            <w:pPr>
              <w:numPr>
                <w:ilvl w:val="12"/>
                <w:numId w:val="0"/>
              </w:numPr>
              <w:tabs>
                <w:tab w:val="left" w:pos="180"/>
              </w:tabs>
              <w:suppressAutoHyphens/>
              <w:jc w:val="center"/>
              <w:rPr>
                <w:noProof/>
                <w:sz w:val="20"/>
                <w:lang w:val="it-IT"/>
                <w:rPrChange w:id="5186" w:author="Author">
                  <w:rPr>
                    <w:szCs w:val="22"/>
                    <w:lang w:val="it-IT"/>
                  </w:rPr>
                </w:rPrChange>
              </w:rPr>
              <w:pPrChange w:id="5187" w:author="Author">
                <w:pPr>
                  <w:keepNext/>
                  <w:keepLines/>
                  <w:numPr>
                    <w:ilvl w:val="12"/>
                  </w:numPr>
                  <w:tabs>
                    <w:tab w:val="left" w:pos="180"/>
                  </w:tabs>
                  <w:ind w:right="-2"/>
                  <w:jc w:val="center"/>
                </w:pPr>
              </w:pPrChange>
            </w:pPr>
          </w:p>
        </w:tc>
        <w:tc>
          <w:tcPr>
            <w:tcW w:w="821" w:type="dxa"/>
            <w:tcBorders>
              <w:left w:val="single" w:sz="4" w:space="0" w:color="auto"/>
            </w:tcBorders>
            <w:tcPrChange w:id="5188" w:author="Author">
              <w:tcPr>
                <w:tcW w:w="900" w:type="dxa"/>
                <w:gridSpan w:val="2"/>
                <w:tcBorders>
                  <w:left w:val="single" w:sz="4" w:space="0" w:color="auto"/>
                </w:tcBorders>
              </w:tcPr>
            </w:tcPrChange>
          </w:tcPr>
          <w:p>
            <w:pPr>
              <w:numPr>
                <w:ilvl w:val="12"/>
                <w:numId w:val="0"/>
              </w:numPr>
              <w:tabs>
                <w:tab w:val="left" w:pos="180"/>
              </w:tabs>
              <w:suppressAutoHyphens/>
              <w:jc w:val="center"/>
              <w:rPr>
                <w:noProof/>
                <w:sz w:val="20"/>
                <w:lang w:val="it-IT"/>
                <w:rPrChange w:id="5189" w:author="Author">
                  <w:rPr>
                    <w:szCs w:val="22"/>
                    <w:lang w:val="it-IT"/>
                  </w:rPr>
                </w:rPrChange>
              </w:rPr>
              <w:pPrChange w:id="5190" w:author="Author">
                <w:pPr>
                  <w:keepNext/>
                  <w:keepLines/>
                  <w:numPr>
                    <w:ilvl w:val="12"/>
                  </w:numPr>
                  <w:tabs>
                    <w:tab w:val="left" w:pos="180"/>
                  </w:tabs>
                  <w:ind w:right="-2"/>
                  <w:jc w:val="center"/>
                </w:pPr>
              </w:pPrChange>
            </w:pPr>
          </w:p>
        </w:tc>
        <w:tc>
          <w:tcPr>
            <w:tcW w:w="990" w:type="dxa"/>
            <w:tcBorders>
              <w:left w:val="nil"/>
            </w:tcBorders>
            <w:tcPrChange w:id="5191" w:author="Author">
              <w:tcPr>
                <w:tcW w:w="990" w:type="dxa"/>
                <w:tcBorders>
                  <w:left w:val="nil"/>
                </w:tcBorders>
              </w:tcPr>
            </w:tcPrChange>
          </w:tcPr>
          <w:p>
            <w:pPr>
              <w:numPr>
                <w:ilvl w:val="12"/>
                <w:numId w:val="0"/>
              </w:numPr>
              <w:tabs>
                <w:tab w:val="left" w:pos="180"/>
              </w:tabs>
              <w:suppressAutoHyphens/>
              <w:jc w:val="center"/>
              <w:rPr>
                <w:noProof/>
                <w:sz w:val="20"/>
                <w:lang w:val="it-IT"/>
                <w:rPrChange w:id="5192" w:author="Author">
                  <w:rPr>
                    <w:szCs w:val="22"/>
                    <w:lang w:val="it-IT"/>
                  </w:rPr>
                </w:rPrChange>
              </w:rPr>
              <w:pPrChange w:id="5193" w:author="Author">
                <w:pPr>
                  <w:keepNext/>
                  <w:keepLines/>
                  <w:numPr>
                    <w:ilvl w:val="12"/>
                  </w:numPr>
                  <w:tabs>
                    <w:tab w:val="left" w:pos="180"/>
                  </w:tabs>
                  <w:ind w:right="-2"/>
                  <w:jc w:val="center"/>
                </w:pPr>
              </w:pPrChange>
            </w:pPr>
          </w:p>
        </w:tc>
        <w:tc>
          <w:tcPr>
            <w:tcW w:w="990" w:type="dxa"/>
            <w:gridSpan w:val="2"/>
            <w:tcBorders>
              <w:left w:val="nil"/>
            </w:tcBorders>
            <w:tcPrChange w:id="5194" w:author="Author">
              <w:tcPr>
                <w:tcW w:w="990" w:type="dxa"/>
                <w:gridSpan w:val="3"/>
                <w:tcBorders>
                  <w:left w:val="nil"/>
                </w:tcBorders>
              </w:tcPr>
            </w:tcPrChange>
          </w:tcPr>
          <w:p>
            <w:pPr>
              <w:numPr>
                <w:ilvl w:val="12"/>
                <w:numId w:val="0"/>
              </w:numPr>
              <w:tabs>
                <w:tab w:val="left" w:pos="180"/>
              </w:tabs>
              <w:suppressAutoHyphens/>
              <w:jc w:val="center"/>
              <w:rPr>
                <w:noProof/>
                <w:sz w:val="20"/>
                <w:lang w:val="it-IT"/>
                <w:rPrChange w:id="5195" w:author="Author">
                  <w:rPr>
                    <w:szCs w:val="22"/>
                    <w:lang w:val="it-IT"/>
                  </w:rPr>
                </w:rPrChange>
              </w:rPr>
              <w:pPrChange w:id="5196" w:author="Author">
                <w:pPr>
                  <w:keepNext/>
                  <w:keepLines/>
                  <w:numPr>
                    <w:ilvl w:val="12"/>
                  </w:numPr>
                  <w:tabs>
                    <w:tab w:val="left" w:pos="180"/>
                  </w:tabs>
                  <w:ind w:right="-2"/>
                  <w:jc w:val="center"/>
                </w:pPr>
              </w:pPrChange>
            </w:pPr>
          </w:p>
        </w:tc>
        <w:tc>
          <w:tcPr>
            <w:tcW w:w="900" w:type="dxa"/>
            <w:tcBorders>
              <w:left w:val="nil"/>
            </w:tcBorders>
            <w:tcPrChange w:id="5197" w:author="Author">
              <w:tcPr>
                <w:tcW w:w="900" w:type="dxa"/>
                <w:tcBorders>
                  <w:left w:val="nil"/>
                </w:tcBorders>
              </w:tcPr>
            </w:tcPrChange>
          </w:tcPr>
          <w:p>
            <w:pPr>
              <w:numPr>
                <w:ilvl w:val="12"/>
                <w:numId w:val="0"/>
              </w:numPr>
              <w:tabs>
                <w:tab w:val="left" w:pos="180"/>
              </w:tabs>
              <w:suppressAutoHyphens/>
              <w:jc w:val="center"/>
              <w:rPr>
                <w:noProof/>
                <w:sz w:val="20"/>
                <w:lang w:val="it-IT"/>
              </w:rPr>
              <w:pPrChange w:id="5198" w:author="Author">
                <w:pPr>
                  <w:keepNext/>
                  <w:keepLines/>
                  <w:numPr>
                    <w:ilvl w:val="12"/>
                  </w:numPr>
                  <w:tabs>
                    <w:tab w:val="left" w:pos="180"/>
                  </w:tabs>
                  <w:ind w:right="-2"/>
                  <w:jc w:val="center"/>
                </w:pPr>
              </w:pPrChange>
            </w:pPr>
          </w:p>
        </w:tc>
        <w:tc>
          <w:tcPr>
            <w:tcW w:w="900" w:type="dxa"/>
            <w:tcBorders>
              <w:left w:val="nil"/>
            </w:tcBorders>
            <w:tcPrChange w:id="5199" w:author="Author">
              <w:tcPr>
                <w:tcW w:w="900" w:type="dxa"/>
                <w:gridSpan w:val="2"/>
                <w:tcBorders>
                  <w:left w:val="nil"/>
                </w:tcBorders>
              </w:tcPr>
            </w:tcPrChange>
          </w:tcPr>
          <w:p>
            <w:pPr>
              <w:numPr>
                <w:ilvl w:val="12"/>
                <w:numId w:val="0"/>
              </w:numPr>
              <w:tabs>
                <w:tab w:val="left" w:pos="180"/>
              </w:tabs>
              <w:suppressAutoHyphens/>
              <w:jc w:val="center"/>
              <w:rPr>
                <w:noProof/>
                <w:sz w:val="20"/>
                <w:lang w:val="it-IT"/>
              </w:rPr>
              <w:pPrChange w:id="5200" w:author="Author">
                <w:pPr>
                  <w:keepNext/>
                  <w:keepLines/>
                  <w:numPr>
                    <w:ilvl w:val="12"/>
                  </w:numPr>
                  <w:tabs>
                    <w:tab w:val="left" w:pos="180"/>
                  </w:tabs>
                  <w:ind w:right="-2"/>
                  <w:jc w:val="center"/>
                </w:pPr>
              </w:pPrChange>
            </w:pPr>
          </w:p>
        </w:tc>
      </w:tr>
      <w:tr>
        <w:trPr>
          <w:cantSplit/>
          <w:trPrChange w:id="5201" w:author="Author">
            <w:trPr>
              <w:gridAfter w:val="0"/>
            </w:trPr>
          </w:trPrChange>
        </w:trPr>
        <w:tc>
          <w:tcPr>
            <w:tcW w:w="9720" w:type="dxa"/>
            <w:gridSpan w:val="12"/>
            <w:tcPrChange w:id="5202" w:author="Author">
              <w:tcPr>
                <w:tcW w:w="9720" w:type="dxa"/>
                <w:gridSpan w:val="18"/>
              </w:tcPr>
            </w:tcPrChange>
          </w:tcPr>
          <w:p>
            <w:pPr>
              <w:keepNext/>
              <w:numPr>
                <w:ilvl w:val="12"/>
                <w:numId w:val="0"/>
              </w:numPr>
              <w:tabs>
                <w:tab w:val="left" w:pos="180"/>
              </w:tabs>
              <w:suppressAutoHyphens/>
              <w:jc w:val="center"/>
              <w:rPr>
                <w:b/>
                <w:noProof/>
                <w:sz w:val="20"/>
                <w:lang w:val="it-IT"/>
                <w:rPrChange w:id="5203" w:author="Author">
                  <w:rPr>
                    <w:b/>
                    <w:szCs w:val="22"/>
                    <w:lang w:val="it-IT"/>
                  </w:rPr>
                </w:rPrChange>
              </w:rPr>
              <w:pPrChange w:id="5204" w:author="Author">
                <w:pPr>
                  <w:keepNext/>
                  <w:keepLines/>
                  <w:numPr>
                    <w:ilvl w:val="12"/>
                  </w:numPr>
                  <w:tabs>
                    <w:tab w:val="left" w:pos="180"/>
                  </w:tabs>
                  <w:ind w:right="-2"/>
                  <w:jc w:val="center"/>
                </w:pPr>
              </w:pPrChange>
            </w:pPr>
            <w:r>
              <w:rPr>
                <w:b/>
                <w:noProof/>
                <w:sz w:val="20"/>
                <w:lang w:val="it-IT"/>
                <w:rPrChange w:id="5205" w:author="Author">
                  <w:rPr>
                    <w:b/>
                    <w:szCs w:val="22"/>
                    <w:lang w:val="it-IT"/>
                  </w:rPr>
                </w:rPrChange>
              </w:rPr>
              <w:t>ACR 50</w:t>
            </w:r>
          </w:p>
        </w:tc>
      </w:tr>
      <w:tr>
        <w:tblPrEx>
          <w:tblPrExChange w:id="5206" w:author="Author">
            <w:tblPrEx>
              <w:tblInd w:w="0" w:type="dxa"/>
              <w:tblCellMar>
                <w:top w:w="28" w:type="dxa"/>
                <w:bottom w:w="28" w:type="dxa"/>
              </w:tblCellMar>
            </w:tblPrEx>
          </w:tblPrExChange>
        </w:tblPrEx>
        <w:trPr>
          <w:cantSplit/>
          <w:trPrChange w:id="5207" w:author="Author">
            <w:trPr>
              <w:gridBefore w:val="1"/>
              <w:cantSplit/>
            </w:trPr>
          </w:trPrChange>
        </w:trPr>
        <w:tc>
          <w:tcPr>
            <w:tcW w:w="687" w:type="dxa"/>
            <w:tcBorders>
              <w:right w:val="single" w:sz="4" w:space="0" w:color="auto"/>
            </w:tcBorders>
            <w:tcPrChange w:id="5208" w:author="Author">
              <w:tcPr>
                <w:tcW w:w="687" w:type="dxa"/>
                <w:gridSpan w:val="2"/>
                <w:tcBorders>
                  <w:right w:val="single" w:sz="4" w:space="0" w:color="auto"/>
                </w:tcBorders>
              </w:tcPr>
            </w:tcPrChange>
          </w:tcPr>
          <w:p>
            <w:pPr>
              <w:keepNext/>
              <w:numPr>
                <w:ilvl w:val="12"/>
                <w:numId w:val="0"/>
              </w:numPr>
              <w:tabs>
                <w:tab w:val="left" w:pos="180"/>
              </w:tabs>
              <w:suppressAutoHyphens/>
              <w:jc w:val="center"/>
              <w:rPr>
                <w:noProof/>
                <w:sz w:val="20"/>
                <w:lang w:val="it-IT"/>
              </w:rPr>
              <w:pPrChange w:id="5209" w:author="Author">
                <w:pPr>
                  <w:keepNext/>
                  <w:keepLines/>
                  <w:numPr>
                    <w:ilvl w:val="12"/>
                  </w:numPr>
                  <w:tabs>
                    <w:tab w:val="left" w:pos="180"/>
                  </w:tabs>
                  <w:ind w:right="-2"/>
                  <w:jc w:val="center"/>
                </w:pPr>
              </w:pPrChange>
            </w:pPr>
            <w:r>
              <w:rPr>
                <w:noProof/>
                <w:sz w:val="20"/>
                <w:lang w:val="it-IT"/>
              </w:rPr>
              <w:t>24</w:t>
            </w:r>
          </w:p>
        </w:tc>
        <w:tc>
          <w:tcPr>
            <w:tcW w:w="974" w:type="dxa"/>
            <w:tcBorders>
              <w:left w:val="single" w:sz="4" w:space="0" w:color="auto"/>
              <w:right w:val="single" w:sz="4" w:space="0" w:color="auto"/>
            </w:tcBorders>
            <w:tcPrChange w:id="5210" w:author="Author">
              <w:tcPr>
                <w:tcW w:w="974" w:type="dxa"/>
                <w:tcBorders>
                  <w:left w:val="single" w:sz="4" w:space="0" w:color="auto"/>
                  <w:right w:val="single" w:sz="4" w:space="0" w:color="auto"/>
                </w:tcBorders>
              </w:tcPr>
            </w:tcPrChange>
          </w:tcPr>
          <w:p>
            <w:pPr>
              <w:keepNext/>
              <w:numPr>
                <w:ilvl w:val="12"/>
                <w:numId w:val="0"/>
              </w:numPr>
              <w:tabs>
                <w:tab w:val="left" w:pos="180"/>
              </w:tabs>
              <w:suppressAutoHyphens/>
              <w:jc w:val="center"/>
              <w:rPr>
                <w:noProof/>
                <w:sz w:val="20"/>
                <w:lang w:val="it-IT"/>
              </w:rPr>
              <w:pPrChange w:id="5211" w:author="Author">
                <w:pPr>
                  <w:keepNext/>
                  <w:keepLines/>
                  <w:numPr>
                    <w:ilvl w:val="12"/>
                  </w:numPr>
                  <w:tabs>
                    <w:tab w:val="left" w:pos="180"/>
                  </w:tabs>
                  <w:ind w:right="-2"/>
                  <w:jc w:val="center"/>
                </w:pPr>
              </w:pPrChange>
            </w:pPr>
            <w:r>
              <w:rPr>
                <w:noProof/>
                <w:sz w:val="20"/>
                <w:lang w:val="it-IT"/>
              </w:rPr>
              <w:t>44%**</w:t>
            </w:r>
          </w:p>
        </w:tc>
        <w:tc>
          <w:tcPr>
            <w:tcW w:w="679" w:type="dxa"/>
            <w:tcBorders>
              <w:left w:val="single" w:sz="4" w:space="0" w:color="auto"/>
              <w:right w:val="single" w:sz="4" w:space="0" w:color="auto"/>
            </w:tcBorders>
            <w:tcPrChange w:id="5212" w:author="Author">
              <w:tcPr>
                <w:tcW w:w="679" w:type="dxa"/>
                <w:gridSpan w:val="2"/>
                <w:tcBorders>
                  <w:left w:val="single" w:sz="4" w:space="0" w:color="auto"/>
                  <w:right w:val="single" w:sz="4" w:space="0" w:color="auto"/>
                </w:tcBorders>
              </w:tcPr>
            </w:tcPrChange>
          </w:tcPr>
          <w:p>
            <w:pPr>
              <w:keepNext/>
              <w:numPr>
                <w:ilvl w:val="12"/>
                <w:numId w:val="0"/>
              </w:numPr>
              <w:tabs>
                <w:tab w:val="left" w:pos="180"/>
              </w:tabs>
              <w:suppressAutoHyphens/>
              <w:jc w:val="center"/>
              <w:rPr>
                <w:noProof/>
                <w:sz w:val="20"/>
                <w:lang w:val="it-IT"/>
              </w:rPr>
              <w:pPrChange w:id="5213" w:author="Author">
                <w:pPr>
                  <w:keepNext/>
                  <w:keepLines/>
                  <w:numPr>
                    <w:ilvl w:val="12"/>
                  </w:numPr>
                  <w:tabs>
                    <w:tab w:val="left" w:pos="180"/>
                  </w:tabs>
                  <w:ind w:right="-2"/>
                  <w:jc w:val="center"/>
                </w:pPr>
              </w:pPrChange>
            </w:pPr>
            <w:r>
              <w:rPr>
                <w:noProof/>
                <w:sz w:val="20"/>
                <w:lang w:val="it-IT"/>
              </w:rPr>
              <w:t>33%</w:t>
            </w:r>
          </w:p>
        </w:tc>
        <w:tc>
          <w:tcPr>
            <w:tcW w:w="973" w:type="dxa"/>
            <w:tcBorders>
              <w:left w:val="single" w:sz="4" w:space="0" w:color="auto"/>
              <w:right w:val="single" w:sz="4" w:space="0" w:color="auto"/>
            </w:tcBorders>
            <w:tcPrChange w:id="5214" w:author="Author">
              <w:tcPr>
                <w:tcW w:w="973" w:type="dxa"/>
                <w:tcBorders>
                  <w:left w:val="single" w:sz="4" w:space="0" w:color="auto"/>
                  <w:right w:val="single" w:sz="4" w:space="0" w:color="auto"/>
                </w:tcBorders>
              </w:tcPr>
            </w:tcPrChange>
          </w:tcPr>
          <w:p>
            <w:pPr>
              <w:keepNext/>
              <w:numPr>
                <w:ilvl w:val="12"/>
                <w:numId w:val="0"/>
              </w:numPr>
              <w:tabs>
                <w:tab w:val="left" w:pos="180"/>
              </w:tabs>
              <w:suppressAutoHyphens/>
              <w:jc w:val="center"/>
              <w:rPr>
                <w:noProof/>
                <w:sz w:val="20"/>
                <w:lang w:val="it-IT"/>
              </w:rPr>
              <w:pPrChange w:id="5215" w:author="Author">
                <w:pPr>
                  <w:keepNext/>
                  <w:keepLines/>
                  <w:numPr>
                    <w:ilvl w:val="12"/>
                  </w:numPr>
                  <w:tabs>
                    <w:tab w:val="left" w:pos="180"/>
                  </w:tabs>
                  <w:ind w:right="-2"/>
                  <w:jc w:val="center"/>
                </w:pPr>
              </w:pPrChange>
            </w:pPr>
            <w:r>
              <w:rPr>
                <w:noProof/>
                <w:sz w:val="20"/>
                <w:lang w:val="it-IT"/>
              </w:rPr>
              <w:t>32%***</w:t>
            </w:r>
          </w:p>
        </w:tc>
        <w:tc>
          <w:tcPr>
            <w:tcW w:w="827" w:type="dxa"/>
            <w:tcBorders>
              <w:left w:val="single" w:sz="4" w:space="0" w:color="auto"/>
              <w:right w:val="single" w:sz="4" w:space="0" w:color="auto"/>
            </w:tcBorders>
            <w:tcPrChange w:id="5216" w:author="Author">
              <w:tcPr>
                <w:tcW w:w="827" w:type="dxa"/>
                <w:gridSpan w:val="2"/>
                <w:tcBorders>
                  <w:left w:val="single" w:sz="4" w:space="0" w:color="auto"/>
                  <w:right w:val="single" w:sz="4" w:space="0" w:color="auto"/>
                </w:tcBorders>
              </w:tcPr>
            </w:tcPrChange>
          </w:tcPr>
          <w:p>
            <w:pPr>
              <w:keepNext/>
              <w:numPr>
                <w:ilvl w:val="12"/>
                <w:numId w:val="0"/>
              </w:numPr>
              <w:tabs>
                <w:tab w:val="left" w:pos="180"/>
              </w:tabs>
              <w:suppressAutoHyphens/>
              <w:jc w:val="center"/>
              <w:rPr>
                <w:noProof/>
                <w:sz w:val="20"/>
                <w:lang w:val="it-IT"/>
                <w:rPrChange w:id="5217" w:author="Author">
                  <w:rPr>
                    <w:szCs w:val="22"/>
                    <w:lang w:val="it-IT"/>
                  </w:rPr>
                </w:rPrChange>
              </w:rPr>
              <w:pPrChange w:id="5218" w:author="Author">
                <w:pPr>
                  <w:keepNext/>
                  <w:keepLines/>
                  <w:numPr>
                    <w:ilvl w:val="12"/>
                  </w:numPr>
                  <w:tabs>
                    <w:tab w:val="left" w:pos="180"/>
                  </w:tabs>
                  <w:ind w:right="-2"/>
                  <w:jc w:val="center"/>
                </w:pPr>
              </w:pPrChange>
            </w:pPr>
            <w:r>
              <w:rPr>
                <w:noProof/>
                <w:sz w:val="20"/>
                <w:lang w:val="it-IT"/>
                <w:rPrChange w:id="5219" w:author="Author">
                  <w:rPr>
                    <w:szCs w:val="22"/>
                    <w:lang w:val="it-IT"/>
                  </w:rPr>
                </w:rPrChange>
              </w:rPr>
              <w:t>10%</w:t>
            </w:r>
          </w:p>
        </w:tc>
        <w:tc>
          <w:tcPr>
            <w:tcW w:w="979" w:type="dxa"/>
            <w:tcBorders>
              <w:left w:val="single" w:sz="4" w:space="0" w:color="auto"/>
              <w:right w:val="single" w:sz="4" w:space="0" w:color="auto"/>
            </w:tcBorders>
            <w:tcPrChange w:id="5220" w:author="Author">
              <w:tcPr>
                <w:tcW w:w="900" w:type="dxa"/>
                <w:tcBorders>
                  <w:left w:val="single" w:sz="4" w:space="0" w:color="auto"/>
                  <w:right w:val="single" w:sz="4" w:space="0" w:color="auto"/>
                </w:tcBorders>
              </w:tcPr>
            </w:tcPrChange>
          </w:tcPr>
          <w:p>
            <w:pPr>
              <w:keepNext/>
              <w:numPr>
                <w:ilvl w:val="12"/>
                <w:numId w:val="0"/>
              </w:numPr>
              <w:tabs>
                <w:tab w:val="left" w:pos="180"/>
              </w:tabs>
              <w:suppressAutoHyphens/>
              <w:jc w:val="center"/>
              <w:rPr>
                <w:noProof/>
                <w:sz w:val="20"/>
                <w:lang w:val="it-IT"/>
                <w:rPrChange w:id="5221" w:author="Author">
                  <w:rPr>
                    <w:szCs w:val="22"/>
                    <w:lang w:val="it-IT"/>
                  </w:rPr>
                </w:rPrChange>
              </w:rPr>
              <w:pPrChange w:id="5222" w:author="Author">
                <w:pPr>
                  <w:keepNext/>
                  <w:keepLines/>
                  <w:numPr>
                    <w:ilvl w:val="12"/>
                  </w:numPr>
                  <w:tabs>
                    <w:tab w:val="left" w:pos="180"/>
                  </w:tabs>
                  <w:ind w:right="-2"/>
                  <w:jc w:val="center"/>
                </w:pPr>
              </w:pPrChange>
            </w:pPr>
            <w:r>
              <w:rPr>
                <w:noProof/>
                <w:sz w:val="20"/>
                <w:lang w:val="it-IT"/>
                <w:rPrChange w:id="5223" w:author="Author">
                  <w:rPr>
                    <w:szCs w:val="22"/>
                    <w:lang w:val="it-IT"/>
                  </w:rPr>
                </w:rPrChange>
              </w:rPr>
              <w:t>44%***</w:t>
            </w:r>
          </w:p>
        </w:tc>
        <w:tc>
          <w:tcPr>
            <w:tcW w:w="821" w:type="dxa"/>
            <w:tcBorders>
              <w:left w:val="single" w:sz="4" w:space="0" w:color="auto"/>
            </w:tcBorders>
            <w:tcPrChange w:id="5224" w:author="Author">
              <w:tcPr>
                <w:tcW w:w="900" w:type="dxa"/>
                <w:gridSpan w:val="2"/>
                <w:tcBorders>
                  <w:left w:val="single" w:sz="4" w:space="0" w:color="auto"/>
                </w:tcBorders>
              </w:tcPr>
            </w:tcPrChange>
          </w:tcPr>
          <w:p>
            <w:pPr>
              <w:keepNext/>
              <w:numPr>
                <w:ilvl w:val="12"/>
                <w:numId w:val="0"/>
              </w:numPr>
              <w:tabs>
                <w:tab w:val="left" w:pos="180"/>
              </w:tabs>
              <w:suppressAutoHyphens/>
              <w:jc w:val="center"/>
              <w:rPr>
                <w:noProof/>
                <w:sz w:val="20"/>
                <w:lang w:val="it-IT"/>
                <w:rPrChange w:id="5225" w:author="Author">
                  <w:rPr>
                    <w:szCs w:val="22"/>
                    <w:lang w:val="it-IT"/>
                  </w:rPr>
                </w:rPrChange>
              </w:rPr>
              <w:pPrChange w:id="5226" w:author="Author">
                <w:pPr>
                  <w:keepNext/>
                  <w:keepLines/>
                  <w:numPr>
                    <w:ilvl w:val="12"/>
                  </w:numPr>
                  <w:tabs>
                    <w:tab w:val="left" w:pos="180"/>
                  </w:tabs>
                  <w:ind w:right="-2"/>
                  <w:jc w:val="center"/>
                </w:pPr>
              </w:pPrChange>
            </w:pPr>
            <w:r>
              <w:rPr>
                <w:noProof/>
                <w:sz w:val="20"/>
                <w:lang w:val="it-IT"/>
                <w:rPrChange w:id="5227" w:author="Author">
                  <w:rPr>
                    <w:szCs w:val="22"/>
                    <w:lang w:val="it-IT"/>
                  </w:rPr>
                </w:rPrChange>
              </w:rPr>
              <w:t>11%</w:t>
            </w:r>
          </w:p>
        </w:tc>
        <w:tc>
          <w:tcPr>
            <w:tcW w:w="990" w:type="dxa"/>
            <w:tcBorders>
              <w:left w:val="nil"/>
            </w:tcBorders>
            <w:tcPrChange w:id="5228" w:author="Author">
              <w:tcPr>
                <w:tcW w:w="990" w:type="dxa"/>
                <w:tcBorders>
                  <w:left w:val="nil"/>
                </w:tcBorders>
              </w:tcPr>
            </w:tcPrChange>
          </w:tcPr>
          <w:p>
            <w:pPr>
              <w:keepNext/>
              <w:numPr>
                <w:ilvl w:val="12"/>
                <w:numId w:val="0"/>
              </w:numPr>
              <w:tabs>
                <w:tab w:val="left" w:pos="180"/>
              </w:tabs>
              <w:suppressAutoHyphens/>
              <w:jc w:val="center"/>
              <w:rPr>
                <w:noProof/>
                <w:sz w:val="20"/>
                <w:lang w:val="it-IT"/>
                <w:rPrChange w:id="5229" w:author="Author">
                  <w:rPr>
                    <w:szCs w:val="22"/>
                    <w:lang w:val="it-IT"/>
                  </w:rPr>
                </w:rPrChange>
              </w:rPr>
              <w:pPrChange w:id="5230" w:author="Author">
                <w:pPr>
                  <w:keepNext/>
                  <w:keepLines/>
                  <w:numPr>
                    <w:ilvl w:val="12"/>
                  </w:numPr>
                  <w:tabs>
                    <w:tab w:val="left" w:pos="180"/>
                  </w:tabs>
                  <w:ind w:right="-2"/>
                  <w:jc w:val="center"/>
                </w:pPr>
              </w:pPrChange>
            </w:pPr>
            <w:r>
              <w:rPr>
                <w:noProof/>
                <w:sz w:val="20"/>
                <w:lang w:val="it-IT"/>
                <w:rPrChange w:id="5231" w:author="Author">
                  <w:rPr>
                    <w:szCs w:val="22"/>
                    <w:lang w:val="it-IT"/>
                  </w:rPr>
                </w:rPrChange>
              </w:rPr>
              <w:t>38%***</w:t>
            </w:r>
          </w:p>
        </w:tc>
        <w:tc>
          <w:tcPr>
            <w:tcW w:w="979" w:type="dxa"/>
            <w:tcBorders>
              <w:left w:val="nil"/>
            </w:tcBorders>
            <w:tcPrChange w:id="5232" w:author="Author">
              <w:tcPr>
                <w:tcW w:w="979" w:type="dxa"/>
                <w:gridSpan w:val="2"/>
                <w:tcBorders>
                  <w:left w:val="nil"/>
                </w:tcBorders>
              </w:tcPr>
            </w:tcPrChange>
          </w:tcPr>
          <w:p>
            <w:pPr>
              <w:keepNext/>
              <w:numPr>
                <w:ilvl w:val="12"/>
                <w:numId w:val="0"/>
              </w:numPr>
              <w:tabs>
                <w:tab w:val="left" w:pos="180"/>
              </w:tabs>
              <w:suppressAutoHyphens/>
              <w:jc w:val="center"/>
              <w:rPr>
                <w:noProof/>
                <w:sz w:val="20"/>
                <w:lang w:val="it-IT"/>
                <w:rPrChange w:id="5233" w:author="Author">
                  <w:rPr>
                    <w:szCs w:val="22"/>
                    <w:lang w:val="it-IT"/>
                  </w:rPr>
                </w:rPrChange>
              </w:rPr>
              <w:pPrChange w:id="5234" w:author="Author">
                <w:pPr>
                  <w:keepNext/>
                  <w:keepLines/>
                  <w:numPr>
                    <w:ilvl w:val="12"/>
                  </w:numPr>
                  <w:tabs>
                    <w:tab w:val="left" w:pos="180"/>
                  </w:tabs>
                  <w:ind w:right="-2"/>
                  <w:jc w:val="center"/>
                </w:pPr>
              </w:pPrChange>
            </w:pPr>
            <w:r>
              <w:rPr>
                <w:noProof/>
                <w:sz w:val="20"/>
                <w:lang w:val="it-IT"/>
                <w:rPrChange w:id="5235" w:author="Author">
                  <w:rPr>
                    <w:szCs w:val="22"/>
                    <w:lang w:val="it-IT"/>
                  </w:rPr>
                </w:rPrChange>
              </w:rPr>
              <w:t>9%</w:t>
            </w:r>
          </w:p>
        </w:tc>
        <w:tc>
          <w:tcPr>
            <w:tcW w:w="911" w:type="dxa"/>
            <w:gridSpan w:val="2"/>
            <w:tcBorders>
              <w:left w:val="nil"/>
            </w:tcBorders>
            <w:tcPrChange w:id="5236" w:author="Author">
              <w:tcPr>
                <w:tcW w:w="911" w:type="dxa"/>
                <w:gridSpan w:val="2"/>
                <w:tcBorders>
                  <w:left w:val="nil"/>
                </w:tcBorders>
              </w:tcPr>
            </w:tcPrChange>
          </w:tcPr>
          <w:p>
            <w:pPr>
              <w:keepNext/>
              <w:numPr>
                <w:ilvl w:val="12"/>
                <w:numId w:val="0"/>
              </w:numPr>
              <w:tabs>
                <w:tab w:val="left" w:pos="180"/>
              </w:tabs>
              <w:suppressAutoHyphens/>
              <w:jc w:val="center"/>
              <w:rPr>
                <w:noProof/>
                <w:sz w:val="20"/>
                <w:lang w:val="it-IT"/>
                <w:rPrChange w:id="5237" w:author="Author">
                  <w:rPr>
                    <w:szCs w:val="22"/>
                    <w:lang w:val="it-IT"/>
                  </w:rPr>
                </w:rPrChange>
              </w:rPr>
              <w:pPrChange w:id="5238" w:author="Author">
                <w:pPr>
                  <w:keepNext/>
                  <w:keepLines/>
                  <w:numPr>
                    <w:ilvl w:val="12"/>
                  </w:numPr>
                  <w:tabs>
                    <w:tab w:val="left" w:pos="180"/>
                  </w:tabs>
                  <w:ind w:right="-2"/>
                  <w:jc w:val="center"/>
                </w:pPr>
              </w:pPrChange>
            </w:pPr>
            <w:r>
              <w:rPr>
                <w:noProof/>
                <w:sz w:val="20"/>
                <w:lang w:val="it-IT"/>
                <w:rPrChange w:id="5239" w:author="Author">
                  <w:rPr>
                    <w:szCs w:val="22"/>
                    <w:lang w:val="it-IT"/>
                  </w:rPr>
                </w:rPrChange>
              </w:rPr>
              <w:t>29%***</w:t>
            </w:r>
          </w:p>
        </w:tc>
        <w:tc>
          <w:tcPr>
            <w:tcW w:w="900" w:type="dxa"/>
            <w:tcBorders>
              <w:left w:val="nil"/>
            </w:tcBorders>
            <w:tcPrChange w:id="5240" w:author="Author">
              <w:tcPr>
                <w:tcW w:w="900" w:type="dxa"/>
                <w:gridSpan w:val="2"/>
                <w:tcBorders>
                  <w:left w:val="nil"/>
                </w:tcBorders>
              </w:tcPr>
            </w:tcPrChange>
          </w:tcPr>
          <w:p>
            <w:pPr>
              <w:keepNext/>
              <w:numPr>
                <w:ilvl w:val="12"/>
                <w:numId w:val="0"/>
              </w:numPr>
              <w:tabs>
                <w:tab w:val="left" w:pos="180"/>
              </w:tabs>
              <w:suppressAutoHyphens/>
              <w:jc w:val="center"/>
              <w:rPr>
                <w:noProof/>
                <w:sz w:val="20"/>
                <w:lang w:val="it-IT"/>
              </w:rPr>
              <w:pPrChange w:id="5241" w:author="Author">
                <w:pPr>
                  <w:keepNext/>
                  <w:keepLines/>
                  <w:numPr>
                    <w:ilvl w:val="12"/>
                  </w:numPr>
                  <w:tabs>
                    <w:tab w:val="left" w:pos="180"/>
                  </w:tabs>
                  <w:ind w:right="-2"/>
                  <w:jc w:val="center"/>
                </w:pPr>
              </w:pPrChange>
            </w:pPr>
            <w:r>
              <w:rPr>
                <w:noProof/>
                <w:sz w:val="20"/>
                <w:lang w:val="it-IT"/>
              </w:rPr>
              <w:t>4%</w:t>
            </w:r>
          </w:p>
        </w:tc>
      </w:tr>
      <w:tr>
        <w:tblPrEx>
          <w:tblPrExChange w:id="5242" w:author="Author">
            <w:tblPrEx>
              <w:tblInd w:w="0" w:type="dxa"/>
              <w:tblCellMar>
                <w:top w:w="28" w:type="dxa"/>
                <w:bottom w:w="28" w:type="dxa"/>
              </w:tblCellMar>
            </w:tblPrEx>
          </w:tblPrExChange>
        </w:tblPrEx>
        <w:trPr>
          <w:cantSplit/>
          <w:trPrChange w:id="5243" w:author="Author">
            <w:trPr>
              <w:gridBefore w:val="1"/>
              <w:cantSplit/>
            </w:trPr>
          </w:trPrChange>
        </w:trPr>
        <w:tc>
          <w:tcPr>
            <w:tcW w:w="687" w:type="dxa"/>
            <w:tcBorders>
              <w:right w:val="single" w:sz="4" w:space="0" w:color="auto"/>
            </w:tcBorders>
            <w:tcPrChange w:id="5244" w:author="Author">
              <w:tcPr>
                <w:tcW w:w="687" w:type="dxa"/>
                <w:gridSpan w:val="2"/>
                <w:tcBorders>
                  <w:right w:val="single" w:sz="4" w:space="0" w:color="auto"/>
                </w:tcBorders>
              </w:tcPr>
            </w:tcPrChange>
          </w:tcPr>
          <w:p>
            <w:pPr>
              <w:numPr>
                <w:ilvl w:val="12"/>
                <w:numId w:val="0"/>
              </w:numPr>
              <w:tabs>
                <w:tab w:val="left" w:pos="180"/>
              </w:tabs>
              <w:suppressAutoHyphens/>
              <w:jc w:val="center"/>
              <w:rPr>
                <w:noProof/>
                <w:sz w:val="20"/>
                <w:lang w:val="it-IT"/>
              </w:rPr>
              <w:pPrChange w:id="5245" w:author="Author">
                <w:pPr>
                  <w:keepNext/>
                  <w:keepLines/>
                  <w:numPr>
                    <w:ilvl w:val="12"/>
                  </w:numPr>
                  <w:tabs>
                    <w:tab w:val="left" w:pos="180"/>
                  </w:tabs>
                  <w:ind w:right="-2"/>
                  <w:jc w:val="center"/>
                </w:pPr>
              </w:pPrChange>
            </w:pPr>
            <w:r>
              <w:rPr>
                <w:noProof/>
                <w:sz w:val="20"/>
                <w:lang w:val="it-IT"/>
              </w:rPr>
              <w:t>52</w:t>
            </w:r>
          </w:p>
        </w:tc>
        <w:tc>
          <w:tcPr>
            <w:tcW w:w="974" w:type="dxa"/>
            <w:tcBorders>
              <w:left w:val="single" w:sz="4" w:space="0" w:color="auto"/>
              <w:right w:val="single" w:sz="4" w:space="0" w:color="auto"/>
            </w:tcBorders>
            <w:tcPrChange w:id="5246" w:author="Author">
              <w:tcPr>
                <w:tcW w:w="974" w:type="dxa"/>
                <w:tcBorders>
                  <w:left w:val="single" w:sz="4" w:space="0" w:color="auto"/>
                  <w:right w:val="single" w:sz="4" w:space="0" w:color="auto"/>
                </w:tcBorders>
              </w:tcPr>
            </w:tcPrChange>
          </w:tcPr>
          <w:p>
            <w:pPr>
              <w:numPr>
                <w:ilvl w:val="12"/>
                <w:numId w:val="0"/>
              </w:numPr>
              <w:tabs>
                <w:tab w:val="left" w:pos="180"/>
              </w:tabs>
              <w:suppressAutoHyphens/>
              <w:jc w:val="center"/>
              <w:rPr>
                <w:noProof/>
                <w:sz w:val="20"/>
                <w:lang w:val="it-IT"/>
              </w:rPr>
              <w:pPrChange w:id="5247" w:author="Author">
                <w:pPr>
                  <w:keepNext/>
                  <w:keepLines/>
                  <w:numPr>
                    <w:ilvl w:val="12"/>
                  </w:numPr>
                  <w:tabs>
                    <w:tab w:val="left" w:pos="180"/>
                  </w:tabs>
                  <w:ind w:right="-2"/>
                  <w:jc w:val="center"/>
                </w:pPr>
              </w:pPrChange>
            </w:pPr>
          </w:p>
        </w:tc>
        <w:tc>
          <w:tcPr>
            <w:tcW w:w="679" w:type="dxa"/>
            <w:tcBorders>
              <w:left w:val="single" w:sz="4" w:space="0" w:color="auto"/>
              <w:right w:val="single" w:sz="4" w:space="0" w:color="auto"/>
            </w:tcBorders>
            <w:tcPrChange w:id="5248" w:author="Author">
              <w:tcPr>
                <w:tcW w:w="679" w:type="dxa"/>
                <w:gridSpan w:val="2"/>
                <w:tcBorders>
                  <w:left w:val="single" w:sz="4" w:space="0" w:color="auto"/>
                  <w:right w:val="single" w:sz="4" w:space="0" w:color="auto"/>
                </w:tcBorders>
              </w:tcPr>
            </w:tcPrChange>
          </w:tcPr>
          <w:p>
            <w:pPr>
              <w:numPr>
                <w:ilvl w:val="12"/>
                <w:numId w:val="0"/>
              </w:numPr>
              <w:tabs>
                <w:tab w:val="left" w:pos="180"/>
              </w:tabs>
              <w:suppressAutoHyphens/>
              <w:jc w:val="center"/>
              <w:rPr>
                <w:noProof/>
                <w:sz w:val="20"/>
                <w:lang w:val="it-IT"/>
              </w:rPr>
              <w:pPrChange w:id="5249" w:author="Author">
                <w:pPr>
                  <w:keepNext/>
                  <w:keepLines/>
                  <w:numPr>
                    <w:ilvl w:val="12"/>
                  </w:numPr>
                  <w:tabs>
                    <w:tab w:val="left" w:pos="180"/>
                  </w:tabs>
                  <w:ind w:right="-2"/>
                  <w:jc w:val="center"/>
                </w:pPr>
              </w:pPrChange>
            </w:pPr>
          </w:p>
        </w:tc>
        <w:tc>
          <w:tcPr>
            <w:tcW w:w="973" w:type="dxa"/>
            <w:tcBorders>
              <w:left w:val="single" w:sz="4" w:space="0" w:color="auto"/>
              <w:right w:val="single" w:sz="4" w:space="0" w:color="auto"/>
            </w:tcBorders>
            <w:tcPrChange w:id="5250" w:author="Author">
              <w:tcPr>
                <w:tcW w:w="973" w:type="dxa"/>
                <w:tcBorders>
                  <w:left w:val="single" w:sz="4" w:space="0" w:color="auto"/>
                  <w:right w:val="single" w:sz="4" w:space="0" w:color="auto"/>
                </w:tcBorders>
              </w:tcPr>
            </w:tcPrChange>
          </w:tcPr>
          <w:p>
            <w:pPr>
              <w:numPr>
                <w:ilvl w:val="12"/>
                <w:numId w:val="0"/>
              </w:numPr>
              <w:tabs>
                <w:tab w:val="left" w:pos="180"/>
              </w:tabs>
              <w:suppressAutoHyphens/>
              <w:jc w:val="center"/>
              <w:rPr>
                <w:noProof/>
                <w:sz w:val="20"/>
                <w:lang w:val="it-IT"/>
              </w:rPr>
              <w:pPrChange w:id="5251" w:author="Author">
                <w:pPr>
                  <w:keepNext/>
                  <w:keepLines/>
                  <w:numPr>
                    <w:ilvl w:val="12"/>
                  </w:numPr>
                  <w:tabs>
                    <w:tab w:val="left" w:pos="180"/>
                  </w:tabs>
                  <w:ind w:right="-2"/>
                  <w:jc w:val="center"/>
                </w:pPr>
              </w:pPrChange>
            </w:pPr>
            <w:r>
              <w:rPr>
                <w:noProof/>
                <w:sz w:val="20"/>
                <w:lang w:val="it-IT"/>
              </w:rPr>
              <w:t>36%***</w:t>
            </w:r>
          </w:p>
        </w:tc>
        <w:tc>
          <w:tcPr>
            <w:tcW w:w="827" w:type="dxa"/>
            <w:tcBorders>
              <w:left w:val="single" w:sz="4" w:space="0" w:color="auto"/>
              <w:right w:val="single" w:sz="4" w:space="0" w:color="auto"/>
            </w:tcBorders>
            <w:tcPrChange w:id="5252" w:author="Author">
              <w:tcPr>
                <w:tcW w:w="827" w:type="dxa"/>
                <w:gridSpan w:val="2"/>
                <w:tcBorders>
                  <w:left w:val="single" w:sz="4" w:space="0" w:color="auto"/>
                  <w:right w:val="single" w:sz="4" w:space="0" w:color="auto"/>
                </w:tcBorders>
              </w:tcPr>
            </w:tcPrChange>
          </w:tcPr>
          <w:p>
            <w:pPr>
              <w:numPr>
                <w:ilvl w:val="12"/>
                <w:numId w:val="0"/>
              </w:numPr>
              <w:tabs>
                <w:tab w:val="left" w:pos="180"/>
              </w:tabs>
              <w:suppressAutoHyphens/>
              <w:jc w:val="center"/>
              <w:rPr>
                <w:noProof/>
                <w:sz w:val="20"/>
                <w:lang w:val="it-IT"/>
                <w:rPrChange w:id="5253" w:author="Author">
                  <w:rPr>
                    <w:szCs w:val="22"/>
                    <w:lang w:val="it-IT"/>
                  </w:rPr>
                </w:rPrChange>
              </w:rPr>
              <w:pPrChange w:id="5254" w:author="Author">
                <w:pPr>
                  <w:keepNext/>
                  <w:keepLines/>
                  <w:numPr>
                    <w:ilvl w:val="12"/>
                  </w:numPr>
                  <w:tabs>
                    <w:tab w:val="left" w:pos="180"/>
                  </w:tabs>
                  <w:ind w:right="-2"/>
                  <w:jc w:val="center"/>
                </w:pPr>
              </w:pPrChange>
            </w:pPr>
            <w:r>
              <w:rPr>
                <w:noProof/>
                <w:sz w:val="20"/>
                <w:lang w:val="it-IT"/>
                <w:rPrChange w:id="5255" w:author="Author">
                  <w:rPr>
                    <w:szCs w:val="22"/>
                    <w:lang w:val="it-IT"/>
                  </w:rPr>
                </w:rPrChange>
              </w:rPr>
              <w:t>10%</w:t>
            </w:r>
          </w:p>
        </w:tc>
        <w:tc>
          <w:tcPr>
            <w:tcW w:w="979" w:type="dxa"/>
            <w:tcBorders>
              <w:left w:val="single" w:sz="4" w:space="0" w:color="auto"/>
              <w:right w:val="single" w:sz="4" w:space="0" w:color="auto"/>
            </w:tcBorders>
            <w:tcPrChange w:id="5256" w:author="Author">
              <w:tcPr>
                <w:tcW w:w="900" w:type="dxa"/>
                <w:tcBorders>
                  <w:left w:val="single" w:sz="4" w:space="0" w:color="auto"/>
                  <w:right w:val="single" w:sz="4" w:space="0" w:color="auto"/>
                </w:tcBorders>
              </w:tcPr>
            </w:tcPrChange>
          </w:tcPr>
          <w:p>
            <w:pPr>
              <w:numPr>
                <w:ilvl w:val="12"/>
                <w:numId w:val="0"/>
              </w:numPr>
              <w:tabs>
                <w:tab w:val="left" w:pos="180"/>
              </w:tabs>
              <w:suppressAutoHyphens/>
              <w:jc w:val="center"/>
              <w:rPr>
                <w:noProof/>
                <w:sz w:val="20"/>
                <w:lang w:val="it-IT"/>
                <w:rPrChange w:id="5257" w:author="Author">
                  <w:rPr>
                    <w:szCs w:val="22"/>
                    <w:lang w:val="it-IT"/>
                  </w:rPr>
                </w:rPrChange>
              </w:rPr>
              <w:pPrChange w:id="5258" w:author="Author">
                <w:pPr>
                  <w:keepNext/>
                  <w:keepLines/>
                  <w:numPr>
                    <w:ilvl w:val="12"/>
                  </w:numPr>
                  <w:tabs>
                    <w:tab w:val="left" w:pos="180"/>
                  </w:tabs>
                  <w:ind w:right="-2"/>
                  <w:jc w:val="center"/>
                </w:pPr>
              </w:pPrChange>
            </w:pPr>
          </w:p>
        </w:tc>
        <w:tc>
          <w:tcPr>
            <w:tcW w:w="821" w:type="dxa"/>
            <w:tcBorders>
              <w:left w:val="single" w:sz="4" w:space="0" w:color="auto"/>
            </w:tcBorders>
            <w:tcPrChange w:id="5259" w:author="Author">
              <w:tcPr>
                <w:tcW w:w="900" w:type="dxa"/>
                <w:gridSpan w:val="2"/>
                <w:tcBorders>
                  <w:left w:val="single" w:sz="4" w:space="0" w:color="auto"/>
                </w:tcBorders>
              </w:tcPr>
            </w:tcPrChange>
          </w:tcPr>
          <w:p>
            <w:pPr>
              <w:numPr>
                <w:ilvl w:val="12"/>
                <w:numId w:val="0"/>
              </w:numPr>
              <w:tabs>
                <w:tab w:val="left" w:pos="180"/>
              </w:tabs>
              <w:suppressAutoHyphens/>
              <w:jc w:val="center"/>
              <w:rPr>
                <w:noProof/>
                <w:sz w:val="20"/>
                <w:lang w:val="it-IT"/>
                <w:rPrChange w:id="5260" w:author="Author">
                  <w:rPr>
                    <w:szCs w:val="22"/>
                    <w:lang w:val="it-IT"/>
                  </w:rPr>
                </w:rPrChange>
              </w:rPr>
              <w:pPrChange w:id="5261" w:author="Author">
                <w:pPr>
                  <w:keepNext/>
                  <w:keepLines/>
                  <w:numPr>
                    <w:ilvl w:val="12"/>
                  </w:numPr>
                  <w:tabs>
                    <w:tab w:val="left" w:pos="180"/>
                  </w:tabs>
                  <w:ind w:right="-2"/>
                  <w:jc w:val="center"/>
                </w:pPr>
              </w:pPrChange>
            </w:pPr>
          </w:p>
        </w:tc>
        <w:tc>
          <w:tcPr>
            <w:tcW w:w="990" w:type="dxa"/>
            <w:tcBorders>
              <w:left w:val="nil"/>
            </w:tcBorders>
            <w:tcPrChange w:id="5262" w:author="Author">
              <w:tcPr>
                <w:tcW w:w="990" w:type="dxa"/>
                <w:tcBorders>
                  <w:left w:val="nil"/>
                </w:tcBorders>
              </w:tcPr>
            </w:tcPrChange>
          </w:tcPr>
          <w:p>
            <w:pPr>
              <w:numPr>
                <w:ilvl w:val="12"/>
                <w:numId w:val="0"/>
              </w:numPr>
              <w:tabs>
                <w:tab w:val="left" w:pos="180"/>
              </w:tabs>
              <w:suppressAutoHyphens/>
              <w:jc w:val="center"/>
              <w:rPr>
                <w:noProof/>
                <w:sz w:val="20"/>
                <w:lang w:val="it-IT"/>
                <w:rPrChange w:id="5263" w:author="Author">
                  <w:rPr>
                    <w:szCs w:val="22"/>
                    <w:lang w:val="it-IT"/>
                  </w:rPr>
                </w:rPrChange>
              </w:rPr>
              <w:pPrChange w:id="5264" w:author="Author">
                <w:pPr>
                  <w:keepNext/>
                  <w:keepLines/>
                  <w:numPr>
                    <w:ilvl w:val="12"/>
                  </w:numPr>
                  <w:tabs>
                    <w:tab w:val="left" w:pos="180"/>
                  </w:tabs>
                  <w:ind w:right="-2"/>
                  <w:jc w:val="center"/>
                </w:pPr>
              </w:pPrChange>
            </w:pPr>
          </w:p>
        </w:tc>
        <w:tc>
          <w:tcPr>
            <w:tcW w:w="979" w:type="dxa"/>
            <w:tcBorders>
              <w:left w:val="nil"/>
            </w:tcBorders>
            <w:tcPrChange w:id="5265" w:author="Author">
              <w:tcPr>
                <w:tcW w:w="979" w:type="dxa"/>
                <w:gridSpan w:val="2"/>
                <w:tcBorders>
                  <w:left w:val="nil"/>
                </w:tcBorders>
              </w:tcPr>
            </w:tcPrChange>
          </w:tcPr>
          <w:p>
            <w:pPr>
              <w:numPr>
                <w:ilvl w:val="12"/>
                <w:numId w:val="0"/>
              </w:numPr>
              <w:tabs>
                <w:tab w:val="left" w:pos="180"/>
              </w:tabs>
              <w:suppressAutoHyphens/>
              <w:jc w:val="center"/>
              <w:rPr>
                <w:noProof/>
                <w:sz w:val="20"/>
                <w:lang w:val="it-IT"/>
                <w:rPrChange w:id="5266" w:author="Author">
                  <w:rPr>
                    <w:szCs w:val="22"/>
                    <w:lang w:val="it-IT"/>
                  </w:rPr>
                </w:rPrChange>
              </w:rPr>
              <w:pPrChange w:id="5267" w:author="Author">
                <w:pPr>
                  <w:keepNext/>
                  <w:keepLines/>
                  <w:numPr>
                    <w:ilvl w:val="12"/>
                  </w:numPr>
                  <w:tabs>
                    <w:tab w:val="left" w:pos="180"/>
                  </w:tabs>
                  <w:ind w:right="-2"/>
                  <w:jc w:val="center"/>
                </w:pPr>
              </w:pPrChange>
            </w:pPr>
          </w:p>
        </w:tc>
        <w:tc>
          <w:tcPr>
            <w:tcW w:w="911" w:type="dxa"/>
            <w:gridSpan w:val="2"/>
            <w:tcBorders>
              <w:left w:val="nil"/>
            </w:tcBorders>
            <w:tcPrChange w:id="5268" w:author="Author">
              <w:tcPr>
                <w:tcW w:w="911" w:type="dxa"/>
                <w:gridSpan w:val="2"/>
                <w:tcBorders>
                  <w:left w:val="nil"/>
                </w:tcBorders>
              </w:tcPr>
            </w:tcPrChange>
          </w:tcPr>
          <w:p>
            <w:pPr>
              <w:numPr>
                <w:ilvl w:val="12"/>
                <w:numId w:val="0"/>
              </w:numPr>
              <w:tabs>
                <w:tab w:val="left" w:pos="180"/>
              </w:tabs>
              <w:suppressAutoHyphens/>
              <w:jc w:val="center"/>
              <w:rPr>
                <w:noProof/>
                <w:sz w:val="20"/>
                <w:lang w:val="it-IT"/>
                <w:rPrChange w:id="5269" w:author="Author">
                  <w:rPr>
                    <w:szCs w:val="22"/>
                    <w:lang w:val="it-IT"/>
                  </w:rPr>
                </w:rPrChange>
              </w:rPr>
              <w:pPrChange w:id="5270" w:author="Author">
                <w:pPr>
                  <w:keepNext/>
                  <w:keepLines/>
                  <w:numPr>
                    <w:ilvl w:val="12"/>
                  </w:numPr>
                  <w:tabs>
                    <w:tab w:val="left" w:pos="180"/>
                  </w:tabs>
                  <w:ind w:right="-2"/>
                  <w:jc w:val="center"/>
                </w:pPr>
              </w:pPrChange>
            </w:pPr>
          </w:p>
        </w:tc>
        <w:tc>
          <w:tcPr>
            <w:tcW w:w="900" w:type="dxa"/>
            <w:tcBorders>
              <w:left w:val="nil"/>
            </w:tcBorders>
            <w:tcPrChange w:id="5271" w:author="Author">
              <w:tcPr>
                <w:tcW w:w="900" w:type="dxa"/>
                <w:gridSpan w:val="2"/>
                <w:tcBorders>
                  <w:left w:val="nil"/>
                </w:tcBorders>
              </w:tcPr>
            </w:tcPrChange>
          </w:tcPr>
          <w:p>
            <w:pPr>
              <w:numPr>
                <w:ilvl w:val="12"/>
                <w:numId w:val="0"/>
              </w:numPr>
              <w:tabs>
                <w:tab w:val="left" w:pos="180"/>
              </w:tabs>
              <w:suppressAutoHyphens/>
              <w:jc w:val="center"/>
              <w:rPr>
                <w:noProof/>
                <w:sz w:val="20"/>
                <w:lang w:val="it-IT"/>
              </w:rPr>
              <w:pPrChange w:id="5272" w:author="Author">
                <w:pPr>
                  <w:keepNext/>
                  <w:keepLines/>
                  <w:numPr>
                    <w:ilvl w:val="12"/>
                  </w:numPr>
                  <w:tabs>
                    <w:tab w:val="left" w:pos="180"/>
                  </w:tabs>
                  <w:ind w:right="-2"/>
                  <w:jc w:val="center"/>
                </w:pPr>
              </w:pPrChange>
            </w:pPr>
          </w:p>
        </w:tc>
      </w:tr>
      <w:tr>
        <w:trPr>
          <w:cantSplit/>
          <w:trPrChange w:id="5273" w:author="Author">
            <w:trPr>
              <w:gridAfter w:val="0"/>
            </w:trPr>
          </w:trPrChange>
        </w:trPr>
        <w:tc>
          <w:tcPr>
            <w:tcW w:w="9720" w:type="dxa"/>
            <w:gridSpan w:val="12"/>
            <w:tcPrChange w:id="5274" w:author="Author">
              <w:tcPr>
                <w:tcW w:w="9720" w:type="dxa"/>
                <w:gridSpan w:val="18"/>
              </w:tcPr>
            </w:tcPrChange>
          </w:tcPr>
          <w:p>
            <w:pPr>
              <w:keepNext/>
              <w:numPr>
                <w:ilvl w:val="12"/>
                <w:numId w:val="0"/>
              </w:numPr>
              <w:tabs>
                <w:tab w:val="left" w:pos="180"/>
              </w:tabs>
              <w:suppressAutoHyphens/>
              <w:jc w:val="center"/>
              <w:rPr>
                <w:b/>
                <w:noProof/>
                <w:sz w:val="20"/>
                <w:lang w:val="it-IT"/>
                <w:rPrChange w:id="5275" w:author="Author">
                  <w:rPr>
                    <w:b/>
                    <w:szCs w:val="22"/>
                    <w:lang w:val="it-IT"/>
                  </w:rPr>
                </w:rPrChange>
              </w:rPr>
              <w:pPrChange w:id="5276" w:author="Author">
                <w:pPr>
                  <w:keepNext/>
                  <w:keepLines/>
                  <w:numPr>
                    <w:ilvl w:val="12"/>
                  </w:numPr>
                  <w:tabs>
                    <w:tab w:val="left" w:pos="180"/>
                  </w:tabs>
                  <w:ind w:right="-2"/>
                  <w:jc w:val="center"/>
                </w:pPr>
              </w:pPrChange>
            </w:pPr>
            <w:r>
              <w:rPr>
                <w:b/>
                <w:noProof/>
                <w:sz w:val="20"/>
                <w:lang w:val="it-IT"/>
                <w:rPrChange w:id="5277" w:author="Author">
                  <w:rPr>
                    <w:b/>
                    <w:szCs w:val="22"/>
                    <w:lang w:val="it-IT"/>
                  </w:rPr>
                </w:rPrChange>
              </w:rPr>
              <w:t>ACR 70</w:t>
            </w:r>
          </w:p>
        </w:tc>
      </w:tr>
      <w:tr>
        <w:tblPrEx>
          <w:tblPrExChange w:id="5278" w:author="Author">
            <w:tblPrEx>
              <w:tblInd w:w="0" w:type="dxa"/>
              <w:tblCellMar>
                <w:top w:w="28" w:type="dxa"/>
                <w:bottom w:w="28" w:type="dxa"/>
              </w:tblCellMar>
            </w:tblPrEx>
          </w:tblPrExChange>
        </w:tblPrEx>
        <w:trPr>
          <w:cantSplit/>
          <w:trPrChange w:id="5279" w:author="Author">
            <w:trPr>
              <w:gridBefore w:val="1"/>
              <w:cantSplit/>
            </w:trPr>
          </w:trPrChange>
        </w:trPr>
        <w:tc>
          <w:tcPr>
            <w:tcW w:w="687" w:type="dxa"/>
            <w:tcBorders>
              <w:right w:val="single" w:sz="4" w:space="0" w:color="auto"/>
            </w:tcBorders>
            <w:tcPrChange w:id="5280" w:author="Author">
              <w:tcPr>
                <w:tcW w:w="687" w:type="dxa"/>
                <w:gridSpan w:val="2"/>
                <w:tcBorders>
                  <w:right w:val="single" w:sz="4" w:space="0" w:color="auto"/>
                </w:tcBorders>
              </w:tcPr>
            </w:tcPrChange>
          </w:tcPr>
          <w:p>
            <w:pPr>
              <w:keepNext/>
              <w:numPr>
                <w:ilvl w:val="12"/>
                <w:numId w:val="0"/>
              </w:numPr>
              <w:tabs>
                <w:tab w:val="left" w:pos="180"/>
              </w:tabs>
              <w:suppressAutoHyphens/>
              <w:jc w:val="center"/>
              <w:rPr>
                <w:noProof/>
                <w:sz w:val="20"/>
                <w:lang w:val="it-IT"/>
              </w:rPr>
              <w:pPrChange w:id="5281" w:author="Author">
                <w:pPr>
                  <w:keepNext/>
                  <w:keepLines/>
                  <w:numPr>
                    <w:ilvl w:val="12"/>
                  </w:numPr>
                  <w:tabs>
                    <w:tab w:val="left" w:pos="180"/>
                  </w:tabs>
                  <w:ind w:right="-2"/>
                  <w:jc w:val="center"/>
                </w:pPr>
              </w:pPrChange>
            </w:pPr>
            <w:r>
              <w:rPr>
                <w:noProof/>
                <w:sz w:val="20"/>
                <w:lang w:val="it-IT"/>
              </w:rPr>
              <w:t>24</w:t>
            </w:r>
          </w:p>
        </w:tc>
        <w:tc>
          <w:tcPr>
            <w:tcW w:w="974" w:type="dxa"/>
            <w:tcBorders>
              <w:left w:val="single" w:sz="4" w:space="0" w:color="auto"/>
              <w:right w:val="single" w:sz="4" w:space="0" w:color="auto"/>
            </w:tcBorders>
            <w:tcPrChange w:id="5282" w:author="Author">
              <w:tcPr>
                <w:tcW w:w="974" w:type="dxa"/>
                <w:tcBorders>
                  <w:left w:val="single" w:sz="4" w:space="0" w:color="auto"/>
                  <w:right w:val="single" w:sz="4" w:space="0" w:color="auto"/>
                </w:tcBorders>
              </w:tcPr>
            </w:tcPrChange>
          </w:tcPr>
          <w:p>
            <w:pPr>
              <w:keepNext/>
              <w:numPr>
                <w:ilvl w:val="12"/>
                <w:numId w:val="0"/>
              </w:numPr>
              <w:tabs>
                <w:tab w:val="left" w:pos="180"/>
              </w:tabs>
              <w:suppressAutoHyphens/>
              <w:jc w:val="center"/>
              <w:rPr>
                <w:noProof/>
                <w:sz w:val="20"/>
                <w:lang w:val="it-IT"/>
              </w:rPr>
              <w:pPrChange w:id="5283" w:author="Author">
                <w:pPr>
                  <w:keepNext/>
                  <w:keepLines/>
                  <w:numPr>
                    <w:ilvl w:val="12"/>
                  </w:numPr>
                  <w:tabs>
                    <w:tab w:val="left" w:pos="180"/>
                  </w:tabs>
                  <w:ind w:right="-2"/>
                  <w:jc w:val="center"/>
                </w:pPr>
              </w:pPrChange>
            </w:pPr>
            <w:r>
              <w:rPr>
                <w:noProof/>
                <w:sz w:val="20"/>
                <w:lang w:val="it-IT"/>
              </w:rPr>
              <w:t>28%**</w:t>
            </w:r>
          </w:p>
        </w:tc>
        <w:tc>
          <w:tcPr>
            <w:tcW w:w="679" w:type="dxa"/>
            <w:tcBorders>
              <w:left w:val="single" w:sz="4" w:space="0" w:color="auto"/>
              <w:right w:val="single" w:sz="4" w:space="0" w:color="auto"/>
            </w:tcBorders>
            <w:tcPrChange w:id="5284" w:author="Author">
              <w:tcPr>
                <w:tcW w:w="679" w:type="dxa"/>
                <w:gridSpan w:val="2"/>
                <w:tcBorders>
                  <w:left w:val="single" w:sz="4" w:space="0" w:color="auto"/>
                  <w:right w:val="single" w:sz="4" w:space="0" w:color="auto"/>
                </w:tcBorders>
              </w:tcPr>
            </w:tcPrChange>
          </w:tcPr>
          <w:p>
            <w:pPr>
              <w:keepNext/>
              <w:numPr>
                <w:ilvl w:val="12"/>
                <w:numId w:val="0"/>
              </w:numPr>
              <w:tabs>
                <w:tab w:val="left" w:pos="180"/>
              </w:tabs>
              <w:suppressAutoHyphens/>
              <w:jc w:val="center"/>
              <w:rPr>
                <w:noProof/>
                <w:sz w:val="20"/>
                <w:lang w:val="it-IT"/>
              </w:rPr>
              <w:pPrChange w:id="5285" w:author="Author">
                <w:pPr>
                  <w:keepNext/>
                  <w:keepLines/>
                  <w:numPr>
                    <w:ilvl w:val="12"/>
                  </w:numPr>
                  <w:tabs>
                    <w:tab w:val="left" w:pos="180"/>
                  </w:tabs>
                  <w:ind w:right="-2"/>
                  <w:jc w:val="center"/>
                </w:pPr>
              </w:pPrChange>
            </w:pPr>
            <w:r>
              <w:rPr>
                <w:noProof/>
                <w:sz w:val="20"/>
                <w:lang w:val="it-IT"/>
              </w:rPr>
              <w:t>15%</w:t>
            </w:r>
          </w:p>
        </w:tc>
        <w:tc>
          <w:tcPr>
            <w:tcW w:w="973" w:type="dxa"/>
            <w:tcBorders>
              <w:left w:val="single" w:sz="4" w:space="0" w:color="auto"/>
              <w:right w:val="single" w:sz="4" w:space="0" w:color="auto"/>
            </w:tcBorders>
            <w:tcPrChange w:id="5286" w:author="Author">
              <w:tcPr>
                <w:tcW w:w="973" w:type="dxa"/>
                <w:tcBorders>
                  <w:left w:val="single" w:sz="4" w:space="0" w:color="auto"/>
                  <w:right w:val="single" w:sz="4" w:space="0" w:color="auto"/>
                </w:tcBorders>
              </w:tcPr>
            </w:tcPrChange>
          </w:tcPr>
          <w:p>
            <w:pPr>
              <w:keepNext/>
              <w:numPr>
                <w:ilvl w:val="12"/>
                <w:numId w:val="0"/>
              </w:numPr>
              <w:tabs>
                <w:tab w:val="left" w:pos="180"/>
              </w:tabs>
              <w:suppressAutoHyphens/>
              <w:jc w:val="center"/>
              <w:rPr>
                <w:noProof/>
                <w:sz w:val="20"/>
                <w:lang w:val="it-IT"/>
              </w:rPr>
              <w:pPrChange w:id="5287" w:author="Author">
                <w:pPr>
                  <w:keepNext/>
                  <w:keepLines/>
                  <w:numPr>
                    <w:ilvl w:val="12"/>
                  </w:numPr>
                  <w:tabs>
                    <w:tab w:val="left" w:pos="180"/>
                  </w:tabs>
                  <w:ind w:right="-2"/>
                  <w:jc w:val="center"/>
                </w:pPr>
              </w:pPrChange>
            </w:pPr>
            <w:r>
              <w:rPr>
                <w:noProof/>
                <w:sz w:val="20"/>
                <w:lang w:val="it-IT"/>
              </w:rPr>
              <w:t>13%***</w:t>
            </w:r>
          </w:p>
        </w:tc>
        <w:tc>
          <w:tcPr>
            <w:tcW w:w="827" w:type="dxa"/>
            <w:tcBorders>
              <w:left w:val="single" w:sz="4" w:space="0" w:color="auto"/>
              <w:right w:val="single" w:sz="4" w:space="0" w:color="auto"/>
            </w:tcBorders>
            <w:tcPrChange w:id="5288" w:author="Author">
              <w:tcPr>
                <w:tcW w:w="827" w:type="dxa"/>
                <w:gridSpan w:val="2"/>
                <w:tcBorders>
                  <w:left w:val="single" w:sz="4" w:space="0" w:color="auto"/>
                  <w:right w:val="single" w:sz="4" w:space="0" w:color="auto"/>
                </w:tcBorders>
              </w:tcPr>
            </w:tcPrChange>
          </w:tcPr>
          <w:p>
            <w:pPr>
              <w:keepNext/>
              <w:numPr>
                <w:ilvl w:val="12"/>
                <w:numId w:val="0"/>
              </w:numPr>
              <w:tabs>
                <w:tab w:val="left" w:pos="180"/>
              </w:tabs>
              <w:suppressAutoHyphens/>
              <w:jc w:val="center"/>
              <w:rPr>
                <w:noProof/>
                <w:sz w:val="20"/>
                <w:lang w:val="it-IT"/>
                <w:rPrChange w:id="5289" w:author="Author">
                  <w:rPr>
                    <w:szCs w:val="22"/>
                    <w:lang w:val="it-IT"/>
                  </w:rPr>
                </w:rPrChange>
              </w:rPr>
              <w:pPrChange w:id="5290" w:author="Author">
                <w:pPr>
                  <w:keepNext/>
                  <w:keepLines/>
                  <w:numPr>
                    <w:ilvl w:val="12"/>
                  </w:numPr>
                  <w:tabs>
                    <w:tab w:val="left" w:pos="180"/>
                  </w:tabs>
                  <w:ind w:right="-2"/>
                  <w:jc w:val="center"/>
                </w:pPr>
              </w:pPrChange>
            </w:pPr>
            <w:r>
              <w:rPr>
                <w:noProof/>
                <w:sz w:val="20"/>
                <w:lang w:val="it-IT"/>
                <w:rPrChange w:id="5291" w:author="Author">
                  <w:rPr>
                    <w:szCs w:val="22"/>
                    <w:lang w:val="it-IT"/>
                  </w:rPr>
                </w:rPrChange>
              </w:rPr>
              <w:t>2%</w:t>
            </w:r>
          </w:p>
        </w:tc>
        <w:tc>
          <w:tcPr>
            <w:tcW w:w="979" w:type="dxa"/>
            <w:tcBorders>
              <w:left w:val="single" w:sz="4" w:space="0" w:color="auto"/>
              <w:right w:val="single" w:sz="4" w:space="0" w:color="auto"/>
            </w:tcBorders>
            <w:tcPrChange w:id="5292" w:author="Author">
              <w:tcPr>
                <w:tcW w:w="900" w:type="dxa"/>
                <w:tcBorders>
                  <w:left w:val="single" w:sz="4" w:space="0" w:color="auto"/>
                  <w:right w:val="single" w:sz="4" w:space="0" w:color="auto"/>
                </w:tcBorders>
              </w:tcPr>
            </w:tcPrChange>
          </w:tcPr>
          <w:p>
            <w:pPr>
              <w:keepNext/>
              <w:numPr>
                <w:ilvl w:val="12"/>
                <w:numId w:val="0"/>
              </w:numPr>
              <w:tabs>
                <w:tab w:val="left" w:pos="180"/>
              </w:tabs>
              <w:suppressAutoHyphens/>
              <w:jc w:val="center"/>
              <w:rPr>
                <w:noProof/>
                <w:sz w:val="20"/>
                <w:lang w:val="it-IT"/>
                <w:rPrChange w:id="5293" w:author="Author">
                  <w:rPr>
                    <w:szCs w:val="22"/>
                    <w:lang w:val="it-IT"/>
                  </w:rPr>
                </w:rPrChange>
              </w:rPr>
              <w:pPrChange w:id="5294" w:author="Author">
                <w:pPr>
                  <w:keepNext/>
                  <w:keepLines/>
                  <w:numPr>
                    <w:ilvl w:val="12"/>
                  </w:numPr>
                  <w:tabs>
                    <w:tab w:val="left" w:pos="180"/>
                  </w:tabs>
                  <w:ind w:right="-2"/>
                  <w:jc w:val="center"/>
                </w:pPr>
              </w:pPrChange>
            </w:pPr>
            <w:r>
              <w:rPr>
                <w:noProof/>
                <w:sz w:val="20"/>
                <w:lang w:val="it-IT"/>
                <w:rPrChange w:id="5295" w:author="Author">
                  <w:rPr>
                    <w:szCs w:val="22"/>
                    <w:lang w:val="it-IT"/>
                  </w:rPr>
                </w:rPrChange>
              </w:rPr>
              <w:t>22%***</w:t>
            </w:r>
          </w:p>
        </w:tc>
        <w:tc>
          <w:tcPr>
            <w:tcW w:w="821" w:type="dxa"/>
            <w:tcBorders>
              <w:left w:val="single" w:sz="4" w:space="0" w:color="auto"/>
            </w:tcBorders>
            <w:tcPrChange w:id="5296" w:author="Author">
              <w:tcPr>
                <w:tcW w:w="900" w:type="dxa"/>
                <w:gridSpan w:val="2"/>
                <w:tcBorders>
                  <w:left w:val="single" w:sz="4" w:space="0" w:color="auto"/>
                </w:tcBorders>
              </w:tcPr>
            </w:tcPrChange>
          </w:tcPr>
          <w:p>
            <w:pPr>
              <w:keepNext/>
              <w:numPr>
                <w:ilvl w:val="12"/>
                <w:numId w:val="0"/>
              </w:numPr>
              <w:tabs>
                <w:tab w:val="left" w:pos="180"/>
              </w:tabs>
              <w:suppressAutoHyphens/>
              <w:jc w:val="center"/>
              <w:rPr>
                <w:noProof/>
                <w:sz w:val="20"/>
                <w:lang w:val="it-IT"/>
                <w:rPrChange w:id="5297" w:author="Author">
                  <w:rPr>
                    <w:szCs w:val="22"/>
                    <w:lang w:val="it-IT"/>
                  </w:rPr>
                </w:rPrChange>
              </w:rPr>
              <w:pPrChange w:id="5298" w:author="Author">
                <w:pPr>
                  <w:keepNext/>
                  <w:keepLines/>
                  <w:numPr>
                    <w:ilvl w:val="12"/>
                  </w:numPr>
                  <w:tabs>
                    <w:tab w:val="left" w:pos="180"/>
                  </w:tabs>
                  <w:ind w:right="-2"/>
                  <w:jc w:val="center"/>
                </w:pPr>
              </w:pPrChange>
            </w:pPr>
            <w:r>
              <w:rPr>
                <w:noProof/>
                <w:sz w:val="20"/>
                <w:lang w:val="it-IT"/>
                <w:rPrChange w:id="5299" w:author="Author">
                  <w:rPr>
                    <w:szCs w:val="22"/>
                    <w:lang w:val="it-IT"/>
                  </w:rPr>
                </w:rPrChange>
              </w:rPr>
              <w:t>2%</w:t>
            </w:r>
          </w:p>
        </w:tc>
        <w:tc>
          <w:tcPr>
            <w:tcW w:w="990" w:type="dxa"/>
            <w:tcBorders>
              <w:left w:val="nil"/>
            </w:tcBorders>
            <w:tcPrChange w:id="5300" w:author="Author">
              <w:tcPr>
                <w:tcW w:w="990" w:type="dxa"/>
                <w:tcBorders>
                  <w:left w:val="nil"/>
                </w:tcBorders>
              </w:tcPr>
            </w:tcPrChange>
          </w:tcPr>
          <w:p>
            <w:pPr>
              <w:keepNext/>
              <w:numPr>
                <w:ilvl w:val="12"/>
                <w:numId w:val="0"/>
              </w:numPr>
              <w:tabs>
                <w:tab w:val="left" w:pos="180"/>
              </w:tabs>
              <w:suppressAutoHyphens/>
              <w:jc w:val="center"/>
              <w:rPr>
                <w:noProof/>
                <w:sz w:val="20"/>
                <w:lang w:val="it-IT"/>
                <w:rPrChange w:id="5301" w:author="Author">
                  <w:rPr>
                    <w:szCs w:val="22"/>
                    <w:lang w:val="it-IT"/>
                  </w:rPr>
                </w:rPrChange>
              </w:rPr>
              <w:pPrChange w:id="5302" w:author="Author">
                <w:pPr>
                  <w:keepNext/>
                  <w:keepLines/>
                  <w:numPr>
                    <w:ilvl w:val="12"/>
                  </w:numPr>
                  <w:tabs>
                    <w:tab w:val="left" w:pos="180"/>
                  </w:tabs>
                  <w:ind w:right="-2"/>
                  <w:jc w:val="center"/>
                </w:pPr>
              </w:pPrChange>
            </w:pPr>
            <w:r>
              <w:rPr>
                <w:noProof/>
                <w:sz w:val="20"/>
                <w:lang w:val="it-IT"/>
                <w:rPrChange w:id="5303" w:author="Author">
                  <w:rPr>
                    <w:szCs w:val="22"/>
                    <w:lang w:val="it-IT"/>
                  </w:rPr>
                </w:rPrChange>
              </w:rPr>
              <w:t>21%***</w:t>
            </w:r>
          </w:p>
        </w:tc>
        <w:tc>
          <w:tcPr>
            <w:tcW w:w="990" w:type="dxa"/>
            <w:gridSpan w:val="2"/>
            <w:tcBorders>
              <w:left w:val="nil"/>
            </w:tcBorders>
            <w:tcPrChange w:id="5304" w:author="Author">
              <w:tcPr>
                <w:tcW w:w="990" w:type="dxa"/>
                <w:gridSpan w:val="3"/>
                <w:tcBorders>
                  <w:left w:val="nil"/>
                </w:tcBorders>
              </w:tcPr>
            </w:tcPrChange>
          </w:tcPr>
          <w:p>
            <w:pPr>
              <w:keepNext/>
              <w:numPr>
                <w:ilvl w:val="12"/>
                <w:numId w:val="0"/>
              </w:numPr>
              <w:tabs>
                <w:tab w:val="left" w:pos="180"/>
              </w:tabs>
              <w:suppressAutoHyphens/>
              <w:jc w:val="center"/>
              <w:rPr>
                <w:noProof/>
                <w:sz w:val="20"/>
                <w:lang w:val="it-IT"/>
                <w:rPrChange w:id="5305" w:author="Author">
                  <w:rPr>
                    <w:szCs w:val="22"/>
                    <w:lang w:val="it-IT"/>
                  </w:rPr>
                </w:rPrChange>
              </w:rPr>
              <w:pPrChange w:id="5306" w:author="Author">
                <w:pPr>
                  <w:keepNext/>
                  <w:keepLines/>
                  <w:numPr>
                    <w:ilvl w:val="12"/>
                  </w:numPr>
                  <w:tabs>
                    <w:tab w:val="left" w:pos="180"/>
                  </w:tabs>
                  <w:ind w:right="-2"/>
                  <w:jc w:val="center"/>
                </w:pPr>
              </w:pPrChange>
            </w:pPr>
            <w:r>
              <w:rPr>
                <w:noProof/>
                <w:sz w:val="20"/>
                <w:lang w:val="it-IT"/>
                <w:rPrChange w:id="5307" w:author="Author">
                  <w:rPr>
                    <w:szCs w:val="22"/>
                    <w:lang w:val="it-IT"/>
                  </w:rPr>
                </w:rPrChange>
              </w:rPr>
              <w:t>3%</w:t>
            </w:r>
          </w:p>
        </w:tc>
        <w:tc>
          <w:tcPr>
            <w:tcW w:w="900" w:type="dxa"/>
            <w:tcBorders>
              <w:left w:val="nil"/>
            </w:tcBorders>
            <w:tcPrChange w:id="5308" w:author="Author">
              <w:tcPr>
                <w:tcW w:w="900" w:type="dxa"/>
                <w:tcBorders>
                  <w:left w:val="nil"/>
                </w:tcBorders>
              </w:tcPr>
            </w:tcPrChange>
          </w:tcPr>
          <w:p>
            <w:pPr>
              <w:keepNext/>
              <w:numPr>
                <w:ilvl w:val="12"/>
                <w:numId w:val="0"/>
              </w:numPr>
              <w:tabs>
                <w:tab w:val="left" w:pos="180"/>
              </w:tabs>
              <w:suppressAutoHyphens/>
              <w:jc w:val="center"/>
              <w:rPr>
                <w:noProof/>
                <w:sz w:val="20"/>
                <w:lang w:val="it-IT"/>
                <w:rPrChange w:id="5309" w:author="Author">
                  <w:rPr>
                    <w:szCs w:val="22"/>
                    <w:lang w:val="it-IT"/>
                  </w:rPr>
                </w:rPrChange>
              </w:rPr>
              <w:pPrChange w:id="5310" w:author="Author">
                <w:pPr>
                  <w:keepNext/>
                  <w:keepLines/>
                  <w:numPr>
                    <w:ilvl w:val="12"/>
                  </w:numPr>
                  <w:tabs>
                    <w:tab w:val="left" w:pos="180"/>
                  </w:tabs>
                  <w:ind w:right="-2"/>
                  <w:jc w:val="center"/>
                </w:pPr>
              </w:pPrChange>
            </w:pPr>
            <w:r>
              <w:rPr>
                <w:noProof/>
                <w:sz w:val="20"/>
                <w:lang w:val="it-IT"/>
                <w:rPrChange w:id="5311" w:author="Author">
                  <w:rPr>
                    <w:szCs w:val="22"/>
                    <w:lang w:val="it-IT"/>
                  </w:rPr>
                </w:rPrChange>
              </w:rPr>
              <w:t>12%**</w:t>
            </w:r>
          </w:p>
        </w:tc>
        <w:tc>
          <w:tcPr>
            <w:tcW w:w="900" w:type="dxa"/>
            <w:tcBorders>
              <w:left w:val="nil"/>
            </w:tcBorders>
            <w:tcPrChange w:id="5312" w:author="Author">
              <w:tcPr>
                <w:tcW w:w="900" w:type="dxa"/>
                <w:gridSpan w:val="2"/>
                <w:tcBorders>
                  <w:left w:val="nil"/>
                </w:tcBorders>
              </w:tcPr>
            </w:tcPrChange>
          </w:tcPr>
          <w:p>
            <w:pPr>
              <w:keepNext/>
              <w:numPr>
                <w:ilvl w:val="12"/>
                <w:numId w:val="0"/>
              </w:numPr>
              <w:tabs>
                <w:tab w:val="left" w:pos="180"/>
              </w:tabs>
              <w:suppressAutoHyphens/>
              <w:jc w:val="center"/>
              <w:rPr>
                <w:noProof/>
                <w:sz w:val="20"/>
                <w:lang w:val="it-IT"/>
              </w:rPr>
              <w:pPrChange w:id="5313" w:author="Author">
                <w:pPr>
                  <w:keepNext/>
                  <w:keepLines/>
                  <w:numPr>
                    <w:ilvl w:val="12"/>
                  </w:numPr>
                  <w:tabs>
                    <w:tab w:val="left" w:pos="180"/>
                  </w:tabs>
                  <w:ind w:right="-2"/>
                  <w:jc w:val="center"/>
                </w:pPr>
              </w:pPrChange>
            </w:pPr>
            <w:r>
              <w:rPr>
                <w:noProof/>
                <w:sz w:val="20"/>
                <w:lang w:val="it-IT"/>
              </w:rPr>
              <w:t>1%</w:t>
            </w:r>
          </w:p>
        </w:tc>
      </w:tr>
      <w:tr>
        <w:tblPrEx>
          <w:tblPrExChange w:id="5314" w:author="Author">
            <w:tblPrEx>
              <w:tblInd w:w="0" w:type="dxa"/>
              <w:tblCellMar>
                <w:top w:w="28" w:type="dxa"/>
                <w:bottom w:w="28" w:type="dxa"/>
              </w:tblCellMar>
            </w:tblPrEx>
          </w:tblPrExChange>
        </w:tblPrEx>
        <w:trPr>
          <w:cantSplit/>
          <w:trPrChange w:id="5315" w:author="Author">
            <w:trPr>
              <w:gridBefore w:val="1"/>
              <w:cantSplit/>
            </w:trPr>
          </w:trPrChange>
        </w:trPr>
        <w:tc>
          <w:tcPr>
            <w:tcW w:w="687" w:type="dxa"/>
            <w:tcPrChange w:id="5316" w:author="Author">
              <w:tcPr>
                <w:tcW w:w="687" w:type="dxa"/>
                <w:gridSpan w:val="2"/>
              </w:tcPr>
            </w:tcPrChange>
          </w:tcPr>
          <w:p>
            <w:pPr>
              <w:keepNext/>
              <w:numPr>
                <w:ilvl w:val="12"/>
                <w:numId w:val="0"/>
              </w:numPr>
              <w:tabs>
                <w:tab w:val="left" w:pos="180"/>
              </w:tabs>
              <w:suppressAutoHyphens/>
              <w:jc w:val="center"/>
              <w:rPr>
                <w:noProof/>
                <w:sz w:val="20"/>
                <w:lang w:val="it-IT"/>
              </w:rPr>
              <w:pPrChange w:id="5317" w:author="Author">
                <w:pPr>
                  <w:keepNext/>
                  <w:keepLines/>
                  <w:numPr>
                    <w:ilvl w:val="12"/>
                  </w:numPr>
                  <w:tabs>
                    <w:tab w:val="left" w:pos="180"/>
                  </w:tabs>
                  <w:ind w:right="-2"/>
                  <w:jc w:val="center"/>
                </w:pPr>
              </w:pPrChange>
            </w:pPr>
            <w:r>
              <w:rPr>
                <w:noProof/>
                <w:sz w:val="20"/>
                <w:lang w:val="it-IT"/>
              </w:rPr>
              <w:t>52</w:t>
            </w:r>
          </w:p>
        </w:tc>
        <w:tc>
          <w:tcPr>
            <w:tcW w:w="974" w:type="dxa"/>
            <w:tcBorders>
              <w:right w:val="nil"/>
            </w:tcBorders>
            <w:tcPrChange w:id="5318" w:author="Author">
              <w:tcPr>
                <w:tcW w:w="974" w:type="dxa"/>
                <w:tcBorders>
                  <w:right w:val="nil"/>
                </w:tcBorders>
              </w:tcPr>
            </w:tcPrChange>
          </w:tcPr>
          <w:p>
            <w:pPr>
              <w:keepNext/>
              <w:numPr>
                <w:ilvl w:val="12"/>
                <w:numId w:val="0"/>
              </w:numPr>
              <w:tabs>
                <w:tab w:val="left" w:pos="180"/>
              </w:tabs>
              <w:suppressAutoHyphens/>
              <w:jc w:val="center"/>
              <w:rPr>
                <w:noProof/>
                <w:sz w:val="20"/>
                <w:lang w:val="it-IT"/>
              </w:rPr>
              <w:pPrChange w:id="5319" w:author="Author">
                <w:pPr>
                  <w:keepNext/>
                  <w:keepLines/>
                  <w:numPr>
                    <w:ilvl w:val="12"/>
                  </w:numPr>
                  <w:tabs>
                    <w:tab w:val="left" w:pos="180"/>
                  </w:tabs>
                  <w:ind w:right="-2"/>
                  <w:jc w:val="center"/>
                </w:pPr>
              </w:pPrChange>
            </w:pPr>
          </w:p>
        </w:tc>
        <w:tc>
          <w:tcPr>
            <w:tcW w:w="679" w:type="dxa"/>
            <w:tcBorders>
              <w:left w:val="nil"/>
            </w:tcBorders>
            <w:tcPrChange w:id="5320" w:author="Author">
              <w:tcPr>
                <w:tcW w:w="679" w:type="dxa"/>
                <w:gridSpan w:val="2"/>
                <w:tcBorders>
                  <w:left w:val="nil"/>
                </w:tcBorders>
              </w:tcPr>
            </w:tcPrChange>
          </w:tcPr>
          <w:p>
            <w:pPr>
              <w:keepNext/>
              <w:numPr>
                <w:ilvl w:val="12"/>
                <w:numId w:val="0"/>
              </w:numPr>
              <w:tabs>
                <w:tab w:val="left" w:pos="180"/>
              </w:tabs>
              <w:suppressAutoHyphens/>
              <w:jc w:val="center"/>
              <w:rPr>
                <w:noProof/>
                <w:sz w:val="20"/>
                <w:lang w:val="it-IT"/>
              </w:rPr>
              <w:pPrChange w:id="5321" w:author="Author">
                <w:pPr>
                  <w:keepNext/>
                  <w:keepLines/>
                  <w:numPr>
                    <w:ilvl w:val="12"/>
                  </w:numPr>
                  <w:tabs>
                    <w:tab w:val="left" w:pos="180"/>
                  </w:tabs>
                  <w:ind w:right="-2"/>
                  <w:jc w:val="center"/>
                </w:pPr>
              </w:pPrChange>
            </w:pPr>
          </w:p>
        </w:tc>
        <w:tc>
          <w:tcPr>
            <w:tcW w:w="973" w:type="dxa"/>
            <w:tcBorders>
              <w:right w:val="nil"/>
            </w:tcBorders>
            <w:tcPrChange w:id="5322" w:author="Author">
              <w:tcPr>
                <w:tcW w:w="973" w:type="dxa"/>
                <w:tcBorders>
                  <w:right w:val="nil"/>
                </w:tcBorders>
              </w:tcPr>
            </w:tcPrChange>
          </w:tcPr>
          <w:p>
            <w:pPr>
              <w:keepNext/>
              <w:numPr>
                <w:ilvl w:val="12"/>
                <w:numId w:val="0"/>
              </w:numPr>
              <w:tabs>
                <w:tab w:val="left" w:pos="180"/>
              </w:tabs>
              <w:suppressAutoHyphens/>
              <w:jc w:val="center"/>
              <w:rPr>
                <w:noProof/>
                <w:sz w:val="20"/>
                <w:lang w:val="it-IT"/>
              </w:rPr>
              <w:pPrChange w:id="5323" w:author="Author">
                <w:pPr>
                  <w:keepNext/>
                  <w:keepLines/>
                  <w:numPr>
                    <w:ilvl w:val="12"/>
                  </w:numPr>
                  <w:tabs>
                    <w:tab w:val="left" w:pos="180"/>
                  </w:tabs>
                  <w:ind w:right="-2"/>
                  <w:jc w:val="center"/>
                </w:pPr>
              </w:pPrChange>
            </w:pPr>
            <w:r>
              <w:rPr>
                <w:noProof/>
                <w:sz w:val="20"/>
                <w:lang w:val="it-IT"/>
              </w:rPr>
              <w:t>20%***</w:t>
            </w:r>
          </w:p>
        </w:tc>
        <w:tc>
          <w:tcPr>
            <w:tcW w:w="827" w:type="dxa"/>
            <w:tcBorders>
              <w:left w:val="nil"/>
            </w:tcBorders>
            <w:tcPrChange w:id="5324" w:author="Author">
              <w:tcPr>
                <w:tcW w:w="827" w:type="dxa"/>
                <w:gridSpan w:val="2"/>
                <w:tcBorders>
                  <w:left w:val="nil"/>
                </w:tcBorders>
              </w:tcPr>
            </w:tcPrChange>
          </w:tcPr>
          <w:p>
            <w:pPr>
              <w:keepNext/>
              <w:numPr>
                <w:ilvl w:val="12"/>
                <w:numId w:val="0"/>
              </w:numPr>
              <w:tabs>
                <w:tab w:val="left" w:pos="180"/>
              </w:tabs>
              <w:suppressAutoHyphens/>
              <w:jc w:val="center"/>
              <w:rPr>
                <w:noProof/>
                <w:sz w:val="20"/>
                <w:lang w:val="it-IT"/>
                <w:rPrChange w:id="5325" w:author="Author">
                  <w:rPr>
                    <w:szCs w:val="22"/>
                    <w:lang w:val="it-IT"/>
                  </w:rPr>
                </w:rPrChange>
              </w:rPr>
              <w:pPrChange w:id="5326" w:author="Author">
                <w:pPr>
                  <w:keepNext/>
                  <w:keepLines/>
                  <w:numPr>
                    <w:ilvl w:val="12"/>
                  </w:numPr>
                  <w:tabs>
                    <w:tab w:val="left" w:pos="180"/>
                  </w:tabs>
                  <w:ind w:right="-2"/>
                  <w:jc w:val="center"/>
                </w:pPr>
              </w:pPrChange>
            </w:pPr>
            <w:r>
              <w:rPr>
                <w:noProof/>
                <w:sz w:val="20"/>
                <w:lang w:val="it-IT"/>
                <w:rPrChange w:id="5327" w:author="Author">
                  <w:rPr>
                    <w:szCs w:val="22"/>
                    <w:lang w:val="it-IT"/>
                  </w:rPr>
                </w:rPrChange>
              </w:rPr>
              <w:t>4%</w:t>
            </w:r>
          </w:p>
        </w:tc>
        <w:tc>
          <w:tcPr>
            <w:tcW w:w="979" w:type="dxa"/>
            <w:tcBorders>
              <w:right w:val="nil"/>
            </w:tcBorders>
            <w:tcPrChange w:id="5328" w:author="Author">
              <w:tcPr>
                <w:tcW w:w="900" w:type="dxa"/>
                <w:tcBorders>
                  <w:right w:val="nil"/>
                </w:tcBorders>
              </w:tcPr>
            </w:tcPrChange>
          </w:tcPr>
          <w:p>
            <w:pPr>
              <w:keepNext/>
              <w:numPr>
                <w:ilvl w:val="12"/>
                <w:numId w:val="0"/>
              </w:numPr>
              <w:tabs>
                <w:tab w:val="left" w:pos="180"/>
              </w:tabs>
              <w:suppressAutoHyphens/>
              <w:jc w:val="center"/>
              <w:rPr>
                <w:noProof/>
                <w:sz w:val="20"/>
                <w:lang w:val="it-IT"/>
                <w:rPrChange w:id="5329" w:author="Author">
                  <w:rPr>
                    <w:szCs w:val="22"/>
                    <w:lang w:val="it-IT"/>
                  </w:rPr>
                </w:rPrChange>
              </w:rPr>
              <w:pPrChange w:id="5330" w:author="Author">
                <w:pPr>
                  <w:keepNext/>
                  <w:keepLines/>
                  <w:numPr>
                    <w:ilvl w:val="12"/>
                  </w:numPr>
                  <w:tabs>
                    <w:tab w:val="left" w:pos="180"/>
                  </w:tabs>
                  <w:ind w:right="-2"/>
                  <w:jc w:val="center"/>
                </w:pPr>
              </w:pPrChange>
            </w:pPr>
          </w:p>
        </w:tc>
        <w:tc>
          <w:tcPr>
            <w:tcW w:w="821" w:type="dxa"/>
            <w:tcBorders>
              <w:left w:val="nil"/>
            </w:tcBorders>
            <w:tcPrChange w:id="5331" w:author="Author">
              <w:tcPr>
                <w:tcW w:w="900" w:type="dxa"/>
                <w:gridSpan w:val="2"/>
                <w:tcBorders>
                  <w:left w:val="nil"/>
                </w:tcBorders>
              </w:tcPr>
            </w:tcPrChange>
          </w:tcPr>
          <w:p>
            <w:pPr>
              <w:keepNext/>
              <w:numPr>
                <w:ilvl w:val="12"/>
                <w:numId w:val="0"/>
              </w:numPr>
              <w:tabs>
                <w:tab w:val="left" w:pos="180"/>
              </w:tabs>
              <w:suppressAutoHyphens/>
              <w:jc w:val="center"/>
              <w:rPr>
                <w:noProof/>
                <w:sz w:val="20"/>
                <w:lang w:val="it-IT"/>
                <w:rPrChange w:id="5332" w:author="Author">
                  <w:rPr>
                    <w:szCs w:val="22"/>
                    <w:lang w:val="it-IT"/>
                  </w:rPr>
                </w:rPrChange>
              </w:rPr>
              <w:pPrChange w:id="5333" w:author="Author">
                <w:pPr>
                  <w:keepNext/>
                  <w:keepLines/>
                  <w:numPr>
                    <w:ilvl w:val="12"/>
                  </w:numPr>
                  <w:tabs>
                    <w:tab w:val="left" w:pos="180"/>
                  </w:tabs>
                  <w:ind w:right="-2"/>
                  <w:jc w:val="center"/>
                </w:pPr>
              </w:pPrChange>
            </w:pPr>
          </w:p>
        </w:tc>
        <w:tc>
          <w:tcPr>
            <w:tcW w:w="990" w:type="dxa"/>
            <w:tcBorders>
              <w:left w:val="nil"/>
            </w:tcBorders>
            <w:tcPrChange w:id="5334" w:author="Author">
              <w:tcPr>
                <w:tcW w:w="990" w:type="dxa"/>
                <w:tcBorders>
                  <w:left w:val="nil"/>
                </w:tcBorders>
              </w:tcPr>
            </w:tcPrChange>
          </w:tcPr>
          <w:p>
            <w:pPr>
              <w:keepNext/>
              <w:numPr>
                <w:ilvl w:val="12"/>
                <w:numId w:val="0"/>
              </w:numPr>
              <w:tabs>
                <w:tab w:val="left" w:pos="180"/>
              </w:tabs>
              <w:suppressAutoHyphens/>
              <w:jc w:val="center"/>
              <w:rPr>
                <w:noProof/>
                <w:sz w:val="20"/>
                <w:lang w:val="it-IT"/>
                <w:rPrChange w:id="5335" w:author="Author">
                  <w:rPr>
                    <w:szCs w:val="22"/>
                    <w:lang w:val="it-IT"/>
                  </w:rPr>
                </w:rPrChange>
              </w:rPr>
              <w:pPrChange w:id="5336" w:author="Author">
                <w:pPr>
                  <w:keepNext/>
                  <w:keepLines/>
                  <w:numPr>
                    <w:ilvl w:val="12"/>
                  </w:numPr>
                  <w:tabs>
                    <w:tab w:val="left" w:pos="180"/>
                  </w:tabs>
                  <w:ind w:right="-2"/>
                  <w:jc w:val="center"/>
                </w:pPr>
              </w:pPrChange>
            </w:pPr>
          </w:p>
        </w:tc>
        <w:tc>
          <w:tcPr>
            <w:tcW w:w="990" w:type="dxa"/>
            <w:gridSpan w:val="2"/>
            <w:tcBorders>
              <w:left w:val="nil"/>
            </w:tcBorders>
            <w:tcPrChange w:id="5337" w:author="Author">
              <w:tcPr>
                <w:tcW w:w="990" w:type="dxa"/>
                <w:gridSpan w:val="3"/>
                <w:tcBorders>
                  <w:left w:val="nil"/>
                </w:tcBorders>
              </w:tcPr>
            </w:tcPrChange>
          </w:tcPr>
          <w:p>
            <w:pPr>
              <w:keepNext/>
              <w:numPr>
                <w:ilvl w:val="12"/>
                <w:numId w:val="0"/>
              </w:numPr>
              <w:tabs>
                <w:tab w:val="left" w:pos="180"/>
              </w:tabs>
              <w:suppressAutoHyphens/>
              <w:jc w:val="center"/>
              <w:rPr>
                <w:noProof/>
                <w:sz w:val="20"/>
                <w:lang w:val="it-IT"/>
                <w:rPrChange w:id="5338" w:author="Author">
                  <w:rPr>
                    <w:szCs w:val="22"/>
                    <w:lang w:val="it-IT"/>
                  </w:rPr>
                </w:rPrChange>
              </w:rPr>
              <w:pPrChange w:id="5339" w:author="Author">
                <w:pPr>
                  <w:keepNext/>
                  <w:keepLines/>
                  <w:numPr>
                    <w:ilvl w:val="12"/>
                  </w:numPr>
                  <w:tabs>
                    <w:tab w:val="left" w:pos="180"/>
                  </w:tabs>
                  <w:ind w:right="-2"/>
                  <w:jc w:val="center"/>
                </w:pPr>
              </w:pPrChange>
            </w:pPr>
          </w:p>
        </w:tc>
        <w:tc>
          <w:tcPr>
            <w:tcW w:w="900" w:type="dxa"/>
            <w:tcBorders>
              <w:left w:val="nil"/>
            </w:tcBorders>
            <w:tcPrChange w:id="5340" w:author="Author">
              <w:tcPr>
                <w:tcW w:w="900" w:type="dxa"/>
                <w:tcBorders>
                  <w:left w:val="nil"/>
                </w:tcBorders>
              </w:tcPr>
            </w:tcPrChange>
          </w:tcPr>
          <w:p>
            <w:pPr>
              <w:keepNext/>
              <w:numPr>
                <w:ilvl w:val="12"/>
                <w:numId w:val="0"/>
              </w:numPr>
              <w:tabs>
                <w:tab w:val="left" w:pos="180"/>
              </w:tabs>
              <w:suppressAutoHyphens/>
              <w:jc w:val="center"/>
              <w:rPr>
                <w:noProof/>
                <w:sz w:val="20"/>
                <w:lang w:val="it-IT"/>
                <w:rPrChange w:id="5341" w:author="Author">
                  <w:rPr>
                    <w:szCs w:val="22"/>
                    <w:lang w:val="it-IT"/>
                  </w:rPr>
                </w:rPrChange>
              </w:rPr>
              <w:pPrChange w:id="5342" w:author="Author">
                <w:pPr>
                  <w:keepNext/>
                  <w:keepLines/>
                  <w:numPr>
                    <w:ilvl w:val="12"/>
                  </w:numPr>
                  <w:tabs>
                    <w:tab w:val="left" w:pos="180"/>
                  </w:tabs>
                  <w:ind w:right="-2"/>
                  <w:jc w:val="center"/>
                </w:pPr>
              </w:pPrChange>
            </w:pPr>
          </w:p>
        </w:tc>
        <w:tc>
          <w:tcPr>
            <w:tcW w:w="900" w:type="dxa"/>
            <w:tcBorders>
              <w:left w:val="nil"/>
            </w:tcBorders>
            <w:tcPrChange w:id="5343" w:author="Author">
              <w:tcPr>
                <w:tcW w:w="900" w:type="dxa"/>
                <w:gridSpan w:val="2"/>
                <w:tcBorders>
                  <w:left w:val="nil"/>
                </w:tcBorders>
              </w:tcPr>
            </w:tcPrChange>
          </w:tcPr>
          <w:p>
            <w:pPr>
              <w:keepNext/>
              <w:numPr>
                <w:ilvl w:val="12"/>
                <w:numId w:val="0"/>
              </w:numPr>
              <w:tabs>
                <w:tab w:val="left" w:pos="180"/>
              </w:tabs>
              <w:suppressAutoHyphens/>
              <w:jc w:val="center"/>
              <w:rPr>
                <w:noProof/>
                <w:sz w:val="20"/>
                <w:lang w:val="it-IT"/>
              </w:rPr>
              <w:pPrChange w:id="5344" w:author="Author">
                <w:pPr>
                  <w:keepNext/>
                  <w:keepLines/>
                  <w:numPr>
                    <w:ilvl w:val="12"/>
                  </w:numPr>
                  <w:tabs>
                    <w:tab w:val="left" w:pos="180"/>
                  </w:tabs>
                  <w:ind w:right="-2"/>
                  <w:jc w:val="center"/>
                </w:pPr>
              </w:pPrChange>
            </w:pPr>
          </w:p>
        </w:tc>
      </w:tr>
    </w:tbl>
    <w:p>
      <w:pPr>
        <w:keepNext/>
        <w:keepLines/>
        <w:numPr>
          <w:ilvl w:val="12"/>
          <w:numId w:val="0"/>
        </w:numPr>
        <w:tabs>
          <w:tab w:val="left" w:pos="180"/>
        </w:tabs>
        <w:ind w:right="-2"/>
        <w:rPr>
          <w:i/>
          <w:iCs/>
          <w:noProof/>
          <w:sz w:val="18"/>
          <w:szCs w:val="18"/>
          <w:lang w:val="it-IT"/>
        </w:rPr>
      </w:pPr>
      <w:r>
        <w:rPr>
          <w:i/>
          <w:iCs/>
          <w:noProof/>
          <w:sz w:val="18"/>
          <w:szCs w:val="18"/>
          <w:lang w:val="it-IT"/>
        </w:rPr>
        <w:t xml:space="preserve">TCZ </w:t>
      </w:r>
      <w:r>
        <w:rPr>
          <w:noProof/>
          <w:sz w:val="18"/>
          <w:szCs w:val="18"/>
          <w:lang w:val="it-IT"/>
        </w:rPr>
        <w:tab/>
      </w:r>
      <w:r>
        <w:rPr>
          <w:noProof/>
          <w:sz w:val="18"/>
          <w:szCs w:val="18"/>
          <w:lang w:val="it-IT"/>
        </w:rPr>
        <w:tab/>
      </w:r>
      <w:r>
        <w:rPr>
          <w:i/>
          <w:iCs/>
          <w:noProof/>
          <w:sz w:val="18"/>
          <w:szCs w:val="18"/>
          <w:lang w:val="it-IT"/>
        </w:rPr>
        <w:t xml:space="preserve">- </w:t>
      </w:r>
      <w:del w:id="5345" w:author="Author">
        <w:r>
          <w:rPr>
            <w:i/>
            <w:iCs/>
            <w:noProof/>
            <w:sz w:val="18"/>
            <w:szCs w:val="18"/>
            <w:lang w:val="it-IT"/>
          </w:rPr>
          <w:delText>T</w:delText>
        </w:r>
      </w:del>
      <w:ins w:id="5346" w:author="Author">
        <w:r>
          <w:rPr>
            <w:i/>
            <w:iCs/>
            <w:noProof/>
            <w:sz w:val="18"/>
            <w:szCs w:val="18"/>
            <w:lang w:val="it-IT"/>
          </w:rPr>
          <w:t>t</w:t>
        </w:r>
      </w:ins>
      <w:r>
        <w:rPr>
          <w:i/>
          <w:iCs/>
          <w:noProof/>
          <w:sz w:val="18"/>
          <w:szCs w:val="18"/>
          <w:lang w:val="it-IT"/>
        </w:rPr>
        <w:t>ocilizumab</w:t>
      </w:r>
    </w:p>
    <w:p>
      <w:pPr>
        <w:keepNext/>
        <w:keepLines/>
        <w:numPr>
          <w:ilvl w:val="12"/>
          <w:numId w:val="0"/>
        </w:numPr>
        <w:tabs>
          <w:tab w:val="left" w:pos="180"/>
        </w:tabs>
        <w:ind w:right="-2"/>
        <w:rPr>
          <w:i/>
          <w:iCs/>
          <w:noProof/>
          <w:sz w:val="18"/>
          <w:szCs w:val="18"/>
          <w:lang w:val="it-IT"/>
        </w:rPr>
      </w:pPr>
      <w:r>
        <w:rPr>
          <w:i/>
          <w:iCs/>
          <w:noProof/>
          <w:sz w:val="18"/>
          <w:szCs w:val="18"/>
          <w:lang w:val="it-IT"/>
        </w:rPr>
        <w:t>MTX</w:t>
      </w:r>
      <w:r>
        <w:rPr>
          <w:noProof/>
          <w:sz w:val="18"/>
          <w:szCs w:val="18"/>
          <w:lang w:val="it-IT"/>
        </w:rPr>
        <w:tab/>
      </w:r>
      <w:r>
        <w:rPr>
          <w:noProof/>
          <w:sz w:val="18"/>
          <w:szCs w:val="18"/>
          <w:lang w:val="it-IT"/>
        </w:rPr>
        <w:tab/>
      </w:r>
      <w:r>
        <w:rPr>
          <w:i/>
          <w:iCs/>
          <w:noProof/>
          <w:sz w:val="18"/>
          <w:szCs w:val="18"/>
          <w:lang w:val="it-IT"/>
        </w:rPr>
        <w:t xml:space="preserve">- </w:t>
      </w:r>
      <w:ins w:id="5347" w:author="Author">
        <w:r>
          <w:rPr>
            <w:i/>
            <w:iCs/>
            <w:noProof/>
            <w:sz w:val="18"/>
            <w:szCs w:val="18"/>
            <w:lang w:val="it-IT"/>
          </w:rPr>
          <w:t>m</w:t>
        </w:r>
      </w:ins>
      <w:del w:id="5348" w:author="Author">
        <w:r>
          <w:rPr>
            <w:i/>
            <w:iCs/>
            <w:noProof/>
            <w:sz w:val="18"/>
            <w:szCs w:val="18"/>
            <w:lang w:val="it-IT"/>
          </w:rPr>
          <w:delText>M</w:delText>
        </w:r>
      </w:del>
      <w:r>
        <w:rPr>
          <w:i/>
          <w:iCs/>
          <w:noProof/>
          <w:sz w:val="18"/>
          <w:szCs w:val="18"/>
          <w:lang w:val="it-IT"/>
        </w:rPr>
        <w:t>etotre</w:t>
      </w:r>
      <w:ins w:id="5349" w:author="Author">
        <w:r>
          <w:rPr>
            <w:i/>
            <w:iCs/>
            <w:noProof/>
            <w:sz w:val="18"/>
            <w:szCs w:val="18"/>
            <w:lang w:val="it-IT"/>
          </w:rPr>
          <w:t>x</w:t>
        </w:r>
      </w:ins>
      <w:del w:id="5350" w:author="Author">
        <w:r>
          <w:rPr>
            <w:i/>
            <w:iCs/>
            <w:noProof/>
            <w:sz w:val="18"/>
            <w:szCs w:val="18"/>
            <w:lang w:val="it-IT"/>
          </w:rPr>
          <w:delText>ss</w:delText>
        </w:r>
      </w:del>
      <w:r>
        <w:rPr>
          <w:i/>
          <w:iCs/>
          <w:noProof/>
          <w:sz w:val="18"/>
          <w:szCs w:val="18"/>
          <w:lang w:val="it-IT"/>
        </w:rPr>
        <w:t>ato</w:t>
      </w:r>
    </w:p>
    <w:p>
      <w:pPr>
        <w:keepNext/>
        <w:keepLines/>
        <w:tabs>
          <w:tab w:val="left" w:pos="180"/>
        </w:tabs>
        <w:rPr>
          <w:i/>
          <w:noProof/>
          <w:sz w:val="18"/>
          <w:szCs w:val="18"/>
          <w:lang w:val="it-IT"/>
        </w:rPr>
      </w:pPr>
      <w:r>
        <w:rPr>
          <w:i/>
          <w:noProof/>
          <w:sz w:val="18"/>
          <w:szCs w:val="18"/>
          <w:lang w:val="it-IT"/>
        </w:rPr>
        <w:t>PBO</w:t>
      </w:r>
      <w:r>
        <w:rPr>
          <w:noProof/>
          <w:sz w:val="18"/>
          <w:szCs w:val="18"/>
          <w:lang w:val="it-IT"/>
        </w:rPr>
        <w:tab/>
      </w:r>
      <w:r>
        <w:rPr>
          <w:noProof/>
          <w:sz w:val="18"/>
          <w:szCs w:val="18"/>
          <w:lang w:val="it-IT"/>
        </w:rPr>
        <w:tab/>
      </w:r>
      <w:r>
        <w:rPr>
          <w:i/>
          <w:noProof/>
          <w:sz w:val="18"/>
          <w:szCs w:val="18"/>
          <w:lang w:val="it-IT"/>
        </w:rPr>
        <w:t>- Placebo</w:t>
      </w:r>
    </w:p>
    <w:p>
      <w:pPr>
        <w:keepNext/>
        <w:keepLines/>
        <w:numPr>
          <w:ilvl w:val="12"/>
          <w:numId w:val="0"/>
        </w:numPr>
        <w:tabs>
          <w:tab w:val="left" w:pos="180"/>
        </w:tabs>
        <w:ind w:right="-2"/>
        <w:rPr>
          <w:i/>
          <w:iCs/>
          <w:noProof/>
          <w:sz w:val="18"/>
          <w:szCs w:val="18"/>
          <w:lang w:val="it-IT"/>
        </w:rPr>
      </w:pPr>
      <w:r>
        <w:rPr>
          <w:i/>
          <w:iCs/>
          <w:noProof/>
          <w:sz w:val="18"/>
          <w:szCs w:val="18"/>
          <w:lang w:val="it-IT"/>
        </w:rPr>
        <w:t xml:space="preserve">DMARD </w:t>
      </w:r>
      <w:r>
        <w:rPr>
          <w:noProof/>
          <w:sz w:val="18"/>
          <w:szCs w:val="18"/>
          <w:lang w:val="it-IT"/>
        </w:rPr>
        <w:tab/>
      </w:r>
      <w:r>
        <w:rPr>
          <w:i/>
          <w:iCs/>
          <w:noProof/>
          <w:sz w:val="18"/>
          <w:szCs w:val="18"/>
          <w:lang w:val="it-IT"/>
        </w:rPr>
        <w:t>- Farmaco antireumatico modificante la malattia</w:t>
      </w:r>
    </w:p>
    <w:p>
      <w:pPr>
        <w:keepNext/>
        <w:keepLines/>
        <w:tabs>
          <w:tab w:val="left" w:pos="180"/>
        </w:tabs>
        <w:rPr>
          <w:rFonts w:eastAsia="MS Mincho"/>
          <w:i/>
          <w:noProof/>
          <w:sz w:val="18"/>
          <w:szCs w:val="18"/>
          <w:lang w:val="it-IT"/>
        </w:rPr>
      </w:pPr>
      <w:r>
        <w:rPr>
          <w:i/>
          <w:iCs/>
          <w:noProof/>
          <w:sz w:val="18"/>
          <w:szCs w:val="18"/>
          <w:lang w:val="it-IT"/>
        </w:rPr>
        <w:t xml:space="preserve">** </w:t>
      </w:r>
      <w:r>
        <w:rPr>
          <w:noProof/>
          <w:sz w:val="18"/>
          <w:szCs w:val="18"/>
          <w:lang w:val="it-IT"/>
        </w:rPr>
        <w:tab/>
      </w:r>
      <w:r>
        <w:rPr>
          <w:noProof/>
          <w:sz w:val="18"/>
          <w:szCs w:val="18"/>
          <w:lang w:val="it-IT"/>
        </w:rPr>
        <w:tab/>
      </w:r>
      <w:r>
        <w:rPr>
          <w:i/>
          <w:iCs/>
          <w:noProof/>
          <w:sz w:val="18"/>
          <w:szCs w:val="18"/>
          <w:lang w:val="it-IT"/>
        </w:rPr>
        <w:t xml:space="preserve">- p &lt;0,01, </w:t>
      </w:r>
      <w:r>
        <w:rPr>
          <w:i/>
          <w:noProof/>
          <w:sz w:val="18"/>
          <w:szCs w:val="18"/>
          <w:lang w:val="it-IT"/>
        </w:rPr>
        <w:t>TCZ</w:t>
      </w:r>
      <w:r>
        <w:rPr>
          <w:i/>
          <w:iCs/>
          <w:noProof/>
          <w:sz w:val="18"/>
          <w:szCs w:val="18"/>
          <w:lang w:val="it-IT"/>
        </w:rPr>
        <w:t xml:space="preserve"> vs. </w:t>
      </w:r>
      <w:r>
        <w:rPr>
          <w:i/>
          <w:noProof/>
          <w:sz w:val="18"/>
          <w:szCs w:val="18"/>
          <w:lang w:val="it-IT"/>
        </w:rPr>
        <w:t xml:space="preserve">PBO </w:t>
      </w:r>
      <w:r>
        <w:rPr>
          <w:i/>
          <w:iCs/>
          <w:noProof/>
          <w:sz w:val="18"/>
          <w:szCs w:val="18"/>
          <w:lang w:val="it-IT"/>
        </w:rPr>
        <w:t>+ MTX/DMARD</w:t>
      </w:r>
    </w:p>
    <w:p>
      <w:pPr>
        <w:keepNext/>
        <w:keepLines/>
        <w:tabs>
          <w:tab w:val="left" w:pos="180"/>
        </w:tabs>
        <w:rPr>
          <w:rFonts w:eastAsia="MS Mincho"/>
          <w:i/>
          <w:iCs/>
          <w:noProof/>
          <w:sz w:val="18"/>
          <w:szCs w:val="18"/>
          <w:lang w:val="it-IT"/>
        </w:rPr>
      </w:pPr>
      <w:r>
        <w:rPr>
          <w:i/>
          <w:iCs/>
          <w:noProof/>
          <w:sz w:val="18"/>
          <w:szCs w:val="18"/>
          <w:lang w:val="it-IT"/>
        </w:rPr>
        <w:t>***</w:t>
      </w:r>
      <w:r>
        <w:rPr>
          <w:noProof/>
          <w:sz w:val="18"/>
          <w:szCs w:val="18"/>
          <w:lang w:val="it-IT"/>
        </w:rPr>
        <w:tab/>
      </w:r>
      <w:r>
        <w:rPr>
          <w:noProof/>
          <w:sz w:val="18"/>
          <w:szCs w:val="18"/>
          <w:lang w:val="it-IT"/>
        </w:rPr>
        <w:tab/>
      </w:r>
      <w:r>
        <w:rPr>
          <w:i/>
          <w:iCs/>
          <w:noProof/>
          <w:sz w:val="18"/>
          <w:szCs w:val="18"/>
          <w:lang w:val="it-IT"/>
        </w:rPr>
        <w:t xml:space="preserve">- p &lt;0,0001, </w:t>
      </w:r>
      <w:r>
        <w:rPr>
          <w:i/>
          <w:noProof/>
          <w:sz w:val="18"/>
          <w:szCs w:val="18"/>
          <w:lang w:val="it-IT"/>
        </w:rPr>
        <w:t>TCZ</w:t>
      </w:r>
      <w:r>
        <w:rPr>
          <w:i/>
          <w:iCs/>
          <w:noProof/>
          <w:sz w:val="18"/>
          <w:szCs w:val="18"/>
          <w:lang w:val="it-IT"/>
        </w:rPr>
        <w:t xml:space="preserve"> vs. </w:t>
      </w:r>
      <w:r>
        <w:rPr>
          <w:i/>
          <w:noProof/>
          <w:sz w:val="18"/>
          <w:szCs w:val="18"/>
          <w:lang w:val="it-IT"/>
        </w:rPr>
        <w:t xml:space="preserve">PBO </w:t>
      </w:r>
      <w:r>
        <w:rPr>
          <w:i/>
          <w:iCs/>
          <w:noProof/>
          <w:sz w:val="18"/>
          <w:szCs w:val="18"/>
          <w:lang w:val="it-IT"/>
        </w:rPr>
        <w:t>+ MTX/DMARD</w:t>
      </w:r>
    </w:p>
    <w:p>
      <w:pPr>
        <w:tabs>
          <w:tab w:val="left" w:pos="180"/>
        </w:tabs>
        <w:rPr>
          <w:iCs/>
          <w:noProof/>
          <w:szCs w:val="22"/>
          <w:lang w:val="it-IT"/>
        </w:rPr>
      </w:pPr>
    </w:p>
    <w:p>
      <w:pPr>
        <w:tabs>
          <w:tab w:val="left" w:pos="180"/>
        </w:tabs>
        <w:rPr>
          <w:i/>
          <w:noProof/>
          <w:u w:val="single"/>
          <w:lang w:val="it-IT"/>
        </w:rPr>
      </w:pPr>
      <w:r>
        <w:rPr>
          <w:i/>
          <w:noProof/>
          <w:u w:val="single"/>
          <w:lang w:val="it-IT"/>
        </w:rPr>
        <w:t>Risposta clinica maggiore</w:t>
      </w:r>
    </w:p>
    <w:p>
      <w:pPr>
        <w:tabs>
          <w:tab w:val="left" w:pos="180"/>
        </w:tabs>
        <w:rPr>
          <w:iCs/>
          <w:noProof/>
          <w:szCs w:val="22"/>
          <w:lang w:val="it-IT"/>
        </w:rPr>
      </w:pPr>
      <w:r>
        <w:rPr>
          <w:noProof/>
          <w:lang w:val="it-IT"/>
        </w:rPr>
        <w:t>Dopo due anni di trattamento con tocilizumab più MTX, il 14% dei pazienti ha raggiunto una risposta clinica maggiore (mantenimento della risposta ACR 70 per 24 settimane o più).</w:t>
      </w:r>
    </w:p>
    <w:p>
      <w:pPr>
        <w:tabs>
          <w:tab w:val="left" w:pos="180"/>
        </w:tabs>
        <w:rPr>
          <w:iCs/>
          <w:noProof/>
          <w:szCs w:val="22"/>
          <w:lang w:val="it-IT"/>
        </w:rPr>
      </w:pPr>
    </w:p>
    <w:p>
      <w:pPr>
        <w:tabs>
          <w:tab w:val="left" w:pos="180"/>
        </w:tabs>
        <w:rPr>
          <w:i/>
          <w:noProof/>
          <w:u w:val="single"/>
          <w:lang w:val="it-IT"/>
        </w:rPr>
      </w:pPr>
      <w:r>
        <w:rPr>
          <w:i/>
          <w:noProof/>
          <w:u w:val="single"/>
          <w:lang w:val="it-IT"/>
        </w:rPr>
        <w:t>Risposta radiografica</w:t>
      </w:r>
    </w:p>
    <w:p>
      <w:pPr>
        <w:tabs>
          <w:tab w:val="left" w:pos="180"/>
        </w:tabs>
        <w:rPr>
          <w:noProof/>
          <w:lang w:val="it-IT"/>
        </w:rPr>
      </w:pPr>
      <w:r>
        <w:rPr>
          <w:noProof/>
          <w:lang w:val="it-IT"/>
        </w:rPr>
        <w:t xml:space="preserve">Nello </w:t>
      </w:r>
      <w:del w:id="5351" w:author="Author">
        <w:r>
          <w:rPr>
            <w:noProof/>
            <w:lang w:val="it-IT"/>
          </w:rPr>
          <w:delText xml:space="preserve">studio </w:delText>
        </w:r>
      </w:del>
      <w:ins w:id="5352" w:author="Author">
        <w:r>
          <w:rPr>
            <w:noProof/>
            <w:lang w:val="it-IT"/>
          </w:rPr>
          <w:t xml:space="preserve">Studio </w:t>
        </w:r>
      </w:ins>
      <w:r>
        <w:rPr>
          <w:noProof/>
          <w:lang w:val="it-IT"/>
        </w:rPr>
        <w:t>II condotto su pazienti con risposta inadeguata a MTX, l’inibizione del danno articolare strutturale è stata valutata radiograficamente ed espressa come variazione del punteggio di Sharp modificato e delle sue componenti, del punteggio dell’erosione e del punteggio relativo al restringimento dello spazio articolare. Nei pazienti trattati con tocilizumab si è ottenuta l’inibizione del danno articolare strutturale dimostrata da una progressione radiografica significativamente inferiore rispetto ai pazienti del gruppo di controllo (tabella 6).</w:t>
      </w:r>
    </w:p>
    <w:p>
      <w:pPr>
        <w:tabs>
          <w:tab w:val="left" w:pos="180"/>
        </w:tabs>
        <w:rPr>
          <w:noProof/>
          <w:lang w:val="it-IT"/>
        </w:rPr>
      </w:pPr>
    </w:p>
    <w:p>
      <w:pPr>
        <w:keepNext/>
        <w:keepLines/>
        <w:tabs>
          <w:tab w:val="left" w:pos="180"/>
        </w:tabs>
        <w:rPr>
          <w:noProof/>
          <w:lang w:val="it-IT"/>
        </w:rPr>
      </w:pPr>
      <w:r>
        <w:rPr>
          <w:noProof/>
          <w:lang w:val="it-IT"/>
        </w:rPr>
        <w:t xml:space="preserve">Nella fase di estensione in aperto dello </w:t>
      </w:r>
      <w:del w:id="5353" w:author="Author">
        <w:r>
          <w:rPr>
            <w:noProof/>
            <w:lang w:val="it-IT"/>
          </w:rPr>
          <w:delText xml:space="preserve">studio </w:delText>
        </w:r>
      </w:del>
      <w:ins w:id="5354" w:author="Author">
        <w:r>
          <w:rPr>
            <w:noProof/>
            <w:lang w:val="it-IT"/>
          </w:rPr>
          <w:t xml:space="preserve">Studio </w:t>
        </w:r>
      </w:ins>
      <w:r>
        <w:rPr>
          <w:noProof/>
          <w:lang w:val="it-IT"/>
        </w:rPr>
        <w:t xml:space="preserve">II, l’inibizione della progressione del danno articolare nei pazienti trattati con tocilizumab più MTX si è mantenuta nel secondo anno di trattamento. Alla settimana 104, la </w:t>
      </w:r>
      <w:del w:id="5355" w:author="Author">
        <w:r>
          <w:rPr>
            <w:noProof/>
            <w:lang w:val="it-IT"/>
          </w:rPr>
          <w:delText>media di</w:delText>
        </w:r>
      </w:del>
      <w:r>
        <w:rPr>
          <w:noProof/>
          <w:lang w:val="it-IT"/>
        </w:rPr>
        <w:t xml:space="preserve"> variazione </w:t>
      </w:r>
      <w:ins w:id="5356" w:author="Author">
        <w:r>
          <w:rPr>
            <w:noProof/>
            <w:lang w:val="it-IT"/>
          </w:rPr>
          <w:t xml:space="preserve">media rispetto </w:t>
        </w:r>
      </w:ins>
      <w:del w:id="5357" w:author="Author">
        <w:r>
          <w:rPr>
            <w:noProof/>
            <w:lang w:val="it-IT"/>
          </w:rPr>
          <w:delText>d</w:delText>
        </w:r>
      </w:del>
      <w:r>
        <w:rPr>
          <w:noProof/>
          <w:lang w:val="it-IT"/>
        </w:rPr>
        <w:t>al basale del punteggio totale Sharp-Genant è stata significativamente più bassa per i pazienti randomizzati a tocilizumab 8 mg/kg più MTX (p &lt;0,0001) rispetto ai pazienti randomizzati a placebo più MTX.</w:t>
      </w:r>
    </w:p>
    <w:p>
      <w:pPr>
        <w:tabs>
          <w:tab w:val="left" w:pos="180"/>
        </w:tabs>
        <w:rPr>
          <w:noProof/>
          <w:lang w:val="it-IT"/>
        </w:rPr>
      </w:pPr>
    </w:p>
    <w:p>
      <w:pPr>
        <w:keepNext/>
        <w:keepLines/>
        <w:tabs>
          <w:tab w:val="left" w:pos="180"/>
        </w:tabs>
        <w:rPr>
          <w:bCs/>
          <w:i/>
          <w:noProof/>
          <w:lang w:val="it-IT"/>
        </w:rPr>
      </w:pPr>
      <w:r>
        <w:rPr>
          <w:bCs/>
          <w:i/>
          <w:noProof/>
          <w:lang w:val="it-IT"/>
        </w:rPr>
        <w:lastRenderedPageBreak/>
        <w:t xml:space="preserve">Tabella 6. Variazioni radiografiche medie nell’arco di 52 settimane nello </w:t>
      </w:r>
      <w:del w:id="5358" w:author="Author">
        <w:r>
          <w:rPr>
            <w:bCs/>
            <w:i/>
            <w:noProof/>
            <w:lang w:val="it-IT"/>
          </w:rPr>
          <w:delText xml:space="preserve">studio </w:delText>
        </w:r>
      </w:del>
      <w:ins w:id="5359" w:author="Author">
        <w:r>
          <w:rPr>
            <w:bCs/>
            <w:i/>
            <w:noProof/>
            <w:lang w:val="it-IT"/>
          </w:rPr>
          <w:t xml:space="preserve">Studio </w:t>
        </w:r>
      </w:ins>
      <w:r>
        <w:rPr>
          <w:bCs/>
          <w:i/>
          <w:noProof/>
          <w:lang w:val="it-IT"/>
        </w:rPr>
        <w:t>II</w:t>
      </w:r>
    </w:p>
    <w:p>
      <w:pPr>
        <w:keepNext/>
        <w:keepLines/>
        <w:tabs>
          <w:tab w:val="left" w:pos="180"/>
        </w:tabs>
        <w:rPr>
          <w:i/>
          <w:noProo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5360"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397"/>
        <w:gridCol w:w="2694"/>
        <w:gridCol w:w="2835"/>
        <w:tblGridChange w:id="5361">
          <w:tblGrid>
            <w:gridCol w:w="2660"/>
            <w:gridCol w:w="2488"/>
            <w:gridCol w:w="2610"/>
          </w:tblGrid>
        </w:tblGridChange>
      </w:tblGrid>
      <w:tr>
        <w:trPr>
          <w:cantSplit/>
          <w:tblHeader/>
        </w:trPr>
        <w:tc>
          <w:tcPr>
            <w:tcW w:w="3397" w:type="dxa"/>
            <w:tcPrChange w:id="5362" w:author="Author">
              <w:tcPr>
                <w:tcW w:w="2660" w:type="dxa"/>
              </w:tcPr>
            </w:tcPrChange>
          </w:tcPr>
          <w:p>
            <w:pPr>
              <w:keepNext/>
              <w:tabs>
                <w:tab w:val="left" w:pos="180"/>
              </w:tabs>
              <w:suppressAutoHyphens/>
              <w:rPr>
                <w:noProof/>
                <w:sz w:val="20"/>
                <w:lang w:val="it-IT"/>
                <w:rPrChange w:id="5363" w:author="Author">
                  <w:rPr>
                    <w:lang w:val="it-IT"/>
                  </w:rPr>
                </w:rPrChange>
              </w:rPr>
              <w:pPrChange w:id="5364" w:author="Author">
                <w:pPr>
                  <w:keepNext/>
                  <w:keepLines/>
                  <w:tabs>
                    <w:tab w:val="left" w:pos="180"/>
                  </w:tabs>
                </w:pPr>
              </w:pPrChange>
            </w:pPr>
          </w:p>
        </w:tc>
        <w:tc>
          <w:tcPr>
            <w:tcW w:w="2694" w:type="dxa"/>
            <w:tcPrChange w:id="5365" w:author="Author">
              <w:tcPr>
                <w:tcW w:w="2488" w:type="dxa"/>
              </w:tcPr>
            </w:tcPrChange>
          </w:tcPr>
          <w:p>
            <w:pPr>
              <w:keepNext/>
              <w:numPr>
                <w:ilvl w:val="12"/>
                <w:numId w:val="0"/>
              </w:numPr>
              <w:tabs>
                <w:tab w:val="left" w:pos="180"/>
              </w:tabs>
              <w:suppressAutoHyphens/>
              <w:jc w:val="center"/>
              <w:rPr>
                <w:b/>
                <w:bCs/>
                <w:noProof/>
                <w:sz w:val="20"/>
                <w:lang w:val="it-IT"/>
                <w:rPrChange w:id="5366" w:author="Author">
                  <w:rPr>
                    <w:b/>
                    <w:bCs/>
                    <w:szCs w:val="22"/>
                    <w:lang w:val="it-IT"/>
                  </w:rPr>
                </w:rPrChange>
              </w:rPr>
              <w:pPrChange w:id="5367" w:author="Author">
                <w:pPr>
                  <w:keepNext/>
                  <w:keepLines/>
                  <w:numPr>
                    <w:ilvl w:val="12"/>
                  </w:numPr>
                  <w:tabs>
                    <w:tab w:val="left" w:pos="180"/>
                  </w:tabs>
                  <w:ind w:right="-2"/>
                  <w:jc w:val="center"/>
                </w:pPr>
              </w:pPrChange>
            </w:pPr>
            <w:r>
              <w:rPr>
                <w:b/>
                <w:bCs/>
                <w:noProof/>
                <w:sz w:val="20"/>
                <w:lang w:val="it-IT"/>
                <w:rPrChange w:id="5368" w:author="Author">
                  <w:rPr>
                    <w:b/>
                    <w:bCs/>
                    <w:szCs w:val="22"/>
                    <w:lang w:val="it-IT"/>
                  </w:rPr>
                </w:rPrChange>
              </w:rPr>
              <w:t xml:space="preserve">PBO + MTX </w:t>
            </w:r>
          </w:p>
          <w:p>
            <w:pPr>
              <w:keepNext/>
              <w:numPr>
                <w:ilvl w:val="12"/>
                <w:numId w:val="0"/>
              </w:numPr>
              <w:tabs>
                <w:tab w:val="left" w:pos="180"/>
              </w:tabs>
              <w:suppressAutoHyphens/>
              <w:jc w:val="center"/>
              <w:rPr>
                <w:b/>
                <w:bCs/>
                <w:noProof/>
                <w:sz w:val="20"/>
                <w:lang w:val="it-IT"/>
                <w:rPrChange w:id="5369" w:author="Author">
                  <w:rPr>
                    <w:b/>
                    <w:bCs/>
                    <w:szCs w:val="22"/>
                    <w:lang w:val="it-IT"/>
                  </w:rPr>
                </w:rPrChange>
              </w:rPr>
              <w:pPrChange w:id="5370" w:author="Author">
                <w:pPr>
                  <w:keepNext/>
                  <w:keepLines/>
                  <w:numPr>
                    <w:ilvl w:val="12"/>
                  </w:numPr>
                  <w:tabs>
                    <w:tab w:val="left" w:pos="180"/>
                  </w:tabs>
                  <w:ind w:right="-2"/>
                  <w:jc w:val="center"/>
                </w:pPr>
              </w:pPrChange>
            </w:pPr>
            <w:r>
              <w:rPr>
                <w:b/>
                <w:bCs/>
                <w:noProof/>
                <w:sz w:val="20"/>
                <w:lang w:val="it-IT"/>
                <w:rPrChange w:id="5371" w:author="Author">
                  <w:rPr>
                    <w:b/>
                    <w:bCs/>
                    <w:szCs w:val="22"/>
                    <w:lang w:val="it-IT"/>
                  </w:rPr>
                </w:rPrChange>
              </w:rPr>
              <w:t>(+TCZ dalla settimana 24)</w:t>
            </w:r>
          </w:p>
          <w:p>
            <w:pPr>
              <w:keepNext/>
              <w:tabs>
                <w:tab w:val="left" w:pos="180"/>
              </w:tabs>
              <w:suppressAutoHyphens/>
              <w:jc w:val="center"/>
              <w:rPr>
                <w:noProof/>
                <w:sz w:val="20"/>
                <w:lang w:val="it-IT"/>
                <w:rPrChange w:id="5372" w:author="Author">
                  <w:rPr>
                    <w:lang w:val="it-IT"/>
                  </w:rPr>
                </w:rPrChange>
              </w:rPr>
              <w:pPrChange w:id="5373" w:author="Author">
                <w:pPr>
                  <w:keepNext/>
                  <w:keepLines/>
                  <w:tabs>
                    <w:tab w:val="left" w:pos="180"/>
                  </w:tabs>
                  <w:jc w:val="center"/>
                </w:pPr>
              </w:pPrChange>
            </w:pPr>
            <w:del w:id="5374" w:author="Author">
              <w:r>
                <w:rPr>
                  <w:b/>
                  <w:bCs/>
                  <w:noProof/>
                  <w:sz w:val="20"/>
                  <w:lang w:val="it-IT"/>
                  <w:rPrChange w:id="5375" w:author="Author">
                    <w:rPr>
                      <w:b/>
                      <w:bCs/>
                      <w:szCs w:val="22"/>
                      <w:lang w:val="it-IT"/>
                    </w:rPr>
                  </w:rPrChange>
                </w:rPr>
                <w:delText xml:space="preserve">N </w:delText>
              </w:r>
            </w:del>
            <w:ins w:id="5376" w:author="Author">
              <w:r>
                <w:rPr>
                  <w:b/>
                  <w:bCs/>
                  <w:noProof/>
                  <w:sz w:val="20"/>
                  <w:lang w:val="it-IT"/>
                  <w:rPrChange w:id="5377" w:author="Author">
                    <w:rPr>
                      <w:b/>
                      <w:bCs/>
                      <w:szCs w:val="22"/>
                      <w:lang w:val="it-IT"/>
                    </w:rPr>
                  </w:rPrChange>
                </w:rPr>
                <w:t>n </w:t>
              </w:r>
            </w:ins>
            <w:r>
              <w:rPr>
                <w:b/>
                <w:bCs/>
                <w:noProof/>
                <w:sz w:val="20"/>
                <w:lang w:val="it-IT"/>
                <w:rPrChange w:id="5378" w:author="Author">
                  <w:rPr>
                    <w:b/>
                    <w:bCs/>
                    <w:szCs w:val="22"/>
                    <w:lang w:val="it-IT"/>
                  </w:rPr>
                </w:rPrChange>
              </w:rPr>
              <w:t>=</w:t>
            </w:r>
            <w:ins w:id="5379" w:author="Author">
              <w:r>
                <w:rPr>
                  <w:b/>
                  <w:bCs/>
                  <w:noProof/>
                  <w:sz w:val="20"/>
                  <w:lang w:val="it-IT"/>
                  <w:rPrChange w:id="5380" w:author="Author">
                    <w:rPr>
                      <w:b/>
                      <w:bCs/>
                      <w:szCs w:val="22"/>
                      <w:lang w:val="it-IT"/>
                    </w:rPr>
                  </w:rPrChange>
                </w:rPr>
                <w:t> </w:t>
              </w:r>
            </w:ins>
            <w:del w:id="5381" w:author="Author">
              <w:r>
                <w:rPr>
                  <w:b/>
                  <w:bCs/>
                  <w:noProof/>
                  <w:sz w:val="20"/>
                  <w:lang w:val="it-IT"/>
                  <w:rPrChange w:id="5382" w:author="Author">
                    <w:rPr>
                      <w:b/>
                      <w:bCs/>
                      <w:szCs w:val="22"/>
                      <w:lang w:val="it-IT"/>
                    </w:rPr>
                  </w:rPrChange>
                </w:rPr>
                <w:delText xml:space="preserve"> </w:delText>
              </w:r>
            </w:del>
            <w:r>
              <w:rPr>
                <w:b/>
                <w:bCs/>
                <w:noProof/>
                <w:sz w:val="20"/>
                <w:lang w:val="it-IT"/>
                <w:rPrChange w:id="5383" w:author="Author">
                  <w:rPr>
                    <w:b/>
                    <w:bCs/>
                    <w:szCs w:val="22"/>
                    <w:lang w:val="it-IT"/>
                  </w:rPr>
                </w:rPrChange>
              </w:rPr>
              <w:t>393</w:t>
            </w:r>
          </w:p>
        </w:tc>
        <w:tc>
          <w:tcPr>
            <w:tcW w:w="2835" w:type="dxa"/>
            <w:tcPrChange w:id="5384" w:author="Author">
              <w:tcPr>
                <w:tcW w:w="2610" w:type="dxa"/>
              </w:tcPr>
            </w:tcPrChange>
          </w:tcPr>
          <w:p>
            <w:pPr>
              <w:keepNext/>
              <w:tabs>
                <w:tab w:val="left" w:pos="180"/>
              </w:tabs>
              <w:suppressAutoHyphens/>
              <w:jc w:val="center"/>
              <w:rPr>
                <w:b/>
                <w:bCs/>
                <w:noProof/>
                <w:sz w:val="20"/>
                <w:lang w:val="pt-BR"/>
                <w:rPrChange w:id="5385" w:author="Author">
                  <w:rPr>
                    <w:b/>
                    <w:bCs/>
                    <w:szCs w:val="22"/>
                    <w:lang w:val="it-IT"/>
                  </w:rPr>
                </w:rPrChange>
              </w:rPr>
              <w:pPrChange w:id="5386" w:author="Author">
                <w:pPr>
                  <w:keepNext/>
                  <w:keepLines/>
                  <w:tabs>
                    <w:tab w:val="left" w:pos="180"/>
                  </w:tabs>
                  <w:jc w:val="center"/>
                </w:pPr>
              </w:pPrChange>
            </w:pPr>
            <w:r>
              <w:rPr>
                <w:b/>
                <w:bCs/>
                <w:noProof/>
                <w:sz w:val="20"/>
                <w:lang w:val="pt-BR"/>
                <w:rPrChange w:id="5387" w:author="Author">
                  <w:rPr>
                    <w:b/>
                    <w:bCs/>
                    <w:szCs w:val="22"/>
                    <w:lang w:val="it-IT"/>
                  </w:rPr>
                </w:rPrChange>
              </w:rPr>
              <w:t>TCZ 8 mg/kg + MTX</w:t>
            </w:r>
            <w:r>
              <w:rPr>
                <w:noProof/>
                <w:sz w:val="20"/>
                <w:lang w:val="pt-BR"/>
                <w:rPrChange w:id="5388" w:author="Author">
                  <w:rPr>
                    <w:lang w:val="it-IT"/>
                  </w:rPr>
                </w:rPrChange>
              </w:rPr>
              <w:br/>
            </w:r>
          </w:p>
          <w:p>
            <w:pPr>
              <w:keepNext/>
              <w:tabs>
                <w:tab w:val="left" w:pos="180"/>
              </w:tabs>
              <w:suppressAutoHyphens/>
              <w:jc w:val="center"/>
              <w:rPr>
                <w:noProof/>
                <w:sz w:val="20"/>
                <w:lang w:val="pt-BR"/>
                <w:rPrChange w:id="5389" w:author="Author">
                  <w:rPr>
                    <w:lang w:val="it-IT"/>
                  </w:rPr>
                </w:rPrChange>
              </w:rPr>
              <w:pPrChange w:id="5390" w:author="Author">
                <w:pPr>
                  <w:keepNext/>
                  <w:keepLines/>
                  <w:tabs>
                    <w:tab w:val="left" w:pos="180"/>
                  </w:tabs>
                  <w:jc w:val="center"/>
                </w:pPr>
              </w:pPrChange>
            </w:pPr>
            <w:del w:id="5391" w:author="Author">
              <w:r>
                <w:rPr>
                  <w:b/>
                  <w:bCs/>
                  <w:noProof/>
                  <w:sz w:val="20"/>
                  <w:lang w:val="pt-BR"/>
                  <w:rPrChange w:id="5392" w:author="Author">
                    <w:rPr>
                      <w:b/>
                      <w:bCs/>
                      <w:szCs w:val="22"/>
                      <w:lang w:val="it-IT"/>
                    </w:rPr>
                  </w:rPrChange>
                </w:rPr>
                <w:delText xml:space="preserve">N </w:delText>
              </w:r>
            </w:del>
            <w:ins w:id="5393" w:author="Author">
              <w:r>
                <w:rPr>
                  <w:b/>
                  <w:bCs/>
                  <w:noProof/>
                  <w:sz w:val="20"/>
                  <w:lang w:val="pt-BR"/>
                  <w:rPrChange w:id="5394" w:author="Author">
                    <w:rPr>
                      <w:b/>
                      <w:bCs/>
                      <w:szCs w:val="22"/>
                      <w:lang w:val="it-IT"/>
                    </w:rPr>
                  </w:rPrChange>
                </w:rPr>
                <w:t>n </w:t>
              </w:r>
            </w:ins>
            <w:r>
              <w:rPr>
                <w:b/>
                <w:bCs/>
                <w:noProof/>
                <w:sz w:val="20"/>
                <w:lang w:val="pt-BR"/>
                <w:rPrChange w:id="5395" w:author="Author">
                  <w:rPr>
                    <w:b/>
                    <w:bCs/>
                    <w:szCs w:val="22"/>
                    <w:lang w:val="it-IT"/>
                  </w:rPr>
                </w:rPrChange>
              </w:rPr>
              <w:t>=</w:t>
            </w:r>
            <w:ins w:id="5396" w:author="Author">
              <w:r>
                <w:rPr>
                  <w:b/>
                  <w:bCs/>
                  <w:noProof/>
                  <w:sz w:val="20"/>
                  <w:lang w:val="pt-BR"/>
                  <w:rPrChange w:id="5397" w:author="Author">
                    <w:rPr>
                      <w:b/>
                      <w:bCs/>
                      <w:szCs w:val="22"/>
                      <w:lang w:val="it-IT"/>
                    </w:rPr>
                  </w:rPrChange>
                </w:rPr>
                <w:t> </w:t>
              </w:r>
            </w:ins>
            <w:del w:id="5398" w:author="Author">
              <w:r>
                <w:rPr>
                  <w:b/>
                  <w:bCs/>
                  <w:noProof/>
                  <w:sz w:val="20"/>
                  <w:lang w:val="pt-BR"/>
                  <w:rPrChange w:id="5399" w:author="Author">
                    <w:rPr>
                      <w:b/>
                      <w:bCs/>
                      <w:szCs w:val="22"/>
                      <w:lang w:val="it-IT"/>
                    </w:rPr>
                  </w:rPrChange>
                </w:rPr>
                <w:delText xml:space="preserve"> </w:delText>
              </w:r>
            </w:del>
            <w:r>
              <w:rPr>
                <w:b/>
                <w:bCs/>
                <w:noProof/>
                <w:sz w:val="20"/>
                <w:lang w:val="pt-BR"/>
                <w:rPrChange w:id="5400" w:author="Author">
                  <w:rPr>
                    <w:b/>
                    <w:bCs/>
                    <w:szCs w:val="22"/>
                    <w:lang w:val="it-IT"/>
                  </w:rPr>
                </w:rPrChange>
              </w:rPr>
              <w:t>398</w:t>
            </w:r>
          </w:p>
        </w:tc>
      </w:tr>
      <w:tr>
        <w:trPr>
          <w:cantSplit/>
        </w:trPr>
        <w:tc>
          <w:tcPr>
            <w:tcW w:w="3397" w:type="dxa"/>
            <w:tcPrChange w:id="5401" w:author="Author">
              <w:tcPr>
                <w:tcW w:w="2660" w:type="dxa"/>
              </w:tcPr>
            </w:tcPrChange>
          </w:tcPr>
          <w:p>
            <w:pPr>
              <w:keepNext/>
              <w:tabs>
                <w:tab w:val="left" w:pos="180"/>
              </w:tabs>
              <w:suppressAutoHyphens/>
              <w:rPr>
                <w:noProof/>
                <w:sz w:val="20"/>
                <w:lang w:val="it-IT"/>
                <w:rPrChange w:id="5402" w:author="Author">
                  <w:rPr>
                    <w:lang w:val="it-IT"/>
                  </w:rPr>
                </w:rPrChange>
              </w:rPr>
              <w:pPrChange w:id="5403" w:author="Author">
                <w:pPr>
                  <w:keepNext/>
                  <w:keepLines/>
                  <w:tabs>
                    <w:tab w:val="left" w:pos="180"/>
                  </w:tabs>
                </w:pPr>
              </w:pPrChange>
            </w:pPr>
            <w:r>
              <w:rPr>
                <w:noProof/>
                <w:sz w:val="20"/>
                <w:lang w:val="it-IT"/>
                <w:rPrChange w:id="5404" w:author="Author">
                  <w:rPr>
                    <w:lang w:val="it-IT"/>
                  </w:rPr>
                </w:rPrChange>
              </w:rPr>
              <w:t>Punteggio totale Sharp-Genant</w:t>
            </w:r>
          </w:p>
        </w:tc>
        <w:tc>
          <w:tcPr>
            <w:tcW w:w="2694" w:type="dxa"/>
            <w:tcPrChange w:id="5405" w:author="Author">
              <w:tcPr>
                <w:tcW w:w="2488" w:type="dxa"/>
              </w:tcPr>
            </w:tcPrChange>
          </w:tcPr>
          <w:p>
            <w:pPr>
              <w:keepNext/>
              <w:tabs>
                <w:tab w:val="left" w:pos="180"/>
              </w:tabs>
              <w:suppressAutoHyphens/>
              <w:jc w:val="center"/>
              <w:rPr>
                <w:noProof/>
                <w:sz w:val="20"/>
                <w:lang w:val="it-IT"/>
                <w:rPrChange w:id="5406" w:author="Author">
                  <w:rPr>
                    <w:lang w:val="it-IT"/>
                  </w:rPr>
                </w:rPrChange>
              </w:rPr>
              <w:pPrChange w:id="5407" w:author="Author">
                <w:pPr>
                  <w:keepNext/>
                  <w:keepLines/>
                  <w:tabs>
                    <w:tab w:val="left" w:pos="180"/>
                  </w:tabs>
                  <w:jc w:val="center"/>
                </w:pPr>
              </w:pPrChange>
            </w:pPr>
            <w:r>
              <w:rPr>
                <w:noProof/>
                <w:sz w:val="20"/>
                <w:lang w:val="it-IT"/>
                <w:rPrChange w:id="5408" w:author="Author">
                  <w:rPr>
                    <w:lang w:val="it-IT"/>
                  </w:rPr>
                </w:rPrChange>
              </w:rPr>
              <w:t>1,13</w:t>
            </w:r>
          </w:p>
        </w:tc>
        <w:tc>
          <w:tcPr>
            <w:tcW w:w="2835" w:type="dxa"/>
            <w:tcPrChange w:id="5409" w:author="Author">
              <w:tcPr>
                <w:tcW w:w="2610" w:type="dxa"/>
              </w:tcPr>
            </w:tcPrChange>
          </w:tcPr>
          <w:p>
            <w:pPr>
              <w:keepNext/>
              <w:tabs>
                <w:tab w:val="left" w:pos="180"/>
              </w:tabs>
              <w:suppressAutoHyphens/>
              <w:jc w:val="center"/>
              <w:rPr>
                <w:noProof/>
                <w:sz w:val="20"/>
                <w:lang w:val="it-IT"/>
                <w:rPrChange w:id="5410" w:author="Author">
                  <w:rPr>
                    <w:lang w:val="it-IT"/>
                  </w:rPr>
                </w:rPrChange>
              </w:rPr>
              <w:pPrChange w:id="5411" w:author="Author">
                <w:pPr>
                  <w:keepNext/>
                  <w:keepLines/>
                  <w:tabs>
                    <w:tab w:val="left" w:pos="180"/>
                  </w:tabs>
                  <w:jc w:val="center"/>
                </w:pPr>
              </w:pPrChange>
            </w:pPr>
            <w:r>
              <w:rPr>
                <w:noProof/>
                <w:sz w:val="20"/>
                <w:lang w:val="it-IT"/>
                <w:rPrChange w:id="5412" w:author="Author">
                  <w:rPr>
                    <w:lang w:val="it-IT"/>
                  </w:rPr>
                </w:rPrChange>
              </w:rPr>
              <w:t>0,29*</w:t>
            </w:r>
          </w:p>
        </w:tc>
      </w:tr>
      <w:tr>
        <w:trPr>
          <w:cantSplit/>
        </w:trPr>
        <w:tc>
          <w:tcPr>
            <w:tcW w:w="3397" w:type="dxa"/>
            <w:tcPrChange w:id="5413" w:author="Author">
              <w:tcPr>
                <w:tcW w:w="2660" w:type="dxa"/>
              </w:tcPr>
            </w:tcPrChange>
          </w:tcPr>
          <w:p>
            <w:pPr>
              <w:keepNext/>
              <w:tabs>
                <w:tab w:val="left" w:pos="180"/>
              </w:tabs>
              <w:suppressAutoHyphens/>
              <w:rPr>
                <w:noProof/>
                <w:sz w:val="20"/>
                <w:lang w:val="it-IT"/>
                <w:rPrChange w:id="5414" w:author="Author">
                  <w:rPr>
                    <w:lang w:val="it-IT"/>
                  </w:rPr>
                </w:rPrChange>
              </w:rPr>
              <w:pPrChange w:id="5415" w:author="Author">
                <w:pPr>
                  <w:keepNext/>
                  <w:keepLines/>
                  <w:tabs>
                    <w:tab w:val="left" w:pos="180"/>
                  </w:tabs>
                </w:pPr>
              </w:pPrChange>
            </w:pPr>
            <w:r>
              <w:rPr>
                <w:noProof/>
                <w:sz w:val="20"/>
                <w:lang w:val="it-IT"/>
                <w:rPrChange w:id="5416" w:author="Author">
                  <w:rPr>
                    <w:lang w:val="it-IT"/>
                  </w:rPr>
                </w:rPrChange>
              </w:rPr>
              <w:t>Punteggio erosione</w:t>
            </w:r>
          </w:p>
        </w:tc>
        <w:tc>
          <w:tcPr>
            <w:tcW w:w="2694" w:type="dxa"/>
            <w:tcPrChange w:id="5417" w:author="Author">
              <w:tcPr>
                <w:tcW w:w="2488" w:type="dxa"/>
              </w:tcPr>
            </w:tcPrChange>
          </w:tcPr>
          <w:p>
            <w:pPr>
              <w:keepNext/>
              <w:tabs>
                <w:tab w:val="left" w:pos="180"/>
              </w:tabs>
              <w:suppressAutoHyphens/>
              <w:jc w:val="center"/>
              <w:rPr>
                <w:noProof/>
                <w:sz w:val="20"/>
                <w:lang w:val="it-IT"/>
                <w:rPrChange w:id="5418" w:author="Author">
                  <w:rPr>
                    <w:lang w:val="it-IT"/>
                  </w:rPr>
                </w:rPrChange>
              </w:rPr>
              <w:pPrChange w:id="5419" w:author="Author">
                <w:pPr>
                  <w:keepNext/>
                  <w:keepLines/>
                  <w:tabs>
                    <w:tab w:val="left" w:pos="180"/>
                  </w:tabs>
                  <w:jc w:val="center"/>
                </w:pPr>
              </w:pPrChange>
            </w:pPr>
            <w:r>
              <w:rPr>
                <w:noProof/>
                <w:sz w:val="20"/>
                <w:lang w:val="it-IT"/>
                <w:rPrChange w:id="5420" w:author="Author">
                  <w:rPr>
                    <w:lang w:val="it-IT"/>
                  </w:rPr>
                </w:rPrChange>
              </w:rPr>
              <w:t>0,71</w:t>
            </w:r>
          </w:p>
        </w:tc>
        <w:tc>
          <w:tcPr>
            <w:tcW w:w="2835" w:type="dxa"/>
            <w:tcPrChange w:id="5421" w:author="Author">
              <w:tcPr>
                <w:tcW w:w="2610" w:type="dxa"/>
              </w:tcPr>
            </w:tcPrChange>
          </w:tcPr>
          <w:p>
            <w:pPr>
              <w:keepNext/>
              <w:tabs>
                <w:tab w:val="left" w:pos="180"/>
              </w:tabs>
              <w:suppressAutoHyphens/>
              <w:jc w:val="center"/>
              <w:rPr>
                <w:noProof/>
                <w:sz w:val="20"/>
                <w:lang w:val="it-IT"/>
                <w:rPrChange w:id="5422" w:author="Author">
                  <w:rPr>
                    <w:lang w:val="it-IT"/>
                  </w:rPr>
                </w:rPrChange>
              </w:rPr>
              <w:pPrChange w:id="5423" w:author="Author">
                <w:pPr>
                  <w:keepNext/>
                  <w:keepLines/>
                  <w:tabs>
                    <w:tab w:val="left" w:pos="180"/>
                  </w:tabs>
                  <w:jc w:val="center"/>
                </w:pPr>
              </w:pPrChange>
            </w:pPr>
            <w:r>
              <w:rPr>
                <w:noProof/>
                <w:sz w:val="20"/>
                <w:lang w:val="it-IT"/>
                <w:rPrChange w:id="5424" w:author="Author">
                  <w:rPr>
                    <w:lang w:val="it-IT"/>
                  </w:rPr>
                </w:rPrChange>
              </w:rPr>
              <w:t>0,17*</w:t>
            </w:r>
          </w:p>
        </w:tc>
      </w:tr>
      <w:tr>
        <w:trPr>
          <w:cantSplit/>
        </w:trPr>
        <w:tc>
          <w:tcPr>
            <w:tcW w:w="3397" w:type="dxa"/>
            <w:tcPrChange w:id="5425" w:author="Author">
              <w:tcPr>
                <w:tcW w:w="2660" w:type="dxa"/>
              </w:tcPr>
            </w:tcPrChange>
          </w:tcPr>
          <w:p>
            <w:pPr>
              <w:keepNext/>
              <w:tabs>
                <w:tab w:val="left" w:pos="180"/>
              </w:tabs>
              <w:suppressAutoHyphens/>
              <w:rPr>
                <w:noProof/>
                <w:sz w:val="20"/>
                <w:lang w:val="it-IT"/>
                <w:rPrChange w:id="5426" w:author="Author">
                  <w:rPr>
                    <w:lang w:val="it-IT"/>
                  </w:rPr>
                </w:rPrChange>
              </w:rPr>
              <w:pPrChange w:id="5427" w:author="Author">
                <w:pPr>
                  <w:keepNext/>
                  <w:keepLines/>
                  <w:tabs>
                    <w:tab w:val="left" w:pos="180"/>
                  </w:tabs>
                </w:pPr>
              </w:pPrChange>
            </w:pPr>
            <w:r>
              <w:rPr>
                <w:noProof/>
                <w:sz w:val="20"/>
                <w:lang w:val="it-IT"/>
                <w:rPrChange w:id="5428" w:author="Author">
                  <w:rPr>
                    <w:lang w:val="it-IT"/>
                  </w:rPr>
                </w:rPrChange>
              </w:rPr>
              <w:t>Punteggio JSN</w:t>
            </w:r>
          </w:p>
        </w:tc>
        <w:tc>
          <w:tcPr>
            <w:tcW w:w="2694" w:type="dxa"/>
            <w:tcPrChange w:id="5429" w:author="Author">
              <w:tcPr>
                <w:tcW w:w="2488" w:type="dxa"/>
              </w:tcPr>
            </w:tcPrChange>
          </w:tcPr>
          <w:p>
            <w:pPr>
              <w:keepNext/>
              <w:tabs>
                <w:tab w:val="left" w:pos="180"/>
              </w:tabs>
              <w:suppressAutoHyphens/>
              <w:jc w:val="center"/>
              <w:rPr>
                <w:noProof/>
                <w:sz w:val="20"/>
                <w:lang w:val="it-IT"/>
                <w:rPrChange w:id="5430" w:author="Author">
                  <w:rPr>
                    <w:lang w:val="it-IT"/>
                  </w:rPr>
                </w:rPrChange>
              </w:rPr>
              <w:pPrChange w:id="5431" w:author="Author">
                <w:pPr>
                  <w:keepNext/>
                  <w:keepLines/>
                  <w:tabs>
                    <w:tab w:val="left" w:pos="180"/>
                  </w:tabs>
                  <w:jc w:val="center"/>
                </w:pPr>
              </w:pPrChange>
            </w:pPr>
            <w:r>
              <w:rPr>
                <w:noProof/>
                <w:sz w:val="20"/>
                <w:lang w:val="it-IT"/>
                <w:rPrChange w:id="5432" w:author="Author">
                  <w:rPr>
                    <w:lang w:val="it-IT"/>
                  </w:rPr>
                </w:rPrChange>
              </w:rPr>
              <w:t>0,42</w:t>
            </w:r>
          </w:p>
        </w:tc>
        <w:tc>
          <w:tcPr>
            <w:tcW w:w="2835" w:type="dxa"/>
            <w:tcPrChange w:id="5433" w:author="Author">
              <w:tcPr>
                <w:tcW w:w="2610" w:type="dxa"/>
              </w:tcPr>
            </w:tcPrChange>
          </w:tcPr>
          <w:p>
            <w:pPr>
              <w:keepNext/>
              <w:tabs>
                <w:tab w:val="left" w:pos="180"/>
              </w:tabs>
              <w:suppressAutoHyphens/>
              <w:jc w:val="center"/>
              <w:rPr>
                <w:noProof/>
                <w:sz w:val="20"/>
                <w:lang w:val="it-IT"/>
                <w:rPrChange w:id="5434" w:author="Author">
                  <w:rPr>
                    <w:lang w:val="it-IT"/>
                  </w:rPr>
                </w:rPrChange>
              </w:rPr>
              <w:pPrChange w:id="5435" w:author="Author">
                <w:pPr>
                  <w:keepNext/>
                  <w:keepLines/>
                  <w:tabs>
                    <w:tab w:val="left" w:pos="180"/>
                  </w:tabs>
                  <w:jc w:val="center"/>
                </w:pPr>
              </w:pPrChange>
            </w:pPr>
            <w:r>
              <w:rPr>
                <w:noProof/>
                <w:sz w:val="20"/>
                <w:lang w:val="it-IT"/>
                <w:rPrChange w:id="5436" w:author="Author">
                  <w:rPr>
                    <w:lang w:val="it-IT"/>
                  </w:rPr>
                </w:rPrChange>
              </w:rPr>
              <w:t>0,12**</w:t>
            </w:r>
          </w:p>
        </w:tc>
      </w:tr>
    </w:tbl>
    <w:p>
      <w:pPr>
        <w:keepNext/>
        <w:keepLines/>
        <w:tabs>
          <w:tab w:val="left" w:pos="180"/>
        </w:tabs>
        <w:rPr>
          <w:i/>
          <w:noProof/>
          <w:sz w:val="18"/>
          <w:szCs w:val="18"/>
          <w:lang w:val="it-IT"/>
        </w:rPr>
      </w:pPr>
      <w:r>
        <w:rPr>
          <w:i/>
          <w:noProof/>
          <w:sz w:val="18"/>
          <w:szCs w:val="18"/>
          <w:lang w:val="it-IT"/>
        </w:rPr>
        <w:t>PBO</w:t>
      </w:r>
      <w:r>
        <w:rPr>
          <w:noProof/>
          <w:sz w:val="18"/>
          <w:szCs w:val="18"/>
          <w:lang w:val="it-IT"/>
        </w:rPr>
        <w:tab/>
      </w:r>
      <w:r>
        <w:rPr>
          <w:noProof/>
          <w:sz w:val="18"/>
          <w:szCs w:val="18"/>
          <w:lang w:val="it-IT"/>
        </w:rPr>
        <w:tab/>
      </w:r>
      <w:r>
        <w:rPr>
          <w:i/>
          <w:noProof/>
          <w:sz w:val="18"/>
          <w:szCs w:val="18"/>
          <w:lang w:val="it-IT"/>
        </w:rPr>
        <w:t>- Placebo</w:t>
      </w:r>
    </w:p>
    <w:p>
      <w:pPr>
        <w:keepNext/>
        <w:keepLines/>
        <w:tabs>
          <w:tab w:val="left" w:pos="180"/>
        </w:tabs>
        <w:rPr>
          <w:i/>
          <w:noProof/>
          <w:sz w:val="18"/>
          <w:szCs w:val="18"/>
          <w:lang w:val="it-IT"/>
        </w:rPr>
      </w:pPr>
      <w:r>
        <w:rPr>
          <w:i/>
          <w:noProof/>
          <w:sz w:val="18"/>
          <w:szCs w:val="18"/>
          <w:lang w:val="it-IT"/>
        </w:rPr>
        <w:t>MTX</w:t>
      </w:r>
      <w:r>
        <w:rPr>
          <w:noProof/>
          <w:sz w:val="18"/>
          <w:szCs w:val="18"/>
          <w:lang w:val="it-IT"/>
        </w:rPr>
        <w:tab/>
      </w:r>
      <w:r>
        <w:rPr>
          <w:noProof/>
          <w:sz w:val="18"/>
          <w:szCs w:val="18"/>
          <w:lang w:val="it-IT"/>
        </w:rPr>
        <w:tab/>
      </w:r>
      <w:r>
        <w:rPr>
          <w:i/>
          <w:noProof/>
          <w:sz w:val="18"/>
          <w:szCs w:val="18"/>
          <w:lang w:val="it-IT"/>
        </w:rPr>
        <w:t xml:space="preserve">- </w:t>
      </w:r>
      <w:ins w:id="5437" w:author="Author">
        <w:r>
          <w:rPr>
            <w:i/>
            <w:noProof/>
            <w:sz w:val="18"/>
            <w:szCs w:val="18"/>
            <w:lang w:val="it-IT"/>
          </w:rPr>
          <w:t>m</w:t>
        </w:r>
      </w:ins>
      <w:del w:id="5438" w:author="Author">
        <w:r>
          <w:rPr>
            <w:i/>
            <w:noProof/>
            <w:sz w:val="18"/>
            <w:szCs w:val="18"/>
            <w:lang w:val="it-IT"/>
          </w:rPr>
          <w:delText>M</w:delText>
        </w:r>
      </w:del>
      <w:r>
        <w:rPr>
          <w:i/>
          <w:noProof/>
          <w:sz w:val="18"/>
          <w:szCs w:val="18"/>
          <w:lang w:val="it-IT"/>
        </w:rPr>
        <w:t>etotre</w:t>
      </w:r>
      <w:del w:id="5439" w:author="Author">
        <w:r>
          <w:rPr>
            <w:i/>
            <w:noProof/>
            <w:sz w:val="18"/>
            <w:szCs w:val="18"/>
            <w:lang w:val="it-IT"/>
          </w:rPr>
          <w:delText>ss</w:delText>
        </w:r>
      </w:del>
      <w:ins w:id="5440" w:author="Author">
        <w:r>
          <w:rPr>
            <w:i/>
            <w:noProof/>
            <w:sz w:val="18"/>
            <w:szCs w:val="18"/>
            <w:lang w:val="it-IT"/>
          </w:rPr>
          <w:t>x</w:t>
        </w:r>
      </w:ins>
      <w:r>
        <w:rPr>
          <w:i/>
          <w:noProof/>
          <w:sz w:val="18"/>
          <w:szCs w:val="18"/>
          <w:lang w:val="it-IT"/>
        </w:rPr>
        <w:t>ato</w:t>
      </w:r>
    </w:p>
    <w:p>
      <w:pPr>
        <w:keepNext/>
        <w:keepLines/>
        <w:tabs>
          <w:tab w:val="left" w:pos="180"/>
        </w:tabs>
        <w:rPr>
          <w:i/>
          <w:noProof/>
          <w:sz w:val="18"/>
          <w:szCs w:val="18"/>
          <w:lang w:val="it-IT"/>
        </w:rPr>
      </w:pPr>
      <w:r>
        <w:rPr>
          <w:i/>
          <w:noProof/>
          <w:sz w:val="18"/>
          <w:szCs w:val="18"/>
          <w:lang w:val="it-IT"/>
        </w:rPr>
        <w:t>TCZ</w:t>
      </w:r>
      <w:r>
        <w:rPr>
          <w:noProof/>
          <w:sz w:val="18"/>
          <w:szCs w:val="18"/>
          <w:lang w:val="it-IT"/>
        </w:rPr>
        <w:tab/>
      </w:r>
      <w:r>
        <w:rPr>
          <w:noProof/>
          <w:sz w:val="18"/>
          <w:szCs w:val="18"/>
          <w:lang w:val="it-IT"/>
        </w:rPr>
        <w:tab/>
      </w:r>
      <w:r>
        <w:rPr>
          <w:i/>
          <w:noProof/>
          <w:sz w:val="18"/>
          <w:szCs w:val="18"/>
          <w:lang w:val="it-IT"/>
        </w:rPr>
        <w:t xml:space="preserve">- </w:t>
      </w:r>
      <w:ins w:id="5441" w:author="Author">
        <w:r>
          <w:rPr>
            <w:i/>
            <w:noProof/>
            <w:sz w:val="18"/>
            <w:szCs w:val="18"/>
            <w:lang w:val="it-IT"/>
          </w:rPr>
          <w:t>t</w:t>
        </w:r>
      </w:ins>
      <w:del w:id="5442" w:author="Author">
        <w:r>
          <w:rPr>
            <w:i/>
            <w:noProof/>
            <w:sz w:val="18"/>
            <w:szCs w:val="18"/>
            <w:lang w:val="it-IT"/>
          </w:rPr>
          <w:delText>T</w:delText>
        </w:r>
      </w:del>
      <w:r>
        <w:rPr>
          <w:i/>
          <w:noProof/>
          <w:sz w:val="18"/>
          <w:szCs w:val="18"/>
          <w:lang w:val="it-IT"/>
        </w:rPr>
        <w:t>ocilizumab</w:t>
      </w:r>
    </w:p>
    <w:p>
      <w:pPr>
        <w:keepNext/>
        <w:keepLines/>
        <w:tabs>
          <w:tab w:val="left" w:pos="180"/>
        </w:tabs>
        <w:rPr>
          <w:i/>
          <w:noProof/>
          <w:sz w:val="18"/>
          <w:szCs w:val="18"/>
          <w:lang w:val="it-IT"/>
        </w:rPr>
      </w:pPr>
      <w:r>
        <w:rPr>
          <w:i/>
          <w:noProof/>
          <w:sz w:val="18"/>
          <w:szCs w:val="18"/>
          <w:lang w:val="it-IT"/>
        </w:rPr>
        <w:t>JSN</w:t>
      </w:r>
      <w:r>
        <w:rPr>
          <w:noProof/>
          <w:sz w:val="18"/>
          <w:szCs w:val="18"/>
          <w:lang w:val="it-IT"/>
        </w:rPr>
        <w:tab/>
      </w:r>
      <w:r>
        <w:rPr>
          <w:noProof/>
          <w:sz w:val="18"/>
          <w:szCs w:val="18"/>
          <w:lang w:val="it-IT"/>
        </w:rPr>
        <w:tab/>
      </w:r>
      <w:r>
        <w:rPr>
          <w:i/>
          <w:noProof/>
          <w:sz w:val="18"/>
          <w:szCs w:val="18"/>
          <w:lang w:val="it-IT"/>
        </w:rPr>
        <w:t>- Restringimento dello spazio articolare</w:t>
      </w:r>
    </w:p>
    <w:p>
      <w:pPr>
        <w:keepNext/>
        <w:keepLines/>
        <w:numPr>
          <w:ilvl w:val="12"/>
          <w:numId w:val="0"/>
        </w:numPr>
        <w:tabs>
          <w:tab w:val="left" w:pos="993"/>
        </w:tabs>
        <w:ind w:right="-2"/>
        <w:rPr>
          <w:i/>
          <w:iCs/>
          <w:noProof/>
          <w:sz w:val="18"/>
          <w:szCs w:val="18"/>
          <w:lang w:val="it-IT"/>
        </w:rPr>
      </w:pPr>
      <w:r>
        <w:rPr>
          <w:i/>
          <w:iCs/>
          <w:noProof/>
          <w:sz w:val="18"/>
          <w:szCs w:val="18"/>
          <w:lang w:val="it-IT"/>
        </w:rPr>
        <w:t>*</w:t>
      </w:r>
      <w:r>
        <w:rPr>
          <w:noProof/>
          <w:sz w:val="18"/>
          <w:szCs w:val="18"/>
          <w:lang w:val="it-IT"/>
        </w:rPr>
        <w:tab/>
      </w:r>
      <w:r>
        <w:rPr>
          <w:noProof/>
          <w:sz w:val="18"/>
          <w:szCs w:val="18"/>
          <w:lang w:val="it-IT"/>
        </w:rPr>
        <w:tab/>
      </w:r>
      <w:r>
        <w:rPr>
          <w:i/>
          <w:iCs/>
          <w:noProof/>
          <w:sz w:val="18"/>
          <w:szCs w:val="18"/>
          <w:lang w:val="it-IT"/>
        </w:rPr>
        <w:t xml:space="preserve">- p ≤ 0,0001, </w:t>
      </w:r>
      <w:r>
        <w:rPr>
          <w:i/>
          <w:noProof/>
          <w:sz w:val="18"/>
          <w:szCs w:val="18"/>
          <w:lang w:val="it-IT"/>
        </w:rPr>
        <w:t>TCZ</w:t>
      </w:r>
      <w:r>
        <w:rPr>
          <w:i/>
          <w:iCs/>
          <w:noProof/>
          <w:sz w:val="18"/>
          <w:szCs w:val="18"/>
          <w:lang w:val="it-IT"/>
        </w:rPr>
        <w:t xml:space="preserve"> vs. </w:t>
      </w:r>
      <w:r>
        <w:rPr>
          <w:i/>
          <w:noProof/>
          <w:sz w:val="18"/>
          <w:szCs w:val="18"/>
          <w:lang w:val="it-IT"/>
        </w:rPr>
        <w:t>PBO</w:t>
      </w:r>
      <w:r>
        <w:rPr>
          <w:i/>
          <w:iCs/>
          <w:noProof/>
          <w:sz w:val="18"/>
          <w:szCs w:val="18"/>
          <w:lang w:val="it-IT"/>
        </w:rPr>
        <w:t xml:space="preserve"> + MTX</w:t>
      </w:r>
    </w:p>
    <w:p>
      <w:pPr>
        <w:keepNext/>
        <w:keepLines/>
        <w:numPr>
          <w:ilvl w:val="12"/>
          <w:numId w:val="0"/>
        </w:numPr>
        <w:tabs>
          <w:tab w:val="left" w:pos="180"/>
        </w:tabs>
        <w:ind w:right="-2"/>
        <w:rPr>
          <w:i/>
          <w:iCs/>
          <w:noProof/>
          <w:sz w:val="18"/>
          <w:szCs w:val="18"/>
          <w:lang w:val="it-IT"/>
        </w:rPr>
      </w:pPr>
      <w:r>
        <w:rPr>
          <w:i/>
          <w:iCs/>
          <w:noProof/>
          <w:sz w:val="18"/>
          <w:szCs w:val="18"/>
          <w:lang w:val="it-IT"/>
        </w:rPr>
        <w:t xml:space="preserve">** </w:t>
      </w:r>
      <w:r>
        <w:rPr>
          <w:noProof/>
          <w:sz w:val="18"/>
          <w:szCs w:val="18"/>
          <w:lang w:val="it-IT"/>
        </w:rPr>
        <w:tab/>
      </w:r>
      <w:r>
        <w:rPr>
          <w:noProof/>
          <w:sz w:val="18"/>
          <w:szCs w:val="18"/>
          <w:lang w:val="it-IT"/>
        </w:rPr>
        <w:tab/>
      </w:r>
      <w:r>
        <w:rPr>
          <w:i/>
          <w:iCs/>
          <w:noProof/>
          <w:sz w:val="18"/>
          <w:szCs w:val="18"/>
          <w:lang w:val="it-IT"/>
        </w:rPr>
        <w:t xml:space="preserve">- p &lt; 0,005, </w:t>
      </w:r>
      <w:r>
        <w:rPr>
          <w:i/>
          <w:noProof/>
          <w:sz w:val="18"/>
          <w:szCs w:val="18"/>
          <w:lang w:val="it-IT"/>
        </w:rPr>
        <w:t>TCZ</w:t>
      </w:r>
      <w:r>
        <w:rPr>
          <w:i/>
          <w:iCs/>
          <w:noProof/>
          <w:sz w:val="18"/>
          <w:szCs w:val="18"/>
          <w:lang w:val="it-IT"/>
        </w:rPr>
        <w:t xml:space="preserve"> vs. </w:t>
      </w:r>
      <w:r>
        <w:rPr>
          <w:i/>
          <w:noProof/>
          <w:sz w:val="18"/>
          <w:szCs w:val="18"/>
          <w:lang w:val="it-IT"/>
        </w:rPr>
        <w:t xml:space="preserve">PBO </w:t>
      </w:r>
      <w:r>
        <w:rPr>
          <w:i/>
          <w:iCs/>
          <w:noProof/>
          <w:sz w:val="18"/>
          <w:szCs w:val="18"/>
          <w:lang w:val="it-IT"/>
        </w:rPr>
        <w:t>+ MTX</w:t>
      </w:r>
    </w:p>
    <w:p>
      <w:pPr>
        <w:numPr>
          <w:ilvl w:val="12"/>
          <w:numId w:val="0"/>
        </w:numPr>
        <w:tabs>
          <w:tab w:val="left" w:pos="180"/>
        </w:tabs>
        <w:rPr>
          <w:i/>
          <w:noProof/>
          <w:szCs w:val="22"/>
          <w:lang w:val="it-IT"/>
          <w:rPrChange w:id="5443" w:author="Author">
            <w:rPr>
              <w:i/>
              <w:sz w:val="18"/>
              <w:szCs w:val="18"/>
              <w:lang w:val="it-IT"/>
            </w:rPr>
          </w:rPrChange>
        </w:rPr>
        <w:pPrChange w:id="5444" w:author="Author">
          <w:pPr>
            <w:keepNext/>
            <w:keepLines/>
            <w:numPr>
              <w:ilvl w:val="12"/>
            </w:numPr>
            <w:tabs>
              <w:tab w:val="left" w:pos="180"/>
            </w:tabs>
            <w:ind w:right="-2"/>
          </w:pPr>
        </w:pPrChange>
      </w:pPr>
    </w:p>
    <w:p>
      <w:pPr>
        <w:tabs>
          <w:tab w:val="left" w:pos="180"/>
        </w:tabs>
        <w:rPr>
          <w:i/>
          <w:noProof/>
          <w:szCs w:val="22"/>
          <w:lang w:val="it-IT"/>
          <w:rPrChange w:id="5445" w:author="Author">
            <w:rPr>
              <w:i/>
              <w:sz w:val="18"/>
              <w:szCs w:val="18"/>
              <w:lang w:val="it-IT"/>
            </w:rPr>
          </w:rPrChange>
        </w:rPr>
      </w:pPr>
      <w:r>
        <w:rPr>
          <w:noProof/>
          <w:szCs w:val="22"/>
          <w:lang w:val="it-IT"/>
        </w:rPr>
        <w:t>Dopo 1 anno di trattamento con tocilizumab + MTX, 85% dei pazienti (n</w:t>
      </w:r>
      <w:ins w:id="5446" w:author="Author">
        <w:r>
          <w:rPr>
            <w:noProof/>
            <w:szCs w:val="22"/>
            <w:lang w:val="it-IT"/>
          </w:rPr>
          <w:t> </w:t>
        </w:r>
      </w:ins>
      <w:r>
        <w:rPr>
          <w:noProof/>
          <w:szCs w:val="22"/>
          <w:lang w:val="it-IT"/>
        </w:rPr>
        <w:t>=</w:t>
      </w:r>
      <w:ins w:id="5447" w:author="Author">
        <w:r>
          <w:rPr>
            <w:noProof/>
            <w:szCs w:val="22"/>
            <w:lang w:val="it-IT"/>
          </w:rPr>
          <w:t> </w:t>
        </w:r>
      </w:ins>
      <w:r>
        <w:rPr>
          <w:noProof/>
          <w:szCs w:val="22"/>
          <w:lang w:val="it-IT"/>
        </w:rPr>
        <w:t>348) non ha avuto progressione del danno articolare strutturale, come definito dal cambiamento nel punteggio totale di Sharp di zero o meno, rispetto al 67% dei pazienti trattati con placebo più MTX (n</w:t>
      </w:r>
      <w:ins w:id="5448" w:author="Author">
        <w:r>
          <w:rPr>
            <w:noProof/>
            <w:szCs w:val="22"/>
            <w:lang w:val="it-IT"/>
          </w:rPr>
          <w:t> </w:t>
        </w:r>
      </w:ins>
      <w:r>
        <w:rPr>
          <w:noProof/>
          <w:szCs w:val="22"/>
          <w:lang w:val="it-IT"/>
        </w:rPr>
        <w:t>=</w:t>
      </w:r>
      <w:ins w:id="5449" w:author="Author">
        <w:r>
          <w:rPr>
            <w:noProof/>
            <w:szCs w:val="22"/>
            <w:lang w:val="it-IT"/>
          </w:rPr>
          <w:t> </w:t>
        </w:r>
      </w:ins>
      <w:r>
        <w:rPr>
          <w:noProof/>
          <w:szCs w:val="22"/>
          <w:lang w:val="it-IT"/>
        </w:rPr>
        <w:t>290) (p </w:t>
      </w:r>
      <w:r>
        <w:rPr>
          <w:noProof/>
          <w:szCs w:val="22"/>
          <w:lang w:val="it-IT"/>
        </w:rPr>
        <w:sym w:font="Symbol" w:char="F0A3"/>
      </w:r>
      <w:r>
        <w:rPr>
          <w:noProof/>
          <w:szCs w:val="22"/>
          <w:lang w:val="it-IT"/>
        </w:rPr>
        <w:t> 0,001). Questo dato rimane costante nei 2 anni di trattamento (83%; n</w:t>
      </w:r>
      <w:ins w:id="5450" w:author="Author">
        <w:r>
          <w:rPr>
            <w:noProof/>
            <w:szCs w:val="22"/>
            <w:lang w:val="it-IT"/>
          </w:rPr>
          <w:t> </w:t>
        </w:r>
      </w:ins>
      <w:r>
        <w:rPr>
          <w:noProof/>
          <w:szCs w:val="22"/>
          <w:lang w:val="it-IT"/>
        </w:rPr>
        <w:t>=</w:t>
      </w:r>
      <w:ins w:id="5451" w:author="Author">
        <w:r>
          <w:rPr>
            <w:noProof/>
            <w:szCs w:val="22"/>
            <w:lang w:val="it-IT"/>
          </w:rPr>
          <w:t> </w:t>
        </w:r>
      </w:ins>
      <w:r>
        <w:rPr>
          <w:noProof/>
          <w:szCs w:val="22"/>
          <w:lang w:val="it-IT"/>
        </w:rPr>
        <w:t>353). Il 93% dei pazienti (n</w:t>
      </w:r>
      <w:ins w:id="5452" w:author="Author">
        <w:r>
          <w:rPr>
            <w:noProof/>
            <w:szCs w:val="22"/>
            <w:lang w:val="it-IT"/>
          </w:rPr>
          <w:t> </w:t>
        </w:r>
      </w:ins>
      <w:r>
        <w:rPr>
          <w:noProof/>
          <w:szCs w:val="22"/>
          <w:lang w:val="it-IT"/>
        </w:rPr>
        <w:t>=</w:t>
      </w:r>
      <w:ins w:id="5453" w:author="Author">
        <w:r>
          <w:rPr>
            <w:noProof/>
            <w:szCs w:val="22"/>
            <w:lang w:val="it-IT"/>
          </w:rPr>
          <w:t> </w:t>
        </w:r>
      </w:ins>
      <w:r>
        <w:rPr>
          <w:noProof/>
          <w:szCs w:val="22"/>
          <w:lang w:val="it-IT"/>
        </w:rPr>
        <w:t>271) non ha avuto progressione del danno articolare tra la settimana 52 e la settimana 104.</w:t>
      </w:r>
    </w:p>
    <w:p>
      <w:pPr>
        <w:tabs>
          <w:tab w:val="left" w:pos="180"/>
        </w:tabs>
        <w:rPr>
          <w:b/>
          <w:i/>
          <w:noProof/>
          <w:lang w:val="it-IT"/>
        </w:rPr>
      </w:pPr>
    </w:p>
    <w:p>
      <w:pPr>
        <w:tabs>
          <w:tab w:val="left" w:pos="180"/>
        </w:tabs>
        <w:rPr>
          <w:i/>
          <w:noProof/>
          <w:u w:val="single"/>
          <w:lang w:val="it-IT"/>
        </w:rPr>
      </w:pPr>
      <w:r>
        <w:rPr>
          <w:i/>
          <w:noProof/>
          <w:u w:val="single"/>
          <w:lang w:val="it-IT"/>
        </w:rPr>
        <w:t>Esiti correlati alla salute e alla qualità di vita</w:t>
      </w:r>
    </w:p>
    <w:p>
      <w:pPr>
        <w:numPr>
          <w:ilvl w:val="12"/>
          <w:numId w:val="0"/>
        </w:numPr>
        <w:tabs>
          <w:tab w:val="left" w:pos="180"/>
        </w:tabs>
        <w:ind w:right="-2"/>
        <w:rPr>
          <w:rFonts w:eastAsia="MS Mincho"/>
          <w:noProof/>
          <w:lang w:val="it-IT"/>
        </w:rPr>
      </w:pPr>
      <w:r>
        <w:rPr>
          <w:noProof/>
          <w:lang w:val="it-IT"/>
        </w:rPr>
        <w:t xml:space="preserve">I pazienti trattati con tocilizumab hanno riportato un miglioramento in tutti gli esiti riferiti dal paziente (questionari: Health Assessment Questionnaire Disability Index - HAQ-DI, Short Form-36 e Functional Assessment of Chronic Illness Therapy). Miglioramenti statisticamente significativi nei punteggi dell’HAQ-DI sono stati osservati nei pazienti trattati con tocilizumab rispetto ai pazienti trattati con DMARD. Durante il periodo in aperto dello </w:t>
      </w:r>
      <w:del w:id="5454" w:author="Author">
        <w:r>
          <w:rPr>
            <w:noProof/>
            <w:lang w:val="it-IT"/>
          </w:rPr>
          <w:delText>s</w:delText>
        </w:r>
      </w:del>
      <w:ins w:id="5455" w:author="Author">
        <w:r>
          <w:rPr>
            <w:noProof/>
            <w:lang w:val="it-IT"/>
          </w:rPr>
          <w:t>S</w:t>
        </w:r>
      </w:ins>
      <w:r>
        <w:rPr>
          <w:noProof/>
          <w:lang w:val="it-IT"/>
        </w:rPr>
        <w:t>tudio II, il miglioramento della funzione fisica si è mantenuto fino ai 2 anni. Alla settimana 52, il cambiamento medio di HAQ-DI è stato -0,58 nel gruppo di tocilizumab 8 mg/kg più MTX rispetto a -0,39 nel gruppo placebo + MTX. Il cambiamento medio di HAQ-DI si è mantenuto costante alla settimana 104 nel gruppo di tocilizumab 8 mg/kg più MTX (-0,61).</w:t>
      </w:r>
    </w:p>
    <w:p>
      <w:pPr>
        <w:numPr>
          <w:ilvl w:val="12"/>
          <w:numId w:val="0"/>
        </w:numPr>
        <w:tabs>
          <w:tab w:val="left" w:pos="180"/>
        </w:tabs>
        <w:ind w:right="-2"/>
        <w:rPr>
          <w:rFonts w:eastAsia="MS Mincho"/>
          <w:noProof/>
          <w:lang w:val="it-IT"/>
        </w:rPr>
      </w:pPr>
    </w:p>
    <w:p>
      <w:pPr>
        <w:numPr>
          <w:ilvl w:val="12"/>
          <w:numId w:val="0"/>
        </w:numPr>
        <w:tabs>
          <w:tab w:val="left" w:pos="180"/>
        </w:tabs>
        <w:ind w:right="-2"/>
        <w:rPr>
          <w:i/>
          <w:noProof/>
          <w:u w:val="single"/>
          <w:lang w:val="it-IT"/>
        </w:rPr>
      </w:pPr>
      <w:r>
        <w:rPr>
          <w:i/>
          <w:noProof/>
          <w:u w:val="single"/>
          <w:lang w:val="it-IT"/>
        </w:rPr>
        <w:t xml:space="preserve">Livelli dell’emoglobina </w:t>
      </w:r>
    </w:p>
    <w:p>
      <w:pPr>
        <w:numPr>
          <w:ilvl w:val="12"/>
          <w:numId w:val="0"/>
        </w:numPr>
        <w:tabs>
          <w:tab w:val="left" w:pos="180"/>
        </w:tabs>
        <w:ind w:right="-2"/>
        <w:rPr>
          <w:noProof/>
          <w:lang w:val="it-IT"/>
        </w:rPr>
      </w:pPr>
      <w:r>
        <w:rPr>
          <w:noProof/>
          <w:lang w:val="it-IT"/>
        </w:rPr>
        <w:t xml:space="preserve">Miglioramenti statisticamente significativi dei livelli di emoglobina sono stati osservati con tocilizumab rispetto ai DMARD (p &lt;0,0001) alla settimana 24. I livelli medi di emoglobina sono aumentati entro la settimana 2 e si sono mantenuti nell’intervallo di normalità fino alla settimana 24. </w:t>
      </w:r>
    </w:p>
    <w:p>
      <w:pPr>
        <w:tabs>
          <w:tab w:val="left" w:pos="180"/>
        </w:tabs>
        <w:rPr>
          <w:noProof/>
          <w:lang w:val="it-IT"/>
        </w:rPr>
      </w:pPr>
    </w:p>
    <w:p>
      <w:pPr>
        <w:numPr>
          <w:ilvl w:val="12"/>
          <w:numId w:val="0"/>
        </w:numPr>
        <w:tabs>
          <w:tab w:val="left" w:pos="180"/>
        </w:tabs>
        <w:ind w:right="-2"/>
        <w:rPr>
          <w:i/>
          <w:noProof/>
          <w:u w:val="single"/>
          <w:lang w:val="it-IT"/>
        </w:rPr>
      </w:pPr>
      <w:r>
        <w:rPr>
          <w:noProof/>
          <w:u w:val="single"/>
          <w:lang w:val="it-IT"/>
        </w:rPr>
        <w:t xml:space="preserve">Tocilizumab </w:t>
      </w:r>
      <w:r>
        <w:rPr>
          <w:i/>
          <w:noProof/>
          <w:u w:val="single"/>
          <w:lang w:val="it-IT"/>
        </w:rPr>
        <w:t>versus adalimumab in monoterapia</w:t>
      </w:r>
    </w:p>
    <w:p>
      <w:pPr>
        <w:numPr>
          <w:ilvl w:val="12"/>
          <w:numId w:val="0"/>
        </w:numPr>
        <w:tabs>
          <w:tab w:val="left" w:pos="180"/>
        </w:tabs>
        <w:ind w:right="-2"/>
        <w:rPr>
          <w:noProof/>
          <w:lang w:val="it-IT"/>
        </w:rPr>
      </w:pPr>
      <w:r>
        <w:rPr>
          <w:noProof/>
          <w:lang w:val="it-IT"/>
        </w:rPr>
        <w:t xml:space="preserve">Lo </w:t>
      </w:r>
      <w:del w:id="5456" w:author="Author">
        <w:r>
          <w:rPr>
            <w:noProof/>
            <w:lang w:val="it-IT"/>
          </w:rPr>
          <w:delText>s</w:delText>
        </w:r>
      </w:del>
      <w:ins w:id="5457" w:author="Author">
        <w:r>
          <w:rPr>
            <w:noProof/>
            <w:lang w:val="it-IT"/>
          </w:rPr>
          <w:t>S</w:t>
        </w:r>
      </w:ins>
      <w:r>
        <w:rPr>
          <w:noProof/>
          <w:lang w:val="it-IT"/>
        </w:rPr>
        <w:t>tudio VI (WA19924), uno studio clinico in doppio cieco di 24 settimane che ha confrontato la monoterapia di tocilizumab con la monoterapia di adalimumab, ha coinvolto 326 pazienti affetti da AR intolleranti al MTX o per i quali il trattamento continuato con MTX era considerato inappropriato (compresi pazienti con risposta inadeguata a MTX). I pazienti nel braccio tocilizumab hanno ricevuto una infusione endovenosa di tocilizumab (8 mg/kg) ogni 4 settimane (q4w) ed una iniezione sottocute di placebo ogni 2 settimane (q2w). I pazienti nel braccio adalimumab hanno ricevuto una iniezione sottocutanea di adalimumab (40 mg) q2w ed un’infusione endovenosa di placebo q4w.</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Un effetto superiore del trattamento statisticamente significativo è stato osservato in favore di tocilizumab rispetto ad adalimumab nel controllo nell’attività di malattia dal basale alla settimana 24 per l’endpoint primario di variazione nel DAS28 e per tutti gli endpoint secondari (Tabella 7).</w:t>
      </w:r>
    </w:p>
    <w:p>
      <w:pPr>
        <w:numPr>
          <w:ilvl w:val="12"/>
          <w:numId w:val="0"/>
        </w:numPr>
        <w:tabs>
          <w:tab w:val="left" w:pos="180"/>
        </w:tabs>
        <w:rPr>
          <w:noProof/>
          <w:lang w:val="it-IT"/>
        </w:rPr>
      </w:pPr>
    </w:p>
    <w:p>
      <w:pPr>
        <w:keepNext/>
        <w:keepLines/>
        <w:tabs>
          <w:tab w:val="left" w:pos="180"/>
        </w:tabs>
        <w:rPr>
          <w:bCs/>
          <w:i/>
          <w:noProof/>
          <w:szCs w:val="22"/>
          <w:lang w:val="it-IT"/>
        </w:rPr>
      </w:pPr>
      <w:r>
        <w:rPr>
          <w:bCs/>
          <w:i/>
          <w:noProof/>
          <w:szCs w:val="22"/>
          <w:lang w:val="it-IT"/>
        </w:rPr>
        <w:lastRenderedPageBreak/>
        <w:t xml:space="preserve">Tabella 7: Risultati di efficacia per lo </w:t>
      </w:r>
      <w:del w:id="5458" w:author="Author">
        <w:r>
          <w:rPr>
            <w:bCs/>
            <w:i/>
            <w:noProof/>
            <w:szCs w:val="22"/>
            <w:lang w:val="it-IT"/>
          </w:rPr>
          <w:delText xml:space="preserve">studio </w:delText>
        </w:r>
      </w:del>
      <w:ins w:id="5459" w:author="Author">
        <w:r>
          <w:rPr>
            <w:bCs/>
            <w:i/>
            <w:noProof/>
            <w:szCs w:val="22"/>
            <w:lang w:val="it-IT"/>
          </w:rPr>
          <w:t xml:space="preserve">Studio </w:t>
        </w:r>
      </w:ins>
      <w:r>
        <w:rPr>
          <w:bCs/>
          <w:i/>
          <w:noProof/>
          <w:szCs w:val="22"/>
          <w:lang w:val="it-IT"/>
        </w:rPr>
        <w:t>VI (WA19924)</w:t>
      </w:r>
    </w:p>
    <w:p>
      <w:pPr>
        <w:keepNext/>
        <w:keepLines/>
        <w:tabs>
          <w:tab w:val="left" w:pos="180"/>
        </w:tabs>
        <w:rPr>
          <w:noProof/>
          <w:szCs w:val="22"/>
          <w:lang w:val="it-IT"/>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5460" w:author="Author">
          <w:tblPr>
            <w:tblW w:w="795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PrChange>
      </w:tblPr>
      <w:tblGrid>
        <w:gridCol w:w="3775"/>
        <w:gridCol w:w="1935"/>
        <w:gridCol w:w="1935"/>
        <w:gridCol w:w="1422"/>
        <w:tblGridChange w:id="5461">
          <w:tblGrid>
            <w:gridCol w:w="3350"/>
            <w:gridCol w:w="1610"/>
            <w:gridCol w:w="1701"/>
            <w:gridCol w:w="1275"/>
            <w:gridCol w:w="14"/>
          </w:tblGrid>
        </w:tblGridChange>
      </w:tblGrid>
      <w:tr>
        <w:trPr>
          <w:cantSplit/>
          <w:tblHeader/>
          <w:trPrChange w:id="5462" w:author="Author">
            <w:trPr>
              <w:gridAfter w:val="0"/>
              <w:wAfter w:w="14" w:type="dxa"/>
              <w:cantSplit/>
            </w:trPr>
          </w:trPrChange>
        </w:trPr>
        <w:tc>
          <w:tcPr>
            <w:tcW w:w="3775" w:type="dxa"/>
            <w:tcMar>
              <w:top w:w="0" w:type="dxa"/>
              <w:left w:w="57" w:type="dxa"/>
              <w:bottom w:w="0" w:type="dxa"/>
              <w:right w:w="57" w:type="dxa"/>
            </w:tcMar>
            <w:vAlign w:val="bottom"/>
            <w:tcPrChange w:id="5463" w:author="Author">
              <w:tcPr>
                <w:tcW w:w="3350" w:type="dxa"/>
                <w:tcMar>
                  <w:top w:w="0" w:type="dxa"/>
                  <w:left w:w="57" w:type="dxa"/>
                  <w:bottom w:w="0" w:type="dxa"/>
                  <w:right w:w="57" w:type="dxa"/>
                </w:tcMar>
                <w:vAlign w:val="bottom"/>
              </w:tcPr>
            </w:tcPrChange>
          </w:tcPr>
          <w:p>
            <w:pPr>
              <w:keepNext/>
              <w:tabs>
                <w:tab w:val="left" w:pos="180"/>
              </w:tabs>
              <w:suppressAutoHyphens/>
              <w:rPr>
                <w:noProof/>
                <w:sz w:val="20"/>
                <w:lang w:val="it-IT" w:eastAsia="zh-TW"/>
                <w:rPrChange w:id="5464" w:author="Author">
                  <w:rPr>
                    <w:szCs w:val="22"/>
                    <w:lang w:val="it-IT" w:eastAsia="zh-TW"/>
                  </w:rPr>
                </w:rPrChange>
              </w:rPr>
              <w:pPrChange w:id="5465" w:author="Author">
                <w:pPr>
                  <w:keepNext/>
                  <w:keepLines/>
                  <w:tabs>
                    <w:tab w:val="left" w:pos="180"/>
                  </w:tabs>
                </w:pPr>
              </w:pPrChange>
            </w:pPr>
          </w:p>
        </w:tc>
        <w:tc>
          <w:tcPr>
            <w:tcW w:w="1935" w:type="dxa"/>
            <w:tcMar>
              <w:top w:w="0" w:type="dxa"/>
              <w:left w:w="57" w:type="dxa"/>
              <w:bottom w:w="0" w:type="dxa"/>
              <w:right w:w="57" w:type="dxa"/>
            </w:tcMar>
            <w:vAlign w:val="bottom"/>
            <w:tcPrChange w:id="5466" w:author="Author">
              <w:tcPr>
                <w:tcW w:w="1610" w:type="dxa"/>
                <w:tcMar>
                  <w:top w:w="0" w:type="dxa"/>
                  <w:left w:w="57" w:type="dxa"/>
                  <w:bottom w:w="0" w:type="dxa"/>
                  <w:right w:w="57" w:type="dxa"/>
                </w:tcMar>
                <w:vAlign w:val="bottom"/>
              </w:tcPr>
            </w:tcPrChange>
          </w:tcPr>
          <w:p>
            <w:pPr>
              <w:keepNext/>
              <w:tabs>
                <w:tab w:val="left" w:pos="180"/>
              </w:tabs>
              <w:suppressAutoHyphens/>
              <w:jc w:val="center"/>
              <w:rPr>
                <w:rFonts w:eastAsia="SimSun"/>
                <w:b/>
                <w:noProof/>
                <w:sz w:val="20"/>
                <w:lang w:val="it-IT"/>
                <w:rPrChange w:id="5467" w:author="Author">
                  <w:rPr>
                    <w:rFonts w:eastAsia="SimSun"/>
                    <w:b/>
                    <w:szCs w:val="22"/>
                    <w:lang w:val="it-IT"/>
                  </w:rPr>
                </w:rPrChange>
              </w:rPr>
              <w:pPrChange w:id="5468" w:author="Author">
                <w:pPr>
                  <w:keepNext/>
                  <w:keepLines/>
                  <w:tabs>
                    <w:tab w:val="left" w:pos="180"/>
                  </w:tabs>
                  <w:spacing w:before="50" w:after="50" w:line="240" w:lineRule="exact"/>
                  <w:jc w:val="center"/>
                </w:pPr>
              </w:pPrChange>
            </w:pPr>
            <w:r>
              <w:rPr>
                <w:b/>
                <w:noProof/>
                <w:sz w:val="20"/>
                <w:lang w:val="it-IT"/>
                <w:rPrChange w:id="5469" w:author="Author">
                  <w:rPr>
                    <w:b/>
                    <w:szCs w:val="22"/>
                    <w:lang w:val="it-IT"/>
                  </w:rPr>
                </w:rPrChange>
              </w:rPr>
              <w:t>ADA + Placebo (IV)</w:t>
            </w:r>
          </w:p>
          <w:p>
            <w:pPr>
              <w:keepNext/>
              <w:tabs>
                <w:tab w:val="left" w:pos="180"/>
              </w:tabs>
              <w:suppressAutoHyphens/>
              <w:jc w:val="center"/>
              <w:rPr>
                <w:rFonts w:eastAsia="SimSun"/>
                <w:b/>
                <w:noProof/>
                <w:sz w:val="20"/>
                <w:lang w:val="it-IT"/>
                <w:rPrChange w:id="5470" w:author="Author">
                  <w:rPr>
                    <w:rFonts w:eastAsia="SimSun"/>
                    <w:b/>
                    <w:szCs w:val="22"/>
                    <w:lang w:val="it-IT"/>
                  </w:rPr>
                </w:rPrChange>
              </w:rPr>
              <w:pPrChange w:id="5471" w:author="Author">
                <w:pPr>
                  <w:keepNext/>
                  <w:keepLines/>
                  <w:tabs>
                    <w:tab w:val="left" w:pos="180"/>
                  </w:tabs>
                  <w:spacing w:before="50" w:after="50" w:line="240" w:lineRule="exact"/>
                  <w:jc w:val="center"/>
                </w:pPr>
              </w:pPrChange>
            </w:pPr>
            <w:del w:id="5472" w:author="Author">
              <w:r>
                <w:rPr>
                  <w:b/>
                  <w:noProof/>
                  <w:sz w:val="20"/>
                  <w:lang w:val="it-IT"/>
                  <w:rPrChange w:id="5473" w:author="Author">
                    <w:rPr>
                      <w:b/>
                      <w:szCs w:val="22"/>
                      <w:lang w:val="it-IT"/>
                    </w:rPr>
                  </w:rPrChange>
                </w:rPr>
                <w:delText xml:space="preserve">N </w:delText>
              </w:r>
            </w:del>
            <w:ins w:id="5474" w:author="Author">
              <w:r>
                <w:rPr>
                  <w:b/>
                  <w:noProof/>
                  <w:sz w:val="20"/>
                  <w:lang w:val="it-IT"/>
                  <w:rPrChange w:id="5475" w:author="Author">
                    <w:rPr>
                      <w:b/>
                      <w:szCs w:val="22"/>
                      <w:lang w:val="it-IT"/>
                    </w:rPr>
                  </w:rPrChange>
                </w:rPr>
                <w:t>n </w:t>
              </w:r>
            </w:ins>
            <w:r>
              <w:rPr>
                <w:b/>
                <w:noProof/>
                <w:sz w:val="20"/>
                <w:lang w:val="it-IT"/>
                <w:rPrChange w:id="5476" w:author="Author">
                  <w:rPr>
                    <w:b/>
                    <w:szCs w:val="22"/>
                    <w:lang w:val="it-IT"/>
                  </w:rPr>
                </w:rPrChange>
              </w:rPr>
              <w:t>=</w:t>
            </w:r>
            <w:ins w:id="5477" w:author="Author">
              <w:r>
                <w:rPr>
                  <w:b/>
                  <w:noProof/>
                  <w:sz w:val="20"/>
                  <w:lang w:val="it-IT"/>
                  <w:rPrChange w:id="5478" w:author="Author">
                    <w:rPr>
                      <w:b/>
                      <w:szCs w:val="22"/>
                      <w:lang w:val="it-IT"/>
                    </w:rPr>
                  </w:rPrChange>
                </w:rPr>
                <w:t> </w:t>
              </w:r>
            </w:ins>
            <w:del w:id="5479" w:author="Author">
              <w:r>
                <w:rPr>
                  <w:b/>
                  <w:noProof/>
                  <w:sz w:val="20"/>
                  <w:lang w:val="it-IT"/>
                  <w:rPrChange w:id="5480" w:author="Author">
                    <w:rPr>
                      <w:b/>
                      <w:szCs w:val="22"/>
                      <w:lang w:val="it-IT"/>
                    </w:rPr>
                  </w:rPrChange>
                </w:rPr>
                <w:delText xml:space="preserve"> </w:delText>
              </w:r>
            </w:del>
            <w:r>
              <w:rPr>
                <w:b/>
                <w:noProof/>
                <w:sz w:val="20"/>
                <w:lang w:val="it-IT"/>
                <w:rPrChange w:id="5481" w:author="Author">
                  <w:rPr>
                    <w:b/>
                    <w:szCs w:val="22"/>
                    <w:lang w:val="it-IT"/>
                  </w:rPr>
                </w:rPrChange>
              </w:rPr>
              <w:t>162</w:t>
            </w:r>
          </w:p>
        </w:tc>
        <w:tc>
          <w:tcPr>
            <w:tcW w:w="1935" w:type="dxa"/>
            <w:tcMar>
              <w:top w:w="0" w:type="dxa"/>
              <w:left w:w="57" w:type="dxa"/>
              <w:bottom w:w="0" w:type="dxa"/>
              <w:right w:w="57" w:type="dxa"/>
            </w:tcMar>
            <w:vAlign w:val="bottom"/>
            <w:tcPrChange w:id="5482" w:author="Author">
              <w:tcPr>
                <w:tcW w:w="1701" w:type="dxa"/>
                <w:tcMar>
                  <w:top w:w="0" w:type="dxa"/>
                  <w:left w:w="57" w:type="dxa"/>
                  <w:bottom w:w="0" w:type="dxa"/>
                  <w:right w:w="57" w:type="dxa"/>
                </w:tcMar>
                <w:vAlign w:val="bottom"/>
              </w:tcPr>
            </w:tcPrChange>
          </w:tcPr>
          <w:p>
            <w:pPr>
              <w:keepNext/>
              <w:tabs>
                <w:tab w:val="left" w:pos="180"/>
              </w:tabs>
              <w:suppressAutoHyphens/>
              <w:jc w:val="center"/>
              <w:rPr>
                <w:rFonts w:eastAsia="SimSun"/>
                <w:b/>
                <w:noProof/>
                <w:sz w:val="20"/>
                <w:lang w:val="it-IT"/>
                <w:rPrChange w:id="5483" w:author="Author">
                  <w:rPr>
                    <w:rFonts w:eastAsia="SimSun"/>
                    <w:b/>
                    <w:szCs w:val="22"/>
                    <w:lang w:val="it-IT"/>
                  </w:rPr>
                </w:rPrChange>
              </w:rPr>
              <w:pPrChange w:id="5484" w:author="Author">
                <w:pPr>
                  <w:keepNext/>
                  <w:keepLines/>
                  <w:tabs>
                    <w:tab w:val="left" w:pos="180"/>
                  </w:tabs>
                  <w:spacing w:before="50" w:after="50" w:line="240" w:lineRule="exact"/>
                  <w:jc w:val="center"/>
                </w:pPr>
              </w:pPrChange>
            </w:pPr>
            <w:r>
              <w:rPr>
                <w:b/>
                <w:noProof/>
                <w:sz w:val="20"/>
                <w:lang w:val="it-IT"/>
                <w:rPrChange w:id="5485" w:author="Author">
                  <w:rPr>
                    <w:b/>
                    <w:szCs w:val="22"/>
                    <w:lang w:val="it-IT"/>
                  </w:rPr>
                </w:rPrChange>
              </w:rPr>
              <w:t>TCZ + Placebo (SC)</w:t>
            </w:r>
          </w:p>
          <w:p>
            <w:pPr>
              <w:keepNext/>
              <w:tabs>
                <w:tab w:val="left" w:pos="180"/>
              </w:tabs>
              <w:suppressAutoHyphens/>
              <w:jc w:val="center"/>
              <w:rPr>
                <w:rFonts w:eastAsia="SimSun"/>
                <w:b/>
                <w:noProof/>
                <w:sz w:val="20"/>
                <w:lang w:val="it-IT"/>
                <w:rPrChange w:id="5486" w:author="Author">
                  <w:rPr>
                    <w:rFonts w:eastAsia="SimSun"/>
                    <w:b/>
                    <w:szCs w:val="22"/>
                    <w:lang w:val="it-IT"/>
                  </w:rPr>
                </w:rPrChange>
              </w:rPr>
              <w:pPrChange w:id="5487" w:author="Author">
                <w:pPr>
                  <w:keepNext/>
                  <w:keepLines/>
                  <w:tabs>
                    <w:tab w:val="left" w:pos="180"/>
                  </w:tabs>
                  <w:spacing w:before="50" w:after="50" w:line="240" w:lineRule="exact"/>
                  <w:jc w:val="center"/>
                </w:pPr>
              </w:pPrChange>
            </w:pPr>
            <w:del w:id="5488" w:author="Author">
              <w:r>
                <w:rPr>
                  <w:b/>
                  <w:noProof/>
                  <w:sz w:val="20"/>
                  <w:lang w:val="it-IT"/>
                  <w:rPrChange w:id="5489" w:author="Author">
                    <w:rPr>
                      <w:b/>
                      <w:szCs w:val="22"/>
                      <w:lang w:val="it-IT"/>
                    </w:rPr>
                  </w:rPrChange>
                </w:rPr>
                <w:delText xml:space="preserve">N </w:delText>
              </w:r>
            </w:del>
            <w:ins w:id="5490" w:author="Author">
              <w:r>
                <w:rPr>
                  <w:b/>
                  <w:noProof/>
                  <w:sz w:val="20"/>
                  <w:lang w:val="it-IT"/>
                  <w:rPrChange w:id="5491" w:author="Author">
                    <w:rPr>
                      <w:b/>
                      <w:szCs w:val="22"/>
                      <w:lang w:val="it-IT"/>
                    </w:rPr>
                  </w:rPrChange>
                </w:rPr>
                <w:t>n </w:t>
              </w:r>
            </w:ins>
            <w:r>
              <w:rPr>
                <w:b/>
                <w:noProof/>
                <w:sz w:val="20"/>
                <w:lang w:val="it-IT"/>
                <w:rPrChange w:id="5492" w:author="Author">
                  <w:rPr>
                    <w:b/>
                    <w:szCs w:val="22"/>
                    <w:lang w:val="it-IT"/>
                  </w:rPr>
                </w:rPrChange>
              </w:rPr>
              <w:t>=</w:t>
            </w:r>
            <w:ins w:id="5493" w:author="Author">
              <w:r>
                <w:rPr>
                  <w:b/>
                  <w:noProof/>
                  <w:sz w:val="20"/>
                  <w:lang w:val="it-IT"/>
                  <w:rPrChange w:id="5494" w:author="Author">
                    <w:rPr>
                      <w:b/>
                      <w:szCs w:val="22"/>
                      <w:lang w:val="it-IT"/>
                    </w:rPr>
                  </w:rPrChange>
                </w:rPr>
                <w:t> </w:t>
              </w:r>
            </w:ins>
            <w:del w:id="5495" w:author="Author">
              <w:r>
                <w:rPr>
                  <w:b/>
                  <w:noProof/>
                  <w:sz w:val="20"/>
                  <w:lang w:val="it-IT"/>
                  <w:rPrChange w:id="5496" w:author="Author">
                    <w:rPr>
                      <w:b/>
                      <w:szCs w:val="22"/>
                      <w:lang w:val="it-IT"/>
                    </w:rPr>
                  </w:rPrChange>
                </w:rPr>
                <w:delText xml:space="preserve"> </w:delText>
              </w:r>
            </w:del>
            <w:r>
              <w:rPr>
                <w:b/>
                <w:noProof/>
                <w:sz w:val="20"/>
                <w:lang w:val="it-IT"/>
                <w:rPrChange w:id="5497" w:author="Author">
                  <w:rPr>
                    <w:b/>
                    <w:szCs w:val="22"/>
                    <w:lang w:val="it-IT"/>
                  </w:rPr>
                </w:rPrChange>
              </w:rPr>
              <w:t>163</w:t>
            </w:r>
          </w:p>
        </w:tc>
        <w:tc>
          <w:tcPr>
            <w:tcW w:w="1422" w:type="dxa"/>
            <w:tcMar>
              <w:top w:w="0" w:type="dxa"/>
              <w:left w:w="57" w:type="dxa"/>
              <w:bottom w:w="0" w:type="dxa"/>
              <w:right w:w="57" w:type="dxa"/>
            </w:tcMar>
            <w:vAlign w:val="bottom"/>
            <w:tcPrChange w:id="5498" w:author="Author">
              <w:tcPr>
                <w:tcW w:w="1275" w:type="dxa"/>
                <w:tcMar>
                  <w:top w:w="0" w:type="dxa"/>
                  <w:left w:w="57" w:type="dxa"/>
                  <w:bottom w:w="0" w:type="dxa"/>
                  <w:right w:w="57" w:type="dxa"/>
                </w:tcMar>
                <w:vAlign w:val="bottom"/>
              </w:tcPr>
            </w:tcPrChange>
          </w:tcPr>
          <w:p>
            <w:pPr>
              <w:keepNext/>
              <w:tabs>
                <w:tab w:val="left" w:pos="180"/>
              </w:tabs>
              <w:suppressAutoHyphens/>
              <w:jc w:val="center"/>
              <w:rPr>
                <w:rFonts w:eastAsia="SimSun"/>
                <w:b/>
                <w:bCs/>
                <w:noProof/>
                <w:sz w:val="20"/>
                <w:lang w:val="it-IT"/>
                <w:rPrChange w:id="5499" w:author="Author">
                  <w:rPr>
                    <w:rFonts w:eastAsia="SimSun"/>
                    <w:szCs w:val="22"/>
                    <w:lang w:val="it-IT"/>
                  </w:rPr>
                </w:rPrChange>
              </w:rPr>
              <w:pPrChange w:id="5500" w:author="Author">
                <w:pPr>
                  <w:keepNext/>
                  <w:keepLines/>
                  <w:tabs>
                    <w:tab w:val="left" w:pos="180"/>
                  </w:tabs>
                  <w:spacing w:before="50" w:after="50" w:line="240" w:lineRule="exact"/>
                  <w:jc w:val="center"/>
                </w:pPr>
              </w:pPrChange>
            </w:pPr>
            <w:r>
              <w:rPr>
                <w:b/>
                <w:bCs/>
                <w:noProof/>
                <w:sz w:val="20"/>
                <w:lang w:val="it-IT"/>
                <w:rPrChange w:id="5501" w:author="Author">
                  <w:rPr>
                    <w:szCs w:val="22"/>
                    <w:lang w:val="it-IT"/>
                  </w:rPr>
                </w:rPrChange>
              </w:rPr>
              <w:t>p-valore</w:t>
            </w:r>
            <w:r>
              <w:rPr>
                <w:b/>
                <w:bCs/>
                <w:noProof/>
                <w:sz w:val="20"/>
                <w:vertAlign w:val="superscript"/>
                <w:lang w:val="it-IT"/>
                <w:rPrChange w:id="5502" w:author="Author">
                  <w:rPr>
                    <w:szCs w:val="22"/>
                    <w:vertAlign w:val="superscript"/>
                    <w:lang w:val="it-IT"/>
                  </w:rPr>
                </w:rPrChange>
              </w:rPr>
              <w:t>(a)</w:t>
            </w:r>
          </w:p>
        </w:tc>
      </w:tr>
      <w:tr>
        <w:trPr>
          <w:cantSplit/>
          <w:trPrChange w:id="5503" w:author="Author">
            <w:trPr>
              <w:cantSplit/>
            </w:trPr>
          </w:trPrChange>
        </w:trPr>
        <w:tc>
          <w:tcPr>
            <w:tcW w:w="9067" w:type="dxa"/>
            <w:gridSpan w:val="4"/>
            <w:tcMar>
              <w:top w:w="0" w:type="dxa"/>
              <w:left w:w="57" w:type="dxa"/>
              <w:bottom w:w="0" w:type="dxa"/>
              <w:right w:w="57" w:type="dxa"/>
            </w:tcMar>
            <w:tcPrChange w:id="5504" w:author="Author">
              <w:tcPr>
                <w:tcW w:w="7950" w:type="dxa"/>
                <w:gridSpan w:val="5"/>
                <w:tcMar>
                  <w:top w:w="0" w:type="dxa"/>
                  <w:left w:w="57" w:type="dxa"/>
                  <w:bottom w:w="0" w:type="dxa"/>
                  <w:right w:w="57" w:type="dxa"/>
                </w:tcMar>
              </w:tcPr>
            </w:tcPrChange>
          </w:tcPr>
          <w:p>
            <w:pPr>
              <w:keepNext/>
              <w:tabs>
                <w:tab w:val="left" w:pos="180"/>
              </w:tabs>
              <w:suppressAutoHyphens/>
              <w:rPr>
                <w:rFonts w:eastAsia="SimSun"/>
                <w:noProof/>
                <w:sz w:val="20"/>
                <w:lang w:val="it-IT"/>
                <w:rPrChange w:id="5505" w:author="Author">
                  <w:rPr>
                    <w:rFonts w:eastAsia="SimSun"/>
                    <w:szCs w:val="22"/>
                    <w:lang w:val="it-IT"/>
                  </w:rPr>
                </w:rPrChange>
              </w:rPr>
              <w:pPrChange w:id="5506" w:author="Author">
                <w:pPr>
                  <w:keepNext/>
                  <w:keepLines/>
                  <w:tabs>
                    <w:tab w:val="left" w:pos="180"/>
                  </w:tabs>
                  <w:spacing w:before="50" w:after="50" w:line="240" w:lineRule="exact"/>
                </w:pPr>
              </w:pPrChange>
            </w:pPr>
            <w:r>
              <w:rPr>
                <w:b/>
                <w:noProof/>
                <w:sz w:val="20"/>
                <w:lang w:val="it-IT"/>
                <w:rPrChange w:id="5507" w:author="Author">
                  <w:rPr>
                    <w:b/>
                    <w:szCs w:val="22"/>
                    <w:lang w:val="it-IT"/>
                  </w:rPr>
                </w:rPrChange>
              </w:rPr>
              <w:t>Endpoint primario – Variazione media dal basale alla settimana 24</w:t>
            </w:r>
          </w:p>
        </w:tc>
      </w:tr>
      <w:tr>
        <w:trPr>
          <w:cantSplit/>
          <w:trPrChange w:id="5508" w:author="Author">
            <w:trPr>
              <w:gridAfter w:val="0"/>
              <w:wAfter w:w="14" w:type="dxa"/>
              <w:cantSplit/>
            </w:trPr>
          </w:trPrChange>
        </w:trPr>
        <w:tc>
          <w:tcPr>
            <w:tcW w:w="3775" w:type="dxa"/>
            <w:tcMar>
              <w:top w:w="0" w:type="dxa"/>
              <w:left w:w="57" w:type="dxa"/>
              <w:bottom w:w="0" w:type="dxa"/>
              <w:right w:w="57" w:type="dxa"/>
            </w:tcMar>
            <w:tcPrChange w:id="5509" w:author="Author">
              <w:tcPr>
                <w:tcW w:w="3350" w:type="dxa"/>
                <w:tcMar>
                  <w:top w:w="0" w:type="dxa"/>
                  <w:left w:w="57" w:type="dxa"/>
                  <w:bottom w:w="0" w:type="dxa"/>
                  <w:right w:w="57" w:type="dxa"/>
                </w:tcMar>
              </w:tcPr>
            </w:tcPrChange>
          </w:tcPr>
          <w:p>
            <w:pPr>
              <w:keepNext/>
              <w:tabs>
                <w:tab w:val="left" w:pos="180"/>
              </w:tabs>
              <w:suppressAutoHyphens/>
              <w:jc w:val="right"/>
              <w:rPr>
                <w:rFonts w:eastAsia="SimSun"/>
                <w:bCs/>
                <w:noProof/>
                <w:sz w:val="20"/>
                <w:lang w:val="it-IT"/>
                <w:rPrChange w:id="5510" w:author="Author">
                  <w:rPr>
                    <w:rFonts w:eastAsia="SimSun"/>
                    <w:b/>
                    <w:szCs w:val="22"/>
                    <w:lang w:val="it-IT"/>
                  </w:rPr>
                </w:rPrChange>
              </w:rPr>
              <w:pPrChange w:id="5511" w:author="Author">
                <w:pPr>
                  <w:keepNext/>
                  <w:keepLines/>
                  <w:tabs>
                    <w:tab w:val="left" w:pos="180"/>
                  </w:tabs>
                  <w:spacing w:before="50" w:after="50" w:line="240" w:lineRule="exact"/>
                  <w:jc w:val="right"/>
                </w:pPr>
              </w:pPrChange>
            </w:pPr>
            <w:r>
              <w:rPr>
                <w:bCs/>
                <w:noProof/>
                <w:sz w:val="20"/>
                <w:lang w:val="it-IT"/>
                <w:rPrChange w:id="5512" w:author="Author">
                  <w:rPr>
                    <w:b/>
                    <w:szCs w:val="22"/>
                    <w:lang w:val="it-IT"/>
                  </w:rPr>
                </w:rPrChange>
              </w:rPr>
              <w:t xml:space="preserve">DAS28 (media aggiustata) </w:t>
            </w:r>
          </w:p>
        </w:tc>
        <w:tc>
          <w:tcPr>
            <w:tcW w:w="1935" w:type="dxa"/>
            <w:tcMar>
              <w:top w:w="0" w:type="dxa"/>
              <w:left w:w="57" w:type="dxa"/>
              <w:bottom w:w="0" w:type="dxa"/>
              <w:right w:w="57" w:type="dxa"/>
            </w:tcMar>
            <w:tcPrChange w:id="5513" w:author="Author">
              <w:tcPr>
                <w:tcW w:w="1610" w:type="dxa"/>
                <w:tcMar>
                  <w:top w:w="0" w:type="dxa"/>
                  <w:left w:w="57" w:type="dxa"/>
                  <w:bottom w:w="0" w:type="dxa"/>
                  <w:right w:w="57" w:type="dxa"/>
                </w:tcMar>
              </w:tcPr>
            </w:tcPrChange>
          </w:tcPr>
          <w:p>
            <w:pPr>
              <w:keepNext/>
              <w:tabs>
                <w:tab w:val="left" w:pos="180"/>
              </w:tabs>
              <w:suppressAutoHyphens/>
              <w:jc w:val="center"/>
              <w:rPr>
                <w:rFonts w:eastAsia="SimSun"/>
                <w:bCs/>
                <w:noProof/>
                <w:sz w:val="20"/>
                <w:lang w:val="it-IT"/>
                <w:rPrChange w:id="5514" w:author="Author">
                  <w:rPr>
                    <w:rFonts w:eastAsia="SimSun"/>
                    <w:b/>
                    <w:szCs w:val="22"/>
                    <w:lang w:val="it-IT"/>
                  </w:rPr>
                </w:rPrChange>
              </w:rPr>
              <w:pPrChange w:id="5515" w:author="Author">
                <w:pPr>
                  <w:keepNext/>
                  <w:keepLines/>
                  <w:tabs>
                    <w:tab w:val="left" w:pos="180"/>
                  </w:tabs>
                  <w:spacing w:before="50" w:after="50" w:line="240" w:lineRule="exact"/>
                  <w:jc w:val="center"/>
                </w:pPr>
              </w:pPrChange>
            </w:pPr>
            <w:r>
              <w:rPr>
                <w:bCs/>
                <w:noProof/>
                <w:sz w:val="20"/>
                <w:lang w:val="it-IT"/>
                <w:rPrChange w:id="5516" w:author="Author">
                  <w:rPr>
                    <w:b/>
                    <w:szCs w:val="22"/>
                    <w:lang w:val="it-IT"/>
                  </w:rPr>
                </w:rPrChange>
              </w:rPr>
              <w:t>-1,8</w:t>
            </w:r>
          </w:p>
        </w:tc>
        <w:tc>
          <w:tcPr>
            <w:tcW w:w="1935" w:type="dxa"/>
            <w:tcMar>
              <w:top w:w="0" w:type="dxa"/>
              <w:left w:w="57" w:type="dxa"/>
              <w:bottom w:w="0" w:type="dxa"/>
              <w:right w:w="57" w:type="dxa"/>
            </w:tcMar>
            <w:tcPrChange w:id="5517" w:author="Author">
              <w:tcPr>
                <w:tcW w:w="1701" w:type="dxa"/>
                <w:tcMar>
                  <w:top w:w="0" w:type="dxa"/>
                  <w:left w:w="57" w:type="dxa"/>
                  <w:bottom w:w="0" w:type="dxa"/>
                  <w:right w:w="57" w:type="dxa"/>
                </w:tcMar>
              </w:tcPr>
            </w:tcPrChange>
          </w:tcPr>
          <w:p>
            <w:pPr>
              <w:keepNext/>
              <w:tabs>
                <w:tab w:val="left" w:pos="180"/>
              </w:tabs>
              <w:suppressAutoHyphens/>
              <w:jc w:val="center"/>
              <w:rPr>
                <w:rFonts w:eastAsia="SimSun"/>
                <w:bCs/>
                <w:noProof/>
                <w:sz w:val="20"/>
                <w:lang w:val="it-IT"/>
                <w:rPrChange w:id="5518" w:author="Author">
                  <w:rPr>
                    <w:rFonts w:eastAsia="SimSun"/>
                    <w:b/>
                    <w:szCs w:val="22"/>
                    <w:lang w:val="it-IT"/>
                  </w:rPr>
                </w:rPrChange>
              </w:rPr>
              <w:pPrChange w:id="5519" w:author="Author">
                <w:pPr>
                  <w:keepNext/>
                  <w:keepLines/>
                  <w:tabs>
                    <w:tab w:val="left" w:pos="180"/>
                  </w:tabs>
                  <w:spacing w:before="50" w:after="50" w:line="240" w:lineRule="exact"/>
                  <w:jc w:val="center"/>
                </w:pPr>
              </w:pPrChange>
            </w:pPr>
            <w:r>
              <w:rPr>
                <w:bCs/>
                <w:noProof/>
                <w:sz w:val="20"/>
                <w:lang w:val="it-IT"/>
                <w:rPrChange w:id="5520" w:author="Author">
                  <w:rPr>
                    <w:b/>
                    <w:szCs w:val="22"/>
                    <w:lang w:val="it-IT"/>
                  </w:rPr>
                </w:rPrChange>
              </w:rPr>
              <w:t xml:space="preserve">-3,3 </w:t>
            </w:r>
          </w:p>
        </w:tc>
        <w:tc>
          <w:tcPr>
            <w:tcW w:w="1422" w:type="dxa"/>
            <w:tcMar>
              <w:top w:w="0" w:type="dxa"/>
              <w:left w:w="57" w:type="dxa"/>
              <w:bottom w:w="0" w:type="dxa"/>
              <w:right w:w="57" w:type="dxa"/>
            </w:tcMar>
            <w:tcPrChange w:id="5521" w:author="Author">
              <w:tcPr>
                <w:tcW w:w="1275" w:type="dxa"/>
                <w:tcMar>
                  <w:top w:w="0" w:type="dxa"/>
                  <w:left w:w="57" w:type="dxa"/>
                  <w:bottom w:w="0" w:type="dxa"/>
                  <w:right w:w="57" w:type="dxa"/>
                </w:tcMar>
              </w:tcPr>
            </w:tcPrChange>
          </w:tcPr>
          <w:p>
            <w:pPr>
              <w:keepNext/>
              <w:tabs>
                <w:tab w:val="left" w:pos="180"/>
              </w:tabs>
              <w:suppressAutoHyphens/>
              <w:jc w:val="center"/>
              <w:rPr>
                <w:rFonts w:eastAsia="SimSun"/>
                <w:bCs/>
                <w:noProof/>
                <w:sz w:val="20"/>
                <w:lang w:val="it-IT" w:eastAsia="zh-CN"/>
                <w:rPrChange w:id="5522" w:author="Author">
                  <w:rPr>
                    <w:rFonts w:eastAsia="SimSun"/>
                    <w:b/>
                    <w:szCs w:val="22"/>
                    <w:lang w:val="it-IT" w:eastAsia="zh-CN"/>
                  </w:rPr>
                </w:rPrChange>
              </w:rPr>
              <w:pPrChange w:id="5523" w:author="Author">
                <w:pPr>
                  <w:keepNext/>
                  <w:keepLines/>
                  <w:tabs>
                    <w:tab w:val="left" w:pos="180"/>
                  </w:tabs>
                  <w:spacing w:before="50" w:after="50" w:line="240" w:lineRule="exact"/>
                  <w:jc w:val="center"/>
                </w:pPr>
              </w:pPrChange>
            </w:pPr>
          </w:p>
        </w:tc>
      </w:tr>
      <w:tr>
        <w:trPr>
          <w:cantSplit/>
          <w:trPrChange w:id="5524" w:author="Author">
            <w:trPr>
              <w:gridAfter w:val="0"/>
              <w:wAfter w:w="14" w:type="dxa"/>
              <w:cantSplit/>
            </w:trPr>
          </w:trPrChange>
        </w:trPr>
        <w:tc>
          <w:tcPr>
            <w:tcW w:w="3775" w:type="dxa"/>
            <w:tcMar>
              <w:top w:w="0" w:type="dxa"/>
              <w:left w:w="57" w:type="dxa"/>
              <w:bottom w:w="0" w:type="dxa"/>
              <w:right w:w="57" w:type="dxa"/>
            </w:tcMar>
            <w:tcPrChange w:id="5525" w:author="Author">
              <w:tcPr>
                <w:tcW w:w="3350" w:type="dxa"/>
                <w:tcMar>
                  <w:top w:w="0" w:type="dxa"/>
                  <w:left w:w="57" w:type="dxa"/>
                  <w:bottom w:w="0" w:type="dxa"/>
                  <w:right w:w="57" w:type="dxa"/>
                </w:tcMar>
              </w:tcPr>
            </w:tcPrChange>
          </w:tcPr>
          <w:p>
            <w:pPr>
              <w:keepNext/>
              <w:tabs>
                <w:tab w:val="left" w:pos="180"/>
              </w:tabs>
              <w:suppressAutoHyphens/>
              <w:jc w:val="right"/>
              <w:rPr>
                <w:rFonts w:eastAsia="SimSun"/>
                <w:bCs/>
                <w:noProof/>
                <w:sz w:val="20"/>
                <w:lang w:val="it-IT"/>
                <w:rPrChange w:id="5526" w:author="Author">
                  <w:rPr>
                    <w:rFonts w:eastAsia="SimSun"/>
                    <w:b/>
                    <w:szCs w:val="22"/>
                    <w:lang w:val="it-IT"/>
                  </w:rPr>
                </w:rPrChange>
              </w:rPr>
              <w:pPrChange w:id="5527" w:author="Author">
                <w:pPr>
                  <w:keepNext/>
                  <w:keepLines/>
                  <w:tabs>
                    <w:tab w:val="left" w:pos="180"/>
                  </w:tabs>
                  <w:spacing w:before="50" w:after="50" w:line="240" w:lineRule="exact"/>
                  <w:jc w:val="right"/>
                </w:pPr>
              </w:pPrChange>
            </w:pPr>
            <w:r>
              <w:rPr>
                <w:bCs/>
                <w:noProof/>
                <w:sz w:val="20"/>
                <w:lang w:val="it-IT"/>
                <w:rPrChange w:id="5528" w:author="Author">
                  <w:rPr>
                    <w:b/>
                    <w:szCs w:val="22"/>
                    <w:lang w:val="it-IT"/>
                  </w:rPr>
                </w:rPrChange>
              </w:rPr>
              <w:t>Differenza nella media aggiustata (95% CI)</w:t>
            </w:r>
          </w:p>
        </w:tc>
        <w:tc>
          <w:tcPr>
            <w:tcW w:w="3870" w:type="dxa"/>
            <w:gridSpan w:val="2"/>
            <w:tcMar>
              <w:top w:w="0" w:type="dxa"/>
              <w:left w:w="57" w:type="dxa"/>
              <w:bottom w:w="0" w:type="dxa"/>
              <w:right w:w="57" w:type="dxa"/>
            </w:tcMar>
            <w:tcPrChange w:id="5529" w:author="Author">
              <w:tcPr>
                <w:tcW w:w="3311" w:type="dxa"/>
                <w:gridSpan w:val="2"/>
                <w:tcMar>
                  <w:top w:w="0" w:type="dxa"/>
                  <w:left w:w="57" w:type="dxa"/>
                  <w:bottom w:w="0" w:type="dxa"/>
                  <w:right w:w="57" w:type="dxa"/>
                </w:tcMar>
              </w:tcPr>
            </w:tcPrChange>
          </w:tcPr>
          <w:p>
            <w:pPr>
              <w:keepNext/>
              <w:tabs>
                <w:tab w:val="left" w:pos="180"/>
              </w:tabs>
              <w:suppressAutoHyphens/>
              <w:jc w:val="center"/>
              <w:rPr>
                <w:rFonts w:eastAsia="SimSun"/>
                <w:bCs/>
                <w:noProof/>
                <w:sz w:val="20"/>
                <w:lang w:val="it-IT"/>
                <w:rPrChange w:id="5530" w:author="Author">
                  <w:rPr>
                    <w:rFonts w:eastAsia="SimSun"/>
                    <w:b/>
                    <w:szCs w:val="22"/>
                    <w:lang w:val="it-IT"/>
                  </w:rPr>
                </w:rPrChange>
              </w:rPr>
              <w:pPrChange w:id="5531" w:author="Author">
                <w:pPr>
                  <w:keepNext/>
                  <w:keepLines/>
                  <w:tabs>
                    <w:tab w:val="left" w:pos="180"/>
                  </w:tabs>
                  <w:spacing w:before="50" w:after="50" w:line="240" w:lineRule="exact"/>
                  <w:jc w:val="center"/>
                </w:pPr>
              </w:pPrChange>
            </w:pPr>
            <w:r>
              <w:rPr>
                <w:bCs/>
                <w:noProof/>
                <w:sz w:val="20"/>
                <w:lang w:val="it-IT"/>
                <w:rPrChange w:id="5532" w:author="Author">
                  <w:rPr>
                    <w:b/>
                    <w:szCs w:val="22"/>
                    <w:lang w:val="it-IT"/>
                  </w:rPr>
                </w:rPrChange>
              </w:rPr>
              <w:t>-1,5 (-1,8; -1,1)</w:t>
            </w:r>
          </w:p>
        </w:tc>
        <w:tc>
          <w:tcPr>
            <w:tcW w:w="1422" w:type="dxa"/>
            <w:tcMar>
              <w:top w:w="0" w:type="dxa"/>
              <w:left w:w="57" w:type="dxa"/>
              <w:bottom w:w="0" w:type="dxa"/>
              <w:right w:w="57" w:type="dxa"/>
            </w:tcMar>
            <w:tcPrChange w:id="5533" w:author="Author">
              <w:tcPr>
                <w:tcW w:w="1275" w:type="dxa"/>
                <w:tcMar>
                  <w:top w:w="0" w:type="dxa"/>
                  <w:left w:w="57" w:type="dxa"/>
                  <w:bottom w:w="0" w:type="dxa"/>
                  <w:right w:w="57" w:type="dxa"/>
                </w:tcMar>
              </w:tcPr>
            </w:tcPrChange>
          </w:tcPr>
          <w:p>
            <w:pPr>
              <w:keepNext/>
              <w:tabs>
                <w:tab w:val="left" w:pos="180"/>
              </w:tabs>
              <w:suppressAutoHyphens/>
              <w:jc w:val="center"/>
              <w:rPr>
                <w:rFonts w:eastAsia="SimSun"/>
                <w:bCs/>
                <w:noProof/>
                <w:sz w:val="20"/>
                <w:lang w:val="it-IT"/>
                <w:rPrChange w:id="5534" w:author="Author">
                  <w:rPr>
                    <w:rFonts w:eastAsia="SimSun"/>
                    <w:b/>
                    <w:szCs w:val="22"/>
                    <w:lang w:val="it-IT"/>
                  </w:rPr>
                </w:rPrChange>
              </w:rPr>
              <w:pPrChange w:id="5535" w:author="Author">
                <w:pPr>
                  <w:keepNext/>
                  <w:keepLines/>
                  <w:tabs>
                    <w:tab w:val="left" w:pos="180"/>
                  </w:tabs>
                  <w:spacing w:before="50" w:after="50" w:line="240" w:lineRule="exact"/>
                  <w:jc w:val="center"/>
                </w:pPr>
              </w:pPrChange>
            </w:pPr>
            <w:r>
              <w:rPr>
                <w:bCs/>
                <w:noProof/>
                <w:sz w:val="20"/>
                <w:lang w:val="it-IT"/>
                <w:rPrChange w:id="5536" w:author="Author">
                  <w:rPr>
                    <w:b/>
                    <w:szCs w:val="22"/>
                    <w:lang w:val="it-IT"/>
                  </w:rPr>
                </w:rPrChange>
              </w:rPr>
              <w:t>&lt;0,0001</w:t>
            </w:r>
          </w:p>
        </w:tc>
      </w:tr>
      <w:tr>
        <w:trPr>
          <w:cantSplit/>
          <w:trPrChange w:id="5537" w:author="Author">
            <w:trPr>
              <w:gridAfter w:val="0"/>
              <w:wAfter w:w="14" w:type="dxa"/>
              <w:cantSplit/>
            </w:trPr>
          </w:trPrChange>
        </w:trPr>
        <w:tc>
          <w:tcPr>
            <w:tcW w:w="9067" w:type="dxa"/>
            <w:gridSpan w:val="4"/>
            <w:tcMar>
              <w:top w:w="0" w:type="dxa"/>
              <w:left w:w="57" w:type="dxa"/>
              <w:bottom w:w="0" w:type="dxa"/>
              <w:right w:w="57" w:type="dxa"/>
            </w:tcMar>
            <w:tcPrChange w:id="5538" w:author="Author">
              <w:tcPr>
                <w:tcW w:w="7936" w:type="dxa"/>
                <w:gridSpan w:val="4"/>
                <w:tcMar>
                  <w:top w:w="0" w:type="dxa"/>
                  <w:left w:w="57" w:type="dxa"/>
                  <w:bottom w:w="0" w:type="dxa"/>
                  <w:right w:w="57" w:type="dxa"/>
                </w:tcMar>
              </w:tcPr>
            </w:tcPrChange>
          </w:tcPr>
          <w:p>
            <w:pPr>
              <w:keepNext/>
              <w:tabs>
                <w:tab w:val="left" w:pos="180"/>
              </w:tabs>
              <w:suppressAutoHyphens/>
              <w:rPr>
                <w:rFonts w:eastAsia="SimSun"/>
                <w:noProof/>
                <w:sz w:val="20"/>
                <w:lang w:val="it-IT"/>
                <w:rPrChange w:id="5539" w:author="Author">
                  <w:rPr>
                    <w:rFonts w:eastAsia="SimSun"/>
                    <w:szCs w:val="22"/>
                    <w:lang w:val="it-IT"/>
                  </w:rPr>
                </w:rPrChange>
              </w:rPr>
              <w:pPrChange w:id="5540" w:author="Author">
                <w:pPr>
                  <w:keepNext/>
                  <w:keepLines/>
                  <w:tabs>
                    <w:tab w:val="left" w:pos="180"/>
                  </w:tabs>
                  <w:spacing w:before="50" w:after="50" w:line="240" w:lineRule="exact"/>
                </w:pPr>
              </w:pPrChange>
            </w:pPr>
            <w:r>
              <w:rPr>
                <w:b/>
                <w:noProof/>
                <w:sz w:val="20"/>
                <w:lang w:val="it-IT"/>
                <w:rPrChange w:id="5541" w:author="Author">
                  <w:rPr>
                    <w:b/>
                    <w:szCs w:val="22"/>
                    <w:lang w:val="it-IT"/>
                  </w:rPr>
                </w:rPrChange>
              </w:rPr>
              <w:t xml:space="preserve">Endpoint secondari - Percentuale di riposte alla settimana 24 </w:t>
            </w:r>
            <w:r>
              <w:rPr>
                <w:b/>
                <w:noProof/>
                <w:sz w:val="20"/>
                <w:vertAlign w:val="superscript"/>
                <w:lang w:val="it-IT"/>
                <w:rPrChange w:id="5542" w:author="Author">
                  <w:rPr>
                    <w:b/>
                    <w:szCs w:val="22"/>
                    <w:vertAlign w:val="superscript"/>
                    <w:lang w:val="it-IT"/>
                  </w:rPr>
                </w:rPrChange>
              </w:rPr>
              <w:t>(b)</w:t>
            </w:r>
          </w:p>
        </w:tc>
      </w:tr>
      <w:tr>
        <w:trPr>
          <w:cantSplit/>
          <w:trPrChange w:id="5543" w:author="Author">
            <w:trPr>
              <w:gridAfter w:val="0"/>
              <w:wAfter w:w="14" w:type="dxa"/>
              <w:cantSplit/>
            </w:trPr>
          </w:trPrChange>
        </w:trPr>
        <w:tc>
          <w:tcPr>
            <w:tcW w:w="3775" w:type="dxa"/>
            <w:tcMar>
              <w:top w:w="0" w:type="dxa"/>
              <w:left w:w="57" w:type="dxa"/>
              <w:bottom w:w="0" w:type="dxa"/>
              <w:right w:w="57" w:type="dxa"/>
            </w:tcMar>
            <w:tcPrChange w:id="5544" w:author="Author">
              <w:tcPr>
                <w:tcW w:w="3350" w:type="dxa"/>
                <w:tcMar>
                  <w:top w:w="0" w:type="dxa"/>
                  <w:left w:w="57" w:type="dxa"/>
                  <w:bottom w:w="0" w:type="dxa"/>
                  <w:right w:w="57" w:type="dxa"/>
                </w:tcMar>
              </w:tcPr>
            </w:tcPrChange>
          </w:tcPr>
          <w:p>
            <w:pPr>
              <w:keepNext/>
              <w:tabs>
                <w:tab w:val="left" w:pos="180"/>
              </w:tabs>
              <w:suppressAutoHyphens/>
              <w:jc w:val="right"/>
              <w:rPr>
                <w:rFonts w:eastAsia="SimSun"/>
                <w:noProof/>
                <w:sz w:val="20"/>
                <w:lang w:val="it-IT"/>
                <w:rPrChange w:id="5545" w:author="Author">
                  <w:rPr>
                    <w:rFonts w:eastAsia="SimSun"/>
                    <w:szCs w:val="22"/>
                    <w:lang w:val="it-IT"/>
                  </w:rPr>
                </w:rPrChange>
              </w:rPr>
              <w:pPrChange w:id="5546" w:author="Author">
                <w:pPr>
                  <w:keepNext/>
                  <w:keepLines/>
                  <w:tabs>
                    <w:tab w:val="left" w:pos="180"/>
                  </w:tabs>
                  <w:spacing w:before="50" w:after="50" w:line="240" w:lineRule="exact"/>
                  <w:jc w:val="right"/>
                </w:pPr>
              </w:pPrChange>
            </w:pPr>
            <w:r>
              <w:rPr>
                <w:noProof/>
                <w:sz w:val="20"/>
                <w:lang w:val="it-IT"/>
                <w:rPrChange w:id="5547" w:author="Author">
                  <w:rPr>
                    <w:szCs w:val="22"/>
                    <w:lang w:val="it-IT"/>
                  </w:rPr>
                </w:rPrChange>
              </w:rPr>
              <w:t>DAS28</w:t>
            </w:r>
            <w:del w:id="5548" w:author="Author">
              <w:r>
                <w:rPr>
                  <w:noProof/>
                  <w:sz w:val="20"/>
                  <w:lang w:val="it-IT"/>
                  <w:rPrChange w:id="5549" w:author="Author">
                    <w:rPr>
                      <w:szCs w:val="22"/>
                      <w:lang w:val="it-IT"/>
                    </w:rPr>
                  </w:rPrChange>
                </w:rPr>
                <w:delText xml:space="preserve"> </w:delText>
              </w:r>
            </w:del>
            <w:ins w:id="5550" w:author="Author">
              <w:r>
                <w:rPr>
                  <w:noProof/>
                  <w:sz w:val="20"/>
                  <w:lang w:val="it-IT"/>
                  <w:rPrChange w:id="5551" w:author="Author">
                    <w:rPr>
                      <w:szCs w:val="22"/>
                      <w:lang w:val="it-IT"/>
                    </w:rPr>
                  </w:rPrChange>
                </w:rPr>
                <w:t> </w:t>
              </w:r>
            </w:ins>
            <w:r>
              <w:rPr>
                <w:noProof/>
                <w:sz w:val="20"/>
                <w:lang w:val="it-IT"/>
                <w:rPrChange w:id="5552" w:author="Author">
                  <w:rPr>
                    <w:szCs w:val="22"/>
                    <w:lang w:val="it-IT"/>
                  </w:rPr>
                </w:rPrChange>
              </w:rPr>
              <w:t>&lt;2,6; n (%)</w:t>
            </w:r>
          </w:p>
        </w:tc>
        <w:tc>
          <w:tcPr>
            <w:tcW w:w="1935" w:type="dxa"/>
            <w:tcMar>
              <w:top w:w="0" w:type="dxa"/>
              <w:left w:w="57" w:type="dxa"/>
              <w:bottom w:w="0" w:type="dxa"/>
              <w:right w:w="57" w:type="dxa"/>
            </w:tcMar>
            <w:tcPrChange w:id="5553" w:author="Author">
              <w:tcPr>
                <w:tcW w:w="1610" w:type="dxa"/>
                <w:tcMar>
                  <w:top w:w="0" w:type="dxa"/>
                  <w:left w:w="57" w:type="dxa"/>
                  <w:bottom w:w="0" w:type="dxa"/>
                  <w:right w:w="57" w:type="dxa"/>
                </w:tcMar>
              </w:tcPr>
            </w:tcPrChange>
          </w:tcPr>
          <w:p>
            <w:pPr>
              <w:keepNext/>
              <w:tabs>
                <w:tab w:val="left" w:pos="180"/>
              </w:tabs>
              <w:suppressAutoHyphens/>
              <w:jc w:val="center"/>
              <w:rPr>
                <w:rFonts w:eastAsia="SimSun"/>
                <w:noProof/>
                <w:sz w:val="20"/>
                <w:lang w:val="it-IT"/>
                <w:rPrChange w:id="5554" w:author="Author">
                  <w:rPr>
                    <w:rFonts w:eastAsia="SimSun"/>
                    <w:szCs w:val="22"/>
                    <w:lang w:val="it-IT"/>
                  </w:rPr>
                </w:rPrChange>
              </w:rPr>
              <w:pPrChange w:id="5555" w:author="Author">
                <w:pPr>
                  <w:keepNext/>
                  <w:keepLines/>
                  <w:tabs>
                    <w:tab w:val="left" w:pos="180"/>
                  </w:tabs>
                  <w:spacing w:before="50" w:after="50" w:line="240" w:lineRule="exact"/>
                  <w:jc w:val="center"/>
                </w:pPr>
              </w:pPrChange>
            </w:pPr>
            <w:r>
              <w:rPr>
                <w:noProof/>
                <w:sz w:val="20"/>
                <w:lang w:val="it-IT"/>
                <w:rPrChange w:id="5556" w:author="Author">
                  <w:rPr>
                    <w:szCs w:val="22"/>
                    <w:lang w:val="it-IT"/>
                  </w:rPr>
                </w:rPrChange>
              </w:rPr>
              <w:t>17 (10,5)</w:t>
            </w:r>
          </w:p>
        </w:tc>
        <w:tc>
          <w:tcPr>
            <w:tcW w:w="1935" w:type="dxa"/>
            <w:tcMar>
              <w:top w:w="0" w:type="dxa"/>
              <w:left w:w="57" w:type="dxa"/>
              <w:bottom w:w="0" w:type="dxa"/>
              <w:right w:w="57" w:type="dxa"/>
            </w:tcMar>
            <w:tcPrChange w:id="5557" w:author="Author">
              <w:tcPr>
                <w:tcW w:w="1701" w:type="dxa"/>
                <w:tcMar>
                  <w:top w:w="0" w:type="dxa"/>
                  <w:left w:w="57" w:type="dxa"/>
                  <w:bottom w:w="0" w:type="dxa"/>
                  <w:right w:w="57" w:type="dxa"/>
                </w:tcMar>
              </w:tcPr>
            </w:tcPrChange>
          </w:tcPr>
          <w:p>
            <w:pPr>
              <w:keepNext/>
              <w:tabs>
                <w:tab w:val="left" w:pos="180"/>
              </w:tabs>
              <w:suppressAutoHyphens/>
              <w:jc w:val="center"/>
              <w:rPr>
                <w:rFonts w:eastAsia="SimSun"/>
                <w:noProof/>
                <w:sz w:val="20"/>
                <w:lang w:val="it-IT"/>
                <w:rPrChange w:id="5558" w:author="Author">
                  <w:rPr>
                    <w:rFonts w:eastAsia="SimSun"/>
                    <w:szCs w:val="22"/>
                    <w:lang w:val="it-IT"/>
                  </w:rPr>
                </w:rPrChange>
              </w:rPr>
              <w:pPrChange w:id="5559" w:author="Author">
                <w:pPr>
                  <w:keepNext/>
                  <w:keepLines/>
                  <w:tabs>
                    <w:tab w:val="left" w:pos="180"/>
                  </w:tabs>
                  <w:spacing w:before="50" w:after="50" w:line="240" w:lineRule="exact"/>
                  <w:jc w:val="center"/>
                </w:pPr>
              </w:pPrChange>
            </w:pPr>
            <w:r>
              <w:rPr>
                <w:noProof/>
                <w:sz w:val="20"/>
                <w:lang w:val="it-IT"/>
                <w:rPrChange w:id="5560" w:author="Author">
                  <w:rPr>
                    <w:szCs w:val="22"/>
                    <w:lang w:val="it-IT"/>
                  </w:rPr>
                </w:rPrChange>
              </w:rPr>
              <w:t>65 (39,9)</w:t>
            </w:r>
          </w:p>
        </w:tc>
        <w:tc>
          <w:tcPr>
            <w:tcW w:w="1422" w:type="dxa"/>
            <w:tcMar>
              <w:top w:w="0" w:type="dxa"/>
              <w:left w:w="57" w:type="dxa"/>
              <w:bottom w:w="0" w:type="dxa"/>
              <w:right w:w="57" w:type="dxa"/>
            </w:tcMar>
            <w:tcPrChange w:id="5561" w:author="Author">
              <w:tcPr>
                <w:tcW w:w="1275" w:type="dxa"/>
                <w:tcMar>
                  <w:top w:w="0" w:type="dxa"/>
                  <w:left w:w="57" w:type="dxa"/>
                  <w:bottom w:w="0" w:type="dxa"/>
                  <w:right w:w="57" w:type="dxa"/>
                </w:tcMar>
              </w:tcPr>
            </w:tcPrChange>
          </w:tcPr>
          <w:p>
            <w:pPr>
              <w:keepNext/>
              <w:tabs>
                <w:tab w:val="left" w:pos="180"/>
              </w:tabs>
              <w:suppressAutoHyphens/>
              <w:jc w:val="center"/>
              <w:rPr>
                <w:rFonts w:eastAsia="SimSun"/>
                <w:noProof/>
                <w:sz w:val="20"/>
                <w:lang w:val="it-IT"/>
                <w:rPrChange w:id="5562" w:author="Author">
                  <w:rPr>
                    <w:rFonts w:eastAsia="SimSun"/>
                    <w:szCs w:val="22"/>
                    <w:lang w:val="it-IT"/>
                  </w:rPr>
                </w:rPrChange>
              </w:rPr>
              <w:pPrChange w:id="5563" w:author="Author">
                <w:pPr>
                  <w:keepNext/>
                  <w:keepLines/>
                  <w:tabs>
                    <w:tab w:val="left" w:pos="180"/>
                  </w:tabs>
                  <w:spacing w:before="50" w:after="50" w:line="240" w:lineRule="exact"/>
                  <w:jc w:val="center"/>
                </w:pPr>
              </w:pPrChange>
            </w:pPr>
            <w:r>
              <w:rPr>
                <w:noProof/>
                <w:sz w:val="20"/>
                <w:lang w:val="it-IT"/>
                <w:rPrChange w:id="5564" w:author="Author">
                  <w:rPr>
                    <w:szCs w:val="22"/>
                    <w:lang w:val="it-IT"/>
                  </w:rPr>
                </w:rPrChange>
              </w:rPr>
              <w:t>&lt;0,0001</w:t>
            </w:r>
          </w:p>
        </w:tc>
      </w:tr>
      <w:tr>
        <w:trPr>
          <w:cantSplit/>
          <w:trPrChange w:id="5565" w:author="Author">
            <w:trPr>
              <w:gridAfter w:val="0"/>
              <w:wAfter w:w="14" w:type="dxa"/>
              <w:cantSplit/>
            </w:trPr>
          </w:trPrChange>
        </w:trPr>
        <w:tc>
          <w:tcPr>
            <w:tcW w:w="3775" w:type="dxa"/>
            <w:tcMar>
              <w:top w:w="0" w:type="dxa"/>
              <w:left w:w="57" w:type="dxa"/>
              <w:bottom w:w="0" w:type="dxa"/>
              <w:right w:w="57" w:type="dxa"/>
            </w:tcMar>
            <w:tcPrChange w:id="5566" w:author="Author">
              <w:tcPr>
                <w:tcW w:w="3350" w:type="dxa"/>
                <w:tcMar>
                  <w:top w:w="0" w:type="dxa"/>
                  <w:left w:w="57" w:type="dxa"/>
                  <w:bottom w:w="0" w:type="dxa"/>
                  <w:right w:w="57" w:type="dxa"/>
                </w:tcMar>
              </w:tcPr>
            </w:tcPrChange>
          </w:tcPr>
          <w:p>
            <w:pPr>
              <w:keepNext/>
              <w:tabs>
                <w:tab w:val="left" w:pos="180"/>
              </w:tabs>
              <w:suppressAutoHyphens/>
              <w:jc w:val="right"/>
              <w:rPr>
                <w:rFonts w:eastAsia="SimSun"/>
                <w:noProof/>
                <w:sz w:val="20"/>
                <w:lang w:val="it-IT"/>
                <w:rPrChange w:id="5567" w:author="Author">
                  <w:rPr>
                    <w:rFonts w:eastAsia="SimSun"/>
                    <w:szCs w:val="22"/>
                    <w:lang w:val="it-IT"/>
                  </w:rPr>
                </w:rPrChange>
              </w:rPr>
              <w:pPrChange w:id="5568" w:author="Author">
                <w:pPr>
                  <w:keepNext/>
                  <w:keepLines/>
                  <w:tabs>
                    <w:tab w:val="left" w:pos="180"/>
                  </w:tabs>
                  <w:spacing w:before="50" w:after="50" w:line="240" w:lineRule="exact"/>
                  <w:jc w:val="right"/>
                </w:pPr>
              </w:pPrChange>
            </w:pPr>
            <w:r>
              <w:rPr>
                <w:noProof/>
                <w:sz w:val="20"/>
                <w:lang w:val="it-IT"/>
                <w:rPrChange w:id="5569" w:author="Author">
                  <w:rPr>
                    <w:szCs w:val="22"/>
                    <w:lang w:val="it-IT"/>
                  </w:rPr>
                </w:rPrChange>
              </w:rPr>
              <w:t>DAS28</w:t>
            </w:r>
            <w:del w:id="5570" w:author="Author">
              <w:r>
                <w:rPr>
                  <w:noProof/>
                  <w:sz w:val="20"/>
                  <w:lang w:val="it-IT"/>
                  <w:rPrChange w:id="5571" w:author="Author">
                    <w:rPr>
                      <w:szCs w:val="22"/>
                      <w:lang w:val="it-IT"/>
                    </w:rPr>
                  </w:rPrChange>
                </w:rPr>
                <w:delText xml:space="preserve"> </w:delText>
              </w:r>
            </w:del>
            <w:ins w:id="5572" w:author="Author">
              <w:r>
                <w:rPr>
                  <w:noProof/>
                  <w:sz w:val="20"/>
                  <w:lang w:val="it-IT"/>
                  <w:rPrChange w:id="5573" w:author="Author">
                    <w:rPr>
                      <w:szCs w:val="22"/>
                      <w:lang w:val="it-IT"/>
                    </w:rPr>
                  </w:rPrChange>
                </w:rPr>
                <w:t> </w:t>
              </w:r>
            </w:ins>
            <w:r>
              <w:rPr>
                <w:noProof/>
                <w:sz w:val="20"/>
                <w:lang w:val="it-IT"/>
                <w:rPrChange w:id="5574" w:author="Author">
                  <w:rPr>
                    <w:szCs w:val="22"/>
                    <w:lang w:val="it-IT"/>
                  </w:rPr>
                </w:rPrChange>
              </w:rPr>
              <w:t xml:space="preserve">≤ 3,2; n (%) </w:t>
            </w:r>
          </w:p>
        </w:tc>
        <w:tc>
          <w:tcPr>
            <w:tcW w:w="1935" w:type="dxa"/>
            <w:tcMar>
              <w:top w:w="0" w:type="dxa"/>
              <w:left w:w="57" w:type="dxa"/>
              <w:bottom w:w="0" w:type="dxa"/>
              <w:right w:w="57" w:type="dxa"/>
            </w:tcMar>
            <w:tcPrChange w:id="5575" w:author="Author">
              <w:tcPr>
                <w:tcW w:w="1610" w:type="dxa"/>
                <w:tcMar>
                  <w:top w:w="0" w:type="dxa"/>
                  <w:left w:w="57" w:type="dxa"/>
                  <w:bottom w:w="0" w:type="dxa"/>
                  <w:right w:w="57" w:type="dxa"/>
                </w:tcMar>
              </w:tcPr>
            </w:tcPrChange>
          </w:tcPr>
          <w:p>
            <w:pPr>
              <w:keepNext/>
              <w:tabs>
                <w:tab w:val="left" w:pos="180"/>
              </w:tabs>
              <w:suppressAutoHyphens/>
              <w:jc w:val="center"/>
              <w:rPr>
                <w:rFonts w:eastAsia="SimSun"/>
                <w:noProof/>
                <w:sz w:val="20"/>
                <w:lang w:val="it-IT"/>
                <w:rPrChange w:id="5576" w:author="Author">
                  <w:rPr>
                    <w:rFonts w:eastAsia="SimSun"/>
                    <w:szCs w:val="22"/>
                    <w:lang w:val="it-IT"/>
                  </w:rPr>
                </w:rPrChange>
              </w:rPr>
              <w:pPrChange w:id="5577" w:author="Author">
                <w:pPr>
                  <w:keepNext/>
                  <w:keepLines/>
                  <w:tabs>
                    <w:tab w:val="left" w:pos="180"/>
                  </w:tabs>
                  <w:spacing w:before="50" w:after="50" w:line="240" w:lineRule="exact"/>
                  <w:jc w:val="center"/>
                </w:pPr>
              </w:pPrChange>
            </w:pPr>
            <w:r>
              <w:rPr>
                <w:noProof/>
                <w:sz w:val="20"/>
                <w:lang w:val="it-IT"/>
                <w:rPrChange w:id="5578" w:author="Author">
                  <w:rPr>
                    <w:szCs w:val="22"/>
                    <w:lang w:val="it-IT"/>
                  </w:rPr>
                </w:rPrChange>
              </w:rPr>
              <w:t xml:space="preserve">32 (19,8) </w:t>
            </w:r>
          </w:p>
        </w:tc>
        <w:tc>
          <w:tcPr>
            <w:tcW w:w="1935" w:type="dxa"/>
            <w:tcMar>
              <w:top w:w="0" w:type="dxa"/>
              <w:left w:w="57" w:type="dxa"/>
              <w:bottom w:w="0" w:type="dxa"/>
              <w:right w:w="57" w:type="dxa"/>
            </w:tcMar>
            <w:tcPrChange w:id="5579" w:author="Author">
              <w:tcPr>
                <w:tcW w:w="1701" w:type="dxa"/>
                <w:tcMar>
                  <w:top w:w="0" w:type="dxa"/>
                  <w:left w:w="57" w:type="dxa"/>
                  <w:bottom w:w="0" w:type="dxa"/>
                  <w:right w:w="57" w:type="dxa"/>
                </w:tcMar>
              </w:tcPr>
            </w:tcPrChange>
          </w:tcPr>
          <w:p>
            <w:pPr>
              <w:keepNext/>
              <w:tabs>
                <w:tab w:val="left" w:pos="180"/>
              </w:tabs>
              <w:suppressAutoHyphens/>
              <w:jc w:val="center"/>
              <w:rPr>
                <w:rFonts w:eastAsia="SimSun"/>
                <w:noProof/>
                <w:sz w:val="20"/>
                <w:lang w:val="it-IT"/>
                <w:rPrChange w:id="5580" w:author="Author">
                  <w:rPr>
                    <w:rFonts w:eastAsia="SimSun"/>
                    <w:szCs w:val="22"/>
                    <w:lang w:val="it-IT"/>
                  </w:rPr>
                </w:rPrChange>
              </w:rPr>
              <w:pPrChange w:id="5581" w:author="Author">
                <w:pPr>
                  <w:keepNext/>
                  <w:keepLines/>
                  <w:tabs>
                    <w:tab w:val="left" w:pos="180"/>
                  </w:tabs>
                  <w:spacing w:before="50" w:after="50" w:line="240" w:lineRule="exact"/>
                  <w:jc w:val="center"/>
                </w:pPr>
              </w:pPrChange>
            </w:pPr>
            <w:r>
              <w:rPr>
                <w:noProof/>
                <w:sz w:val="20"/>
                <w:lang w:val="it-IT"/>
                <w:rPrChange w:id="5582" w:author="Author">
                  <w:rPr>
                    <w:szCs w:val="22"/>
                    <w:lang w:val="it-IT"/>
                  </w:rPr>
                </w:rPrChange>
              </w:rPr>
              <w:t>84 (51,5)</w:t>
            </w:r>
          </w:p>
        </w:tc>
        <w:tc>
          <w:tcPr>
            <w:tcW w:w="1422" w:type="dxa"/>
            <w:tcMar>
              <w:top w:w="0" w:type="dxa"/>
              <w:left w:w="57" w:type="dxa"/>
              <w:bottom w:w="0" w:type="dxa"/>
              <w:right w:w="57" w:type="dxa"/>
            </w:tcMar>
            <w:tcPrChange w:id="5583" w:author="Author">
              <w:tcPr>
                <w:tcW w:w="1275" w:type="dxa"/>
                <w:tcMar>
                  <w:top w:w="0" w:type="dxa"/>
                  <w:left w:w="57" w:type="dxa"/>
                  <w:bottom w:w="0" w:type="dxa"/>
                  <w:right w:w="57" w:type="dxa"/>
                </w:tcMar>
              </w:tcPr>
            </w:tcPrChange>
          </w:tcPr>
          <w:p>
            <w:pPr>
              <w:keepNext/>
              <w:tabs>
                <w:tab w:val="left" w:pos="180"/>
              </w:tabs>
              <w:suppressAutoHyphens/>
              <w:jc w:val="center"/>
              <w:rPr>
                <w:rFonts w:eastAsia="SimSun"/>
                <w:noProof/>
                <w:sz w:val="20"/>
                <w:lang w:val="it-IT"/>
                <w:rPrChange w:id="5584" w:author="Author">
                  <w:rPr>
                    <w:rFonts w:eastAsia="SimSun"/>
                    <w:szCs w:val="22"/>
                    <w:lang w:val="it-IT"/>
                  </w:rPr>
                </w:rPrChange>
              </w:rPr>
              <w:pPrChange w:id="5585" w:author="Author">
                <w:pPr>
                  <w:keepNext/>
                  <w:keepLines/>
                  <w:tabs>
                    <w:tab w:val="left" w:pos="180"/>
                  </w:tabs>
                  <w:spacing w:before="50" w:after="50" w:line="240" w:lineRule="exact"/>
                  <w:jc w:val="center"/>
                </w:pPr>
              </w:pPrChange>
            </w:pPr>
            <w:r>
              <w:rPr>
                <w:noProof/>
                <w:sz w:val="20"/>
                <w:lang w:val="it-IT"/>
                <w:rPrChange w:id="5586" w:author="Author">
                  <w:rPr>
                    <w:szCs w:val="22"/>
                    <w:lang w:val="it-IT"/>
                  </w:rPr>
                </w:rPrChange>
              </w:rPr>
              <w:t>&lt;0,0001</w:t>
            </w:r>
          </w:p>
        </w:tc>
      </w:tr>
      <w:tr>
        <w:trPr>
          <w:cantSplit/>
          <w:trPrChange w:id="5587" w:author="Author">
            <w:trPr>
              <w:gridAfter w:val="0"/>
              <w:wAfter w:w="14" w:type="dxa"/>
              <w:cantSplit/>
            </w:trPr>
          </w:trPrChange>
        </w:trPr>
        <w:tc>
          <w:tcPr>
            <w:tcW w:w="3775" w:type="dxa"/>
            <w:tcMar>
              <w:top w:w="0" w:type="dxa"/>
              <w:left w:w="57" w:type="dxa"/>
              <w:bottom w:w="0" w:type="dxa"/>
              <w:right w:w="57" w:type="dxa"/>
            </w:tcMar>
            <w:tcPrChange w:id="5588" w:author="Author">
              <w:tcPr>
                <w:tcW w:w="3350" w:type="dxa"/>
                <w:tcMar>
                  <w:top w:w="0" w:type="dxa"/>
                  <w:left w:w="57" w:type="dxa"/>
                  <w:bottom w:w="0" w:type="dxa"/>
                  <w:right w:w="57" w:type="dxa"/>
                </w:tcMar>
              </w:tcPr>
            </w:tcPrChange>
          </w:tcPr>
          <w:p>
            <w:pPr>
              <w:keepNext/>
              <w:tabs>
                <w:tab w:val="left" w:pos="180"/>
              </w:tabs>
              <w:suppressAutoHyphens/>
              <w:jc w:val="right"/>
              <w:rPr>
                <w:rFonts w:eastAsia="SimSun"/>
                <w:noProof/>
                <w:sz w:val="20"/>
                <w:lang w:val="it-IT"/>
                <w:rPrChange w:id="5589" w:author="Author">
                  <w:rPr>
                    <w:rFonts w:eastAsia="SimSun"/>
                    <w:szCs w:val="22"/>
                    <w:lang w:val="it-IT"/>
                  </w:rPr>
                </w:rPrChange>
              </w:rPr>
              <w:pPrChange w:id="5590" w:author="Author">
                <w:pPr>
                  <w:keepNext/>
                  <w:keepLines/>
                  <w:tabs>
                    <w:tab w:val="left" w:pos="180"/>
                  </w:tabs>
                  <w:spacing w:before="50" w:after="50" w:line="240" w:lineRule="exact"/>
                  <w:jc w:val="right"/>
                </w:pPr>
              </w:pPrChange>
            </w:pPr>
            <w:r>
              <w:rPr>
                <w:noProof/>
                <w:sz w:val="20"/>
                <w:lang w:val="it-IT"/>
                <w:rPrChange w:id="5591" w:author="Author">
                  <w:rPr>
                    <w:szCs w:val="22"/>
                    <w:lang w:val="it-IT"/>
                  </w:rPr>
                </w:rPrChange>
              </w:rPr>
              <w:t>Risposta ACR20, n (%)</w:t>
            </w:r>
          </w:p>
        </w:tc>
        <w:tc>
          <w:tcPr>
            <w:tcW w:w="1935" w:type="dxa"/>
            <w:tcMar>
              <w:top w:w="0" w:type="dxa"/>
              <w:left w:w="57" w:type="dxa"/>
              <w:bottom w:w="0" w:type="dxa"/>
              <w:right w:w="57" w:type="dxa"/>
            </w:tcMar>
            <w:tcPrChange w:id="5592" w:author="Author">
              <w:tcPr>
                <w:tcW w:w="1610" w:type="dxa"/>
                <w:tcMar>
                  <w:top w:w="0" w:type="dxa"/>
                  <w:left w:w="57" w:type="dxa"/>
                  <w:bottom w:w="0" w:type="dxa"/>
                  <w:right w:w="57" w:type="dxa"/>
                </w:tcMar>
              </w:tcPr>
            </w:tcPrChange>
          </w:tcPr>
          <w:p>
            <w:pPr>
              <w:keepNext/>
              <w:tabs>
                <w:tab w:val="left" w:pos="180"/>
              </w:tabs>
              <w:suppressAutoHyphens/>
              <w:jc w:val="center"/>
              <w:rPr>
                <w:rFonts w:eastAsia="SimSun"/>
                <w:noProof/>
                <w:sz w:val="20"/>
                <w:lang w:val="it-IT"/>
                <w:rPrChange w:id="5593" w:author="Author">
                  <w:rPr>
                    <w:rFonts w:eastAsia="SimSun"/>
                    <w:szCs w:val="22"/>
                    <w:lang w:val="it-IT"/>
                  </w:rPr>
                </w:rPrChange>
              </w:rPr>
              <w:pPrChange w:id="5594" w:author="Author">
                <w:pPr>
                  <w:keepNext/>
                  <w:keepLines/>
                  <w:tabs>
                    <w:tab w:val="left" w:pos="180"/>
                  </w:tabs>
                  <w:spacing w:before="50" w:after="50" w:line="240" w:lineRule="exact"/>
                  <w:jc w:val="center"/>
                </w:pPr>
              </w:pPrChange>
            </w:pPr>
            <w:r>
              <w:rPr>
                <w:noProof/>
                <w:sz w:val="20"/>
                <w:lang w:val="it-IT"/>
                <w:rPrChange w:id="5595" w:author="Author">
                  <w:rPr>
                    <w:szCs w:val="22"/>
                    <w:lang w:val="it-IT"/>
                  </w:rPr>
                </w:rPrChange>
              </w:rPr>
              <w:t>80 (49,4)</w:t>
            </w:r>
          </w:p>
        </w:tc>
        <w:tc>
          <w:tcPr>
            <w:tcW w:w="1935" w:type="dxa"/>
            <w:tcMar>
              <w:top w:w="0" w:type="dxa"/>
              <w:left w:w="57" w:type="dxa"/>
              <w:bottom w:w="0" w:type="dxa"/>
              <w:right w:w="57" w:type="dxa"/>
            </w:tcMar>
            <w:tcPrChange w:id="5596" w:author="Author">
              <w:tcPr>
                <w:tcW w:w="1701" w:type="dxa"/>
                <w:tcMar>
                  <w:top w:w="0" w:type="dxa"/>
                  <w:left w:w="57" w:type="dxa"/>
                  <w:bottom w:w="0" w:type="dxa"/>
                  <w:right w:w="57" w:type="dxa"/>
                </w:tcMar>
              </w:tcPr>
            </w:tcPrChange>
          </w:tcPr>
          <w:p>
            <w:pPr>
              <w:keepNext/>
              <w:tabs>
                <w:tab w:val="left" w:pos="180"/>
              </w:tabs>
              <w:suppressAutoHyphens/>
              <w:jc w:val="center"/>
              <w:rPr>
                <w:rFonts w:eastAsia="SimSun"/>
                <w:noProof/>
                <w:sz w:val="20"/>
                <w:lang w:val="it-IT"/>
                <w:rPrChange w:id="5597" w:author="Author">
                  <w:rPr>
                    <w:rFonts w:eastAsia="SimSun"/>
                    <w:szCs w:val="22"/>
                    <w:lang w:val="it-IT"/>
                  </w:rPr>
                </w:rPrChange>
              </w:rPr>
              <w:pPrChange w:id="5598" w:author="Author">
                <w:pPr>
                  <w:keepNext/>
                  <w:keepLines/>
                  <w:tabs>
                    <w:tab w:val="left" w:pos="180"/>
                  </w:tabs>
                  <w:spacing w:before="50" w:after="50" w:line="240" w:lineRule="exact"/>
                  <w:jc w:val="center"/>
                </w:pPr>
              </w:pPrChange>
            </w:pPr>
            <w:r>
              <w:rPr>
                <w:noProof/>
                <w:sz w:val="20"/>
                <w:lang w:val="it-IT"/>
                <w:rPrChange w:id="5599" w:author="Author">
                  <w:rPr>
                    <w:szCs w:val="22"/>
                    <w:lang w:val="it-IT"/>
                  </w:rPr>
                </w:rPrChange>
              </w:rPr>
              <w:t>106 (65,0)</w:t>
            </w:r>
          </w:p>
        </w:tc>
        <w:tc>
          <w:tcPr>
            <w:tcW w:w="1422" w:type="dxa"/>
            <w:tcMar>
              <w:top w:w="0" w:type="dxa"/>
              <w:left w:w="57" w:type="dxa"/>
              <w:bottom w:w="0" w:type="dxa"/>
              <w:right w:w="57" w:type="dxa"/>
            </w:tcMar>
            <w:tcPrChange w:id="5600" w:author="Author">
              <w:tcPr>
                <w:tcW w:w="1275" w:type="dxa"/>
                <w:tcMar>
                  <w:top w:w="0" w:type="dxa"/>
                  <w:left w:w="57" w:type="dxa"/>
                  <w:bottom w:w="0" w:type="dxa"/>
                  <w:right w:w="57" w:type="dxa"/>
                </w:tcMar>
              </w:tcPr>
            </w:tcPrChange>
          </w:tcPr>
          <w:p>
            <w:pPr>
              <w:keepNext/>
              <w:tabs>
                <w:tab w:val="left" w:pos="180"/>
              </w:tabs>
              <w:suppressAutoHyphens/>
              <w:jc w:val="center"/>
              <w:rPr>
                <w:rFonts w:eastAsia="SimSun"/>
                <w:noProof/>
                <w:sz w:val="20"/>
                <w:lang w:val="it-IT"/>
                <w:rPrChange w:id="5601" w:author="Author">
                  <w:rPr>
                    <w:rFonts w:eastAsia="SimSun"/>
                    <w:szCs w:val="22"/>
                    <w:lang w:val="it-IT"/>
                  </w:rPr>
                </w:rPrChange>
              </w:rPr>
              <w:pPrChange w:id="5602" w:author="Author">
                <w:pPr>
                  <w:keepNext/>
                  <w:keepLines/>
                  <w:tabs>
                    <w:tab w:val="left" w:pos="180"/>
                  </w:tabs>
                  <w:spacing w:before="50" w:after="50" w:line="240" w:lineRule="exact"/>
                  <w:jc w:val="center"/>
                </w:pPr>
              </w:pPrChange>
            </w:pPr>
            <w:r>
              <w:rPr>
                <w:noProof/>
                <w:sz w:val="20"/>
                <w:lang w:val="it-IT"/>
                <w:rPrChange w:id="5603" w:author="Author">
                  <w:rPr>
                    <w:szCs w:val="22"/>
                    <w:lang w:val="it-IT"/>
                  </w:rPr>
                </w:rPrChange>
              </w:rPr>
              <w:t>0,0038</w:t>
            </w:r>
          </w:p>
        </w:tc>
      </w:tr>
      <w:tr>
        <w:trPr>
          <w:cantSplit/>
          <w:trPrChange w:id="5604" w:author="Author">
            <w:trPr>
              <w:gridAfter w:val="0"/>
              <w:wAfter w:w="14" w:type="dxa"/>
              <w:cantSplit/>
            </w:trPr>
          </w:trPrChange>
        </w:trPr>
        <w:tc>
          <w:tcPr>
            <w:tcW w:w="3775" w:type="dxa"/>
            <w:tcMar>
              <w:top w:w="0" w:type="dxa"/>
              <w:left w:w="57" w:type="dxa"/>
              <w:bottom w:w="0" w:type="dxa"/>
              <w:right w:w="57" w:type="dxa"/>
            </w:tcMar>
            <w:tcPrChange w:id="5605" w:author="Author">
              <w:tcPr>
                <w:tcW w:w="3350" w:type="dxa"/>
                <w:tcMar>
                  <w:top w:w="0" w:type="dxa"/>
                  <w:left w:w="57" w:type="dxa"/>
                  <w:bottom w:w="0" w:type="dxa"/>
                  <w:right w:w="57" w:type="dxa"/>
                </w:tcMar>
              </w:tcPr>
            </w:tcPrChange>
          </w:tcPr>
          <w:p>
            <w:pPr>
              <w:keepNext/>
              <w:tabs>
                <w:tab w:val="left" w:pos="180"/>
              </w:tabs>
              <w:suppressAutoHyphens/>
              <w:jc w:val="right"/>
              <w:rPr>
                <w:rFonts w:eastAsia="SimSun"/>
                <w:noProof/>
                <w:sz w:val="20"/>
                <w:lang w:val="it-IT"/>
                <w:rPrChange w:id="5606" w:author="Author">
                  <w:rPr>
                    <w:rFonts w:eastAsia="SimSun"/>
                    <w:szCs w:val="22"/>
                    <w:lang w:val="it-IT"/>
                  </w:rPr>
                </w:rPrChange>
              </w:rPr>
              <w:pPrChange w:id="5607" w:author="Author">
                <w:pPr>
                  <w:keepNext/>
                  <w:keepLines/>
                  <w:tabs>
                    <w:tab w:val="left" w:pos="180"/>
                  </w:tabs>
                  <w:spacing w:before="50" w:after="50" w:line="240" w:lineRule="exact"/>
                  <w:jc w:val="right"/>
                </w:pPr>
              </w:pPrChange>
            </w:pPr>
            <w:r>
              <w:rPr>
                <w:noProof/>
                <w:sz w:val="20"/>
                <w:lang w:val="it-IT"/>
                <w:rPrChange w:id="5608" w:author="Author">
                  <w:rPr>
                    <w:szCs w:val="22"/>
                    <w:lang w:val="it-IT"/>
                  </w:rPr>
                </w:rPrChange>
              </w:rPr>
              <w:t>Risposta ACR50, n (%)</w:t>
            </w:r>
          </w:p>
        </w:tc>
        <w:tc>
          <w:tcPr>
            <w:tcW w:w="1935" w:type="dxa"/>
            <w:tcMar>
              <w:top w:w="0" w:type="dxa"/>
              <w:left w:w="57" w:type="dxa"/>
              <w:bottom w:w="0" w:type="dxa"/>
              <w:right w:w="57" w:type="dxa"/>
            </w:tcMar>
            <w:tcPrChange w:id="5609" w:author="Author">
              <w:tcPr>
                <w:tcW w:w="1610" w:type="dxa"/>
                <w:tcMar>
                  <w:top w:w="0" w:type="dxa"/>
                  <w:left w:w="57" w:type="dxa"/>
                  <w:bottom w:w="0" w:type="dxa"/>
                  <w:right w:w="57" w:type="dxa"/>
                </w:tcMar>
              </w:tcPr>
            </w:tcPrChange>
          </w:tcPr>
          <w:p>
            <w:pPr>
              <w:keepNext/>
              <w:tabs>
                <w:tab w:val="left" w:pos="180"/>
              </w:tabs>
              <w:suppressAutoHyphens/>
              <w:jc w:val="center"/>
              <w:rPr>
                <w:rFonts w:eastAsia="SimSun"/>
                <w:noProof/>
                <w:sz w:val="20"/>
                <w:lang w:val="it-IT"/>
                <w:rPrChange w:id="5610" w:author="Author">
                  <w:rPr>
                    <w:rFonts w:eastAsia="SimSun"/>
                    <w:szCs w:val="22"/>
                    <w:lang w:val="it-IT"/>
                  </w:rPr>
                </w:rPrChange>
              </w:rPr>
              <w:pPrChange w:id="5611" w:author="Author">
                <w:pPr>
                  <w:keepNext/>
                  <w:keepLines/>
                  <w:tabs>
                    <w:tab w:val="left" w:pos="180"/>
                  </w:tabs>
                  <w:spacing w:before="50" w:after="50" w:line="240" w:lineRule="exact"/>
                  <w:jc w:val="center"/>
                </w:pPr>
              </w:pPrChange>
            </w:pPr>
            <w:r>
              <w:rPr>
                <w:noProof/>
                <w:sz w:val="20"/>
                <w:lang w:val="it-IT"/>
                <w:rPrChange w:id="5612" w:author="Author">
                  <w:rPr>
                    <w:szCs w:val="22"/>
                    <w:lang w:val="it-IT"/>
                  </w:rPr>
                </w:rPrChange>
              </w:rPr>
              <w:t>45 (27,8)</w:t>
            </w:r>
          </w:p>
        </w:tc>
        <w:tc>
          <w:tcPr>
            <w:tcW w:w="1935" w:type="dxa"/>
            <w:tcMar>
              <w:top w:w="0" w:type="dxa"/>
              <w:left w:w="57" w:type="dxa"/>
              <w:bottom w:w="0" w:type="dxa"/>
              <w:right w:w="57" w:type="dxa"/>
            </w:tcMar>
            <w:tcPrChange w:id="5613" w:author="Author">
              <w:tcPr>
                <w:tcW w:w="1701" w:type="dxa"/>
                <w:tcMar>
                  <w:top w:w="0" w:type="dxa"/>
                  <w:left w:w="57" w:type="dxa"/>
                  <w:bottom w:w="0" w:type="dxa"/>
                  <w:right w:w="57" w:type="dxa"/>
                </w:tcMar>
              </w:tcPr>
            </w:tcPrChange>
          </w:tcPr>
          <w:p>
            <w:pPr>
              <w:keepNext/>
              <w:tabs>
                <w:tab w:val="left" w:pos="180"/>
              </w:tabs>
              <w:suppressAutoHyphens/>
              <w:jc w:val="center"/>
              <w:rPr>
                <w:rFonts w:eastAsia="SimSun"/>
                <w:noProof/>
                <w:sz w:val="20"/>
                <w:lang w:val="it-IT"/>
                <w:rPrChange w:id="5614" w:author="Author">
                  <w:rPr>
                    <w:rFonts w:eastAsia="SimSun"/>
                    <w:szCs w:val="22"/>
                    <w:lang w:val="it-IT"/>
                  </w:rPr>
                </w:rPrChange>
              </w:rPr>
              <w:pPrChange w:id="5615" w:author="Author">
                <w:pPr>
                  <w:keepNext/>
                  <w:keepLines/>
                  <w:tabs>
                    <w:tab w:val="left" w:pos="180"/>
                  </w:tabs>
                  <w:spacing w:before="50" w:after="50" w:line="240" w:lineRule="exact"/>
                  <w:jc w:val="center"/>
                </w:pPr>
              </w:pPrChange>
            </w:pPr>
            <w:r>
              <w:rPr>
                <w:noProof/>
                <w:sz w:val="20"/>
                <w:lang w:val="it-IT"/>
                <w:rPrChange w:id="5616" w:author="Author">
                  <w:rPr>
                    <w:szCs w:val="22"/>
                    <w:lang w:val="it-IT"/>
                  </w:rPr>
                </w:rPrChange>
              </w:rPr>
              <w:t>77 (47,2)</w:t>
            </w:r>
          </w:p>
        </w:tc>
        <w:tc>
          <w:tcPr>
            <w:tcW w:w="1422" w:type="dxa"/>
            <w:tcMar>
              <w:top w:w="0" w:type="dxa"/>
              <w:left w:w="57" w:type="dxa"/>
              <w:bottom w:w="0" w:type="dxa"/>
              <w:right w:w="57" w:type="dxa"/>
            </w:tcMar>
            <w:tcPrChange w:id="5617" w:author="Author">
              <w:tcPr>
                <w:tcW w:w="1275" w:type="dxa"/>
                <w:tcMar>
                  <w:top w:w="0" w:type="dxa"/>
                  <w:left w:w="57" w:type="dxa"/>
                  <w:bottom w:w="0" w:type="dxa"/>
                  <w:right w:w="57" w:type="dxa"/>
                </w:tcMar>
              </w:tcPr>
            </w:tcPrChange>
          </w:tcPr>
          <w:p>
            <w:pPr>
              <w:keepNext/>
              <w:tabs>
                <w:tab w:val="left" w:pos="180"/>
              </w:tabs>
              <w:suppressAutoHyphens/>
              <w:jc w:val="center"/>
              <w:rPr>
                <w:rFonts w:eastAsia="SimSun"/>
                <w:noProof/>
                <w:sz w:val="20"/>
                <w:lang w:val="it-IT"/>
                <w:rPrChange w:id="5618" w:author="Author">
                  <w:rPr>
                    <w:rFonts w:eastAsia="SimSun"/>
                    <w:szCs w:val="22"/>
                    <w:lang w:val="it-IT"/>
                  </w:rPr>
                </w:rPrChange>
              </w:rPr>
              <w:pPrChange w:id="5619" w:author="Author">
                <w:pPr>
                  <w:keepNext/>
                  <w:keepLines/>
                  <w:tabs>
                    <w:tab w:val="left" w:pos="180"/>
                  </w:tabs>
                  <w:spacing w:before="50" w:after="50" w:line="240" w:lineRule="exact"/>
                  <w:jc w:val="center"/>
                </w:pPr>
              </w:pPrChange>
            </w:pPr>
            <w:r>
              <w:rPr>
                <w:noProof/>
                <w:sz w:val="20"/>
                <w:lang w:val="it-IT"/>
                <w:rPrChange w:id="5620" w:author="Author">
                  <w:rPr>
                    <w:szCs w:val="22"/>
                    <w:lang w:val="it-IT"/>
                  </w:rPr>
                </w:rPrChange>
              </w:rPr>
              <w:t>0,0002</w:t>
            </w:r>
          </w:p>
        </w:tc>
      </w:tr>
      <w:tr>
        <w:trPr>
          <w:cantSplit/>
          <w:trPrChange w:id="5621" w:author="Author">
            <w:trPr>
              <w:gridAfter w:val="0"/>
              <w:wAfter w:w="14" w:type="dxa"/>
              <w:cantSplit/>
            </w:trPr>
          </w:trPrChange>
        </w:trPr>
        <w:tc>
          <w:tcPr>
            <w:tcW w:w="3775" w:type="dxa"/>
            <w:tcMar>
              <w:top w:w="0" w:type="dxa"/>
              <w:left w:w="57" w:type="dxa"/>
              <w:bottom w:w="0" w:type="dxa"/>
              <w:right w:w="57" w:type="dxa"/>
            </w:tcMar>
            <w:tcPrChange w:id="5622" w:author="Author">
              <w:tcPr>
                <w:tcW w:w="3350" w:type="dxa"/>
                <w:tcMar>
                  <w:top w:w="0" w:type="dxa"/>
                  <w:left w:w="57" w:type="dxa"/>
                  <w:bottom w:w="0" w:type="dxa"/>
                  <w:right w:w="57" w:type="dxa"/>
                </w:tcMar>
              </w:tcPr>
            </w:tcPrChange>
          </w:tcPr>
          <w:p>
            <w:pPr>
              <w:keepNext/>
              <w:tabs>
                <w:tab w:val="left" w:pos="180"/>
              </w:tabs>
              <w:suppressAutoHyphens/>
              <w:jc w:val="right"/>
              <w:rPr>
                <w:rFonts w:eastAsia="SimSun"/>
                <w:noProof/>
                <w:sz w:val="20"/>
                <w:lang w:val="it-IT"/>
                <w:rPrChange w:id="5623" w:author="Author">
                  <w:rPr>
                    <w:rFonts w:eastAsia="SimSun"/>
                    <w:szCs w:val="22"/>
                    <w:lang w:val="it-IT"/>
                  </w:rPr>
                </w:rPrChange>
              </w:rPr>
              <w:pPrChange w:id="5624" w:author="Author">
                <w:pPr>
                  <w:keepNext/>
                  <w:keepLines/>
                  <w:tabs>
                    <w:tab w:val="left" w:pos="180"/>
                  </w:tabs>
                  <w:spacing w:before="50" w:after="50" w:line="240" w:lineRule="exact"/>
                  <w:jc w:val="right"/>
                </w:pPr>
              </w:pPrChange>
            </w:pPr>
            <w:r>
              <w:rPr>
                <w:noProof/>
                <w:sz w:val="20"/>
                <w:lang w:val="it-IT"/>
                <w:rPrChange w:id="5625" w:author="Author">
                  <w:rPr>
                    <w:szCs w:val="22"/>
                    <w:lang w:val="it-IT"/>
                  </w:rPr>
                </w:rPrChange>
              </w:rPr>
              <w:t>Risposta ACR70, n (%)</w:t>
            </w:r>
          </w:p>
        </w:tc>
        <w:tc>
          <w:tcPr>
            <w:tcW w:w="1935" w:type="dxa"/>
            <w:tcMar>
              <w:top w:w="0" w:type="dxa"/>
              <w:left w:w="57" w:type="dxa"/>
              <w:bottom w:w="0" w:type="dxa"/>
              <w:right w:w="57" w:type="dxa"/>
            </w:tcMar>
            <w:tcPrChange w:id="5626" w:author="Author">
              <w:tcPr>
                <w:tcW w:w="1610" w:type="dxa"/>
                <w:tcMar>
                  <w:top w:w="0" w:type="dxa"/>
                  <w:left w:w="57" w:type="dxa"/>
                  <w:bottom w:w="0" w:type="dxa"/>
                  <w:right w:w="57" w:type="dxa"/>
                </w:tcMar>
              </w:tcPr>
            </w:tcPrChange>
          </w:tcPr>
          <w:p>
            <w:pPr>
              <w:keepNext/>
              <w:tabs>
                <w:tab w:val="left" w:pos="180"/>
              </w:tabs>
              <w:suppressAutoHyphens/>
              <w:jc w:val="center"/>
              <w:rPr>
                <w:rFonts w:eastAsia="SimSun"/>
                <w:noProof/>
                <w:sz w:val="20"/>
                <w:lang w:val="it-IT"/>
                <w:rPrChange w:id="5627" w:author="Author">
                  <w:rPr>
                    <w:rFonts w:eastAsia="SimSun"/>
                    <w:szCs w:val="22"/>
                    <w:lang w:val="it-IT"/>
                  </w:rPr>
                </w:rPrChange>
              </w:rPr>
              <w:pPrChange w:id="5628" w:author="Author">
                <w:pPr>
                  <w:keepNext/>
                  <w:keepLines/>
                  <w:tabs>
                    <w:tab w:val="left" w:pos="180"/>
                  </w:tabs>
                  <w:spacing w:before="50" w:after="50" w:line="240" w:lineRule="exact"/>
                  <w:jc w:val="center"/>
                </w:pPr>
              </w:pPrChange>
            </w:pPr>
            <w:r>
              <w:rPr>
                <w:noProof/>
                <w:sz w:val="20"/>
                <w:lang w:val="it-IT"/>
                <w:rPrChange w:id="5629" w:author="Author">
                  <w:rPr>
                    <w:szCs w:val="22"/>
                    <w:lang w:val="it-IT"/>
                  </w:rPr>
                </w:rPrChange>
              </w:rPr>
              <w:t>29 (17,9)</w:t>
            </w:r>
          </w:p>
        </w:tc>
        <w:tc>
          <w:tcPr>
            <w:tcW w:w="1935" w:type="dxa"/>
            <w:tcMar>
              <w:top w:w="0" w:type="dxa"/>
              <w:left w:w="57" w:type="dxa"/>
              <w:bottom w:w="0" w:type="dxa"/>
              <w:right w:w="57" w:type="dxa"/>
            </w:tcMar>
            <w:tcPrChange w:id="5630" w:author="Author">
              <w:tcPr>
                <w:tcW w:w="1701" w:type="dxa"/>
                <w:tcMar>
                  <w:top w:w="0" w:type="dxa"/>
                  <w:left w:w="57" w:type="dxa"/>
                  <w:bottom w:w="0" w:type="dxa"/>
                  <w:right w:w="57" w:type="dxa"/>
                </w:tcMar>
              </w:tcPr>
            </w:tcPrChange>
          </w:tcPr>
          <w:p>
            <w:pPr>
              <w:keepNext/>
              <w:tabs>
                <w:tab w:val="left" w:pos="180"/>
              </w:tabs>
              <w:suppressAutoHyphens/>
              <w:jc w:val="center"/>
              <w:rPr>
                <w:rFonts w:eastAsia="SimSun"/>
                <w:noProof/>
                <w:sz w:val="20"/>
                <w:lang w:val="it-IT"/>
                <w:rPrChange w:id="5631" w:author="Author">
                  <w:rPr>
                    <w:rFonts w:eastAsia="SimSun"/>
                    <w:szCs w:val="22"/>
                    <w:lang w:val="it-IT"/>
                  </w:rPr>
                </w:rPrChange>
              </w:rPr>
              <w:pPrChange w:id="5632" w:author="Author">
                <w:pPr>
                  <w:keepNext/>
                  <w:keepLines/>
                  <w:tabs>
                    <w:tab w:val="left" w:pos="180"/>
                  </w:tabs>
                  <w:spacing w:before="50" w:after="50" w:line="240" w:lineRule="exact"/>
                  <w:jc w:val="center"/>
                </w:pPr>
              </w:pPrChange>
            </w:pPr>
            <w:r>
              <w:rPr>
                <w:noProof/>
                <w:sz w:val="20"/>
                <w:lang w:val="it-IT"/>
                <w:rPrChange w:id="5633" w:author="Author">
                  <w:rPr>
                    <w:szCs w:val="22"/>
                    <w:lang w:val="it-IT"/>
                  </w:rPr>
                </w:rPrChange>
              </w:rPr>
              <w:t>53 (32,5)</w:t>
            </w:r>
          </w:p>
        </w:tc>
        <w:tc>
          <w:tcPr>
            <w:tcW w:w="1422" w:type="dxa"/>
            <w:tcMar>
              <w:top w:w="0" w:type="dxa"/>
              <w:left w:w="57" w:type="dxa"/>
              <w:bottom w:w="0" w:type="dxa"/>
              <w:right w:w="57" w:type="dxa"/>
            </w:tcMar>
            <w:tcPrChange w:id="5634" w:author="Author">
              <w:tcPr>
                <w:tcW w:w="1275" w:type="dxa"/>
                <w:tcMar>
                  <w:top w:w="0" w:type="dxa"/>
                  <w:left w:w="57" w:type="dxa"/>
                  <w:bottom w:w="0" w:type="dxa"/>
                  <w:right w:w="57" w:type="dxa"/>
                </w:tcMar>
              </w:tcPr>
            </w:tcPrChange>
          </w:tcPr>
          <w:p>
            <w:pPr>
              <w:keepNext/>
              <w:tabs>
                <w:tab w:val="left" w:pos="180"/>
              </w:tabs>
              <w:suppressAutoHyphens/>
              <w:jc w:val="center"/>
              <w:rPr>
                <w:rFonts w:eastAsia="SimSun"/>
                <w:noProof/>
                <w:sz w:val="20"/>
                <w:lang w:val="it-IT"/>
                <w:rPrChange w:id="5635" w:author="Author">
                  <w:rPr>
                    <w:rFonts w:eastAsia="SimSun"/>
                    <w:szCs w:val="22"/>
                    <w:lang w:val="it-IT"/>
                  </w:rPr>
                </w:rPrChange>
              </w:rPr>
              <w:pPrChange w:id="5636" w:author="Author">
                <w:pPr>
                  <w:keepNext/>
                  <w:keepLines/>
                  <w:tabs>
                    <w:tab w:val="left" w:pos="180"/>
                  </w:tabs>
                  <w:spacing w:before="50" w:after="50" w:line="240" w:lineRule="exact"/>
                  <w:jc w:val="center"/>
                </w:pPr>
              </w:pPrChange>
            </w:pPr>
            <w:r>
              <w:rPr>
                <w:noProof/>
                <w:sz w:val="20"/>
                <w:lang w:val="it-IT"/>
                <w:rPrChange w:id="5637" w:author="Author">
                  <w:rPr>
                    <w:szCs w:val="22"/>
                    <w:lang w:val="it-IT"/>
                  </w:rPr>
                </w:rPrChange>
              </w:rPr>
              <w:t>0,0023</w:t>
            </w:r>
          </w:p>
        </w:tc>
      </w:tr>
    </w:tbl>
    <w:p>
      <w:pPr>
        <w:keepNext/>
        <w:keepLines/>
        <w:tabs>
          <w:tab w:val="left" w:pos="180"/>
        </w:tabs>
        <w:rPr>
          <w:rFonts w:eastAsia="SimSun"/>
          <w:bCs/>
          <w:i/>
          <w:noProof/>
          <w:sz w:val="18"/>
          <w:szCs w:val="18"/>
          <w:lang w:val="it-IT"/>
        </w:rPr>
      </w:pPr>
      <w:r>
        <w:rPr>
          <w:bCs/>
          <w:i/>
          <w:noProof/>
          <w:sz w:val="18"/>
          <w:szCs w:val="18"/>
          <w:vertAlign w:val="superscript"/>
          <w:lang w:val="it-IT"/>
        </w:rPr>
        <w:t>a</w:t>
      </w:r>
      <w:r>
        <w:rPr>
          <w:bCs/>
          <w:i/>
          <w:noProof/>
          <w:sz w:val="18"/>
          <w:szCs w:val="18"/>
          <w:lang w:val="it-IT"/>
        </w:rPr>
        <w:t>il valore (p) di significatività è aggiustato per regione e durata dell’AR per tutti gli endpoint e inoltre per il valore basale per tutti gli endpoint continui.</w:t>
      </w:r>
      <w:r>
        <w:rPr>
          <w:noProof/>
          <w:sz w:val="18"/>
          <w:szCs w:val="18"/>
          <w:lang w:val="it-IT"/>
        </w:rPr>
        <w:br/>
      </w:r>
      <w:r>
        <w:rPr>
          <w:bCs/>
          <w:i/>
          <w:noProof/>
          <w:sz w:val="18"/>
          <w:szCs w:val="18"/>
          <w:vertAlign w:val="superscript"/>
          <w:lang w:val="it-IT"/>
        </w:rPr>
        <w:t>b</w:t>
      </w:r>
      <w:r>
        <w:rPr>
          <w:bCs/>
          <w:i/>
          <w:noProof/>
          <w:sz w:val="18"/>
          <w:szCs w:val="18"/>
          <w:lang w:val="it-IT"/>
        </w:rPr>
        <w:t xml:space="preserve"> per i dati mancanti è stat</w:t>
      </w:r>
      <w:del w:id="5638" w:author="Author">
        <w:r>
          <w:rPr>
            <w:bCs/>
            <w:i/>
            <w:noProof/>
            <w:sz w:val="18"/>
            <w:szCs w:val="18"/>
            <w:lang w:val="it-IT"/>
          </w:rPr>
          <w:delText>o</w:delText>
        </w:r>
      </w:del>
      <w:ins w:id="5639" w:author="Author">
        <w:r>
          <w:rPr>
            <w:bCs/>
            <w:i/>
            <w:noProof/>
            <w:sz w:val="18"/>
            <w:szCs w:val="18"/>
            <w:lang w:val="it-IT"/>
          </w:rPr>
          <w:t>a</w:t>
        </w:r>
      </w:ins>
      <w:r>
        <w:rPr>
          <w:bCs/>
          <w:i/>
          <w:noProof/>
          <w:sz w:val="18"/>
          <w:szCs w:val="18"/>
          <w:lang w:val="it-IT"/>
        </w:rPr>
        <w:t xml:space="preserve"> imputata la mancata risposta. La molteplicità è stata controllata utilizzando la procedura Bonferroni-Holm</w:t>
      </w:r>
    </w:p>
    <w:p>
      <w:pPr>
        <w:keepNext/>
        <w:keepLines/>
        <w:numPr>
          <w:ilvl w:val="12"/>
          <w:numId w:val="0"/>
        </w:numPr>
        <w:tabs>
          <w:tab w:val="left" w:pos="180"/>
        </w:tabs>
        <w:ind w:right="-2"/>
        <w:rPr>
          <w:noProof/>
          <w:sz w:val="18"/>
          <w:szCs w:val="18"/>
          <w:lang w:val="it-IT"/>
        </w:rPr>
      </w:pPr>
      <w:r>
        <w:rPr>
          <w:noProof/>
          <w:sz w:val="18"/>
          <w:szCs w:val="18"/>
          <w:lang w:val="it-IT"/>
        </w:rPr>
        <w:t>IV</w:t>
      </w:r>
      <w:del w:id="5640" w:author="Author">
        <w:r>
          <w:rPr>
            <w:noProof/>
            <w:sz w:val="18"/>
            <w:szCs w:val="18"/>
            <w:lang w:val="it-IT"/>
          </w:rPr>
          <w:delText xml:space="preserve"> </w:delText>
        </w:r>
      </w:del>
      <w:ins w:id="5641" w:author="Author">
        <w:r>
          <w:rPr>
            <w:noProof/>
            <w:sz w:val="18"/>
            <w:szCs w:val="18"/>
            <w:lang w:val="it-IT"/>
          </w:rPr>
          <w:t> </w:t>
        </w:r>
      </w:ins>
      <w:r>
        <w:rPr>
          <w:noProof/>
          <w:sz w:val="18"/>
          <w:szCs w:val="18"/>
          <w:lang w:val="it-IT"/>
        </w:rPr>
        <w:t>=</w:t>
      </w:r>
      <w:ins w:id="5642" w:author="Author">
        <w:r>
          <w:rPr>
            <w:noProof/>
            <w:sz w:val="18"/>
            <w:szCs w:val="18"/>
            <w:lang w:val="it-IT"/>
          </w:rPr>
          <w:t> </w:t>
        </w:r>
      </w:ins>
      <w:del w:id="5643" w:author="Author">
        <w:r>
          <w:rPr>
            <w:noProof/>
            <w:sz w:val="18"/>
            <w:szCs w:val="18"/>
            <w:lang w:val="it-IT"/>
          </w:rPr>
          <w:delText xml:space="preserve"> </w:delText>
        </w:r>
      </w:del>
      <w:r>
        <w:rPr>
          <w:noProof/>
          <w:sz w:val="18"/>
          <w:szCs w:val="18"/>
          <w:lang w:val="it-IT"/>
        </w:rPr>
        <w:t>endoven</w:t>
      </w:r>
      <w:del w:id="5644" w:author="Author">
        <w:r>
          <w:rPr>
            <w:noProof/>
            <w:sz w:val="18"/>
            <w:szCs w:val="18"/>
            <w:lang w:val="it-IT"/>
          </w:rPr>
          <w:delText>os</w:delText>
        </w:r>
      </w:del>
      <w:r>
        <w:rPr>
          <w:noProof/>
          <w:sz w:val="18"/>
          <w:szCs w:val="18"/>
          <w:lang w:val="it-IT"/>
        </w:rPr>
        <w:t>a</w:t>
      </w:r>
    </w:p>
    <w:p>
      <w:pPr>
        <w:keepNext/>
        <w:keepLines/>
        <w:numPr>
          <w:ilvl w:val="12"/>
          <w:numId w:val="0"/>
        </w:numPr>
        <w:tabs>
          <w:tab w:val="left" w:pos="180"/>
        </w:tabs>
        <w:ind w:right="-2"/>
        <w:rPr>
          <w:noProof/>
          <w:sz w:val="18"/>
          <w:szCs w:val="18"/>
          <w:lang w:val="it-IT"/>
        </w:rPr>
      </w:pPr>
      <w:r>
        <w:rPr>
          <w:noProof/>
          <w:sz w:val="18"/>
          <w:szCs w:val="18"/>
          <w:lang w:val="it-IT"/>
        </w:rPr>
        <w:t>SC</w:t>
      </w:r>
      <w:del w:id="5645" w:author="Author">
        <w:r>
          <w:rPr>
            <w:noProof/>
            <w:sz w:val="18"/>
            <w:szCs w:val="18"/>
            <w:lang w:val="it-IT"/>
          </w:rPr>
          <w:delText xml:space="preserve"> </w:delText>
        </w:r>
      </w:del>
      <w:ins w:id="5646" w:author="Author">
        <w:r>
          <w:rPr>
            <w:noProof/>
            <w:sz w:val="18"/>
            <w:szCs w:val="18"/>
            <w:lang w:val="it-IT"/>
          </w:rPr>
          <w:t> </w:t>
        </w:r>
      </w:ins>
      <w:r>
        <w:rPr>
          <w:noProof/>
          <w:sz w:val="18"/>
          <w:szCs w:val="18"/>
          <w:lang w:val="it-IT"/>
        </w:rPr>
        <w:t>=</w:t>
      </w:r>
      <w:ins w:id="5647" w:author="Author">
        <w:r>
          <w:rPr>
            <w:noProof/>
            <w:sz w:val="18"/>
            <w:szCs w:val="18"/>
            <w:lang w:val="it-IT"/>
          </w:rPr>
          <w:t> </w:t>
        </w:r>
      </w:ins>
      <w:del w:id="5648" w:author="Author">
        <w:r>
          <w:rPr>
            <w:noProof/>
            <w:sz w:val="18"/>
            <w:szCs w:val="18"/>
            <w:lang w:val="it-IT"/>
          </w:rPr>
          <w:delText xml:space="preserve"> sottocutabea</w:delText>
        </w:r>
      </w:del>
      <w:ins w:id="5649" w:author="Author">
        <w:r>
          <w:rPr>
            <w:noProof/>
            <w:sz w:val="18"/>
            <w:szCs w:val="18"/>
            <w:lang w:val="it-IT"/>
          </w:rPr>
          <w:t>sottocute</w:t>
        </w:r>
        <w:del w:id="5650" w:author="Author">
          <w:r>
            <w:rPr>
              <w:noProof/>
              <w:sz w:val="18"/>
              <w:szCs w:val="18"/>
              <w:lang w:val="it-IT"/>
            </w:rPr>
            <w:delText>anea</w:delText>
          </w:r>
        </w:del>
      </w:ins>
    </w:p>
    <w:p>
      <w:pPr>
        <w:keepNext/>
        <w:keepLines/>
        <w:numPr>
          <w:ilvl w:val="12"/>
          <w:numId w:val="0"/>
        </w:numPr>
        <w:tabs>
          <w:tab w:val="left" w:pos="180"/>
        </w:tabs>
        <w:ind w:right="-2"/>
        <w:rPr>
          <w:noProof/>
          <w:sz w:val="18"/>
          <w:szCs w:val="18"/>
          <w:lang w:val="it-IT"/>
        </w:rPr>
      </w:pPr>
      <w:r>
        <w:rPr>
          <w:noProof/>
          <w:sz w:val="18"/>
          <w:szCs w:val="18"/>
          <w:lang w:val="it-IT"/>
        </w:rPr>
        <w:t>ADA</w:t>
      </w:r>
      <w:del w:id="5651" w:author="Author">
        <w:r>
          <w:rPr>
            <w:noProof/>
            <w:sz w:val="18"/>
            <w:szCs w:val="18"/>
            <w:lang w:val="it-IT"/>
          </w:rPr>
          <w:delText xml:space="preserve"> </w:delText>
        </w:r>
      </w:del>
      <w:ins w:id="5652" w:author="Author">
        <w:r>
          <w:rPr>
            <w:noProof/>
            <w:sz w:val="18"/>
            <w:szCs w:val="18"/>
            <w:lang w:val="it-IT"/>
          </w:rPr>
          <w:t> </w:t>
        </w:r>
      </w:ins>
      <w:r>
        <w:rPr>
          <w:noProof/>
          <w:sz w:val="18"/>
          <w:szCs w:val="18"/>
          <w:lang w:val="it-IT"/>
        </w:rPr>
        <w:t>=</w:t>
      </w:r>
      <w:ins w:id="5653" w:author="Author">
        <w:r>
          <w:rPr>
            <w:noProof/>
            <w:sz w:val="18"/>
            <w:szCs w:val="18"/>
            <w:lang w:val="it-IT"/>
          </w:rPr>
          <w:t> </w:t>
        </w:r>
      </w:ins>
      <w:del w:id="5654" w:author="Author">
        <w:r>
          <w:rPr>
            <w:noProof/>
            <w:sz w:val="18"/>
            <w:szCs w:val="18"/>
            <w:lang w:val="it-IT"/>
          </w:rPr>
          <w:delText xml:space="preserve"> </w:delText>
        </w:r>
      </w:del>
      <w:r>
        <w:rPr>
          <w:noProof/>
          <w:sz w:val="18"/>
          <w:szCs w:val="18"/>
          <w:lang w:val="it-IT"/>
        </w:rPr>
        <w:t>adalimumab</w:t>
      </w:r>
    </w:p>
    <w:p>
      <w:pPr>
        <w:keepNext/>
        <w:keepLines/>
        <w:numPr>
          <w:ilvl w:val="12"/>
          <w:numId w:val="0"/>
        </w:numPr>
        <w:tabs>
          <w:tab w:val="left" w:pos="180"/>
        </w:tabs>
        <w:ind w:right="-2"/>
        <w:rPr>
          <w:noProof/>
          <w:sz w:val="18"/>
          <w:szCs w:val="18"/>
          <w:lang w:val="it-IT"/>
        </w:rPr>
      </w:pPr>
      <w:r>
        <w:rPr>
          <w:noProof/>
          <w:sz w:val="18"/>
          <w:szCs w:val="18"/>
          <w:lang w:val="it-IT"/>
        </w:rPr>
        <w:t>TCZ</w:t>
      </w:r>
      <w:del w:id="5655" w:author="Author">
        <w:r>
          <w:rPr>
            <w:noProof/>
            <w:sz w:val="18"/>
            <w:szCs w:val="18"/>
            <w:lang w:val="it-IT"/>
          </w:rPr>
          <w:delText xml:space="preserve"> </w:delText>
        </w:r>
      </w:del>
      <w:ins w:id="5656" w:author="Author">
        <w:r>
          <w:rPr>
            <w:noProof/>
            <w:sz w:val="18"/>
            <w:szCs w:val="18"/>
            <w:lang w:val="it-IT"/>
          </w:rPr>
          <w:t> </w:t>
        </w:r>
      </w:ins>
      <w:r>
        <w:rPr>
          <w:noProof/>
          <w:sz w:val="18"/>
          <w:szCs w:val="18"/>
          <w:lang w:val="it-IT"/>
        </w:rPr>
        <w:t>=</w:t>
      </w:r>
      <w:ins w:id="5657" w:author="Author">
        <w:r>
          <w:rPr>
            <w:noProof/>
            <w:sz w:val="18"/>
            <w:szCs w:val="18"/>
            <w:lang w:val="it-IT"/>
          </w:rPr>
          <w:t> </w:t>
        </w:r>
      </w:ins>
      <w:del w:id="5658" w:author="Author">
        <w:r>
          <w:rPr>
            <w:noProof/>
            <w:sz w:val="18"/>
            <w:szCs w:val="18"/>
            <w:lang w:val="it-IT"/>
          </w:rPr>
          <w:delText xml:space="preserve"> </w:delText>
        </w:r>
      </w:del>
      <w:r>
        <w:rPr>
          <w:noProof/>
          <w:sz w:val="18"/>
          <w:szCs w:val="18"/>
          <w:lang w:val="it-IT"/>
        </w:rPr>
        <w:t>tocilizumab</w:t>
      </w:r>
    </w:p>
    <w:p>
      <w:pPr>
        <w:numPr>
          <w:ilvl w:val="12"/>
          <w:numId w:val="0"/>
        </w:numPr>
        <w:tabs>
          <w:tab w:val="left" w:pos="180"/>
        </w:tabs>
        <w:rPr>
          <w:noProof/>
          <w:lang w:val="it-IT"/>
        </w:rPr>
        <w:pPrChange w:id="5659" w:author="Author">
          <w:pPr>
            <w:keepNext/>
            <w:keepLines/>
            <w:numPr>
              <w:ilvl w:val="12"/>
            </w:numPr>
            <w:tabs>
              <w:tab w:val="left" w:pos="180"/>
            </w:tabs>
            <w:ind w:right="-2"/>
          </w:pPr>
        </w:pPrChange>
      </w:pPr>
    </w:p>
    <w:p>
      <w:pPr>
        <w:numPr>
          <w:ilvl w:val="12"/>
          <w:numId w:val="0"/>
        </w:numPr>
        <w:tabs>
          <w:tab w:val="left" w:pos="180"/>
        </w:tabs>
        <w:rPr>
          <w:i/>
          <w:noProof/>
          <w:lang w:val="it-IT"/>
        </w:rPr>
        <w:pPrChange w:id="5660" w:author="Author">
          <w:pPr>
            <w:keepNext/>
            <w:keepLines/>
            <w:numPr>
              <w:ilvl w:val="12"/>
            </w:numPr>
            <w:tabs>
              <w:tab w:val="left" w:pos="180"/>
            </w:tabs>
            <w:ind w:right="-2"/>
          </w:pPr>
        </w:pPrChange>
      </w:pPr>
      <w:r>
        <w:rPr>
          <w:noProof/>
          <w:lang w:val="it-IT"/>
        </w:rPr>
        <w:t xml:space="preserve">Il profilo clinico complessivo degli eventi avversi è risultato simile </w:t>
      </w:r>
      <w:del w:id="5661" w:author="Author">
        <w:r>
          <w:rPr>
            <w:noProof/>
            <w:lang w:val="it-IT"/>
          </w:rPr>
          <w:delText xml:space="preserve">fra </w:delText>
        </w:r>
      </w:del>
      <w:ins w:id="5662" w:author="Author">
        <w:r>
          <w:rPr>
            <w:noProof/>
            <w:lang w:val="it-IT"/>
          </w:rPr>
          <w:t xml:space="preserve">tra </w:t>
        </w:r>
      </w:ins>
      <w:r>
        <w:rPr>
          <w:noProof/>
          <w:lang w:val="it-IT"/>
        </w:rPr>
        <w:t xml:space="preserve">tocilizumab ed adalimumab. La proporzione di pazienti con eventi avversi gravi era bilanciata fra i gruppi di trattamento (tocilizumab 11,7% vs. adalimumab 9,9%). </w:t>
      </w:r>
      <w:r>
        <w:rPr>
          <w:noProof/>
          <w:szCs w:val="22"/>
          <w:lang w:val="it-IT"/>
        </w:rPr>
        <w:t xml:space="preserve">I tipi di reazioni avverse nel braccio trattato con </w:t>
      </w:r>
      <w:r>
        <w:rPr>
          <w:noProof/>
          <w:lang w:val="it-IT"/>
        </w:rPr>
        <w:t xml:space="preserve">tocilizumab </w:t>
      </w:r>
      <w:r>
        <w:rPr>
          <w:noProof/>
          <w:szCs w:val="22"/>
          <w:lang w:val="it-IT"/>
        </w:rPr>
        <w:t xml:space="preserve">sono stati coerenti con il profilo di sicurezza noto di </w:t>
      </w:r>
      <w:r>
        <w:rPr>
          <w:noProof/>
          <w:lang w:val="it-IT"/>
        </w:rPr>
        <w:t xml:space="preserve">tocilizumab </w:t>
      </w:r>
      <w:r>
        <w:rPr>
          <w:noProof/>
          <w:szCs w:val="22"/>
          <w:lang w:val="it-IT"/>
        </w:rPr>
        <w:t xml:space="preserve">e le reazioni avverse al farmaco sono state riportate con una frequenza simile rispetto alla Tabella 1. Una più alta incidenza di infezioni e infestazioni è stata riportata nel braccio trattato con </w:t>
      </w:r>
      <w:r>
        <w:rPr>
          <w:noProof/>
          <w:lang w:val="it-IT"/>
        </w:rPr>
        <w:t xml:space="preserve">tocilizumab </w:t>
      </w:r>
      <w:r>
        <w:rPr>
          <w:noProof/>
          <w:szCs w:val="22"/>
          <w:lang w:val="it-IT"/>
        </w:rPr>
        <w:t>(48% vs 42%), senza differenze nell'incidenza di infezioni gravi (3,1%).</w:t>
      </w:r>
      <w:r>
        <w:rPr>
          <w:noProof/>
          <w:lang w:val="it-IT"/>
        </w:rPr>
        <w:t xml:space="preserve"> Entrambi i trattamenti in studio hanno indotto il medesimo schema di variazione nei parametri di sicurezza di laboratorio (riduzioni della conta dei neutrofili e delle piastrine, aumenti per ALT, AST e lipidi), tuttavia l’ampiezza della variazione e la frequenza di anomalie marcate era più alta con tocilizumab in confronto ad adalimumab. Quattro pazienti (2,5%) nel gruppo tocilizumab e due pazienti (1,2%) nel gruppo adalimumab hanno manifestato riduzioni della conta dei neutrofili di grado 3 o 4 CTC. Undici pazienti (6,8%) nel gruppo tocilizumab e cinque pazienti (3,1%) nel gruppo adalimumab hanno manifestato aumenti dell’ALT di grado 2 CTC o superiore. L’incremento medio di LDL dal basale era 0,64</w:t>
      </w:r>
      <w:ins w:id="5663" w:author="Author">
        <w:r>
          <w:rPr>
            <w:noProof/>
            <w:lang w:val="it-IT"/>
          </w:rPr>
          <w:t> </w:t>
        </w:r>
      </w:ins>
      <w:del w:id="5664" w:author="Author">
        <w:r>
          <w:rPr>
            <w:noProof/>
            <w:lang w:val="it-IT"/>
          </w:rPr>
          <w:delText xml:space="preserve"> </w:delText>
        </w:r>
      </w:del>
      <w:r>
        <w:rPr>
          <w:noProof/>
          <w:lang w:val="it-IT"/>
        </w:rPr>
        <w:t>mmol/l (25 mg/dL) per i pazienti del braccio tocilizumab e 0,19 mmol/l (7 mg/dL) per i pazienti del gruppo adalimumab. La sicurezza osservata nel braccio tocilizumab era in linea con il profilo già noto di sicurezza di tocilizumab e non sono state osservate nuove o inattese reazioni avverse (vedere Tabella 1).</w:t>
      </w:r>
    </w:p>
    <w:p>
      <w:pPr>
        <w:numPr>
          <w:ilvl w:val="12"/>
          <w:numId w:val="0"/>
        </w:numPr>
        <w:tabs>
          <w:tab w:val="left" w:pos="180"/>
        </w:tabs>
        <w:ind w:right="-2"/>
        <w:rPr>
          <w:noProof/>
          <w:lang w:val="it-IT"/>
        </w:rPr>
      </w:pPr>
    </w:p>
    <w:p>
      <w:pPr>
        <w:keepNext/>
        <w:tabs>
          <w:tab w:val="left" w:pos="180"/>
        </w:tabs>
        <w:ind w:left="567" w:hanging="567"/>
        <w:outlineLvl w:val="0"/>
        <w:rPr>
          <w:b/>
          <w:noProof/>
          <w:lang w:val="it-IT"/>
        </w:rPr>
      </w:pPr>
      <w:r>
        <w:rPr>
          <w:b/>
          <w:noProof/>
          <w:lang w:val="it-IT"/>
        </w:rPr>
        <w:t>5.2</w:t>
      </w:r>
      <w:r>
        <w:rPr>
          <w:noProof/>
          <w:lang w:val="it-IT"/>
        </w:rPr>
        <w:tab/>
      </w:r>
      <w:r>
        <w:rPr>
          <w:b/>
          <w:noProof/>
          <w:lang w:val="it-IT"/>
        </w:rPr>
        <w:t>Proprietà farmacocinetiche</w:t>
      </w:r>
    </w:p>
    <w:p>
      <w:pPr>
        <w:numPr>
          <w:ilvl w:val="12"/>
          <w:numId w:val="0"/>
        </w:numPr>
        <w:tabs>
          <w:tab w:val="left" w:pos="180"/>
        </w:tabs>
        <w:rPr>
          <w:noProof/>
          <w:lang w:val="it-IT"/>
        </w:rPr>
      </w:pPr>
    </w:p>
    <w:p>
      <w:pPr>
        <w:numPr>
          <w:ilvl w:val="12"/>
          <w:numId w:val="0"/>
        </w:numPr>
        <w:tabs>
          <w:tab w:val="left" w:pos="180"/>
        </w:tabs>
        <w:ind w:right="-2"/>
        <w:rPr>
          <w:noProof/>
          <w:lang w:val="it-IT"/>
        </w:rPr>
      </w:pPr>
      <w:r>
        <w:rPr>
          <w:noProof/>
          <w:lang w:val="it-IT"/>
        </w:rPr>
        <w:t>La farmacocinetica di tocilizumab è caratterizzata da un’eliminazione non lineare, che è una combinazione di clearance lineare ed eliminazione di Michaelis-Menten. La parte non lineare dell’eliminazione determina un aumento dell’esposizione più che proporzionale alla dose. I parametri di farmacocinetica di tocilizumab non si modificano nel tempo. In virtù della dipendenza della clearance totale dalle concentrazioni sieriche di tocilizumab, anche l’emivita di tocilizumab è concentrazione-dipendente e varia in base al livello di concentrazione sierica. Le analisi di farmacocinetica di popolazione in ogni popolazione di pazienti testata finora non indicano una relazione tra clearance apparente e presenza di anticorpi anti-farmaco.</w:t>
      </w:r>
    </w:p>
    <w:p>
      <w:pPr>
        <w:numPr>
          <w:ilvl w:val="12"/>
          <w:numId w:val="0"/>
        </w:numPr>
        <w:tabs>
          <w:tab w:val="left" w:pos="180"/>
        </w:tabs>
        <w:ind w:right="-2"/>
        <w:rPr>
          <w:noProof/>
          <w:lang w:val="it-IT"/>
        </w:rPr>
      </w:pPr>
    </w:p>
    <w:p>
      <w:pPr>
        <w:keepNext/>
        <w:keepLines/>
        <w:numPr>
          <w:ilvl w:val="12"/>
          <w:numId w:val="0"/>
        </w:numPr>
        <w:tabs>
          <w:tab w:val="left" w:pos="180"/>
        </w:tabs>
        <w:rPr>
          <w:del w:id="5665" w:author="Author"/>
          <w:iCs/>
          <w:noProof/>
          <w:szCs w:val="22"/>
          <w:u w:val="single"/>
          <w:lang w:val="it-IT"/>
        </w:rPr>
      </w:pPr>
      <w:del w:id="5666" w:author="Author">
        <w:r>
          <w:rPr>
            <w:iCs/>
            <w:noProof/>
            <w:szCs w:val="22"/>
            <w:u w:val="single"/>
            <w:lang w:val="it-IT"/>
          </w:rPr>
          <w:delText>AR</w:delText>
        </w:r>
      </w:del>
    </w:p>
    <w:p>
      <w:pPr>
        <w:keepNext/>
        <w:keepLines/>
        <w:numPr>
          <w:ilvl w:val="12"/>
          <w:numId w:val="0"/>
        </w:numPr>
        <w:tabs>
          <w:tab w:val="left" w:pos="180"/>
        </w:tabs>
        <w:rPr>
          <w:del w:id="5667" w:author="Author"/>
          <w:iCs/>
          <w:noProof/>
          <w:szCs w:val="22"/>
          <w:u w:val="single"/>
          <w:lang w:val="it-IT"/>
        </w:rPr>
      </w:pPr>
    </w:p>
    <w:p>
      <w:pPr>
        <w:keepNext/>
        <w:keepLines/>
        <w:numPr>
          <w:ilvl w:val="12"/>
          <w:numId w:val="0"/>
        </w:numPr>
        <w:tabs>
          <w:tab w:val="left" w:pos="180"/>
        </w:tabs>
        <w:rPr>
          <w:iCs/>
          <w:noProof/>
          <w:szCs w:val="22"/>
          <w:u w:val="single"/>
          <w:lang w:val="it-IT"/>
          <w:rPrChange w:id="5668" w:author="Author">
            <w:rPr>
              <w:i/>
              <w:szCs w:val="22"/>
              <w:lang w:val="it-IT"/>
            </w:rPr>
          </w:rPrChange>
        </w:rPr>
      </w:pPr>
      <w:r>
        <w:rPr>
          <w:iCs/>
          <w:noProof/>
          <w:szCs w:val="22"/>
          <w:u w:val="single"/>
          <w:lang w:val="it-IT"/>
          <w:rPrChange w:id="5669" w:author="Author">
            <w:rPr>
              <w:i/>
              <w:szCs w:val="22"/>
              <w:lang w:val="it-IT"/>
            </w:rPr>
          </w:rPrChange>
        </w:rPr>
        <w:t>Uso endovenoso</w:t>
      </w:r>
    </w:p>
    <w:p>
      <w:pPr>
        <w:keepNext/>
        <w:keepLines/>
        <w:numPr>
          <w:ilvl w:val="12"/>
          <w:numId w:val="0"/>
        </w:numPr>
        <w:tabs>
          <w:tab w:val="left" w:pos="180"/>
        </w:tabs>
        <w:rPr>
          <w:ins w:id="5670" w:author="Author"/>
          <w:i/>
          <w:noProof/>
          <w:szCs w:val="22"/>
          <w:lang w:val="it-IT"/>
          <w:rPrChange w:id="5671" w:author="Author">
            <w:rPr>
              <w:ins w:id="5672" w:author="Author"/>
              <w:iCs/>
              <w:szCs w:val="22"/>
              <w:u w:val="single"/>
              <w:lang w:val="it-IT"/>
            </w:rPr>
          </w:rPrChange>
        </w:rPr>
      </w:pPr>
      <w:ins w:id="5673" w:author="Author">
        <w:r>
          <w:rPr>
            <w:i/>
            <w:noProof/>
            <w:szCs w:val="22"/>
            <w:lang w:val="it-IT"/>
            <w:rPrChange w:id="5674" w:author="Author">
              <w:rPr>
                <w:iCs/>
                <w:szCs w:val="22"/>
                <w:u w:val="single"/>
                <w:lang w:val="it-IT"/>
              </w:rPr>
            </w:rPrChange>
          </w:rPr>
          <w:t>Pazienti affetti da AR</w:t>
        </w:r>
      </w:ins>
    </w:p>
    <w:p>
      <w:pPr>
        <w:keepNext/>
        <w:keepLines/>
        <w:numPr>
          <w:ilvl w:val="12"/>
          <w:numId w:val="0"/>
        </w:numPr>
        <w:tabs>
          <w:tab w:val="left" w:pos="180"/>
        </w:tabs>
        <w:rPr>
          <w:iCs/>
          <w:noProof/>
          <w:szCs w:val="22"/>
          <w:u w:val="single"/>
          <w:lang w:val="it-IT"/>
        </w:rPr>
      </w:pPr>
    </w:p>
    <w:p>
      <w:pPr>
        <w:numPr>
          <w:ilvl w:val="12"/>
          <w:numId w:val="0"/>
        </w:numPr>
        <w:tabs>
          <w:tab w:val="left" w:pos="180"/>
        </w:tabs>
        <w:rPr>
          <w:iCs/>
          <w:noProof/>
          <w:lang w:val="it-IT"/>
        </w:rPr>
        <w:pPrChange w:id="5675" w:author="Author">
          <w:pPr>
            <w:keepNext/>
            <w:keepLines/>
            <w:numPr>
              <w:ilvl w:val="12"/>
            </w:numPr>
            <w:tabs>
              <w:tab w:val="left" w:pos="180"/>
            </w:tabs>
          </w:pPr>
        </w:pPrChange>
      </w:pPr>
      <w:r>
        <w:rPr>
          <w:iCs/>
          <w:noProof/>
          <w:lang w:val="it-IT"/>
        </w:rPr>
        <w:t xml:space="preserve">La farmacocinetica di </w:t>
      </w:r>
      <w:r>
        <w:rPr>
          <w:noProof/>
          <w:lang w:val="it-IT"/>
        </w:rPr>
        <w:t xml:space="preserve">tocilizumab </w:t>
      </w:r>
      <w:r>
        <w:rPr>
          <w:iCs/>
          <w:noProof/>
          <w:lang w:val="it-IT"/>
        </w:rPr>
        <w:t>è stata determinata effettuando un’analisi di farmacocinetica di popolazione su un database composto da 3</w:t>
      </w:r>
      <w:del w:id="5676" w:author="Author">
        <w:r>
          <w:rPr>
            <w:iCs/>
            <w:noProof/>
            <w:lang w:val="it-IT"/>
          </w:rPr>
          <w:delText>.</w:delText>
        </w:r>
      </w:del>
      <w:ins w:id="5677" w:author="Author">
        <w:r>
          <w:rPr>
            <w:iCs/>
            <w:noProof/>
            <w:lang w:val="it-IT"/>
          </w:rPr>
          <w:t> </w:t>
        </w:r>
      </w:ins>
      <w:r>
        <w:rPr>
          <w:iCs/>
          <w:noProof/>
          <w:lang w:val="it-IT"/>
        </w:rPr>
        <w:t xml:space="preserve">552 pazienti affetti da AR, trattati con un’infusione da un’ora di 4 o 8 mg/kg di </w:t>
      </w:r>
      <w:r>
        <w:rPr>
          <w:noProof/>
          <w:lang w:val="it-IT"/>
        </w:rPr>
        <w:t xml:space="preserve">tocilizumab </w:t>
      </w:r>
      <w:r>
        <w:rPr>
          <w:iCs/>
          <w:noProof/>
          <w:lang w:val="it-IT"/>
        </w:rPr>
        <w:t xml:space="preserve">ogni 4 settimane per 24 settimane o con 162 mg di tocilizumab somministrato per via sottocutanea o una volta alla settimana o ogni due settimane per 24 settimane. </w:t>
      </w:r>
    </w:p>
    <w:p>
      <w:pPr>
        <w:numPr>
          <w:ilvl w:val="12"/>
          <w:numId w:val="0"/>
        </w:numPr>
        <w:tabs>
          <w:tab w:val="left" w:pos="180"/>
        </w:tabs>
        <w:ind w:right="-2"/>
        <w:rPr>
          <w:iCs/>
          <w:noProof/>
          <w:lang w:val="it-IT"/>
        </w:rPr>
      </w:pPr>
    </w:p>
    <w:p>
      <w:pPr>
        <w:numPr>
          <w:ilvl w:val="12"/>
          <w:numId w:val="0"/>
        </w:numPr>
        <w:tabs>
          <w:tab w:val="left" w:pos="180"/>
        </w:tabs>
        <w:ind w:right="-2"/>
        <w:rPr>
          <w:iCs/>
          <w:noProof/>
          <w:szCs w:val="22"/>
          <w:lang w:val="it-IT"/>
        </w:rPr>
      </w:pPr>
      <w:r>
        <w:rPr>
          <w:noProof/>
          <w:szCs w:val="22"/>
          <w:lang w:val="it-IT"/>
        </w:rPr>
        <w:lastRenderedPageBreak/>
        <w:t>I seguenti parametri (valori medi previsti</w:t>
      </w:r>
      <w:del w:id="5678" w:author="Author">
        <w:r>
          <w:rPr>
            <w:noProof/>
            <w:szCs w:val="22"/>
            <w:lang w:val="it-IT"/>
          </w:rPr>
          <w:delText xml:space="preserve"> </w:delText>
        </w:r>
      </w:del>
      <w:ins w:id="5679" w:author="Author">
        <w:r>
          <w:rPr>
            <w:noProof/>
            <w:szCs w:val="22"/>
            <w:lang w:val="it-IT"/>
          </w:rPr>
          <w:t> </w:t>
        </w:r>
      </w:ins>
      <w:r>
        <w:rPr>
          <w:noProof/>
          <w:szCs w:val="22"/>
          <w:lang w:val="it-IT"/>
        </w:rPr>
        <w:sym w:font="Symbol" w:char="F0B1"/>
      </w:r>
      <w:ins w:id="5680" w:author="Author">
        <w:r>
          <w:rPr>
            <w:noProof/>
            <w:szCs w:val="22"/>
            <w:lang w:val="it-IT"/>
          </w:rPr>
          <w:t> </w:t>
        </w:r>
      </w:ins>
      <w:del w:id="5681" w:author="Author">
        <w:r>
          <w:rPr>
            <w:noProof/>
            <w:szCs w:val="22"/>
            <w:lang w:val="it-IT"/>
          </w:rPr>
          <w:delText xml:space="preserve"> </w:delText>
        </w:r>
      </w:del>
      <w:r>
        <w:rPr>
          <w:noProof/>
          <w:szCs w:val="22"/>
          <w:lang w:val="it-IT"/>
        </w:rPr>
        <w:t xml:space="preserve">DS) sono stati stimati per una dose di 8 mg/kg di tocilizumab somministrata ogni 4 settimane: </w:t>
      </w:r>
      <w:del w:id="5682" w:author="Author">
        <w:r>
          <w:rPr>
            <w:noProof/>
            <w:szCs w:val="22"/>
            <w:lang w:val="it-IT"/>
          </w:rPr>
          <w:delText>stato stazionario del</w:delText>
        </w:r>
      </w:del>
      <w:r>
        <w:rPr>
          <w:noProof/>
          <w:szCs w:val="22"/>
          <w:lang w:val="it-IT"/>
        </w:rPr>
        <w:t>l’area sotto la curva (AUC)</w:t>
      </w:r>
      <w:del w:id="5683" w:author="Author">
        <w:r>
          <w:rPr>
            <w:noProof/>
            <w:szCs w:val="22"/>
            <w:lang w:val="it-IT"/>
          </w:rPr>
          <w:delText xml:space="preserve"> </w:delText>
        </w:r>
      </w:del>
      <w:ins w:id="5684" w:author="Author">
        <w:r>
          <w:rPr>
            <w:noProof/>
            <w:szCs w:val="22"/>
            <w:lang w:val="it-IT"/>
          </w:rPr>
          <w:t xml:space="preserve"> allo stato stazionario </w:t>
        </w:r>
      </w:ins>
      <w:r>
        <w:rPr>
          <w:noProof/>
          <w:szCs w:val="22"/>
          <w:lang w:val="it-IT"/>
        </w:rPr>
        <w:t>=</w:t>
      </w:r>
      <w:ins w:id="5685" w:author="Author">
        <w:r>
          <w:rPr>
            <w:noProof/>
            <w:szCs w:val="22"/>
            <w:lang w:val="it-IT"/>
          </w:rPr>
          <w:t> </w:t>
        </w:r>
      </w:ins>
      <w:del w:id="5686" w:author="Author">
        <w:r>
          <w:rPr>
            <w:noProof/>
            <w:szCs w:val="22"/>
            <w:lang w:val="it-IT"/>
          </w:rPr>
          <w:delText xml:space="preserve"> </w:delText>
        </w:r>
      </w:del>
      <w:r>
        <w:rPr>
          <w:noProof/>
          <w:szCs w:val="22"/>
          <w:lang w:val="it-IT"/>
        </w:rPr>
        <w:t>38</w:t>
      </w:r>
      <w:ins w:id="5687" w:author="Author">
        <w:r>
          <w:rPr>
            <w:noProof/>
            <w:szCs w:val="22"/>
            <w:lang w:val="it-IT"/>
          </w:rPr>
          <w:t> </w:t>
        </w:r>
      </w:ins>
      <w:r>
        <w:rPr>
          <w:noProof/>
          <w:szCs w:val="22"/>
          <w:lang w:val="it-IT"/>
        </w:rPr>
        <w:t>000</w:t>
      </w:r>
      <w:del w:id="5688" w:author="Author">
        <w:r>
          <w:rPr>
            <w:noProof/>
            <w:szCs w:val="22"/>
            <w:lang w:val="it-IT"/>
          </w:rPr>
          <w:delText xml:space="preserve"> </w:delText>
        </w:r>
      </w:del>
      <w:ins w:id="5689" w:author="Author">
        <w:r>
          <w:rPr>
            <w:noProof/>
            <w:szCs w:val="22"/>
            <w:lang w:val="it-IT"/>
          </w:rPr>
          <w:t> </w:t>
        </w:r>
      </w:ins>
      <w:r>
        <w:rPr>
          <w:noProof/>
          <w:szCs w:val="22"/>
          <w:lang w:val="it-IT"/>
        </w:rPr>
        <w:sym w:font="Symbol" w:char="F0B1"/>
      </w:r>
      <w:ins w:id="5690" w:author="Author">
        <w:r>
          <w:rPr>
            <w:noProof/>
            <w:szCs w:val="22"/>
            <w:lang w:val="it-IT"/>
          </w:rPr>
          <w:t> </w:t>
        </w:r>
      </w:ins>
      <w:r>
        <w:rPr>
          <w:noProof/>
          <w:szCs w:val="22"/>
          <w:lang w:val="it-IT"/>
        </w:rPr>
        <w:t>13</w:t>
      </w:r>
      <w:ins w:id="5691" w:author="Author">
        <w:r>
          <w:rPr>
            <w:noProof/>
            <w:szCs w:val="22"/>
            <w:lang w:val="it-IT"/>
          </w:rPr>
          <w:t> </w:t>
        </w:r>
      </w:ins>
      <w:r>
        <w:rPr>
          <w:noProof/>
          <w:szCs w:val="22"/>
          <w:lang w:val="it-IT"/>
        </w:rPr>
        <w:t>000 h</w:t>
      </w:r>
      <w:ins w:id="5692" w:author="Author">
        <w:r>
          <w:rPr>
            <w:noProof/>
            <w:szCs w:val="22"/>
            <w:lang w:val="it-IT"/>
          </w:rPr>
          <w:t> × </w:t>
        </w:r>
      </w:ins>
      <w:del w:id="5693" w:author="Author">
        <w:r>
          <w:rPr>
            <w:noProof/>
            <w:szCs w:val="22"/>
            <w:lang w:val="it-IT"/>
          </w:rPr>
          <w:delText>·</w:delText>
        </w:r>
      </w:del>
      <w:r>
        <w:rPr>
          <w:noProof/>
          <w:szCs w:val="22"/>
          <w:lang w:val="it-IT"/>
        </w:rPr>
        <w:t>μg/mL, concentrazione di valle (C</w:t>
      </w:r>
      <w:r>
        <w:rPr>
          <w:noProof/>
          <w:szCs w:val="22"/>
          <w:vertAlign w:val="subscript"/>
          <w:lang w:val="it-IT"/>
          <w:rPrChange w:id="5694" w:author="Author">
            <w:rPr>
              <w:sz w:val="14"/>
              <w:szCs w:val="14"/>
              <w:lang w:val="it-IT"/>
            </w:rPr>
          </w:rPrChange>
        </w:rPr>
        <w:t>min</w:t>
      </w:r>
      <w:r>
        <w:rPr>
          <w:noProof/>
          <w:szCs w:val="22"/>
          <w:lang w:val="it-IT"/>
        </w:rPr>
        <w:t>)</w:t>
      </w:r>
      <w:del w:id="5695" w:author="Author">
        <w:r>
          <w:rPr>
            <w:noProof/>
            <w:szCs w:val="22"/>
            <w:lang w:val="it-IT"/>
          </w:rPr>
          <w:delText xml:space="preserve"> </w:delText>
        </w:r>
      </w:del>
      <w:ins w:id="5696" w:author="Author">
        <w:r>
          <w:rPr>
            <w:noProof/>
            <w:szCs w:val="22"/>
            <w:lang w:val="it-IT"/>
          </w:rPr>
          <w:t> </w:t>
        </w:r>
      </w:ins>
      <w:r>
        <w:rPr>
          <w:noProof/>
          <w:szCs w:val="22"/>
          <w:lang w:val="it-IT"/>
        </w:rPr>
        <w:t>=</w:t>
      </w:r>
      <w:ins w:id="5697" w:author="Author">
        <w:r>
          <w:rPr>
            <w:noProof/>
            <w:szCs w:val="22"/>
            <w:lang w:val="it-IT"/>
          </w:rPr>
          <w:t> </w:t>
        </w:r>
      </w:ins>
      <w:del w:id="5698" w:author="Author">
        <w:r>
          <w:rPr>
            <w:noProof/>
            <w:szCs w:val="22"/>
            <w:lang w:val="it-IT"/>
          </w:rPr>
          <w:delText xml:space="preserve"> </w:delText>
        </w:r>
      </w:del>
      <w:r>
        <w:rPr>
          <w:noProof/>
          <w:szCs w:val="22"/>
          <w:lang w:val="it-IT"/>
        </w:rPr>
        <w:t>15,9</w:t>
      </w:r>
      <w:del w:id="5699" w:author="Author">
        <w:r>
          <w:rPr>
            <w:noProof/>
            <w:szCs w:val="22"/>
            <w:lang w:val="it-IT"/>
          </w:rPr>
          <w:delText xml:space="preserve"> </w:delText>
        </w:r>
      </w:del>
      <w:ins w:id="5700" w:author="Author">
        <w:r>
          <w:rPr>
            <w:noProof/>
            <w:szCs w:val="22"/>
            <w:lang w:val="it-IT"/>
          </w:rPr>
          <w:t> </w:t>
        </w:r>
      </w:ins>
      <w:r>
        <w:rPr>
          <w:noProof/>
          <w:szCs w:val="22"/>
          <w:lang w:val="it-IT"/>
        </w:rPr>
        <w:sym w:font="Symbol" w:char="F0B1"/>
      </w:r>
      <w:r>
        <w:rPr>
          <w:noProof/>
          <w:szCs w:val="22"/>
          <w:lang w:val="it-IT"/>
        </w:rPr>
        <w:t> 13</w:t>
      </w:r>
      <w:ins w:id="5701" w:author="Author">
        <w:r>
          <w:rPr>
            <w:noProof/>
            <w:szCs w:val="22"/>
            <w:lang w:val="it-IT"/>
          </w:rPr>
          <w:t>,</w:t>
        </w:r>
      </w:ins>
      <w:del w:id="5702" w:author="Author">
        <w:r>
          <w:rPr>
            <w:noProof/>
            <w:szCs w:val="22"/>
            <w:lang w:val="it-IT"/>
          </w:rPr>
          <w:delText>.</w:delText>
        </w:r>
      </w:del>
      <w:r>
        <w:rPr>
          <w:noProof/>
          <w:szCs w:val="22"/>
          <w:lang w:val="it-IT"/>
        </w:rPr>
        <w:t>1</w:t>
      </w:r>
      <w:del w:id="5703" w:author="Author">
        <w:r>
          <w:rPr>
            <w:noProof/>
            <w:szCs w:val="22"/>
            <w:lang w:val="it-IT"/>
          </w:rPr>
          <w:delText xml:space="preserve">  </w:delText>
        </w:r>
      </w:del>
      <w:ins w:id="5704" w:author="Author">
        <w:r>
          <w:rPr>
            <w:noProof/>
            <w:szCs w:val="22"/>
            <w:lang w:val="it-IT"/>
          </w:rPr>
          <w:t> </w:t>
        </w:r>
      </w:ins>
      <w:r>
        <w:rPr>
          <w:rFonts w:eastAsia="MS Mincho"/>
          <w:noProof/>
          <w:szCs w:val="22"/>
          <w:lang w:val="it-IT"/>
        </w:rPr>
        <w:sym w:font="Symbol" w:char="F06D"/>
      </w:r>
      <w:r>
        <w:rPr>
          <w:noProof/>
          <w:szCs w:val="22"/>
          <w:lang w:val="it-IT"/>
        </w:rPr>
        <w:t>g/mL e concentrazione massima (C</w:t>
      </w:r>
      <w:r>
        <w:rPr>
          <w:noProof/>
          <w:szCs w:val="22"/>
          <w:vertAlign w:val="subscript"/>
          <w:lang w:val="it-IT"/>
          <w:rPrChange w:id="5705" w:author="Author">
            <w:rPr>
              <w:sz w:val="14"/>
              <w:szCs w:val="14"/>
              <w:lang w:val="it-IT"/>
            </w:rPr>
          </w:rPrChange>
        </w:rPr>
        <w:t>max</w:t>
      </w:r>
      <w:r>
        <w:rPr>
          <w:noProof/>
          <w:szCs w:val="22"/>
          <w:lang w:val="it-IT"/>
        </w:rPr>
        <w:t>)</w:t>
      </w:r>
      <w:del w:id="5706" w:author="Author">
        <w:r>
          <w:rPr>
            <w:noProof/>
            <w:szCs w:val="22"/>
            <w:lang w:val="it-IT"/>
          </w:rPr>
          <w:delText xml:space="preserve"> </w:delText>
        </w:r>
      </w:del>
      <w:ins w:id="5707" w:author="Author">
        <w:r>
          <w:rPr>
            <w:noProof/>
            <w:szCs w:val="22"/>
            <w:lang w:val="it-IT"/>
          </w:rPr>
          <w:t> </w:t>
        </w:r>
      </w:ins>
      <w:r>
        <w:rPr>
          <w:noProof/>
          <w:szCs w:val="22"/>
          <w:lang w:val="it-IT"/>
        </w:rPr>
        <w:t>=</w:t>
      </w:r>
      <w:ins w:id="5708" w:author="Author">
        <w:r>
          <w:rPr>
            <w:noProof/>
            <w:szCs w:val="22"/>
            <w:lang w:val="it-IT"/>
          </w:rPr>
          <w:t> </w:t>
        </w:r>
      </w:ins>
      <w:del w:id="5709" w:author="Author">
        <w:r>
          <w:rPr>
            <w:noProof/>
            <w:szCs w:val="22"/>
            <w:lang w:val="it-IT"/>
          </w:rPr>
          <w:delText xml:space="preserve"> </w:delText>
        </w:r>
      </w:del>
      <w:r>
        <w:rPr>
          <w:noProof/>
          <w:szCs w:val="22"/>
          <w:lang w:val="it-IT"/>
        </w:rPr>
        <w:t xml:space="preserve">182 </w:t>
      </w:r>
      <w:r>
        <w:rPr>
          <w:noProof/>
          <w:szCs w:val="22"/>
          <w:lang w:val="it-IT"/>
        </w:rPr>
        <w:sym w:font="Symbol" w:char="F0B1"/>
      </w:r>
      <w:r>
        <w:rPr>
          <w:noProof/>
          <w:szCs w:val="22"/>
          <w:lang w:val="it-IT"/>
        </w:rPr>
        <w:t> 50</w:t>
      </w:r>
      <w:ins w:id="5710" w:author="Author">
        <w:r>
          <w:rPr>
            <w:noProof/>
            <w:szCs w:val="22"/>
            <w:lang w:val="it-IT"/>
          </w:rPr>
          <w:t>,</w:t>
        </w:r>
      </w:ins>
      <w:del w:id="5711" w:author="Author">
        <w:r>
          <w:rPr>
            <w:noProof/>
            <w:szCs w:val="22"/>
            <w:lang w:val="it-IT"/>
          </w:rPr>
          <w:delText>.</w:delText>
        </w:r>
      </w:del>
      <w:r>
        <w:rPr>
          <w:noProof/>
          <w:szCs w:val="22"/>
          <w:lang w:val="it-IT"/>
        </w:rPr>
        <w:t>4 µg/mL; i tassi di accumulo relativi ad AUC e C</w:t>
      </w:r>
      <w:r>
        <w:rPr>
          <w:noProof/>
          <w:szCs w:val="22"/>
          <w:vertAlign w:val="subscript"/>
          <w:lang w:val="it-IT"/>
          <w:rPrChange w:id="5712" w:author="Author">
            <w:rPr>
              <w:sz w:val="14"/>
              <w:szCs w:val="14"/>
              <w:lang w:val="it-IT"/>
            </w:rPr>
          </w:rPrChange>
        </w:rPr>
        <w:t>max</w:t>
      </w:r>
      <w:r>
        <w:rPr>
          <w:noProof/>
          <w:szCs w:val="22"/>
          <w:lang w:val="it-IT"/>
        </w:rPr>
        <w:t xml:space="preserve"> sono stati minimi, rispettivamente di 1,32 e 1,09. </w:t>
      </w:r>
      <w:r>
        <w:rPr>
          <w:iCs/>
          <w:noProof/>
          <w:szCs w:val="22"/>
          <w:lang w:val="it-IT"/>
        </w:rPr>
        <w:t>Il tasso di accumulo è stato maggiore per la C</w:t>
      </w:r>
      <w:r>
        <w:rPr>
          <w:iCs/>
          <w:noProof/>
          <w:szCs w:val="22"/>
          <w:vertAlign w:val="subscript"/>
          <w:lang w:val="it-IT"/>
        </w:rPr>
        <w:t>min</w:t>
      </w:r>
      <w:r>
        <w:rPr>
          <w:iCs/>
          <w:noProof/>
          <w:szCs w:val="22"/>
          <w:lang w:val="it-IT"/>
        </w:rPr>
        <w:t xml:space="preserve"> (2,49), risultato atteso in base al contributo della clearance non lineare alle concentrazioni più basse. Lo stato stazionario è stato raggiunto dopo la prima somministrazione per la C</w:t>
      </w:r>
      <w:r>
        <w:rPr>
          <w:iCs/>
          <w:noProof/>
          <w:szCs w:val="22"/>
          <w:vertAlign w:val="subscript"/>
          <w:lang w:val="it-IT"/>
        </w:rPr>
        <w:t>max</w:t>
      </w:r>
      <w:r>
        <w:rPr>
          <w:iCs/>
          <w:noProof/>
          <w:szCs w:val="22"/>
          <w:lang w:val="it-IT"/>
        </w:rPr>
        <w:t xml:space="preserve"> e dopo 8 e 20 settimane per AUC e C</w:t>
      </w:r>
      <w:r>
        <w:rPr>
          <w:iCs/>
          <w:noProof/>
          <w:szCs w:val="22"/>
          <w:vertAlign w:val="subscript"/>
          <w:lang w:val="it-IT"/>
        </w:rPr>
        <w:t>min</w:t>
      </w:r>
      <w:r>
        <w:rPr>
          <w:iCs/>
          <w:noProof/>
          <w:szCs w:val="22"/>
          <w:lang w:val="it-IT"/>
        </w:rPr>
        <w:t xml:space="preserve"> rispettivamente. L’AUC, C</w:t>
      </w:r>
      <w:r>
        <w:rPr>
          <w:iCs/>
          <w:noProof/>
          <w:szCs w:val="22"/>
          <w:vertAlign w:val="subscript"/>
          <w:lang w:val="it-IT"/>
        </w:rPr>
        <w:t>min</w:t>
      </w:r>
      <w:r>
        <w:rPr>
          <w:iCs/>
          <w:noProof/>
          <w:szCs w:val="22"/>
          <w:lang w:val="it-IT"/>
        </w:rPr>
        <w:t xml:space="preserve"> e C</w:t>
      </w:r>
      <w:r>
        <w:rPr>
          <w:iCs/>
          <w:noProof/>
          <w:szCs w:val="22"/>
          <w:vertAlign w:val="subscript"/>
          <w:lang w:val="it-IT"/>
        </w:rPr>
        <w:t>max</w:t>
      </w:r>
      <w:r>
        <w:rPr>
          <w:iCs/>
          <w:noProof/>
          <w:szCs w:val="22"/>
          <w:lang w:val="it-IT"/>
        </w:rPr>
        <w:t xml:space="preserve"> di </w:t>
      </w:r>
      <w:r>
        <w:rPr>
          <w:noProof/>
          <w:szCs w:val="22"/>
          <w:lang w:val="it-IT"/>
        </w:rPr>
        <w:t xml:space="preserve">tocilizumab </w:t>
      </w:r>
      <w:r>
        <w:rPr>
          <w:iCs/>
          <w:noProof/>
          <w:szCs w:val="22"/>
          <w:lang w:val="it-IT"/>
        </w:rPr>
        <w:t xml:space="preserve">sono aumentate con l’aumentare del peso corporeo. </w:t>
      </w:r>
      <w:r>
        <w:rPr>
          <w:noProof/>
          <w:szCs w:val="22"/>
          <w:lang w:val="it-IT"/>
        </w:rPr>
        <w:t>Ad un peso corporeo ≥ 100 kg, i valori medi previsti (</w:t>
      </w:r>
      <w:r>
        <w:rPr>
          <w:noProof/>
          <w:szCs w:val="22"/>
          <w:lang w:val="it-IT"/>
        </w:rPr>
        <w:sym w:font="Symbol" w:char="F0B1"/>
      </w:r>
      <w:del w:id="5713" w:author="Author">
        <w:r>
          <w:rPr>
            <w:noProof/>
            <w:szCs w:val="22"/>
            <w:lang w:val="it-IT"/>
          </w:rPr>
          <w:delText xml:space="preserve"> </w:delText>
        </w:r>
      </w:del>
      <w:ins w:id="5714" w:author="Author">
        <w:r>
          <w:rPr>
            <w:noProof/>
            <w:szCs w:val="22"/>
            <w:lang w:val="it-IT"/>
          </w:rPr>
          <w:t> </w:t>
        </w:r>
      </w:ins>
      <w:r>
        <w:rPr>
          <w:noProof/>
          <w:szCs w:val="22"/>
          <w:lang w:val="it-IT"/>
        </w:rPr>
        <w:t>DS) allo stato stazionario dell’AUC, C</w:t>
      </w:r>
      <w:r>
        <w:rPr>
          <w:noProof/>
          <w:szCs w:val="22"/>
          <w:vertAlign w:val="subscript"/>
          <w:lang w:val="it-IT"/>
          <w:rPrChange w:id="5715" w:author="Author">
            <w:rPr>
              <w:sz w:val="14"/>
              <w:szCs w:val="14"/>
              <w:lang w:val="it-IT"/>
            </w:rPr>
          </w:rPrChange>
        </w:rPr>
        <w:t>min</w:t>
      </w:r>
      <w:r>
        <w:rPr>
          <w:noProof/>
          <w:szCs w:val="22"/>
          <w:lang w:val="it-IT"/>
        </w:rPr>
        <w:t xml:space="preserve"> e C</w:t>
      </w:r>
      <w:r>
        <w:rPr>
          <w:noProof/>
          <w:szCs w:val="22"/>
          <w:vertAlign w:val="subscript"/>
          <w:lang w:val="it-IT"/>
          <w:rPrChange w:id="5716" w:author="Author">
            <w:rPr>
              <w:sz w:val="14"/>
              <w:szCs w:val="14"/>
              <w:lang w:val="it-IT"/>
            </w:rPr>
          </w:rPrChange>
        </w:rPr>
        <w:t>max</w:t>
      </w:r>
      <w:r>
        <w:rPr>
          <w:noProof/>
          <w:szCs w:val="22"/>
          <w:lang w:val="it-IT"/>
          <w:rPrChange w:id="5717" w:author="Author">
            <w:rPr>
              <w:sz w:val="14"/>
              <w:szCs w:val="14"/>
              <w:lang w:val="it-IT"/>
            </w:rPr>
          </w:rPrChange>
        </w:rPr>
        <w:t xml:space="preserve"> </w:t>
      </w:r>
      <w:r>
        <w:rPr>
          <w:noProof/>
          <w:szCs w:val="22"/>
          <w:lang w:val="it-IT"/>
        </w:rPr>
        <w:t>di tocilizumab sono stati rispettivamente 50</w:t>
      </w:r>
      <w:ins w:id="5718" w:author="Author">
        <w:r>
          <w:rPr>
            <w:noProof/>
            <w:szCs w:val="22"/>
            <w:lang w:val="it-IT"/>
          </w:rPr>
          <w:t> </w:t>
        </w:r>
      </w:ins>
      <w:r>
        <w:rPr>
          <w:noProof/>
          <w:szCs w:val="22"/>
          <w:lang w:val="it-IT"/>
        </w:rPr>
        <w:t>000</w:t>
      </w:r>
      <w:del w:id="5719" w:author="Author">
        <w:r>
          <w:rPr>
            <w:noProof/>
            <w:szCs w:val="22"/>
            <w:lang w:val="it-IT"/>
          </w:rPr>
          <w:delText xml:space="preserve"> </w:delText>
        </w:r>
      </w:del>
      <w:ins w:id="5720" w:author="Author">
        <w:r>
          <w:rPr>
            <w:noProof/>
            <w:szCs w:val="22"/>
            <w:lang w:val="it-IT"/>
          </w:rPr>
          <w:t> </w:t>
        </w:r>
      </w:ins>
      <w:r>
        <w:rPr>
          <w:noProof/>
          <w:szCs w:val="22"/>
          <w:lang w:val="it-IT"/>
        </w:rPr>
        <w:sym w:font="Symbol" w:char="F0B1"/>
      </w:r>
      <w:ins w:id="5721" w:author="Author">
        <w:r>
          <w:rPr>
            <w:noProof/>
            <w:szCs w:val="22"/>
            <w:lang w:val="it-IT"/>
          </w:rPr>
          <w:t> </w:t>
        </w:r>
      </w:ins>
      <w:del w:id="5722" w:author="Author">
        <w:r>
          <w:rPr>
            <w:noProof/>
            <w:szCs w:val="22"/>
            <w:lang w:val="it-IT"/>
          </w:rPr>
          <w:delText xml:space="preserve"> </w:delText>
        </w:r>
      </w:del>
      <w:r>
        <w:rPr>
          <w:noProof/>
          <w:szCs w:val="22"/>
          <w:lang w:val="it-IT"/>
        </w:rPr>
        <w:t>16</w:t>
      </w:r>
      <w:ins w:id="5723" w:author="Author">
        <w:r>
          <w:rPr>
            <w:noProof/>
            <w:szCs w:val="22"/>
            <w:lang w:val="it-IT"/>
          </w:rPr>
          <w:t> </w:t>
        </w:r>
      </w:ins>
      <w:r>
        <w:rPr>
          <w:noProof/>
          <w:szCs w:val="22"/>
          <w:lang w:val="it-IT"/>
        </w:rPr>
        <w:t>800</w:t>
      </w:r>
      <w:ins w:id="5724" w:author="Author">
        <w:r>
          <w:rPr>
            <w:noProof/>
            <w:szCs w:val="22"/>
            <w:lang w:val="it-IT"/>
          </w:rPr>
          <w:t> </w:t>
        </w:r>
      </w:ins>
      <w:del w:id="5725" w:author="Author">
        <w:r>
          <w:rPr>
            <w:noProof/>
            <w:szCs w:val="22"/>
            <w:lang w:val="it-IT"/>
          </w:rPr>
          <w:delText xml:space="preserve"> </w:delText>
        </w:r>
      </w:del>
      <w:r>
        <w:rPr>
          <w:noProof/>
          <w:szCs w:val="22"/>
          <w:lang w:val="it-IT"/>
        </w:rPr>
        <w:t>μg</w:t>
      </w:r>
      <w:del w:id="5726" w:author="Author">
        <w:r>
          <w:rPr>
            <w:noProof/>
            <w:szCs w:val="22"/>
            <w:lang w:val="it-IT"/>
          </w:rPr>
          <w:delText>•</w:delText>
        </w:r>
      </w:del>
      <w:ins w:id="5727" w:author="Author">
        <w:r>
          <w:rPr>
            <w:noProof/>
            <w:szCs w:val="22"/>
            <w:lang w:val="it-IT"/>
          </w:rPr>
          <w:t> × </w:t>
        </w:r>
      </w:ins>
      <w:r>
        <w:rPr>
          <w:noProof/>
          <w:szCs w:val="22"/>
          <w:lang w:val="it-IT"/>
        </w:rPr>
        <w:t>h/mL, 24,4</w:t>
      </w:r>
      <w:del w:id="5728" w:author="Author">
        <w:r>
          <w:rPr>
            <w:noProof/>
            <w:szCs w:val="22"/>
            <w:lang w:val="it-IT"/>
          </w:rPr>
          <w:delText xml:space="preserve"> </w:delText>
        </w:r>
      </w:del>
      <w:ins w:id="5729" w:author="Author">
        <w:r>
          <w:rPr>
            <w:noProof/>
            <w:szCs w:val="22"/>
            <w:lang w:val="it-IT"/>
          </w:rPr>
          <w:t> </w:t>
        </w:r>
      </w:ins>
      <w:r>
        <w:rPr>
          <w:noProof/>
          <w:szCs w:val="22"/>
          <w:lang w:val="it-IT"/>
        </w:rPr>
        <w:sym w:font="Symbol" w:char="F0B1"/>
      </w:r>
      <w:ins w:id="5730" w:author="Author">
        <w:r>
          <w:rPr>
            <w:noProof/>
            <w:szCs w:val="22"/>
            <w:lang w:val="it-IT"/>
          </w:rPr>
          <w:t> </w:t>
        </w:r>
      </w:ins>
      <w:del w:id="5731" w:author="Author">
        <w:r>
          <w:rPr>
            <w:noProof/>
            <w:szCs w:val="22"/>
            <w:lang w:val="it-IT"/>
          </w:rPr>
          <w:delText xml:space="preserve"> </w:delText>
        </w:r>
      </w:del>
      <w:r>
        <w:rPr>
          <w:noProof/>
          <w:szCs w:val="22"/>
          <w:lang w:val="it-IT"/>
        </w:rPr>
        <w:t>17,5</w:t>
      </w:r>
      <w:ins w:id="5732" w:author="Author">
        <w:r>
          <w:rPr>
            <w:noProof/>
            <w:szCs w:val="22"/>
            <w:lang w:val="it-IT"/>
          </w:rPr>
          <w:t> </w:t>
        </w:r>
      </w:ins>
      <w:del w:id="5733" w:author="Author">
        <w:r>
          <w:rPr>
            <w:noProof/>
            <w:szCs w:val="22"/>
            <w:lang w:val="it-IT"/>
          </w:rPr>
          <w:delText xml:space="preserve">  </w:delText>
        </w:r>
      </w:del>
      <w:r>
        <w:rPr>
          <w:rFonts w:eastAsia="MS Mincho"/>
          <w:noProof/>
          <w:szCs w:val="22"/>
          <w:lang w:val="it-IT"/>
        </w:rPr>
        <w:sym w:font="Symbol" w:char="F06D"/>
      </w:r>
      <w:r>
        <w:rPr>
          <w:noProof/>
          <w:szCs w:val="22"/>
          <w:lang w:val="it-IT"/>
        </w:rPr>
        <w:t>g/mL e 226</w:t>
      </w:r>
      <w:ins w:id="5734" w:author="Author">
        <w:r>
          <w:rPr>
            <w:noProof/>
            <w:szCs w:val="22"/>
            <w:lang w:val="it-IT"/>
          </w:rPr>
          <w:t> </w:t>
        </w:r>
      </w:ins>
      <w:del w:id="5735" w:author="Author">
        <w:r>
          <w:rPr>
            <w:noProof/>
            <w:szCs w:val="22"/>
            <w:lang w:val="it-IT"/>
          </w:rPr>
          <w:delText xml:space="preserve"> </w:delText>
        </w:r>
      </w:del>
      <w:r>
        <w:rPr>
          <w:noProof/>
          <w:szCs w:val="22"/>
          <w:lang w:val="it-IT"/>
        </w:rPr>
        <w:sym w:font="Symbol" w:char="F0B1"/>
      </w:r>
      <w:ins w:id="5736" w:author="Author">
        <w:r>
          <w:rPr>
            <w:noProof/>
            <w:szCs w:val="22"/>
            <w:lang w:val="it-IT"/>
          </w:rPr>
          <w:t> </w:t>
        </w:r>
      </w:ins>
      <w:r>
        <w:rPr>
          <w:noProof/>
          <w:szCs w:val="22"/>
          <w:lang w:val="it-IT"/>
        </w:rPr>
        <w:t>50,3</w:t>
      </w:r>
      <w:ins w:id="5737" w:author="Author">
        <w:r>
          <w:rPr>
            <w:noProof/>
            <w:szCs w:val="22"/>
            <w:lang w:val="it-IT"/>
          </w:rPr>
          <w:t> </w:t>
        </w:r>
      </w:ins>
      <w:del w:id="5738" w:author="Author">
        <w:r>
          <w:rPr>
            <w:noProof/>
            <w:szCs w:val="22"/>
            <w:lang w:val="it-IT"/>
          </w:rPr>
          <w:delText xml:space="preserve"> </w:delText>
        </w:r>
      </w:del>
      <w:r>
        <w:rPr>
          <w:noProof/>
          <w:szCs w:val="22"/>
          <w:lang w:val="it-IT"/>
        </w:rPr>
        <w:t xml:space="preserve">μg/mL, che sono superiori ai valori medi di esposizione per la popolazione di pazienti (cioè tutti i pesi corporei) riportati di seguito. </w:t>
      </w:r>
      <w:r>
        <w:rPr>
          <w:iCs/>
          <w:noProof/>
          <w:szCs w:val="22"/>
          <w:lang w:val="it-IT"/>
        </w:rPr>
        <w:t xml:space="preserve">La curva dose-risposta per tocilizumab si appiattisce ad una esposizione più alta, determinando </w:t>
      </w:r>
      <w:del w:id="5739" w:author="Author">
        <w:r>
          <w:rPr>
            <w:iCs/>
            <w:noProof/>
            <w:szCs w:val="22"/>
            <w:lang w:val="it-IT"/>
          </w:rPr>
          <w:delText>un aumento</w:delText>
        </w:r>
      </w:del>
      <w:ins w:id="5740" w:author="Author">
        <w:r>
          <w:rPr>
            <w:iCs/>
            <w:noProof/>
            <w:szCs w:val="22"/>
            <w:lang w:val="it-IT"/>
          </w:rPr>
          <w:t>incrementi</w:t>
        </w:r>
      </w:ins>
      <w:r>
        <w:rPr>
          <w:iCs/>
          <w:noProof/>
          <w:szCs w:val="22"/>
          <w:lang w:val="it-IT"/>
        </w:rPr>
        <w:t xml:space="preserve"> di efficacia </w:t>
      </w:r>
      <w:del w:id="5741" w:author="Author">
        <w:r>
          <w:rPr>
            <w:iCs/>
            <w:noProof/>
            <w:szCs w:val="22"/>
            <w:lang w:val="it-IT"/>
          </w:rPr>
          <w:delText>più piccolo</w:delText>
        </w:r>
      </w:del>
      <w:ins w:id="5742" w:author="Author">
        <w:r>
          <w:rPr>
            <w:iCs/>
            <w:noProof/>
            <w:szCs w:val="22"/>
            <w:lang w:val="it-IT"/>
          </w:rPr>
          <w:t>minori</w:t>
        </w:r>
      </w:ins>
      <w:r>
        <w:rPr>
          <w:iCs/>
          <w:noProof/>
          <w:szCs w:val="22"/>
          <w:lang w:val="it-IT"/>
        </w:rPr>
        <w:t xml:space="preserve"> rispetto a ogni ulteriore aumento della concentrazione</w:t>
      </w:r>
      <w:ins w:id="5743" w:author="Author">
        <w:r>
          <w:rPr>
            <w:iCs/>
            <w:noProof/>
            <w:szCs w:val="22"/>
            <w:lang w:val="it-IT"/>
          </w:rPr>
          <w:t xml:space="preserve"> di tocilizumab;</w:t>
        </w:r>
      </w:ins>
      <w:r>
        <w:rPr>
          <w:iCs/>
          <w:noProof/>
          <w:szCs w:val="22"/>
          <w:lang w:val="it-IT"/>
        </w:rPr>
        <w:t xml:space="preserve"> </w:t>
      </w:r>
      <w:ins w:id="5744" w:author="Author">
        <w:r>
          <w:rPr>
            <w:noProof/>
            <w:lang w:val="it-IT"/>
          </w:rPr>
          <w:t xml:space="preserve">di conseguenza, non è stato dimostrato un aumento dell’efficacia </w:t>
        </w:r>
      </w:ins>
      <w:del w:id="5745" w:author="Author">
        <w:r>
          <w:rPr>
            <w:iCs/>
            <w:noProof/>
            <w:szCs w:val="22"/>
            <w:lang w:val="it-IT"/>
          </w:rPr>
          <w:delText xml:space="preserve">così che aumenti </w:delText>
        </w:r>
      </w:del>
      <w:r>
        <w:rPr>
          <w:iCs/>
          <w:noProof/>
          <w:szCs w:val="22"/>
          <w:lang w:val="it-IT"/>
        </w:rPr>
        <w:t>clinicamente rilevant</w:t>
      </w:r>
      <w:ins w:id="5746" w:author="Author">
        <w:r>
          <w:rPr>
            <w:iCs/>
            <w:noProof/>
            <w:szCs w:val="22"/>
            <w:lang w:val="it-IT"/>
          </w:rPr>
          <w:t>e</w:t>
        </w:r>
      </w:ins>
      <w:del w:id="5747" w:author="Author">
        <w:r>
          <w:rPr>
            <w:iCs/>
            <w:noProof/>
            <w:szCs w:val="22"/>
            <w:lang w:val="it-IT"/>
          </w:rPr>
          <w:delText>i</w:delText>
        </w:r>
      </w:del>
      <w:r>
        <w:rPr>
          <w:iCs/>
          <w:noProof/>
          <w:szCs w:val="22"/>
          <w:lang w:val="it-IT"/>
        </w:rPr>
        <w:t xml:space="preserve"> </w:t>
      </w:r>
      <w:del w:id="5748" w:author="Author">
        <w:r>
          <w:rPr>
            <w:iCs/>
            <w:noProof/>
            <w:szCs w:val="22"/>
            <w:lang w:val="it-IT"/>
          </w:rPr>
          <w:delText xml:space="preserve">dell’efficacia non siano stati dimostrati </w:delText>
        </w:r>
      </w:del>
      <w:r>
        <w:rPr>
          <w:iCs/>
          <w:noProof/>
          <w:szCs w:val="22"/>
          <w:lang w:val="it-IT"/>
        </w:rPr>
        <w:t xml:space="preserve">in pazienti trattati con </w:t>
      </w:r>
      <w:ins w:id="5749" w:author="Author">
        <w:r>
          <w:rPr>
            <w:iCs/>
            <w:noProof/>
            <w:szCs w:val="22"/>
            <w:lang w:val="it-IT"/>
          </w:rPr>
          <w:t xml:space="preserve">dosi di </w:t>
        </w:r>
      </w:ins>
      <w:r>
        <w:rPr>
          <w:noProof/>
          <w:szCs w:val="22"/>
          <w:lang w:val="it-IT"/>
        </w:rPr>
        <w:t xml:space="preserve">tocilizumab </w:t>
      </w:r>
      <w:r>
        <w:rPr>
          <w:iCs/>
          <w:noProof/>
          <w:szCs w:val="22"/>
          <w:lang w:val="it-IT"/>
        </w:rPr>
        <w:t>&gt;</w:t>
      </w:r>
      <w:ins w:id="5750" w:author="Author">
        <w:r>
          <w:rPr>
            <w:iCs/>
            <w:noProof/>
            <w:szCs w:val="22"/>
            <w:lang w:val="it-IT"/>
          </w:rPr>
          <w:t xml:space="preserve"> </w:t>
        </w:r>
      </w:ins>
      <w:r>
        <w:rPr>
          <w:iCs/>
          <w:noProof/>
          <w:szCs w:val="22"/>
          <w:lang w:val="it-IT"/>
        </w:rPr>
        <w:t>800 mg. Pertanto, una dose &gt;</w:t>
      </w:r>
      <w:ins w:id="5751" w:author="Author">
        <w:r>
          <w:rPr>
            <w:iCs/>
            <w:noProof/>
            <w:szCs w:val="22"/>
            <w:lang w:val="it-IT"/>
          </w:rPr>
          <w:t xml:space="preserve"> </w:t>
        </w:r>
      </w:ins>
      <w:r>
        <w:rPr>
          <w:iCs/>
          <w:noProof/>
          <w:szCs w:val="22"/>
          <w:lang w:val="it-IT"/>
        </w:rPr>
        <w:t>800 mg per infusione non è raccomandata (vedere paragrafo 4.2).</w:t>
      </w:r>
    </w:p>
    <w:p>
      <w:pPr>
        <w:numPr>
          <w:ilvl w:val="12"/>
          <w:numId w:val="0"/>
        </w:numPr>
        <w:tabs>
          <w:tab w:val="left" w:pos="180"/>
        </w:tabs>
        <w:ind w:right="-2"/>
        <w:rPr>
          <w:iCs/>
          <w:noProof/>
          <w:lang w:val="it-IT"/>
        </w:rPr>
      </w:pPr>
    </w:p>
    <w:p>
      <w:pPr>
        <w:keepNext/>
        <w:numPr>
          <w:ilvl w:val="12"/>
          <w:numId w:val="0"/>
        </w:numPr>
        <w:tabs>
          <w:tab w:val="left" w:pos="180"/>
        </w:tabs>
        <w:ind w:right="-2"/>
        <w:rPr>
          <w:i/>
          <w:noProof/>
          <w:u w:val="single"/>
          <w:lang w:val="it-IT"/>
        </w:rPr>
      </w:pPr>
      <w:r>
        <w:rPr>
          <w:i/>
          <w:noProof/>
          <w:u w:val="single"/>
          <w:lang w:val="it-IT"/>
        </w:rPr>
        <w:t>Distribuzione</w:t>
      </w:r>
    </w:p>
    <w:p>
      <w:pPr>
        <w:numPr>
          <w:ilvl w:val="12"/>
          <w:numId w:val="0"/>
        </w:numPr>
        <w:tabs>
          <w:tab w:val="left" w:pos="180"/>
        </w:tabs>
        <w:ind w:right="-2"/>
        <w:rPr>
          <w:iCs/>
          <w:noProof/>
          <w:lang w:val="it-IT"/>
        </w:rPr>
      </w:pPr>
      <w:r>
        <w:rPr>
          <w:iCs/>
          <w:noProof/>
          <w:lang w:val="it-IT"/>
        </w:rPr>
        <w:t xml:space="preserve">Nei pazienti con AR il volume centrale di distribuzione era 3,72 L, il volume periferico di distribuzione era 3,35 L con un risultante volume di distribuzione allo stato stazionario di 7,07 L. </w:t>
      </w:r>
    </w:p>
    <w:p>
      <w:pPr>
        <w:numPr>
          <w:ilvl w:val="12"/>
          <w:numId w:val="0"/>
        </w:numPr>
        <w:tabs>
          <w:tab w:val="left" w:pos="180"/>
        </w:tabs>
        <w:ind w:right="-2"/>
        <w:rPr>
          <w:iCs/>
          <w:noProof/>
          <w:lang w:val="it-IT"/>
        </w:rPr>
      </w:pPr>
    </w:p>
    <w:p>
      <w:pPr>
        <w:numPr>
          <w:ilvl w:val="12"/>
          <w:numId w:val="0"/>
        </w:numPr>
        <w:tabs>
          <w:tab w:val="left" w:pos="180"/>
        </w:tabs>
        <w:ind w:right="-2"/>
        <w:rPr>
          <w:i/>
          <w:noProof/>
          <w:u w:val="single"/>
          <w:lang w:val="it-IT"/>
        </w:rPr>
      </w:pPr>
      <w:r>
        <w:rPr>
          <w:i/>
          <w:noProof/>
          <w:u w:val="single"/>
          <w:lang w:val="it-IT"/>
        </w:rPr>
        <w:t>Eliminazione</w:t>
      </w:r>
    </w:p>
    <w:p>
      <w:pPr>
        <w:numPr>
          <w:ilvl w:val="12"/>
          <w:numId w:val="0"/>
        </w:numPr>
        <w:tabs>
          <w:tab w:val="left" w:pos="180"/>
        </w:tabs>
        <w:ind w:right="-2"/>
        <w:rPr>
          <w:iCs/>
          <w:noProof/>
          <w:lang w:val="it-IT"/>
        </w:rPr>
      </w:pPr>
      <w:r>
        <w:rPr>
          <w:iCs/>
          <w:noProof/>
          <w:lang w:val="it-IT"/>
        </w:rPr>
        <w:t xml:space="preserve">In seguito a somministrazione endovenosa, </w:t>
      </w:r>
      <w:r>
        <w:rPr>
          <w:noProof/>
          <w:lang w:val="it-IT"/>
        </w:rPr>
        <w:t xml:space="preserve">tocilizumab </w:t>
      </w:r>
      <w:r>
        <w:rPr>
          <w:iCs/>
          <w:noProof/>
          <w:lang w:val="it-IT"/>
        </w:rPr>
        <w:t xml:space="preserve">viene eliminato dalla circolazione in due fasi. La clearance totale di </w:t>
      </w:r>
      <w:r>
        <w:rPr>
          <w:noProof/>
          <w:lang w:val="it-IT"/>
        </w:rPr>
        <w:t xml:space="preserve">tocilizumab </w:t>
      </w:r>
      <w:r>
        <w:rPr>
          <w:iCs/>
          <w:noProof/>
          <w:lang w:val="it-IT"/>
        </w:rPr>
        <w:t>è risultata dipendente dalla concentrazione e costituita dalla somma della clearance lineare e della clearance non lineare. La clearance lineare è stata stimata come parametro nell’analisi della farmacocinetica di popolazione ed è risultata pari a 9,5 mL/h. L</w:t>
      </w:r>
      <w:r>
        <w:rPr>
          <w:noProof/>
          <w:szCs w:val="22"/>
          <w:lang w:val="it-IT"/>
        </w:rPr>
        <w:t xml:space="preserve">a clearance non lineare dipendente dalla concentrazione riveste un ruolo di primo piano a basse concentrazioni di </w:t>
      </w:r>
      <w:r>
        <w:rPr>
          <w:noProof/>
          <w:lang w:val="it-IT"/>
        </w:rPr>
        <w:t>tocilizumab</w:t>
      </w:r>
      <w:r>
        <w:rPr>
          <w:noProof/>
          <w:szCs w:val="22"/>
          <w:lang w:val="it-IT"/>
        </w:rPr>
        <w:t>.</w:t>
      </w:r>
      <w:r>
        <w:rPr>
          <w:iCs/>
          <w:noProof/>
          <w:lang w:val="it-IT"/>
        </w:rPr>
        <w:t xml:space="preserve"> Una volta che la via della clearance non lineare è satura, a concentrazioni più alte di </w:t>
      </w:r>
      <w:r>
        <w:rPr>
          <w:noProof/>
          <w:lang w:val="it-IT"/>
        </w:rPr>
        <w:t>tocilizumab</w:t>
      </w:r>
      <w:r>
        <w:rPr>
          <w:iCs/>
          <w:noProof/>
          <w:lang w:val="it-IT"/>
        </w:rPr>
        <w:t xml:space="preserve">, la clearance è determinata principalmente dalla clearance lineare. </w:t>
      </w:r>
    </w:p>
    <w:p>
      <w:pPr>
        <w:numPr>
          <w:ilvl w:val="12"/>
          <w:numId w:val="0"/>
        </w:numPr>
        <w:tabs>
          <w:tab w:val="left" w:pos="180"/>
        </w:tabs>
        <w:ind w:right="-2"/>
        <w:rPr>
          <w:iCs/>
          <w:noProof/>
          <w:lang w:val="it-IT"/>
        </w:rPr>
      </w:pPr>
    </w:p>
    <w:p>
      <w:pPr>
        <w:numPr>
          <w:ilvl w:val="12"/>
          <w:numId w:val="0"/>
        </w:numPr>
        <w:tabs>
          <w:tab w:val="left" w:pos="180"/>
        </w:tabs>
        <w:ind w:right="-2"/>
        <w:rPr>
          <w:iCs/>
          <w:noProof/>
          <w:lang w:val="it-IT"/>
        </w:rPr>
      </w:pPr>
      <w:r>
        <w:rPr>
          <w:iCs/>
          <w:noProof/>
          <w:lang w:val="it-IT"/>
        </w:rPr>
        <w:t>Il t</w:t>
      </w:r>
      <w:r>
        <w:rPr>
          <w:iCs/>
          <w:noProof/>
          <w:vertAlign w:val="subscript"/>
          <w:lang w:val="it-IT"/>
        </w:rPr>
        <w:t>1/2</w:t>
      </w:r>
      <w:r>
        <w:rPr>
          <w:iCs/>
          <w:noProof/>
          <w:lang w:val="it-IT"/>
        </w:rPr>
        <w:t xml:space="preserve"> di </w:t>
      </w:r>
      <w:r>
        <w:rPr>
          <w:noProof/>
          <w:lang w:val="it-IT"/>
        </w:rPr>
        <w:t xml:space="preserve">tocilizumab </w:t>
      </w:r>
      <w:r>
        <w:rPr>
          <w:iCs/>
          <w:noProof/>
          <w:lang w:val="it-IT"/>
        </w:rPr>
        <w:t>è risultato dipendente dalla concentrazione. Allo stato stazionario, dopo la somministrazione di una dose di 8 mg/kg ogni 4 settimane, il t</w:t>
      </w:r>
      <w:r>
        <w:rPr>
          <w:iCs/>
          <w:noProof/>
          <w:vertAlign w:val="subscript"/>
          <w:lang w:val="it-IT"/>
        </w:rPr>
        <w:t>1/2</w:t>
      </w:r>
      <w:r>
        <w:rPr>
          <w:iCs/>
          <w:noProof/>
          <w:lang w:val="it-IT"/>
        </w:rPr>
        <w:t xml:space="preserve"> effettivo si è ridotto di pari passo con le concentrazioni, e con un intervallo di somministrazione compreso tra i 18 e i 6 giorni.</w:t>
      </w:r>
    </w:p>
    <w:p>
      <w:pPr>
        <w:numPr>
          <w:ilvl w:val="12"/>
          <w:numId w:val="0"/>
        </w:numPr>
        <w:tabs>
          <w:tab w:val="left" w:pos="180"/>
        </w:tabs>
        <w:ind w:right="-2"/>
        <w:rPr>
          <w:iCs/>
          <w:noProof/>
          <w:lang w:val="it-IT"/>
        </w:rPr>
      </w:pPr>
    </w:p>
    <w:p>
      <w:pPr>
        <w:tabs>
          <w:tab w:val="left" w:pos="180"/>
        </w:tabs>
        <w:ind w:left="567" w:hanging="567"/>
        <w:outlineLvl w:val="0"/>
        <w:rPr>
          <w:i/>
          <w:iCs/>
          <w:noProof/>
          <w:u w:val="single"/>
          <w:lang w:val="it-IT"/>
        </w:rPr>
      </w:pPr>
      <w:r>
        <w:rPr>
          <w:i/>
          <w:iCs/>
          <w:noProof/>
          <w:u w:val="single"/>
          <w:lang w:val="it-IT"/>
        </w:rPr>
        <w:t>Linearità</w:t>
      </w:r>
    </w:p>
    <w:p>
      <w:pPr>
        <w:numPr>
          <w:ilvl w:val="12"/>
          <w:numId w:val="0"/>
        </w:numPr>
        <w:tabs>
          <w:tab w:val="left" w:pos="180"/>
        </w:tabs>
        <w:ind w:right="-2"/>
        <w:rPr>
          <w:iCs/>
          <w:noProof/>
          <w:lang w:val="it-IT"/>
        </w:rPr>
      </w:pPr>
      <w:r>
        <w:rPr>
          <w:iCs/>
          <w:noProof/>
          <w:lang w:val="it-IT"/>
        </w:rPr>
        <w:t xml:space="preserve">I parametri farmacocinetici di </w:t>
      </w:r>
      <w:r>
        <w:rPr>
          <w:noProof/>
          <w:lang w:val="it-IT"/>
        </w:rPr>
        <w:t xml:space="preserve">tocilizumab </w:t>
      </w:r>
      <w:r>
        <w:rPr>
          <w:iCs/>
          <w:noProof/>
          <w:lang w:val="it-IT"/>
        </w:rPr>
        <w:t>non cambiano col tempo. Si è osservato un incremento più che proporzionale alla dose della AUC e della C</w:t>
      </w:r>
      <w:r>
        <w:rPr>
          <w:iCs/>
          <w:noProof/>
          <w:vertAlign w:val="subscript"/>
          <w:lang w:val="it-IT"/>
        </w:rPr>
        <w:t xml:space="preserve">min </w:t>
      </w:r>
      <w:r>
        <w:rPr>
          <w:iCs/>
          <w:noProof/>
          <w:lang w:val="it-IT"/>
        </w:rPr>
        <w:t>per dosi di 4 e 8 mg/kg ogni 4 settimane. La C</w:t>
      </w:r>
      <w:r>
        <w:rPr>
          <w:iCs/>
          <w:noProof/>
          <w:vertAlign w:val="subscript"/>
          <w:lang w:val="it-IT"/>
        </w:rPr>
        <w:t xml:space="preserve">max </w:t>
      </w:r>
      <w:r>
        <w:rPr>
          <w:iCs/>
          <w:noProof/>
          <w:lang w:val="it-IT"/>
        </w:rPr>
        <w:t>è cresciuta proporzionalmente alla dose. Allo stato stazionario, le AUC e C</w:t>
      </w:r>
      <w:r>
        <w:rPr>
          <w:iCs/>
          <w:noProof/>
          <w:vertAlign w:val="subscript"/>
          <w:lang w:val="it-IT"/>
        </w:rPr>
        <w:t>min</w:t>
      </w:r>
      <w:r>
        <w:rPr>
          <w:iCs/>
          <w:noProof/>
          <w:lang w:val="it-IT"/>
        </w:rPr>
        <w:t xml:space="preserve"> previste erano 3,2 e 30 volte più elevate con 8 mg/kg rispetto a 4 mg/kg rispettivamente.</w:t>
      </w:r>
    </w:p>
    <w:p>
      <w:pPr>
        <w:numPr>
          <w:ilvl w:val="12"/>
          <w:numId w:val="0"/>
        </w:numPr>
        <w:tabs>
          <w:tab w:val="left" w:pos="180"/>
        </w:tabs>
        <w:ind w:right="-2"/>
        <w:rPr>
          <w:iCs/>
          <w:noProof/>
          <w:lang w:val="it-IT"/>
        </w:rPr>
      </w:pPr>
    </w:p>
    <w:p>
      <w:pPr>
        <w:keepNext/>
        <w:tabs>
          <w:tab w:val="left" w:pos="180"/>
        </w:tabs>
        <w:rPr>
          <w:noProof/>
          <w:szCs w:val="22"/>
          <w:u w:val="single"/>
          <w:lang w:val="it-IT"/>
          <w:rPrChange w:id="5752" w:author="Author">
            <w:rPr>
              <w:i/>
              <w:iCs/>
              <w:szCs w:val="22"/>
              <w:u w:val="single"/>
              <w:lang w:val="it-IT"/>
            </w:rPr>
          </w:rPrChange>
        </w:rPr>
        <w:pPrChange w:id="5753" w:author="Author">
          <w:pPr>
            <w:tabs>
              <w:tab w:val="left" w:pos="180"/>
            </w:tabs>
            <w:spacing w:line="280" w:lineRule="atLeast"/>
          </w:pPr>
        </w:pPrChange>
      </w:pPr>
      <w:r>
        <w:rPr>
          <w:noProof/>
          <w:szCs w:val="22"/>
          <w:u w:val="single"/>
          <w:lang w:val="it-IT"/>
          <w:rPrChange w:id="5754" w:author="Author">
            <w:rPr>
              <w:i/>
              <w:iCs/>
              <w:szCs w:val="22"/>
              <w:u w:val="single"/>
              <w:lang w:val="it-IT"/>
            </w:rPr>
          </w:rPrChange>
        </w:rPr>
        <w:t>Uso sottocutaneo</w:t>
      </w:r>
    </w:p>
    <w:p>
      <w:pPr>
        <w:keepNext/>
        <w:numPr>
          <w:ilvl w:val="12"/>
          <w:numId w:val="0"/>
        </w:numPr>
        <w:tabs>
          <w:tab w:val="left" w:pos="180"/>
        </w:tabs>
        <w:ind w:right="-2"/>
        <w:rPr>
          <w:ins w:id="5755" w:author="Author"/>
          <w:i/>
          <w:noProof/>
          <w:lang w:val="it-IT"/>
          <w:rPrChange w:id="5756" w:author="Author">
            <w:rPr>
              <w:ins w:id="5757" w:author="Author"/>
              <w:iCs/>
              <w:lang w:val="it-IT"/>
            </w:rPr>
          </w:rPrChange>
        </w:rPr>
        <w:pPrChange w:id="5758" w:author="Author">
          <w:pPr>
            <w:numPr>
              <w:ilvl w:val="12"/>
            </w:numPr>
            <w:tabs>
              <w:tab w:val="left" w:pos="180"/>
            </w:tabs>
            <w:ind w:right="-2"/>
          </w:pPr>
        </w:pPrChange>
      </w:pPr>
      <w:ins w:id="5759" w:author="Author">
        <w:r>
          <w:rPr>
            <w:i/>
            <w:noProof/>
            <w:lang w:val="it-IT"/>
            <w:rPrChange w:id="5760" w:author="Author">
              <w:rPr>
                <w:iCs/>
                <w:lang w:val="it-IT"/>
              </w:rPr>
            </w:rPrChange>
          </w:rPr>
          <w:t>Pazienti affetti da AR</w:t>
        </w:r>
      </w:ins>
    </w:p>
    <w:p>
      <w:pPr>
        <w:keepNext/>
        <w:numPr>
          <w:ilvl w:val="12"/>
          <w:numId w:val="0"/>
        </w:numPr>
        <w:tabs>
          <w:tab w:val="left" w:pos="180"/>
        </w:tabs>
        <w:ind w:right="-2"/>
        <w:rPr>
          <w:ins w:id="5761" w:author="Author"/>
          <w:iCs/>
          <w:noProof/>
          <w:lang w:val="it-IT"/>
        </w:rPr>
        <w:pPrChange w:id="5762" w:author="Author">
          <w:pPr>
            <w:numPr>
              <w:ilvl w:val="12"/>
            </w:numPr>
            <w:tabs>
              <w:tab w:val="left" w:pos="180"/>
            </w:tabs>
            <w:ind w:right="-2"/>
          </w:pPr>
        </w:pPrChange>
      </w:pPr>
    </w:p>
    <w:p>
      <w:pPr>
        <w:numPr>
          <w:ilvl w:val="12"/>
          <w:numId w:val="0"/>
        </w:numPr>
        <w:tabs>
          <w:tab w:val="left" w:pos="180"/>
        </w:tabs>
        <w:ind w:right="-2"/>
        <w:rPr>
          <w:iCs/>
          <w:noProof/>
          <w:lang w:val="it-IT"/>
        </w:rPr>
      </w:pPr>
      <w:r>
        <w:rPr>
          <w:iCs/>
          <w:noProof/>
          <w:lang w:val="it-IT"/>
        </w:rPr>
        <w:t xml:space="preserve">La farmacocinetica di </w:t>
      </w:r>
      <w:r>
        <w:rPr>
          <w:noProof/>
          <w:lang w:val="it-IT"/>
        </w:rPr>
        <w:t xml:space="preserve">tocilizumab </w:t>
      </w:r>
      <w:r>
        <w:rPr>
          <w:iCs/>
          <w:noProof/>
          <w:lang w:val="it-IT"/>
        </w:rPr>
        <w:t>è stata determinata effettuando un’analisi di farmacocinetica di popolazione su un database composto da 3</w:t>
      </w:r>
      <w:del w:id="5763" w:author="Author">
        <w:r>
          <w:rPr>
            <w:iCs/>
            <w:noProof/>
            <w:lang w:val="it-IT"/>
          </w:rPr>
          <w:delText>.</w:delText>
        </w:r>
      </w:del>
      <w:ins w:id="5764" w:author="Author">
        <w:r>
          <w:rPr>
            <w:iCs/>
            <w:noProof/>
            <w:lang w:val="it-IT"/>
          </w:rPr>
          <w:t> </w:t>
        </w:r>
      </w:ins>
      <w:r>
        <w:rPr>
          <w:iCs/>
          <w:noProof/>
          <w:lang w:val="it-IT"/>
        </w:rPr>
        <w:t xml:space="preserve">552 pazienti affetti da AR, trattati con 162 mg s.c. </w:t>
      </w:r>
      <w:del w:id="5765" w:author="Author">
        <w:r>
          <w:rPr>
            <w:iCs/>
            <w:noProof/>
            <w:lang w:val="it-IT"/>
          </w:rPr>
          <w:delText xml:space="preserve">ogni </w:delText>
        </w:r>
      </w:del>
      <w:ins w:id="5766" w:author="Author">
        <w:r>
          <w:rPr>
            <w:iCs/>
            <w:noProof/>
            <w:lang w:val="it-IT"/>
          </w:rPr>
          <w:t xml:space="preserve">una volta a </w:t>
        </w:r>
      </w:ins>
      <w:r>
        <w:rPr>
          <w:iCs/>
          <w:noProof/>
          <w:lang w:val="it-IT"/>
        </w:rPr>
        <w:t>settimana, 162 mg s.c. ogni due settimane e o 4 o 8 mg/kg e.v. ogni 4 settimane per 24 settimane.</w:t>
      </w:r>
    </w:p>
    <w:p>
      <w:pPr>
        <w:numPr>
          <w:ilvl w:val="12"/>
          <w:numId w:val="0"/>
        </w:numPr>
        <w:tabs>
          <w:tab w:val="left" w:pos="180"/>
        </w:tabs>
        <w:ind w:right="-2"/>
        <w:rPr>
          <w:iCs/>
          <w:noProof/>
          <w:lang w:val="it-IT"/>
        </w:rPr>
      </w:pPr>
    </w:p>
    <w:p>
      <w:pPr>
        <w:tabs>
          <w:tab w:val="left" w:pos="180"/>
        </w:tabs>
        <w:rPr>
          <w:noProof/>
          <w:szCs w:val="22"/>
          <w:lang w:val="it-IT"/>
        </w:rPr>
      </w:pPr>
      <w:r>
        <w:rPr>
          <w:iCs/>
          <w:noProof/>
          <w:szCs w:val="22"/>
          <w:lang w:val="it-IT"/>
        </w:rPr>
        <w:t xml:space="preserve">I parametri farmacocinetici di </w:t>
      </w:r>
      <w:r>
        <w:rPr>
          <w:noProof/>
          <w:szCs w:val="22"/>
          <w:lang w:val="it-IT"/>
        </w:rPr>
        <w:t xml:space="preserve">tocilizumab </w:t>
      </w:r>
      <w:r>
        <w:rPr>
          <w:iCs/>
          <w:noProof/>
          <w:szCs w:val="22"/>
          <w:lang w:val="it-IT"/>
        </w:rPr>
        <w:t xml:space="preserve">non cambiano col tempo. </w:t>
      </w:r>
      <w:r>
        <w:rPr>
          <w:noProof/>
          <w:szCs w:val="22"/>
          <w:lang w:val="it-IT"/>
        </w:rPr>
        <w:t xml:space="preserve">Per quanto riguarda la dose di 162 mg somministrata </w:t>
      </w:r>
      <w:del w:id="5767" w:author="Author">
        <w:r>
          <w:rPr>
            <w:noProof/>
            <w:szCs w:val="22"/>
            <w:lang w:val="it-IT"/>
          </w:rPr>
          <w:delText xml:space="preserve">ogni </w:delText>
        </w:r>
      </w:del>
      <w:ins w:id="5768" w:author="Author">
        <w:r>
          <w:rPr>
            <w:noProof/>
            <w:szCs w:val="22"/>
            <w:lang w:val="it-IT"/>
          </w:rPr>
          <w:t xml:space="preserve">una volta a </w:t>
        </w:r>
      </w:ins>
      <w:r>
        <w:rPr>
          <w:noProof/>
          <w:szCs w:val="22"/>
          <w:lang w:val="it-IT"/>
        </w:rPr>
        <w:t xml:space="preserve">settimana, i valori medi </w:t>
      </w:r>
      <w:ins w:id="5769" w:author="Author">
        <w:r>
          <w:rPr>
            <w:noProof/>
            <w:szCs w:val="22"/>
            <w:lang w:val="it-IT"/>
          </w:rPr>
          <w:t xml:space="preserve">di tocilizumab </w:t>
        </w:r>
      </w:ins>
      <w:del w:id="5770" w:author="Author">
        <w:r>
          <w:rPr>
            <w:noProof/>
            <w:szCs w:val="22"/>
            <w:lang w:val="it-IT"/>
          </w:rPr>
          <w:delText xml:space="preserve">previsti </w:delText>
        </w:r>
      </w:del>
      <w:ins w:id="5771" w:author="Author">
        <w:r>
          <w:rPr>
            <w:noProof/>
            <w:szCs w:val="22"/>
            <w:lang w:val="it-IT"/>
          </w:rPr>
          <w:t xml:space="preserve">predetti </w:t>
        </w:r>
      </w:ins>
      <w:r>
        <w:rPr>
          <w:noProof/>
          <w:szCs w:val="22"/>
          <w:lang w:val="it-IT"/>
        </w:rPr>
        <w:t>(</w:t>
      </w:r>
      <w:r>
        <w:rPr>
          <w:noProof/>
          <w:szCs w:val="22"/>
          <w:lang w:val="it-IT"/>
        </w:rPr>
        <w:sym w:font="Symbol" w:char="F0B1"/>
      </w:r>
      <w:ins w:id="5772" w:author="Author">
        <w:r>
          <w:rPr>
            <w:noProof/>
            <w:szCs w:val="22"/>
            <w:lang w:val="it-IT"/>
          </w:rPr>
          <w:t> </w:t>
        </w:r>
      </w:ins>
      <w:del w:id="5773" w:author="Author">
        <w:r>
          <w:rPr>
            <w:noProof/>
            <w:szCs w:val="22"/>
            <w:lang w:val="it-IT"/>
          </w:rPr>
          <w:delText xml:space="preserve"> </w:delText>
        </w:r>
      </w:del>
      <w:r>
        <w:rPr>
          <w:noProof/>
          <w:szCs w:val="22"/>
          <w:lang w:val="it-IT"/>
        </w:rPr>
        <w:t>DS) allo stato stazionario dell’AUC</w:t>
      </w:r>
      <w:r>
        <w:rPr>
          <w:noProof/>
          <w:szCs w:val="22"/>
          <w:vertAlign w:val="subscript"/>
          <w:lang w:val="it-IT"/>
        </w:rPr>
        <w:t>1</w:t>
      </w:r>
      <w:ins w:id="5774" w:author="Author">
        <w:r>
          <w:rPr>
            <w:noProof/>
            <w:szCs w:val="22"/>
            <w:vertAlign w:val="subscript"/>
            <w:lang w:val="it-IT"/>
          </w:rPr>
          <w:t> </w:t>
        </w:r>
      </w:ins>
      <w:del w:id="5775" w:author="Author">
        <w:r>
          <w:rPr>
            <w:noProof/>
            <w:szCs w:val="22"/>
            <w:vertAlign w:val="subscript"/>
            <w:lang w:val="it-IT"/>
          </w:rPr>
          <w:delText xml:space="preserve"> </w:delText>
        </w:r>
      </w:del>
      <w:r>
        <w:rPr>
          <w:noProof/>
          <w:szCs w:val="22"/>
          <w:vertAlign w:val="subscript"/>
          <w:lang w:val="it-IT"/>
        </w:rPr>
        <w:t>sett</w:t>
      </w:r>
      <w:r>
        <w:rPr>
          <w:noProof/>
          <w:szCs w:val="22"/>
          <w:lang w:val="it-IT"/>
        </w:rPr>
        <w:t>, C</w:t>
      </w:r>
      <w:r>
        <w:rPr>
          <w:noProof/>
          <w:szCs w:val="22"/>
          <w:vertAlign w:val="subscript"/>
          <w:lang w:val="it-IT"/>
          <w:rPrChange w:id="5776" w:author="Author">
            <w:rPr>
              <w:sz w:val="14"/>
              <w:szCs w:val="14"/>
              <w:lang w:val="it-IT"/>
            </w:rPr>
          </w:rPrChange>
        </w:rPr>
        <w:t>min</w:t>
      </w:r>
      <w:r>
        <w:rPr>
          <w:noProof/>
          <w:szCs w:val="22"/>
          <w:lang w:val="it-IT"/>
        </w:rPr>
        <w:t xml:space="preserve"> e C</w:t>
      </w:r>
      <w:r>
        <w:rPr>
          <w:noProof/>
          <w:szCs w:val="22"/>
          <w:vertAlign w:val="subscript"/>
          <w:lang w:val="it-IT"/>
          <w:rPrChange w:id="5777" w:author="Author">
            <w:rPr>
              <w:sz w:val="14"/>
              <w:szCs w:val="14"/>
              <w:lang w:val="it-IT"/>
            </w:rPr>
          </w:rPrChange>
        </w:rPr>
        <w:t>max</w:t>
      </w:r>
      <w:r>
        <w:rPr>
          <w:noProof/>
          <w:szCs w:val="22"/>
          <w:lang w:val="it-IT"/>
          <w:rPrChange w:id="5778" w:author="Author">
            <w:rPr>
              <w:sz w:val="14"/>
              <w:szCs w:val="14"/>
              <w:lang w:val="it-IT"/>
            </w:rPr>
          </w:rPrChange>
        </w:rPr>
        <w:t xml:space="preserve"> </w:t>
      </w:r>
      <w:del w:id="5779" w:author="Author">
        <w:r>
          <w:rPr>
            <w:noProof/>
            <w:szCs w:val="22"/>
            <w:lang w:val="it-IT"/>
          </w:rPr>
          <w:delText xml:space="preserve">di tocilizumab </w:delText>
        </w:r>
      </w:del>
      <w:r>
        <w:rPr>
          <w:noProof/>
          <w:szCs w:val="22"/>
          <w:lang w:val="it-IT"/>
        </w:rPr>
        <w:t>sono stati rispettivamente 7</w:t>
      </w:r>
      <w:del w:id="5780" w:author="Author">
        <w:r>
          <w:rPr>
            <w:noProof/>
            <w:szCs w:val="22"/>
            <w:lang w:val="it-IT"/>
          </w:rPr>
          <w:delText>.</w:delText>
        </w:r>
      </w:del>
      <w:ins w:id="5781" w:author="Author">
        <w:r>
          <w:rPr>
            <w:noProof/>
            <w:szCs w:val="22"/>
            <w:lang w:val="it-IT"/>
          </w:rPr>
          <w:t> </w:t>
        </w:r>
      </w:ins>
      <w:r>
        <w:rPr>
          <w:noProof/>
          <w:szCs w:val="22"/>
          <w:lang w:val="it-IT"/>
        </w:rPr>
        <w:t>970 ± 3</w:t>
      </w:r>
      <w:del w:id="5782" w:author="Author">
        <w:r>
          <w:rPr>
            <w:noProof/>
            <w:szCs w:val="22"/>
            <w:lang w:val="it-IT"/>
          </w:rPr>
          <w:delText>.</w:delText>
        </w:r>
      </w:del>
      <w:ins w:id="5783" w:author="Author">
        <w:r>
          <w:rPr>
            <w:noProof/>
            <w:szCs w:val="22"/>
            <w:lang w:val="it-IT"/>
          </w:rPr>
          <w:t> </w:t>
        </w:r>
      </w:ins>
      <w:r>
        <w:rPr>
          <w:noProof/>
          <w:szCs w:val="22"/>
          <w:lang w:val="it-IT"/>
        </w:rPr>
        <w:t>432 μg</w:t>
      </w:r>
      <w:del w:id="5784" w:author="Author">
        <w:r>
          <w:rPr>
            <w:noProof/>
            <w:szCs w:val="22"/>
            <w:lang w:val="it-IT"/>
          </w:rPr>
          <w:delText>•</w:delText>
        </w:r>
      </w:del>
      <w:ins w:id="5785" w:author="Author">
        <w:r>
          <w:rPr>
            <w:noProof/>
            <w:szCs w:val="22"/>
            <w:lang w:val="it-IT"/>
          </w:rPr>
          <w:t> × </w:t>
        </w:r>
      </w:ins>
      <w:r>
        <w:rPr>
          <w:noProof/>
          <w:szCs w:val="22"/>
          <w:lang w:val="it-IT"/>
        </w:rPr>
        <w:t>h/mL, 43,0</w:t>
      </w:r>
      <w:ins w:id="5786" w:author="Author">
        <w:r>
          <w:rPr>
            <w:noProof/>
            <w:szCs w:val="22"/>
            <w:lang w:val="it-IT"/>
          </w:rPr>
          <w:t> </w:t>
        </w:r>
      </w:ins>
      <w:del w:id="5787" w:author="Author">
        <w:r>
          <w:rPr>
            <w:noProof/>
            <w:szCs w:val="22"/>
            <w:lang w:val="it-IT"/>
          </w:rPr>
          <w:delText xml:space="preserve"> </w:delText>
        </w:r>
      </w:del>
      <w:r>
        <w:rPr>
          <w:noProof/>
          <w:szCs w:val="22"/>
          <w:lang w:val="it-IT"/>
        </w:rPr>
        <w:t>±</w:t>
      </w:r>
      <w:ins w:id="5788" w:author="Author">
        <w:r>
          <w:rPr>
            <w:noProof/>
            <w:szCs w:val="22"/>
            <w:lang w:val="it-IT"/>
          </w:rPr>
          <w:t> </w:t>
        </w:r>
      </w:ins>
      <w:del w:id="5789" w:author="Author">
        <w:r>
          <w:rPr>
            <w:noProof/>
            <w:szCs w:val="22"/>
            <w:lang w:val="it-IT"/>
          </w:rPr>
          <w:delText xml:space="preserve"> </w:delText>
        </w:r>
      </w:del>
      <w:r>
        <w:rPr>
          <w:noProof/>
          <w:szCs w:val="22"/>
          <w:lang w:val="it-IT"/>
        </w:rPr>
        <w:t>19,8</w:t>
      </w:r>
      <w:ins w:id="5790" w:author="Author">
        <w:r>
          <w:rPr>
            <w:noProof/>
            <w:szCs w:val="22"/>
            <w:lang w:val="it-IT"/>
          </w:rPr>
          <w:t> </w:t>
        </w:r>
      </w:ins>
      <w:del w:id="5791" w:author="Author">
        <w:r>
          <w:rPr>
            <w:noProof/>
            <w:szCs w:val="22"/>
            <w:lang w:val="it-IT"/>
          </w:rPr>
          <w:delText xml:space="preserve"> </w:delText>
        </w:r>
      </w:del>
      <w:r>
        <w:rPr>
          <w:noProof/>
          <w:szCs w:val="22"/>
          <w:lang w:val="it-IT"/>
        </w:rPr>
        <w:t>μg/mL e 49,8 ± 21,0 μg/mL. I tassi di accumulo relativi ad AUC, C</w:t>
      </w:r>
      <w:r>
        <w:rPr>
          <w:noProof/>
          <w:szCs w:val="22"/>
          <w:vertAlign w:val="subscript"/>
          <w:lang w:val="it-IT"/>
        </w:rPr>
        <w:t>min</w:t>
      </w:r>
      <w:r>
        <w:rPr>
          <w:noProof/>
          <w:szCs w:val="22"/>
          <w:lang w:val="it-IT"/>
        </w:rPr>
        <w:t>, e C</w:t>
      </w:r>
      <w:r>
        <w:rPr>
          <w:noProof/>
          <w:szCs w:val="22"/>
          <w:vertAlign w:val="subscript"/>
          <w:lang w:val="it-IT"/>
          <w:rPrChange w:id="5792" w:author="Author">
            <w:rPr>
              <w:sz w:val="14"/>
              <w:szCs w:val="14"/>
              <w:lang w:val="it-IT"/>
            </w:rPr>
          </w:rPrChange>
        </w:rPr>
        <w:t>max</w:t>
      </w:r>
      <w:r>
        <w:rPr>
          <w:noProof/>
          <w:szCs w:val="22"/>
          <w:lang w:val="it-IT"/>
        </w:rPr>
        <w:t xml:space="preserve"> sono stati rispettivamente di 6,32, 6,30 e 5,27. Lo stato stazionario è stato raggiunto dopo 12 settimane per AUC, C</w:t>
      </w:r>
      <w:r>
        <w:rPr>
          <w:noProof/>
          <w:szCs w:val="22"/>
          <w:vertAlign w:val="subscript"/>
          <w:lang w:val="it-IT"/>
        </w:rPr>
        <w:t>min</w:t>
      </w:r>
      <w:r>
        <w:rPr>
          <w:noProof/>
          <w:szCs w:val="22"/>
          <w:lang w:val="it-IT"/>
        </w:rPr>
        <w:t xml:space="preserve"> e C</w:t>
      </w:r>
      <w:r>
        <w:rPr>
          <w:noProof/>
          <w:szCs w:val="22"/>
          <w:vertAlign w:val="subscript"/>
          <w:lang w:val="it-IT"/>
        </w:rPr>
        <w:t>max</w:t>
      </w:r>
      <w:r>
        <w:rPr>
          <w:noProof/>
          <w:szCs w:val="22"/>
          <w:lang w:val="it-IT"/>
        </w:rPr>
        <w:t>.</w:t>
      </w:r>
    </w:p>
    <w:p>
      <w:pPr>
        <w:numPr>
          <w:ilvl w:val="12"/>
          <w:numId w:val="0"/>
        </w:numPr>
        <w:tabs>
          <w:tab w:val="left" w:pos="180"/>
        </w:tabs>
        <w:ind w:right="-2"/>
        <w:rPr>
          <w:iCs/>
          <w:noProof/>
          <w:lang w:val="it-IT"/>
        </w:rPr>
      </w:pPr>
    </w:p>
    <w:p>
      <w:pPr>
        <w:tabs>
          <w:tab w:val="left" w:pos="180"/>
        </w:tabs>
        <w:rPr>
          <w:noProof/>
          <w:szCs w:val="22"/>
          <w:lang w:val="it-IT"/>
        </w:rPr>
      </w:pPr>
      <w:r>
        <w:rPr>
          <w:noProof/>
          <w:szCs w:val="22"/>
          <w:lang w:val="it-IT"/>
        </w:rPr>
        <w:t>Per quanto riguarda la dose di 162</w:t>
      </w:r>
      <w:del w:id="5793" w:author="Author">
        <w:r>
          <w:rPr>
            <w:noProof/>
            <w:szCs w:val="22"/>
            <w:lang w:val="it-IT"/>
          </w:rPr>
          <w:delText xml:space="preserve"> </w:delText>
        </w:r>
      </w:del>
      <w:ins w:id="5794" w:author="Author">
        <w:r>
          <w:rPr>
            <w:noProof/>
            <w:szCs w:val="22"/>
            <w:lang w:val="it-IT"/>
          </w:rPr>
          <w:t> </w:t>
        </w:r>
      </w:ins>
      <w:r>
        <w:rPr>
          <w:noProof/>
          <w:szCs w:val="22"/>
          <w:lang w:val="it-IT"/>
        </w:rPr>
        <w:t xml:space="preserve">mg somministrata </w:t>
      </w:r>
      <w:ins w:id="5795" w:author="Author">
        <w:r>
          <w:rPr>
            <w:iCs/>
            <w:noProof/>
            <w:lang w:val="it-IT"/>
          </w:rPr>
          <w:t>ogni due settimane</w:t>
        </w:r>
      </w:ins>
      <w:del w:id="5796" w:author="Author">
        <w:r>
          <w:rPr>
            <w:noProof/>
            <w:szCs w:val="22"/>
            <w:lang w:val="it-IT"/>
          </w:rPr>
          <w:delText>a settimane alterne</w:delText>
        </w:r>
      </w:del>
      <w:r>
        <w:rPr>
          <w:noProof/>
          <w:szCs w:val="22"/>
          <w:lang w:val="it-IT"/>
        </w:rPr>
        <w:t xml:space="preserve">, i valori medi </w:t>
      </w:r>
      <w:ins w:id="5797" w:author="Author">
        <w:r>
          <w:rPr>
            <w:noProof/>
            <w:szCs w:val="22"/>
            <w:lang w:val="it-IT"/>
          </w:rPr>
          <w:t xml:space="preserve">di tocilizumab </w:t>
        </w:r>
      </w:ins>
      <w:del w:id="5798" w:author="Author">
        <w:r>
          <w:rPr>
            <w:noProof/>
            <w:szCs w:val="22"/>
            <w:lang w:val="it-IT"/>
          </w:rPr>
          <w:delText xml:space="preserve">previsti </w:delText>
        </w:r>
      </w:del>
      <w:ins w:id="5799" w:author="Author">
        <w:r>
          <w:rPr>
            <w:noProof/>
            <w:szCs w:val="22"/>
            <w:lang w:val="it-IT"/>
          </w:rPr>
          <w:t xml:space="preserve">predetti </w:t>
        </w:r>
      </w:ins>
      <w:r>
        <w:rPr>
          <w:noProof/>
          <w:szCs w:val="22"/>
          <w:lang w:val="it-IT"/>
        </w:rPr>
        <w:t>(</w:t>
      </w:r>
      <w:r>
        <w:rPr>
          <w:noProof/>
          <w:szCs w:val="22"/>
          <w:lang w:val="it-IT"/>
        </w:rPr>
        <w:sym w:font="Symbol" w:char="F0B1"/>
      </w:r>
      <w:del w:id="5800" w:author="Author">
        <w:r>
          <w:rPr>
            <w:noProof/>
            <w:szCs w:val="22"/>
            <w:lang w:val="it-IT"/>
          </w:rPr>
          <w:delText xml:space="preserve"> </w:delText>
        </w:r>
      </w:del>
      <w:ins w:id="5801" w:author="Author">
        <w:r>
          <w:rPr>
            <w:noProof/>
            <w:szCs w:val="22"/>
            <w:lang w:val="it-IT"/>
          </w:rPr>
          <w:t> </w:t>
        </w:r>
      </w:ins>
      <w:r>
        <w:rPr>
          <w:noProof/>
          <w:szCs w:val="22"/>
          <w:lang w:val="it-IT"/>
        </w:rPr>
        <w:t>DS) allo stato stazionario dell’AUC</w:t>
      </w:r>
      <w:r>
        <w:rPr>
          <w:noProof/>
          <w:szCs w:val="22"/>
          <w:vertAlign w:val="subscript"/>
          <w:lang w:val="it-IT"/>
        </w:rPr>
        <w:t>2 sett</w:t>
      </w:r>
      <w:r>
        <w:rPr>
          <w:noProof/>
          <w:szCs w:val="22"/>
          <w:lang w:val="it-IT"/>
        </w:rPr>
        <w:t>, C</w:t>
      </w:r>
      <w:r>
        <w:rPr>
          <w:noProof/>
          <w:szCs w:val="22"/>
          <w:vertAlign w:val="subscript"/>
          <w:lang w:val="it-IT"/>
          <w:rPrChange w:id="5802" w:author="Author">
            <w:rPr>
              <w:sz w:val="14"/>
              <w:szCs w:val="14"/>
              <w:lang w:val="it-IT"/>
            </w:rPr>
          </w:rPrChange>
        </w:rPr>
        <w:t>min</w:t>
      </w:r>
      <w:r>
        <w:rPr>
          <w:noProof/>
          <w:szCs w:val="22"/>
          <w:lang w:val="it-IT"/>
        </w:rPr>
        <w:t xml:space="preserve"> e C</w:t>
      </w:r>
      <w:r>
        <w:rPr>
          <w:noProof/>
          <w:szCs w:val="22"/>
          <w:vertAlign w:val="subscript"/>
          <w:lang w:val="it-IT"/>
          <w:rPrChange w:id="5803" w:author="Author">
            <w:rPr>
              <w:sz w:val="14"/>
              <w:szCs w:val="14"/>
              <w:lang w:val="it-IT"/>
            </w:rPr>
          </w:rPrChange>
        </w:rPr>
        <w:t>max</w:t>
      </w:r>
      <w:r>
        <w:rPr>
          <w:noProof/>
          <w:szCs w:val="22"/>
          <w:lang w:val="it-IT"/>
          <w:rPrChange w:id="5804" w:author="Author">
            <w:rPr>
              <w:sz w:val="14"/>
              <w:szCs w:val="14"/>
              <w:lang w:val="it-IT"/>
            </w:rPr>
          </w:rPrChange>
        </w:rPr>
        <w:t xml:space="preserve"> </w:t>
      </w:r>
      <w:del w:id="5805" w:author="Author">
        <w:r>
          <w:rPr>
            <w:noProof/>
            <w:szCs w:val="22"/>
            <w:lang w:val="it-IT"/>
          </w:rPr>
          <w:delText xml:space="preserve">di tocilizumab </w:delText>
        </w:r>
      </w:del>
      <w:r>
        <w:rPr>
          <w:noProof/>
          <w:szCs w:val="22"/>
          <w:lang w:val="it-IT"/>
        </w:rPr>
        <w:t xml:space="preserve">sono stati rispettivamente </w:t>
      </w:r>
      <w:r>
        <w:rPr>
          <w:noProof/>
          <w:szCs w:val="22"/>
          <w:lang w:val="it-IT"/>
        </w:rPr>
        <w:lastRenderedPageBreak/>
        <w:t>3</w:t>
      </w:r>
      <w:del w:id="5806" w:author="Author">
        <w:r>
          <w:rPr>
            <w:noProof/>
            <w:szCs w:val="22"/>
            <w:lang w:val="it-IT"/>
          </w:rPr>
          <w:delText>.</w:delText>
        </w:r>
      </w:del>
      <w:ins w:id="5807" w:author="Author">
        <w:r>
          <w:rPr>
            <w:noProof/>
            <w:szCs w:val="22"/>
            <w:lang w:val="it-IT"/>
          </w:rPr>
          <w:t> </w:t>
        </w:r>
      </w:ins>
      <w:r>
        <w:rPr>
          <w:noProof/>
          <w:szCs w:val="22"/>
          <w:lang w:val="it-IT"/>
        </w:rPr>
        <w:t>430</w:t>
      </w:r>
      <w:del w:id="5808" w:author="Author">
        <w:r>
          <w:rPr>
            <w:noProof/>
            <w:szCs w:val="22"/>
            <w:lang w:val="it-IT"/>
          </w:rPr>
          <w:delText xml:space="preserve"> </w:delText>
        </w:r>
      </w:del>
      <w:ins w:id="5809" w:author="Author">
        <w:r>
          <w:rPr>
            <w:noProof/>
            <w:szCs w:val="22"/>
            <w:lang w:val="it-IT"/>
          </w:rPr>
          <w:t> </w:t>
        </w:r>
      </w:ins>
      <w:r>
        <w:rPr>
          <w:noProof/>
          <w:szCs w:val="22"/>
          <w:lang w:val="it-IT"/>
        </w:rPr>
        <w:t>±</w:t>
      </w:r>
      <w:ins w:id="5810" w:author="Author">
        <w:r>
          <w:rPr>
            <w:noProof/>
            <w:szCs w:val="22"/>
            <w:lang w:val="it-IT"/>
          </w:rPr>
          <w:t> </w:t>
        </w:r>
      </w:ins>
      <w:del w:id="5811" w:author="Author">
        <w:r>
          <w:rPr>
            <w:noProof/>
            <w:szCs w:val="22"/>
            <w:lang w:val="it-IT"/>
          </w:rPr>
          <w:delText xml:space="preserve"> </w:delText>
        </w:r>
      </w:del>
      <w:r>
        <w:rPr>
          <w:noProof/>
          <w:szCs w:val="22"/>
          <w:lang w:val="it-IT"/>
        </w:rPr>
        <w:t>2</w:t>
      </w:r>
      <w:del w:id="5812" w:author="Author">
        <w:r>
          <w:rPr>
            <w:noProof/>
            <w:szCs w:val="22"/>
            <w:lang w:val="it-IT"/>
          </w:rPr>
          <w:delText>.</w:delText>
        </w:r>
      </w:del>
      <w:ins w:id="5813" w:author="Author">
        <w:r>
          <w:rPr>
            <w:noProof/>
            <w:szCs w:val="22"/>
            <w:lang w:val="it-IT"/>
          </w:rPr>
          <w:t> </w:t>
        </w:r>
      </w:ins>
      <w:r>
        <w:rPr>
          <w:noProof/>
          <w:szCs w:val="22"/>
          <w:lang w:val="it-IT"/>
        </w:rPr>
        <w:t>660</w:t>
      </w:r>
      <w:del w:id="5814" w:author="Author">
        <w:r>
          <w:rPr>
            <w:noProof/>
            <w:szCs w:val="22"/>
            <w:lang w:val="it-IT"/>
          </w:rPr>
          <w:delText xml:space="preserve"> </w:delText>
        </w:r>
      </w:del>
      <w:ins w:id="5815" w:author="Author">
        <w:r>
          <w:rPr>
            <w:noProof/>
            <w:szCs w:val="22"/>
            <w:lang w:val="it-IT"/>
          </w:rPr>
          <w:t> </w:t>
        </w:r>
      </w:ins>
      <w:r>
        <w:rPr>
          <w:noProof/>
          <w:szCs w:val="22"/>
          <w:lang w:val="it-IT"/>
        </w:rPr>
        <w:t>μg</w:t>
      </w:r>
      <w:del w:id="5816" w:author="Author">
        <w:r>
          <w:rPr>
            <w:noProof/>
            <w:szCs w:val="22"/>
            <w:lang w:val="it-IT"/>
          </w:rPr>
          <w:delText>•</w:delText>
        </w:r>
      </w:del>
      <w:ins w:id="5817" w:author="Author">
        <w:r>
          <w:rPr>
            <w:noProof/>
            <w:szCs w:val="22"/>
            <w:lang w:val="it-IT"/>
          </w:rPr>
          <w:t> × </w:t>
        </w:r>
      </w:ins>
      <w:r>
        <w:rPr>
          <w:noProof/>
          <w:szCs w:val="22"/>
          <w:lang w:val="it-IT"/>
        </w:rPr>
        <w:t>h/mL, 5,7</w:t>
      </w:r>
      <w:del w:id="5818" w:author="Author">
        <w:r>
          <w:rPr>
            <w:noProof/>
            <w:szCs w:val="22"/>
            <w:lang w:val="it-IT"/>
          </w:rPr>
          <w:delText xml:space="preserve"> </w:delText>
        </w:r>
      </w:del>
      <w:ins w:id="5819" w:author="Author">
        <w:r>
          <w:rPr>
            <w:noProof/>
            <w:szCs w:val="22"/>
            <w:lang w:val="it-IT"/>
          </w:rPr>
          <w:t> </w:t>
        </w:r>
      </w:ins>
      <w:r>
        <w:rPr>
          <w:noProof/>
          <w:szCs w:val="22"/>
          <w:lang w:val="it-IT"/>
        </w:rPr>
        <w:t>±</w:t>
      </w:r>
      <w:ins w:id="5820" w:author="Author">
        <w:r>
          <w:rPr>
            <w:noProof/>
            <w:szCs w:val="22"/>
            <w:lang w:val="it-IT"/>
          </w:rPr>
          <w:t> </w:t>
        </w:r>
      </w:ins>
      <w:del w:id="5821" w:author="Author">
        <w:r>
          <w:rPr>
            <w:noProof/>
            <w:szCs w:val="22"/>
            <w:lang w:val="it-IT"/>
          </w:rPr>
          <w:delText xml:space="preserve"> </w:delText>
        </w:r>
      </w:del>
      <w:r>
        <w:rPr>
          <w:noProof/>
          <w:szCs w:val="22"/>
          <w:lang w:val="it-IT"/>
        </w:rPr>
        <w:t>6,8 μg/mL e 13,2</w:t>
      </w:r>
      <w:del w:id="5822" w:author="Author">
        <w:r>
          <w:rPr>
            <w:noProof/>
            <w:szCs w:val="22"/>
            <w:lang w:val="it-IT"/>
          </w:rPr>
          <w:delText xml:space="preserve"> </w:delText>
        </w:r>
      </w:del>
      <w:ins w:id="5823" w:author="Author">
        <w:r>
          <w:rPr>
            <w:noProof/>
            <w:szCs w:val="22"/>
            <w:lang w:val="it-IT"/>
          </w:rPr>
          <w:t> </w:t>
        </w:r>
      </w:ins>
      <w:r>
        <w:rPr>
          <w:noProof/>
          <w:szCs w:val="22"/>
          <w:lang w:val="it-IT"/>
        </w:rPr>
        <w:t>±</w:t>
      </w:r>
      <w:ins w:id="5824" w:author="Author">
        <w:r>
          <w:rPr>
            <w:noProof/>
            <w:szCs w:val="22"/>
            <w:lang w:val="it-IT"/>
          </w:rPr>
          <w:t> </w:t>
        </w:r>
      </w:ins>
      <w:del w:id="5825" w:author="Author">
        <w:r>
          <w:rPr>
            <w:noProof/>
            <w:szCs w:val="22"/>
            <w:lang w:val="it-IT"/>
          </w:rPr>
          <w:delText xml:space="preserve"> </w:delText>
        </w:r>
      </w:del>
      <w:r>
        <w:rPr>
          <w:noProof/>
          <w:szCs w:val="22"/>
          <w:lang w:val="it-IT"/>
        </w:rPr>
        <w:t>8,8</w:t>
      </w:r>
      <w:ins w:id="5826" w:author="Author">
        <w:r>
          <w:rPr>
            <w:noProof/>
            <w:szCs w:val="22"/>
            <w:lang w:val="it-IT"/>
          </w:rPr>
          <w:t> </w:t>
        </w:r>
      </w:ins>
      <w:del w:id="5827" w:author="Author">
        <w:r>
          <w:rPr>
            <w:noProof/>
            <w:szCs w:val="22"/>
            <w:lang w:val="it-IT"/>
          </w:rPr>
          <w:delText xml:space="preserve"> </w:delText>
        </w:r>
      </w:del>
      <w:r>
        <w:rPr>
          <w:noProof/>
          <w:szCs w:val="22"/>
          <w:lang w:val="it-IT"/>
        </w:rPr>
        <w:t>μg/mL. I tassi di accumulo relativi ad AUC, C</w:t>
      </w:r>
      <w:r>
        <w:rPr>
          <w:noProof/>
          <w:szCs w:val="22"/>
          <w:vertAlign w:val="subscript"/>
          <w:lang w:val="it-IT"/>
        </w:rPr>
        <w:t>min</w:t>
      </w:r>
      <w:r>
        <w:rPr>
          <w:noProof/>
          <w:szCs w:val="22"/>
          <w:lang w:val="it-IT"/>
        </w:rPr>
        <w:t>, e C</w:t>
      </w:r>
      <w:r>
        <w:rPr>
          <w:noProof/>
          <w:szCs w:val="22"/>
          <w:vertAlign w:val="subscript"/>
          <w:lang w:val="it-IT"/>
          <w:rPrChange w:id="5828" w:author="Author">
            <w:rPr>
              <w:sz w:val="14"/>
              <w:szCs w:val="14"/>
              <w:lang w:val="it-IT"/>
            </w:rPr>
          </w:rPrChange>
        </w:rPr>
        <w:t>max</w:t>
      </w:r>
      <w:r>
        <w:rPr>
          <w:noProof/>
          <w:szCs w:val="22"/>
          <w:lang w:val="it-IT"/>
        </w:rPr>
        <w:t xml:space="preserve"> sono stati rispettivamente di 2,67, 6,02 e 2,12. Lo stato stazionario è stato raggiunto dopo 12 settimane per AUC e C</w:t>
      </w:r>
      <w:r>
        <w:rPr>
          <w:noProof/>
          <w:szCs w:val="22"/>
          <w:vertAlign w:val="subscript"/>
          <w:lang w:val="it-IT"/>
        </w:rPr>
        <w:t>min</w:t>
      </w:r>
      <w:r>
        <w:rPr>
          <w:noProof/>
          <w:szCs w:val="22"/>
          <w:lang w:val="it-IT"/>
        </w:rPr>
        <w:t>, e dopo 10 settimane per la C</w:t>
      </w:r>
      <w:r>
        <w:rPr>
          <w:noProof/>
          <w:szCs w:val="22"/>
          <w:vertAlign w:val="subscript"/>
          <w:lang w:val="it-IT"/>
        </w:rPr>
        <w:t>max</w:t>
      </w:r>
      <w:r>
        <w:rPr>
          <w:noProof/>
          <w:szCs w:val="22"/>
          <w:lang w:val="it-IT"/>
        </w:rPr>
        <w:t>.</w:t>
      </w:r>
    </w:p>
    <w:p>
      <w:pPr>
        <w:numPr>
          <w:ilvl w:val="12"/>
          <w:numId w:val="0"/>
        </w:numPr>
        <w:tabs>
          <w:tab w:val="left" w:pos="180"/>
        </w:tabs>
        <w:ind w:right="-2"/>
        <w:rPr>
          <w:iCs/>
          <w:noProof/>
          <w:lang w:val="it-IT"/>
        </w:rPr>
      </w:pPr>
    </w:p>
    <w:p>
      <w:pPr>
        <w:numPr>
          <w:ilvl w:val="12"/>
          <w:numId w:val="0"/>
        </w:numPr>
        <w:tabs>
          <w:tab w:val="left" w:pos="180"/>
        </w:tabs>
        <w:ind w:right="-2"/>
        <w:rPr>
          <w:i/>
          <w:noProof/>
          <w:szCs w:val="22"/>
          <w:u w:val="single"/>
          <w:lang w:val="it-IT"/>
          <w:rPrChange w:id="5829" w:author="Author">
            <w:rPr>
              <w:iCs/>
              <w:szCs w:val="22"/>
              <w:u w:val="single"/>
              <w:lang w:val="it-IT"/>
            </w:rPr>
          </w:rPrChange>
        </w:rPr>
      </w:pPr>
      <w:r>
        <w:rPr>
          <w:i/>
          <w:noProof/>
          <w:szCs w:val="22"/>
          <w:u w:val="single"/>
          <w:lang w:val="it-IT"/>
          <w:rPrChange w:id="5830" w:author="Author">
            <w:rPr>
              <w:iCs/>
              <w:szCs w:val="22"/>
              <w:u w:val="single"/>
              <w:lang w:val="it-IT"/>
            </w:rPr>
          </w:rPrChange>
        </w:rPr>
        <w:t>Assorbimento</w:t>
      </w:r>
    </w:p>
    <w:p>
      <w:pPr>
        <w:spacing w:line="280" w:lineRule="atLeast"/>
        <w:rPr>
          <w:iCs/>
          <w:noProof/>
          <w:szCs w:val="22"/>
          <w:lang w:val="it-IT"/>
        </w:rPr>
      </w:pPr>
      <w:r>
        <w:rPr>
          <w:iCs/>
          <w:noProof/>
          <w:szCs w:val="22"/>
          <w:lang w:val="it-IT"/>
        </w:rPr>
        <w:t xml:space="preserve">In seguito a somministrazione sottocutanea in pazienti affetti da AR, il tempo di raggiungimento del picco di concentrazione serica del </w:t>
      </w:r>
      <w:r>
        <w:rPr>
          <w:noProof/>
          <w:lang w:val="it-IT"/>
        </w:rPr>
        <w:t xml:space="preserve">tocilizumab </w:t>
      </w:r>
      <w:r>
        <w:rPr>
          <w:iCs/>
          <w:noProof/>
          <w:szCs w:val="22"/>
          <w:lang w:val="it-IT"/>
        </w:rPr>
        <w:t>è stato pari a 2,8 giorni. La biodisponibilità della formulazione s.c. è stata del 79%.</w:t>
      </w:r>
    </w:p>
    <w:p>
      <w:pPr>
        <w:numPr>
          <w:ilvl w:val="12"/>
          <w:numId w:val="0"/>
        </w:numPr>
        <w:tabs>
          <w:tab w:val="left" w:pos="180"/>
        </w:tabs>
        <w:ind w:right="-2"/>
        <w:rPr>
          <w:iCs/>
          <w:noProof/>
          <w:lang w:val="it-IT"/>
        </w:rPr>
      </w:pPr>
    </w:p>
    <w:p>
      <w:pPr>
        <w:numPr>
          <w:ilvl w:val="12"/>
          <w:numId w:val="0"/>
        </w:numPr>
        <w:tabs>
          <w:tab w:val="left" w:pos="180"/>
        </w:tabs>
        <w:rPr>
          <w:i/>
          <w:noProof/>
          <w:szCs w:val="22"/>
          <w:u w:val="single"/>
          <w:lang w:val="it-IT"/>
          <w:rPrChange w:id="5831" w:author="Author">
            <w:rPr>
              <w:iCs/>
              <w:szCs w:val="22"/>
              <w:u w:val="single"/>
              <w:lang w:val="it-IT"/>
            </w:rPr>
          </w:rPrChange>
        </w:rPr>
      </w:pPr>
      <w:r>
        <w:rPr>
          <w:i/>
          <w:noProof/>
          <w:szCs w:val="22"/>
          <w:u w:val="single"/>
          <w:lang w:val="it-IT"/>
          <w:rPrChange w:id="5832" w:author="Author">
            <w:rPr>
              <w:iCs/>
              <w:szCs w:val="22"/>
              <w:u w:val="single"/>
              <w:lang w:val="it-IT"/>
            </w:rPr>
          </w:rPrChange>
        </w:rPr>
        <w:t>Eliminazione</w:t>
      </w:r>
    </w:p>
    <w:p>
      <w:pPr>
        <w:tabs>
          <w:tab w:val="left" w:pos="180"/>
        </w:tabs>
        <w:rPr>
          <w:noProof/>
          <w:lang w:val="it-IT"/>
        </w:rPr>
        <w:pPrChange w:id="5833" w:author="Author">
          <w:pPr>
            <w:tabs>
              <w:tab w:val="left" w:pos="180"/>
            </w:tabs>
            <w:spacing w:line="0" w:lineRule="atLeast"/>
          </w:pPr>
        </w:pPrChange>
      </w:pPr>
      <w:r>
        <w:rPr>
          <w:noProof/>
          <w:szCs w:val="22"/>
          <w:lang w:val="it-IT"/>
        </w:rPr>
        <w:t xml:space="preserve">Per quanto riguarda la somministrazione sottocutanea, </w:t>
      </w:r>
      <w:del w:id="5834" w:author="Author">
        <w:r>
          <w:rPr>
            <w:noProof/>
            <w:szCs w:val="22"/>
            <w:lang w:val="it-IT"/>
          </w:rPr>
          <w:delText>l’effettivo</w:delText>
        </w:r>
      </w:del>
      <w:ins w:id="5835" w:author="Author">
        <w:r>
          <w:rPr>
            <w:noProof/>
            <w:szCs w:val="22"/>
            <w:lang w:val="it-IT"/>
          </w:rPr>
          <w:t>il</w:t>
        </w:r>
      </w:ins>
      <w:r>
        <w:rPr>
          <w:noProof/>
          <w:szCs w:val="22"/>
          <w:lang w:val="it-IT"/>
        </w:rPr>
        <w:t xml:space="preserve"> t</w:t>
      </w:r>
      <w:r>
        <w:rPr>
          <w:noProof/>
          <w:szCs w:val="22"/>
          <w:vertAlign w:val="subscript"/>
          <w:lang w:val="it-IT"/>
        </w:rPr>
        <w:t>1/2</w:t>
      </w:r>
      <w:ins w:id="5836" w:author="Author">
        <w:r>
          <w:rPr>
            <w:rFonts w:eastAsia="Calibri"/>
            <w:iCs/>
            <w:noProof/>
            <w:szCs w:val="22"/>
            <w:lang w:val="it-IT" w:eastAsia="en-US"/>
          </w:rPr>
          <w:t xml:space="preserve"> apparente </w:t>
        </w:r>
        <w:del w:id="5837" w:author="Author">
          <w:r>
            <w:rPr>
              <w:rFonts w:eastAsia="Calibri"/>
              <w:iCs/>
              <w:noProof/>
              <w:szCs w:val="22"/>
              <w:lang w:val="it-IT" w:eastAsia="en-US"/>
            </w:rPr>
            <w:delText xml:space="preserve">dipendente dalla </w:delText>
          </w:r>
        </w:del>
        <w:r>
          <w:rPr>
            <w:rFonts w:eastAsia="Calibri"/>
            <w:iCs/>
            <w:noProof/>
            <w:szCs w:val="22"/>
            <w:lang w:val="it-IT" w:eastAsia="en-US"/>
          </w:rPr>
          <w:t>concentrazione</w:t>
        </w:r>
        <w:r>
          <w:rPr>
            <w:noProof/>
            <w:szCs w:val="22"/>
            <w:lang w:val="it-IT"/>
          </w:rPr>
          <w:t>-</w:t>
        </w:r>
      </w:ins>
      <w:del w:id="5838" w:author="Author">
        <w:r>
          <w:rPr>
            <w:noProof/>
            <w:szCs w:val="22"/>
            <w:lang w:val="it-IT"/>
          </w:rPr>
          <w:delText xml:space="preserve"> </w:delText>
        </w:r>
      </w:del>
      <w:ins w:id="5839" w:author="Author">
        <w:r>
          <w:rPr>
            <w:rFonts w:eastAsia="Calibri"/>
            <w:iCs/>
            <w:noProof/>
            <w:szCs w:val="22"/>
            <w:lang w:val="it-IT" w:eastAsia="en-US"/>
          </w:rPr>
          <w:t>dipendente</w:t>
        </w:r>
        <w:r>
          <w:rPr>
            <w:noProof/>
            <w:szCs w:val="22"/>
            <w:lang w:val="it-IT"/>
          </w:rPr>
          <w:t xml:space="preserve"> </w:t>
        </w:r>
      </w:ins>
      <w:r>
        <w:rPr>
          <w:noProof/>
          <w:szCs w:val="22"/>
          <w:lang w:val="it-IT"/>
        </w:rPr>
        <w:t xml:space="preserve">è fino a 13 giorni per la dose da 162 mg </w:t>
      </w:r>
      <w:del w:id="5840" w:author="Author">
        <w:r>
          <w:rPr>
            <w:noProof/>
            <w:szCs w:val="22"/>
            <w:lang w:val="it-IT"/>
          </w:rPr>
          <w:delText xml:space="preserve">ogni </w:delText>
        </w:r>
      </w:del>
      <w:bookmarkStart w:id="5841" w:name="_Hlk224046773"/>
      <w:ins w:id="5842" w:author="Author">
        <w:r>
          <w:rPr>
            <w:noProof/>
            <w:szCs w:val="22"/>
            <w:lang w:val="it-IT"/>
          </w:rPr>
          <w:t xml:space="preserve">somministrata una volta </w:t>
        </w:r>
        <w:bookmarkEnd w:id="5841"/>
        <w:r>
          <w:rPr>
            <w:noProof/>
            <w:szCs w:val="22"/>
            <w:lang w:val="it-IT"/>
          </w:rPr>
          <w:t xml:space="preserve">a </w:t>
        </w:r>
      </w:ins>
      <w:r>
        <w:rPr>
          <w:noProof/>
          <w:szCs w:val="22"/>
          <w:lang w:val="it-IT"/>
        </w:rPr>
        <w:t xml:space="preserve">settimana e 5 giorni per la dose da 162 mg </w:t>
      </w:r>
      <w:ins w:id="5843" w:author="Author">
        <w:r>
          <w:rPr>
            <w:noProof/>
            <w:szCs w:val="22"/>
            <w:lang w:val="it-IT"/>
          </w:rPr>
          <w:t xml:space="preserve">somministrata </w:t>
        </w:r>
        <w:r>
          <w:rPr>
            <w:iCs/>
            <w:noProof/>
            <w:lang w:val="it-IT"/>
          </w:rPr>
          <w:t xml:space="preserve">ogni due settimane </w:t>
        </w:r>
      </w:ins>
      <w:del w:id="5844" w:author="Author">
        <w:r>
          <w:rPr>
            <w:noProof/>
            <w:szCs w:val="22"/>
            <w:lang w:val="it-IT"/>
          </w:rPr>
          <w:delText xml:space="preserve">a settimane alterne </w:delText>
        </w:r>
      </w:del>
      <w:r>
        <w:rPr>
          <w:noProof/>
          <w:szCs w:val="22"/>
          <w:lang w:val="it-IT"/>
        </w:rPr>
        <w:t xml:space="preserve">nei pazienti affetti da AR allo stato stazionario. </w:t>
      </w:r>
    </w:p>
    <w:p>
      <w:pPr>
        <w:tabs>
          <w:tab w:val="left" w:pos="180"/>
        </w:tabs>
        <w:rPr>
          <w:noProof/>
          <w:szCs w:val="22"/>
          <w:lang w:val="it-IT"/>
        </w:rPr>
        <w:pPrChange w:id="5845" w:author="Author">
          <w:pPr>
            <w:tabs>
              <w:tab w:val="left" w:pos="180"/>
            </w:tabs>
            <w:spacing w:line="0" w:lineRule="atLeast"/>
          </w:pPr>
        </w:pPrChange>
      </w:pPr>
    </w:p>
    <w:p>
      <w:pPr>
        <w:keepNext/>
        <w:keepLines/>
        <w:tabs>
          <w:tab w:val="left" w:pos="180"/>
        </w:tabs>
        <w:ind w:left="567" w:hanging="567"/>
        <w:outlineLvl w:val="0"/>
        <w:rPr>
          <w:ins w:id="5846" w:author="Author"/>
          <w:noProof/>
          <w:u w:val="single"/>
          <w:lang w:val="it-IT"/>
        </w:rPr>
      </w:pPr>
      <w:ins w:id="5847" w:author="Author">
        <w:r>
          <w:rPr>
            <w:noProof/>
            <w:u w:val="single"/>
            <w:lang w:val="it-IT"/>
          </w:rPr>
          <w:t>Uso sottocutaneo</w:t>
        </w:r>
      </w:ins>
    </w:p>
    <w:p>
      <w:pPr>
        <w:keepNext/>
        <w:keepLines/>
        <w:tabs>
          <w:tab w:val="left" w:pos="180"/>
        </w:tabs>
        <w:ind w:left="567" w:hanging="567"/>
        <w:outlineLvl w:val="0"/>
        <w:rPr>
          <w:i/>
          <w:iCs/>
          <w:noProof/>
          <w:lang w:val="it-IT"/>
          <w:rPrChange w:id="5848" w:author="Author">
            <w:rPr>
              <w:u w:val="single"/>
              <w:lang w:val="it-IT"/>
            </w:rPr>
          </w:rPrChange>
        </w:rPr>
      </w:pPr>
      <w:r>
        <w:rPr>
          <w:i/>
          <w:iCs/>
          <w:noProof/>
          <w:lang w:val="it-IT"/>
          <w:rPrChange w:id="5849" w:author="Author">
            <w:rPr>
              <w:u w:val="single"/>
              <w:lang w:val="it-IT"/>
            </w:rPr>
          </w:rPrChange>
        </w:rPr>
        <w:t>P</w:t>
      </w:r>
      <w:del w:id="5850" w:author="Author">
        <w:r>
          <w:rPr>
            <w:i/>
            <w:iCs/>
            <w:noProof/>
            <w:lang w:val="it-IT"/>
            <w:rPrChange w:id="5851" w:author="Author">
              <w:rPr>
                <w:u w:val="single"/>
                <w:lang w:val="it-IT"/>
              </w:rPr>
            </w:rPrChange>
          </w:rPr>
          <w:delText>a</w:delText>
        </w:r>
      </w:del>
      <w:r>
        <w:rPr>
          <w:i/>
          <w:iCs/>
          <w:noProof/>
          <w:lang w:val="it-IT"/>
          <w:rPrChange w:id="5852" w:author="Author">
            <w:rPr>
              <w:u w:val="single"/>
              <w:lang w:val="it-IT"/>
            </w:rPr>
          </w:rPrChange>
        </w:rPr>
        <w:t>azienti affetti da AIGs</w:t>
      </w:r>
    </w:p>
    <w:p>
      <w:pPr>
        <w:keepNext/>
        <w:keepLines/>
        <w:tabs>
          <w:tab w:val="left" w:pos="180"/>
        </w:tabs>
        <w:ind w:left="567" w:hanging="567"/>
        <w:outlineLvl w:val="0"/>
        <w:rPr>
          <w:noProof/>
          <w:u w:val="single"/>
          <w:lang w:val="it-IT"/>
        </w:rPr>
      </w:pPr>
    </w:p>
    <w:p>
      <w:pPr>
        <w:keepNext/>
        <w:keepLines/>
        <w:tabs>
          <w:tab w:val="left" w:pos="180"/>
        </w:tabs>
        <w:ind w:left="567" w:hanging="567"/>
        <w:outlineLvl w:val="0"/>
        <w:rPr>
          <w:del w:id="5853" w:author="Author"/>
          <w:i/>
          <w:iCs/>
          <w:noProof/>
          <w:lang w:val="it-IT"/>
        </w:rPr>
      </w:pPr>
      <w:del w:id="5854" w:author="Author">
        <w:r>
          <w:rPr>
            <w:i/>
            <w:iCs/>
            <w:noProof/>
            <w:lang w:val="it-IT"/>
          </w:rPr>
          <w:delText>Uso sottocutaneo</w:delText>
        </w:r>
      </w:del>
    </w:p>
    <w:p>
      <w:pPr>
        <w:keepNext/>
        <w:keepLines/>
        <w:tabs>
          <w:tab w:val="left" w:pos="180"/>
        </w:tabs>
        <w:ind w:left="567" w:hanging="567"/>
        <w:outlineLvl w:val="0"/>
        <w:rPr>
          <w:del w:id="5855" w:author="Author"/>
          <w:noProof/>
          <w:u w:val="single"/>
          <w:lang w:val="it-IT"/>
        </w:rPr>
      </w:pPr>
    </w:p>
    <w:p>
      <w:pPr>
        <w:numPr>
          <w:ilvl w:val="12"/>
          <w:numId w:val="0"/>
        </w:numPr>
        <w:tabs>
          <w:tab w:val="left" w:pos="180"/>
        </w:tabs>
        <w:ind w:right="-2"/>
        <w:rPr>
          <w:noProof/>
          <w:lang w:val="it-IT"/>
        </w:rPr>
      </w:pPr>
      <w:r>
        <w:rPr>
          <w:noProof/>
          <w:lang w:val="it-IT"/>
        </w:rPr>
        <w:t xml:space="preserve">La farmacocinetica di tocilizumab nei pazienti affetti da AIGs è stata caratterizzata attraverso un’analisi di farmacocinetica di popolazione che ha incluso </w:t>
      </w:r>
      <w:r>
        <w:rPr>
          <w:noProof/>
          <w:lang w:val="it-IT" w:eastAsia="de-DE"/>
        </w:rPr>
        <w:t>140 pazienti trattati con 8</w:t>
      </w:r>
      <w:del w:id="5856" w:author="Author">
        <w:r>
          <w:rPr>
            <w:noProof/>
            <w:lang w:val="it-IT" w:eastAsia="de-DE"/>
          </w:rPr>
          <w:delText xml:space="preserve"> </w:delText>
        </w:r>
      </w:del>
      <w:ins w:id="5857" w:author="Author">
        <w:r>
          <w:rPr>
            <w:noProof/>
            <w:lang w:val="it-IT" w:eastAsia="de-DE"/>
          </w:rPr>
          <w:t> </w:t>
        </w:r>
      </w:ins>
      <w:r>
        <w:rPr>
          <w:noProof/>
          <w:lang w:val="it-IT" w:eastAsia="de-DE"/>
        </w:rPr>
        <w:t>mg/kg per via endovenosa ogni 2 settimane (pazienti di peso ≥ 30 kg), 12 mg/kg per via endovenosa ogni 2 settimane (pazienti di peso inferiore a 30 kg), 162 mg per via sottocutanea</w:t>
      </w:r>
      <w:ins w:id="5858" w:author="Author">
        <w:r>
          <w:rPr>
            <w:noProof/>
            <w:lang w:val="it-IT" w:eastAsia="de-DE"/>
          </w:rPr>
          <w:t xml:space="preserve"> una volta a</w:t>
        </w:r>
      </w:ins>
      <w:del w:id="5859" w:author="Author">
        <w:r>
          <w:rPr>
            <w:noProof/>
            <w:lang w:val="it-IT" w:eastAsia="de-DE"/>
          </w:rPr>
          <w:delText>. ogni</w:delText>
        </w:r>
      </w:del>
      <w:r>
        <w:rPr>
          <w:noProof/>
          <w:lang w:val="it-IT" w:eastAsia="de-DE"/>
        </w:rPr>
        <w:t xml:space="preserve"> settimana (pazienti di peso ≥ 30 kg) o 162 mg per via sottocutanea ogni 10 giorni od ogni </w:t>
      </w:r>
      <w:ins w:id="5860" w:author="Author">
        <w:r>
          <w:rPr>
            <w:noProof/>
            <w:lang w:val="it-IT" w:eastAsia="de-DE"/>
          </w:rPr>
          <w:t>2</w:t>
        </w:r>
      </w:ins>
      <w:del w:id="5861" w:author="Author">
        <w:r>
          <w:rPr>
            <w:noProof/>
            <w:lang w:val="it-IT" w:eastAsia="de-DE"/>
          </w:rPr>
          <w:delText>2</w:delText>
        </w:r>
      </w:del>
      <w:r>
        <w:rPr>
          <w:noProof/>
          <w:lang w:val="it-IT" w:eastAsia="de-DE"/>
        </w:rPr>
        <w:t xml:space="preserve"> settimane (pazienti di peso inferiore a 30 kg)</w:t>
      </w:r>
      <w:r>
        <w:rPr>
          <w:noProof/>
          <w:lang w:val="it-IT"/>
        </w:rPr>
        <w:t>.</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I dati disponibili relativi all’esposizione dopo la somministrazione sottocutanea di tocilizumab nei pazienti affetti da AIGs di età inferiore a 2 anni e di peso corporeo inferiore a 10 kg sono limitati. I pazienti affetti da AIGs devono pesare almeno 10 kg durante il trattamento con tocilizumab (vedere paragrafo 4.2).</w:t>
      </w:r>
    </w:p>
    <w:p>
      <w:pPr>
        <w:numPr>
          <w:ilvl w:val="12"/>
          <w:numId w:val="0"/>
        </w:numPr>
        <w:tabs>
          <w:tab w:val="left" w:pos="180"/>
        </w:tabs>
        <w:ind w:right="-2"/>
        <w:rPr>
          <w:noProof/>
          <w:lang w:val="it-IT"/>
        </w:rPr>
      </w:pPr>
    </w:p>
    <w:p>
      <w:pPr>
        <w:keepNext/>
        <w:keepLines/>
        <w:numPr>
          <w:ilvl w:val="12"/>
          <w:numId w:val="0"/>
        </w:numPr>
        <w:ind w:right="-2"/>
        <w:rPr>
          <w:bCs/>
          <w:i/>
          <w:noProof/>
          <w:szCs w:val="22"/>
          <w:lang w:val="it-IT"/>
        </w:rPr>
      </w:pPr>
      <w:r>
        <w:rPr>
          <w:bCs/>
          <w:i/>
          <w:noProof/>
          <w:szCs w:val="22"/>
          <w:lang w:val="it-IT"/>
        </w:rPr>
        <w:t xml:space="preserve">Tabella 8. Parametri </w:t>
      </w:r>
      <w:del w:id="5862" w:author="Author">
        <w:r>
          <w:rPr>
            <w:bCs/>
            <w:i/>
            <w:noProof/>
            <w:szCs w:val="22"/>
            <w:lang w:val="it-IT"/>
          </w:rPr>
          <w:delText xml:space="preserve">previsti di </w:delText>
        </w:r>
      </w:del>
      <w:r>
        <w:rPr>
          <w:bCs/>
          <w:i/>
          <w:noProof/>
          <w:szCs w:val="22"/>
          <w:lang w:val="it-IT"/>
        </w:rPr>
        <w:t>PK</w:t>
      </w:r>
      <w:ins w:id="5863" w:author="Author">
        <w:r>
          <w:rPr>
            <w:bCs/>
            <w:i/>
            <w:noProof/>
            <w:szCs w:val="22"/>
            <w:lang w:val="it-IT"/>
          </w:rPr>
          <w:t xml:space="preserve"> </w:t>
        </w:r>
        <w:bookmarkStart w:id="5864" w:name="_Hlk224046854"/>
        <w:r>
          <w:rPr>
            <w:bCs/>
            <w:i/>
            <w:noProof/>
            <w:szCs w:val="22"/>
            <w:lang w:val="it-IT"/>
          </w:rPr>
          <w:t>medi ± DS</w:t>
        </w:r>
      </w:ins>
      <w:r>
        <w:rPr>
          <w:bCs/>
          <w:i/>
          <w:noProof/>
          <w:szCs w:val="22"/>
          <w:lang w:val="it-IT"/>
        </w:rPr>
        <w:t xml:space="preserve"> </w:t>
      </w:r>
      <w:ins w:id="5865" w:author="Author">
        <w:r>
          <w:rPr>
            <w:bCs/>
            <w:i/>
            <w:noProof/>
            <w:szCs w:val="22"/>
            <w:lang w:val="it-IT"/>
          </w:rPr>
          <w:t xml:space="preserve">predetti </w:t>
        </w:r>
      </w:ins>
      <w:bookmarkEnd w:id="5864"/>
      <w:r>
        <w:rPr>
          <w:bCs/>
          <w:i/>
          <w:noProof/>
          <w:szCs w:val="22"/>
          <w:lang w:val="it-IT"/>
        </w:rPr>
        <w:t xml:space="preserve">allo stato stazionario </w:t>
      </w:r>
      <w:del w:id="5866" w:author="Author">
        <w:r>
          <w:rPr>
            <w:bCs/>
            <w:i/>
            <w:noProof/>
            <w:szCs w:val="22"/>
            <w:lang w:val="it-IT"/>
          </w:rPr>
          <w:delText xml:space="preserve">relativi a media </w:delText>
        </w:r>
      </w:del>
      <w:ins w:id="5867" w:author="Author">
        <w:del w:id="5868" w:author="Author">
          <w:r>
            <w:rPr>
              <w:bCs/>
              <w:i/>
              <w:noProof/>
              <w:szCs w:val="22"/>
              <w:lang w:val="it-IT"/>
            </w:rPr>
            <w:delText> </w:delText>
          </w:r>
        </w:del>
      </w:ins>
      <w:del w:id="5869" w:author="Author">
        <w:r>
          <w:rPr>
            <w:bCs/>
            <w:i/>
            <w:noProof/>
            <w:szCs w:val="22"/>
            <w:lang w:val="it-IT"/>
          </w:rPr>
          <w:delText>±</w:delText>
        </w:r>
      </w:del>
      <w:ins w:id="5870" w:author="Author">
        <w:del w:id="5871" w:author="Author">
          <w:r>
            <w:rPr>
              <w:bCs/>
              <w:i/>
              <w:noProof/>
              <w:szCs w:val="22"/>
              <w:lang w:val="it-IT"/>
            </w:rPr>
            <w:delText> </w:delText>
          </w:r>
        </w:del>
      </w:ins>
      <w:del w:id="5872" w:author="Author">
        <w:r>
          <w:rPr>
            <w:bCs/>
            <w:i/>
            <w:noProof/>
            <w:szCs w:val="22"/>
            <w:lang w:val="it-IT"/>
          </w:rPr>
          <w:delText xml:space="preserve"> DS </w:delText>
        </w:r>
      </w:del>
      <w:r>
        <w:rPr>
          <w:bCs/>
          <w:i/>
          <w:noProof/>
          <w:szCs w:val="22"/>
          <w:lang w:val="it-IT"/>
        </w:rPr>
        <w:t>dopo somministrazione sottocutanea</w:t>
      </w:r>
      <w:del w:id="5873" w:author="Author">
        <w:r>
          <w:rPr>
            <w:bCs/>
            <w:i/>
            <w:noProof/>
            <w:szCs w:val="22"/>
            <w:lang w:val="it-IT"/>
          </w:rPr>
          <w:delText xml:space="preserve"> </w:delText>
        </w:r>
      </w:del>
      <w:r>
        <w:rPr>
          <w:bCs/>
          <w:i/>
          <w:noProof/>
          <w:szCs w:val="22"/>
          <w:lang w:val="it-IT"/>
        </w:rPr>
        <w:t xml:space="preserve"> in soggetti affetti da AIGs</w:t>
      </w:r>
    </w:p>
    <w:p>
      <w:pPr>
        <w:keepNext/>
        <w:keepLines/>
        <w:numPr>
          <w:ilvl w:val="12"/>
          <w:numId w:val="0"/>
        </w:numPr>
        <w:ind w:right="-2"/>
        <w:rPr>
          <w:bCs/>
          <w:i/>
          <w:noProof/>
          <w:szCs w:val="22"/>
          <w:lang w:val="it-IT"/>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5874" w:author="Author">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055"/>
        <w:gridCol w:w="2867"/>
        <w:gridCol w:w="2867"/>
        <w:tblGridChange w:id="5875">
          <w:tblGrid>
            <w:gridCol w:w="2835"/>
            <w:gridCol w:w="2977"/>
            <w:gridCol w:w="2977"/>
          </w:tblGrid>
        </w:tblGridChange>
      </w:tblGrid>
      <w:tr>
        <w:trPr>
          <w:cantSplit/>
          <w:tblHeader/>
          <w:trPrChange w:id="5876" w:author="Author">
            <w:trPr>
              <w:cantSplit/>
              <w:trHeight w:val="452"/>
            </w:trPr>
          </w:trPrChange>
        </w:trPr>
        <w:tc>
          <w:tcPr>
            <w:tcW w:w="3055" w:type="dxa"/>
            <w:tcBorders>
              <w:top w:val="single" w:sz="4" w:space="0" w:color="auto"/>
              <w:left w:val="single" w:sz="4" w:space="0" w:color="auto"/>
              <w:bottom w:val="single" w:sz="4" w:space="0" w:color="auto"/>
              <w:right w:val="single" w:sz="4" w:space="0" w:color="auto"/>
            </w:tcBorders>
            <w:hideMark/>
            <w:tcPrChange w:id="5877"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5878" w:author="Author">
                <w:pPr>
                  <w:pStyle w:val="TextTi9"/>
                  <w:keepNext/>
                  <w:spacing w:after="120"/>
                </w:pPr>
              </w:pPrChange>
            </w:pPr>
            <w:r>
              <w:rPr>
                <w:rFonts w:ascii="Times New Roman" w:hAnsi="Times New Roman"/>
                <w:b/>
                <w:noProof/>
                <w:sz w:val="20"/>
                <w:szCs w:val="20"/>
                <w:lang w:val="it-IT"/>
              </w:rPr>
              <w:t>Parametro di PK di tocilizumab</w:t>
            </w:r>
          </w:p>
        </w:tc>
        <w:tc>
          <w:tcPr>
            <w:tcW w:w="2867" w:type="dxa"/>
            <w:tcBorders>
              <w:top w:val="single" w:sz="4" w:space="0" w:color="auto"/>
              <w:left w:val="single" w:sz="4" w:space="0" w:color="auto"/>
              <w:bottom w:val="single" w:sz="4" w:space="0" w:color="auto"/>
              <w:right w:val="single" w:sz="4" w:space="0" w:color="auto"/>
            </w:tcBorders>
            <w:hideMark/>
            <w:tcPrChange w:id="5879"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del w:id="5880" w:author="Author"/>
                <w:rFonts w:ascii="Times New Roman" w:hAnsi="Times New Roman"/>
                <w:b/>
                <w:noProof/>
                <w:sz w:val="20"/>
                <w:szCs w:val="20"/>
                <w:lang w:val="it-IT"/>
              </w:rPr>
              <w:pPrChange w:id="5881" w:author="Author">
                <w:pPr>
                  <w:pStyle w:val="TextTi9"/>
                  <w:keepNext/>
                  <w:spacing w:after="0"/>
                  <w:jc w:val="center"/>
                </w:pPr>
              </w:pPrChange>
            </w:pPr>
            <w:r>
              <w:rPr>
                <w:rFonts w:ascii="Times New Roman" w:hAnsi="Times New Roman"/>
                <w:b/>
                <w:noProof/>
                <w:sz w:val="20"/>
                <w:szCs w:val="20"/>
                <w:lang w:val="it-IT"/>
              </w:rPr>
              <w:t>162 mg QW</w:t>
            </w:r>
            <w:ins w:id="5882" w:author="Author">
              <w:r>
                <w:rPr>
                  <w:rFonts w:ascii="Times New Roman" w:hAnsi="Times New Roman"/>
                  <w:b/>
                  <w:noProof/>
                  <w:sz w:val="20"/>
                  <w:szCs w:val="20"/>
                  <w:lang w:val="it-IT"/>
                </w:rPr>
                <w:t xml:space="preserve"> </w:t>
              </w:r>
            </w:ins>
          </w:p>
          <w:p>
            <w:pPr>
              <w:pStyle w:val="TextTi9"/>
              <w:keepNext/>
              <w:suppressAutoHyphens/>
              <w:spacing w:after="0"/>
              <w:jc w:val="center"/>
              <w:rPr>
                <w:rFonts w:ascii="Times New Roman" w:hAnsi="Times New Roman"/>
                <w:b/>
                <w:noProof/>
                <w:sz w:val="20"/>
                <w:szCs w:val="20"/>
                <w:lang w:val="it-IT"/>
              </w:rPr>
              <w:pPrChange w:id="5883" w:author="Author">
                <w:pPr>
                  <w:pStyle w:val="TextTi9"/>
                  <w:keepNext/>
                  <w:spacing w:after="120"/>
                  <w:jc w:val="center"/>
                </w:pPr>
              </w:pPrChange>
            </w:pPr>
            <w:r>
              <w:rPr>
                <w:rFonts w:ascii="Times New Roman" w:hAnsi="Times New Roman"/>
                <w:b/>
                <w:noProof/>
                <w:sz w:val="20"/>
                <w:szCs w:val="20"/>
                <w:lang w:val="it-IT"/>
              </w:rPr>
              <w:t>≥</w:t>
            </w:r>
            <w:del w:id="5884" w:author="Author">
              <w:r>
                <w:rPr>
                  <w:rFonts w:ascii="Times New Roman" w:hAnsi="Times New Roman"/>
                  <w:b/>
                  <w:noProof/>
                  <w:sz w:val="20"/>
                  <w:szCs w:val="20"/>
                  <w:lang w:val="it-IT"/>
                </w:rPr>
                <w:delText xml:space="preserve"> </w:delText>
              </w:r>
            </w:del>
            <w:ins w:id="5885" w:author="Author">
              <w:r>
                <w:rPr>
                  <w:rFonts w:ascii="Times New Roman" w:hAnsi="Times New Roman"/>
                  <w:b/>
                  <w:noProof/>
                  <w:sz w:val="20"/>
                  <w:szCs w:val="20"/>
                  <w:lang w:val="it-IT"/>
                </w:rPr>
                <w:t> </w:t>
              </w:r>
            </w:ins>
            <w:r>
              <w:rPr>
                <w:rFonts w:ascii="Times New Roman" w:hAnsi="Times New Roman"/>
                <w:b/>
                <w:noProof/>
                <w:sz w:val="20"/>
                <w:szCs w:val="20"/>
                <w:lang w:val="it-IT"/>
              </w:rPr>
              <w:t>30 kg</w:t>
            </w:r>
          </w:p>
        </w:tc>
        <w:tc>
          <w:tcPr>
            <w:tcW w:w="2867" w:type="dxa"/>
            <w:tcBorders>
              <w:top w:val="single" w:sz="4" w:space="0" w:color="auto"/>
              <w:left w:val="single" w:sz="4" w:space="0" w:color="auto"/>
              <w:bottom w:val="single" w:sz="4" w:space="0" w:color="auto"/>
              <w:right w:val="single" w:sz="4" w:space="0" w:color="auto"/>
            </w:tcBorders>
            <w:hideMark/>
            <w:tcPrChange w:id="5886"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del w:id="5887" w:author="Author"/>
                <w:rFonts w:ascii="Times New Roman" w:hAnsi="Times New Roman"/>
                <w:b/>
                <w:noProof/>
                <w:sz w:val="20"/>
                <w:szCs w:val="20"/>
                <w:lang w:val="it-IT"/>
              </w:rPr>
              <w:pPrChange w:id="5888" w:author="Author">
                <w:pPr>
                  <w:pStyle w:val="TextTi9"/>
                  <w:keepNext/>
                  <w:spacing w:after="0"/>
                  <w:jc w:val="center"/>
                </w:pPr>
              </w:pPrChange>
            </w:pPr>
            <w:r>
              <w:rPr>
                <w:rFonts w:ascii="Times New Roman" w:hAnsi="Times New Roman"/>
                <w:b/>
                <w:noProof/>
                <w:sz w:val="20"/>
                <w:szCs w:val="20"/>
                <w:lang w:val="it-IT"/>
              </w:rPr>
              <w:t>162 mg Q2W</w:t>
            </w:r>
            <w:ins w:id="5889" w:author="Author">
              <w:r>
                <w:rPr>
                  <w:rFonts w:ascii="Times New Roman" w:hAnsi="Times New Roman"/>
                  <w:b/>
                  <w:noProof/>
                  <w:sz w:val="20"/>
                  <w:szCs w:val="20"/>
                  <w:lang w:val="it-IT"/>
                </w:rPr>
                <w:t xml:space="preserve"> </w:t>
              </w:r>
            </w:ins>
          </w:p>
          <w:p>
            <w:pPr>
              <w:pStyle w:val="TextTi9"/>
              <w:keepNext/>
              <w:suppressAutoHyphens/>
              <w:spacing w:after="0"/>
              <w:jc w:val="center"/>
              <w:rPr>
                <w:rFonts w:ascii="Times New Roman" w:hAnsi="Times New Roman"/>
                <w:b/>
                <w:noProof/>
                <w:sz w:val="20"/>
                <w:szCs w:val="20"/>
                <w:lang w:val="it-IT"/>
              </w:rPr>
              <w:pPrChange w:id="5890" w:author="Author">
                <w:pPr>
                  <w:pStyle w:val="TextTi9"/>
                  <w:keepNext/>
                  <w:spacing w:after="120"/>
                  <w:jc w:val="center"/>
                </w:pPr>
              </w:pPrChange>
            </w:pPr>
            <w:r>
              <w:rPr>
                <w:rFonts w:ascii="Times New Roman" w:hAnsi="Times New Roman"/>
                <w:b/>
                <w:noProof/>
                <w:sz w:val="20"/>
                <w:szCs w:val="20"/>
                <w:lang w:val="it-IT"/>
              </w:rPr>
              <w:t>&lt; 30 kg</w:t>
            </w:r>
          </w:p>
        </w:tc>
      </w:tr>
      <w:tr>
        <w:trPr>
          <w:cantSplit/>
          <w:trPrChange w:id="5891" w:author="Author">
            <w:trPr>
              <w:cantSplit/>
              <w:trHeight w:val="195"/>
            </w:trPr>
          </w:trPrChange>
        </w:trPr>
        <w:tc>
          <w:tcPr>
            <w:tcW w:w="3055" w:type="dxa"/>
            <w:tcBorders>
              <w:top w:val="single" w:sz="4" w:space="0" w:color="auto"/>
              <w:left w:val="single" w:sz="4" w:space="0" w:color="auto"/>
              <w:bottom w:val="single" w:sz="4" w:space="0" w:color="auto"/>
              <w:right w:val="single" w:sz="4" w:space="0" w:color="auto"/>
            </w:tcBorders>
            <w:hideMark/>
            <w:tcPrChange w:id="5892"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5893" w:author="Author">
                <w:pPr>
                  <w:pStyle w:val="TextTi9"/>
                  <w:keepNext/>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max</w:t>
            </w:r>
            <w:r>
              <w:rPr>
                <w:rFonts w:ascii="Times New Roman" w:hAnsi="Times New Roman"/>
                <w:noProof/>
                <w:sz w:val="20"/>
                <w:szCs w:val="20"/>
                <w:lang w:val="it-IT"/>
              </w:rPr>
              <w:t xml:space="preserve"> (µg/mL)</w:t>
            </w:r>
          </w:p>
        </w:tc>
        <w:tc>
          <w:tcPr>
            <w:tcW w:w="2867" w:type="dxa"/>
            <w:tcBorders>
              <w:top w:val="single" w:sz="4" w:space="0" w:color="auto"/>
              <w:left w:val="single" w:sz="4" w:space="0" w:color="auto"/>
              <w:bottom w:val="single" w:sz="4" w:space="0" w:color="auto"/>
              <w:right w:val="single" w:sz="4" w:space="0" w:color="auto"/>
            </w:tcBorders>
            <w:hideMark/>
            <w:tcPrChange w:id="5894"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5895" w:author="Author">
                <w:pPr>
                  <w:pStyle w:val="TextTi9"/>
                  <w:keepNext/>
                  <w:spacing w:after="120"/>
                  <w:jc w:val="center"/>
                </w:pPr>
              </w:pPrChange>
            </w:pPr>
            <w:r>
              <w:rPr>
                <w:rFonts w:ascii="Times New Roman" w:hAnsi="Times New Roman"/>
                <w:noProof/>
                <w:sz w:val="20"/>
                <w:szCs w:val="20"/>
                <w:lang w:val="it-IT"/>
              </w:rPr>
              <w:t>99,8</w:t>
            </w:r>
            <w:del w:id="5896" w:author="Author">
              <w:r>
                <w:rPr>
                  <w:rFonts w:ascii="Times New Roman" w:hAnsi="Times New Roman"/>
                  <w:noProof/>
                  <w:sz w:val="20"/>
                  <w:szCs w:val="20"/>
                  <w:lang w:val="it-IT"/>
                </w:rPr>
                <w:delText xml:space="preserve"> </w:delText>
              </w:r>
            </w:del>
            <w:ins w:id="5897" w:author="Author">
              <w:r>
                <w:rPr>
                  <w:rFonts w:ascii="Times New Roman" w:hAnsi="Times New Roman"/>
                  <w:noProof/>
                  <w:sz w:val="20"/>
                  <w:szCs w:val="20"/>
                  <w:lang w:val="it-IT"/>
                </w:rPr>
                <w:t> </w:t>
              </w:r>
            </w:ins>
            <w:r>
              <w:rPr>
                <w:rFonts w:ascii="Times New Roman" w:hAnsi="Times New Roman"/>
                <w:noProof/>
                <w:sz w:val="20"/>
                <w:szCs w:val="20"/>
                <w:lang w:val="it-IT"/>
              </w:rPr>
              <w:t>±</w:t>
            </w:r>
            <w:ins w:id="5898" w:author="Author">
              <w:r>
                <w:rPr>
                  <w:rFonts w:ascii="Times New Roman" w:hAnsi="Times New Roman"/>
                  <w:noProof/>
                  <w:sz w:val="20"/>
                  <w:szCs w:val="20"/>
                  <w:lang w:val="it-IT"/>
                </w:rPr>
                <w:t> </w:t>
              </w:r>
            </w:ins>
            <w:del w:id="5899"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46,2</w:t>
            </w:r>
          </w:p>
        </w:tc>
        <w:tc>
          <w:tcPr>
            <w:tcW w:w="2867" w:type="dxa"/>
            <w:tcBorders>
              <w:top w:val="single" w:sz="4" w:space="0" w:color="auto"/>
              <w:left w:val="single" w:sz="4" w:space="0" w:color="auto"/>
              <w:bottom w:val="single" w:sz="4" w:space="0" w:color="auto"/>
              <w:right w:val="single" w:sz="4" w:space="0" w:color="auto"/>
            </w:tcBorders>
            <w:hideMark/>
            <w:tcPrChange w:id="5900"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5901" w:author="Author">
                <w:pPr>
                  <w:pStyle w:val="TextTi9"/>
                  <w:keepNext/>
                  <w:spacing w:after="120"/>
                  <w:jc w:val="center"/>
                </w:pPr>
              </w:pPrChange>
            </w:pPr>
            <w:r>
              <w:rPr>
                <w:rFonts w:ascii="Times New Roman" w:hAnsi="Times New Roman"/>
                <w:noProof/>
                <w:sz w:val="20"/>
                <w:szCs w:val="20"/>
                <w:lang w:val="it-IT"/>
              </w:rPr>
              <w:t>134</w:t>
            </w:r>
            <w:del w:id="5902" w:author="Author">
              <w:r>
                <w:rPr>
                  <w:rFonts w:ascii="Times New Roman" w:hAnsi="Times New Roman"/>
                  <w:noProof/>
                  <w:sz w:val="20"/>
                  <w:szCs w:val="20"/>
                  <w:lang w:val="it-IT"/>
                </w:rPr>
                <w:delText xml:space="preserve"> </w:delText>
              </w:r>
            </w:del>
            <w:ins w:id="5903" w:author="Author">
              <w:r>
                <w:rPr>
                  <w:rFonts w:ascii="Times New Roman" w:hAnsi="Times New Roman"/>
                  <w:noProof/>
                  <w:sz w:val="20"/>
                  <w:szCs w:val="20"/>
                  <w:lang w:val="it-IT"/>
                </w:rPr>
                <w:t> </w:t>
              </w:r>
            </w:ins>
            <w:r>
              <w:rPr>
                <w:rFonts w:ascii="Times New Roman" w:hAnsi="Times New Roman"/>
                <w:noProof/>
                <w:sz w:val="20"/>
                <w:szCs w:val="20"/>
                <w:lang w:val="it-IT"/>
              </w:rPr>
              <w:t>±</w:t>
            </w:r>
            <w:ins w:id="5904" w:author="Author">
              <w:r>
                <w:rPr>
                  <w:rFonts w:ascii="Times New Roman" w:hAnsi="Times New Roman"/>
                  <w:noProof/>
                  <w:sz w:val="20"/>
                  <w:szCs w:val="20"/>
                  <w:lang w:val="it-IT"/>
                </w:rPr>
                <w:t> </w:t>
              </w:r>
            </w:ins>
            <w:del w:id="5905"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58,6</w:t>
            </w:r>
          </w:p>
        </w:tc>
      </w:tr>
      <w:tr>
        <w:trPr>
          <w:cantSplit/>
          <w:trPrChange w:id="5906" w:author="Author">
            <w:trPr>
              <w:cantSplit/>
              <w:trHeight w:val="195"/>
            </w:trPr>
          </w:trPrChange>
        </w:trPr>
        <w:tc>
          <w:tcPr>
            <w:tcW w:w="3055" w:type="dxa"/>
            <w:tcBorders>
              <w:top w:val="single" w:sz="4" w:space="0" w:color="auto"/>
              <w:left w:val="single" w:sz="4" w:space="0" w:color="auto"/>
              <w:bottom w:val="single" w:sz="4" w:space="0" w:color="auto"/>
              <w:right w:val="single" w:sz="4" w:space="0" w:color="auto"/>
            </w:tcBorders>
            <w:hideMark/>
            <w:tcPrChange w:id="5907"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5908" w:author="Author">
                <w:pPr>
                  <w:pStyle w:val="TextTi9"/>
                  <w:keepNext/>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min</w:t>
            </w:r>
            <w:r>
              <w:rPr>
                <w:rFonts w:ascii="Times New Roman" w:hAnsi="Times New Roman"/>
                <w:noProof/>
                <w:sz w:val="20"/>
                <w:szCs w:val="20"/>
                <w:lang w:val="it-IT"/>
              </w:rPr>
              <w:t xml:space="preserve"> (µg/mL)</w:t>
            </w:r>
          </w:p>
        </w:tc>
        <w:tc>
          <w:tcPr>
            <w:tcW w:w="2867" w:type="dxa"/>
            <w:tcBorders>
              <w:top w:val="single" w:sz="4" w:space="0" w:color="auto"/>
              <w:left w:val="single" w:sz="4" w:space="0" w:color="auto"/>
              <w:bottom w:val="single" w:sz="4" w:space="0" w:color="auto"/>
              <w:right w:val="single" w:sz="4" w:space="0" w:color="auto"/>
            </w:tcBorders>
            <w:hideMark/>
            <w:tcPrChange w:id="5909"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5910" w:author="Author">
                <w:pPr>
                  <w:pStyle w:val="TextTi9"/>
                  <w:keepNext/>
                  <w:spacing w:after="120"/>
                  <w:jc w:val="center"/>
                </w:pPr>
              </w:pPrChange>
            </w:pPr>
            <w:r>
              <w:rPr>
                <w:rFonts w:ascii="Times New Roman" w:hAnsi="Times New Roman"/>
                <w:noProof/>
                <w:sz w:val="20"/>
                <w:szCs w:val="20"/>
                <w:lang w:val="it-IT"/>
              </w:rPr>
              <w:t>79,2</w:t>
            </w:r>
            <w:del w:id="5911" w:author="Author">
              <w:r>
                <w:rPr>
                  <w:rFonts w:ascii="Times New Roman" w:hAnsi="Times New Roman"/>
                  <w:noProof/>
                  <w:sz w:val="20"/>
                  <w:szCs w:val="20"/>
                  <w:lang w:val="it-IT"/>
                </w:rPr>
                <w:delText xml:space="preserve"> </w:delText>
              </w:r>
            </w:del>
            <w:ins w:id="5912" w:author="Author">
              <w:r>
                <w:rPr>
                  <w:rFonts w:ascii="Times New Roman" w:hAnsi="Times New Roman"/>
                  <w:noProof/>
                  <w:sz w:val="20"/>
                  <w:szCs w:val="20"/>
                  <w:lang w:val="it-IT"/>
                </w:rPr>
                <w:t> </w:t>
              </w:r>
            </w:ins>
            <w:r>
              <w:rPr>
                <w:rFonts w:ascii="Times New Roman" w:hAnsi="Times New Roman"/>
                <w:noProof/>
                <w:sz w:val="20"/>
                <w:szCs w:val="20"/>
                <w:lang w:val="it-IT"/>
              </w:rPr>
              <w:t>±</w:t>
            </w:r>
            <w:ins w:id="5913" w:author="Author">
              <w:r>
                <w:rPr>
                  <w:rFonts w:ascii="Times New Roman" w:hAnsi="Times New Roman"/>
                  <w:noProof/>
                  <w:sz w:val="20"/>
                  <w:szCs w:val="20"/>
                  <w:lang w:val="it-IT"/>
                </w:rPr>
                <w:t> </w:t>
              </w:r>
            </w:ins>
            <w:del w:id="5914"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35,6</w:t>
            </w:r>
          </w:p>
        </w:tc>
        <w:tc>
          <w:tcPr>
            <w:tcW w:w="2867" w:type="dxa"/>
            <w:tcBorders>
              <w:top w:val="single" w:sz="4" w:space="0" w:color="auto"/>
              <w:left w:val="single" w:sz="4" w:space="0" w:color="auto"/>
              <w:bottom w:val="single" w:sz="4" w:space="0" w:color="auto"/>
              <w:right w:val="single" w:sz="4" w:space="0" w:color="auto"/>
            </w:tcBorders>
            <w:hideMark/>
            <w:tcPrChange w:id="5915"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5916" w:author="Author">
                <w:pPr>
                  <w:pStyle w:val="TextTi9"/>
                  <w:keepNext/>
                  <w:spacing w:after="120"/>
                  <w:jc w:val="center"/>
                </w:pPr>
              </w:pPrChange>
            </w:pPr>
            <w:r>
              <w:rPr>
                <w:rFonts w:ascii="Times New Roman" w:hAnsi="Times New Roman"/>
                <w:noProof/>
                <w:sz w:val="20"/>
                <w:szCs w:val="20"/>
                <w:lang w:val="it-IT"/>
              </w:rPr>
              <w:t>65,9</w:t>
            </w:r>
            <w:del w:id="5917" w:author="Author">
              <w:r>
                <w:rPr>
                  <w:rFonts w:ascii="Times New Roman" w:hAnsi="Times New Roman"/>
                  <w:noProof/>
                  <w:sz w:val="20"/>
                  <w:szCs w:val="20"/>
                  <w:lang w:val="it-IT"/>
                </w:rPr>
                <w:delText xml:space="preserve"> </w:delText>
              </w:r>
            </w:del>
            <w:ins w:id="5918" w:author="Author">
              <w:r>
                <w:rPr>
                  <w:rFonts w:ascii="Times New Roman" w:hAnsi="Times New Roman"/>
                  <w:noProof/>
                  <w:sz w:val="20"/>
                  <w:szCs w:val="20"/>
                  <w:lang w:val="it-IT"/>
                </w:rPr>
                <w:t> </w:t>
              </w:r>
            </w:ins>
            <w:r>
              <w:rPr>
                <w:rFonts w:ascii="Times New Roman" w:hAnsi="Times New Roman"/>
                <w:noProof/>
                <w:sz w:val="20"/>
                <w:szCs w:val="20"/>
                <w:lang w:val="it-IT"/>
              </w:rPr>
              <w:t>±</w:t>
            </w:r>
            <w:ins w:id="5919" w:author="Author">
              <w:r>
                <w:rPr>
                  <w:rFonts w:ascii="Times New Roman" w:hAnsi="Times New Roman"/>
                  <w:noProof/>
                  <w:sz w:val="20"/>
                  <w:szCs w:val="20"/>
                  <w:lang w:val="it-IT"/>
                </w:rPr>
                <w:t> </w:t>
              </w:r>
            </w:ins>
            <w:del w:id="5920"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31,3</w:t>
            </w:r>
          </w:p>
        </w:tc>
      </w:tr>
      <w:tr>
        <w:trPr>
          <w:cantSplit/>
          <w:trPrChange w:id="5921" w:author="Author">
            <w:trPr>
              <w:cantSplit/>
              <w:trHeight w:val="324"/>
            </w:trPr>
          </w:trPrChange>
        </w:trPr>
        <w:tc>
          <w:tcPr>
            <w:tcW w:w="3055" w:type="dxa"/>
            <w:tcBorders>
              <w:top w:val="single" w:sz="4" w:space="0" w:color="auto"/>
              <w:left w:val="single" w:sz="4" w:space="0" w:color="auto"/>
              <w:bottom w:val="single" w:sz="4" w:space="0" w:color="auto"/>
              <w:right w:val="single" w:sz="4" w:space="0" w:color="auto"/>
            </w:tcBorders>
            <w:hideMark/>
            <w:tcPrChange w:id="5922"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5923" w:author="Author">
                <w:pPr>
                  <w:pStyle w:val="TextTi9"/>
                  <w:keepNext/>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mean</w:t>
            </w:r>
            <w:r>
              <w:rPr>
                <w:rFonts w:ascii="Times New Roman" w:hAnsi="Times New Roman"/>
                <w:noProof/>
                <w:sz w:val="20"/>
                <w:szCs w:val="20"/>
                <w:lang w:val="it-IT"/>
              </w:rPr>
              <w:t xml:space="preserve"> (µg/mL)</w:t>
            </w:r>
          </w:p>
        </w:tc>
        <w:tc>
          <w:tcPr>
            <w:tcW w:w="2867" w:type="dxa"/>
            <w:tcBorders>
              <w:top w:val="single" w:sz="4" w:space="0" w:color="auto"/>
              <w:left w:val="single" w:sz="4" w:space="0" w:color="auto"/>
              <w:bottom w:val="single" w:sz="4" w:space="0" w:color="auto"/>
              <w:right w:val="single" w:sz="4" w:space="0" w:color="auto"/>
            </w:tcBorders>
            <w:hideMark/>
            <w:tcPrChange w:id="5924"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5925" w:author="Author">
                <w:pPr>
                  <w:pStyle w:val="TextTi9"/>
                  <w:keepNext/>
                  <w:spacing w:after="120"/>
                  <w:jc w:val="center"/>
                </w:pPr>
              </w:pPrChange>
            </w:pPr>
            <w:r>
              <w:rPr>
                <w:rFonts w:ascii="Times New Roman" w:hAnsi="Times New Roman"/>
                <w:noProof/>
                <w:sz w:val="20"/>
                <w:szCs w:val="20"/>
                <w:lang w:val="it-IT"/>
              </w:rPr>
              <w:t>91,3</w:t>
            </w:r>
            <w:del w:id="5926" w:author="Author">
              <w:r>
                <w:rPr>
                  <w:rFonts w:ascii="Times New Roman" w:hAnsi="Times New Roman"/>
                  <w:noProof/>
                  <w:sz w:val="20"/>
                  <w:szCs w:val="20"/>
                  <w:lang w:val="it-IT"/>
                </w:rPr>
                <w:delText xml:space="preserve"> </w:delText>
              </w:r>
            </w:del>
            <w:ins w:id="5927" w:author="Author">
              <w:r>
                <w:rPr>
                  <w:rFonts w:ascii="Times New Roman" w:hAnsi="Times New Roman"/>
                  <w:noProof/>
                  <w:sz w:val="20"/>
                  <w:szCs w:val="20"/>
                  <w:lang w:val="it-IT"/>
                </w:rPr>
                <w:t> </w:t>
              </w:r>
            </w:ins>
            <w:r>
              <w:rPr>
                <w:rFonts w:ascii="Times New Roman" w:hAnsi="Times New Roman"/>
                <w:noProof/>
                <w:sz w:val="20"/>
                <w:szCs w:val="20"/>
                <w:lang w:val="it-IT"/>
              </w:rPr>
              <w:t>±</w:t>
            </w:r>
            <w:ins w:id="5928" w:author="Author">
              <w:r>
                <w:rPr>
                  <w:rFonts w:ascii="Times New Roman" w:hAnsi="Times New Roman"/>
                  <w:noProof/>
                  <w:sz w:val="20"/>
                  <w:szCs w:val="20"/>
                  <w:lang w:val="it-IT"/>
                </w:rPr>
                <w:t> </w:t>
              </w:r>
            </w:ins>
            <w:del w:id="5929"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40,4</w:t>
            </w:r>
          </w:p>
        </w:tc>
        <w:tc>
          <w:tcPr>
            <w:tcW w:w="2867" w:type="dxa"/>
            <w:tcBorders>
              <w:top w:val="single" w:sz="4" w:space="0" w:color="auto"/>
              <w:left w:val="single" w:sz="4" w:space="0" w:color="auto"/>
              <w:bottom w:val="single" w:sz="4" w:space="0" w:color="auto"/>
              <w:right w:val="single" w:sz="4" w:space="0" w:color="auto"/>
            </w:tcBorders>
            <w:hideMark/>
            <w:tcPrChange w:id="5930"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5931" w:author="Author">
                <w:pPr>
                  <w:pStyle w:val="TextTi9"/>
                  <w:keepNext/>
                  <w:spacing w:after="120"/>
                  <w:jc w:val="center"/>
                </w:pPr>
              </w:pPrChange>
            </w:pPr>
            <w:r>
              <w:rPr>
                <w:rFonts w:ascii="Times New Roman" w:hAnsi="Times New Roman"/>
                <w:noProof/>
                <w:sz w:val="20"/>
                <w:szCs w:val="20"/>
                <w:lang w:val="it-IT"/>
              </w:rPr>
              <w:t>101</w:t>
            </w:r>
            <w:del w:id="5932" w:author="Author">
              <w:r>
                <w:rPr>
                  <w:rFonts w:ascii="Times New Roman" w:hAnsi="Times New Roman"/>
                  <w:noProof/>
                  <w:sz w:val="20"/>
                  <w:szCs w:val="20"/>
                  <w:lang w:val="it-IT"/>
                </w:rPr>
                <w:delText xml:space="preserve"> </w:delText>
              </w:r>
            </w:del>
            <w:ins w:id="5933" w:author="Author">
              <w:r>
                <w:rPr>
                  <w:rFonts w:ascii="Times New Roman" w:hAnsi="Times New Roman"/>
                  <w:noProof/>
                  <w:sz w:val="20"/>
                  <w:szCs w:val="20"/>
                  <w:lang w:val="it-IT"/>
                </w:rPr>
                <w:t> </w:t>
              </w:r>
            </w:ins>
            <w:r>
              <w:rPr>
                <w:rFonts w:ascii="Times New Roman" w:hAnsi="Times New Roman"/>
                <w:noProof/>
                <w:sz w:val="20"/>
                <w:szCs w:val="20"/>
                <w:lang w:val="it-IT"/>
              </w:rPr>
              <w:t>±</w:t>
            </w:r>
            <w:ins w:id="5934" w:author="Author">
              <w:r>
                <w:rPr>
                  <w:rFonts w:ascii="Times New Roman" w:hAnsi="Times New Roman"/>
                  <w:noProof/>
                  <w:sz w:val="20"/>
                  <w:szCs w:val="20"/>
                  <w:lang w:val="it-IT"/>
                </w:rPr>
                <w:t> </w:t>
              </w:r>
            </w:ins>
            <w:del w:id="5935"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43,2</w:t>
            </w:r>
          </w:p>
        </w:tc>
      </w:tr>
      <w:tr>
        <w:trPr>
          <w:cantSplit/>
          <w:trPrChange w:id="5936" w:author="Author">
            <w:trPr>
              <w:cantSplit/>
              <w:trHeight w:val="324"/>
            </w:trPr>
          </w:trPrChange>
        </w:trPr>
        <w:tc>
          <w:tcPr>
            <w:tcW w:w="3055" w:type="dxa"/>
            <w:tcBorders>
              <w:top w:val="single" w:sz="4" w:space="0" w:color="auto"/>
              <w:left w:val="single" w:sz="4" w:space="0" w:color="auto"/>
              <w:bottom w:val="single" w:sz="4" w:space="0" w:color="auto"/>
              <w:right w:val="single" w:sz="4" w:space="0" w:color="auto"/>
            </w:tcBorders>
            <w:hideMark/>
            <w:tcPrChange w:id="5937"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5938" w:author="Author">
                <w:pPr>
                  <w:pStyle w:val="TextTi9"/>
                  <w:keepNext/>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 xml:space="preserve">max </w:t>
            </w:r>
            <w:r>
              <w:rPr>
                <w:rFonts w:ascii="Times New Roman" w:hAnsi="Times New Roman"/>
                <w:noProof/>
                <w:sz w:val="20"/>
                <w:szCs w:val="20"/>
                <w:lang w:val="it-IT"/>
              </w:rPr>
              <w:t>d’accumulo</w:t>
            </w:r>
          </w:p>
        </w:tc>
        <w:tc>
          <w:tcPr>
            <w:tcW w:w="2867" w:type="dxa"/>
            <w:tcBorders>
              <w:top w:val="single" w:sz="4" w:space="0" w:color="auto"/>
              <w:left w:val="single" w:sz="4" w:space="0" w:color="auto"/>
              <w:bottom w:val="single" w:sz="4" w:space="0" w:color="auto"/>
              <w:right w:val="single" w:sz="4" w:space="0" w:color="auto"/>
            </w:tcBorders>
            <w:tcPrChange w:id="5939"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5940" w:author="Author">
                <w:pPr>
                  <w:pStyle w:val="TextTi9"/>
                  <w:keepNext/>
                  <w:spacing w:after="120"/>
                  <w:jc w:val="center"/>
                </w:pPr>
              </w:pPrChange>
            </w:pPr>
            <w:r>
              <w:rPr>
                <w:rFonts w:ascii="Times New Roman" w:hAnsi="Times New Roman"/>
                <w:noProof/>
                <w:sz w:val="20"/>
                <w:szCs w:val="20"/>
                <w:lang w:val="it-IT"/>
              </w:rPr>
              <w:t>3,66</w:t>
            </w:r>
          </w:p>
        </w:tc>
        <w:tc>
          <w:tcPr>
            <w:tcW w:w="2867" w:type="dxa"/>
            <w:tcBorders>
              <w:top w:val="single" w:sz="4" w:space="0" w:color="auto"/>
              <w:left w:val="single" w:sz="4" w:space="0" w:color="auto"/>
              <w:bottom w:val="single" w:sz="4" w:space="0" w:color="auto"/>
              <w:right w:val="single" w:sz="4" w:space="0" w:color="auto"/>
            </w:tcBorders>
            <w:tcPrChange w:id="5941"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5942" w:author="Author">
                <w:pPr>
                  <w:pStyle w:val="TextTi9"/>
                  <w:keepNext/>
                  <w:spacing w:after="120"/>
                  <w:jc w:val="center"/>
                </w:pPr>
              </w:pPrChange>
            </w:pPr>
            <w:r>
              <w:rPr>
                <w:rFonts w:ascii="Times New Roman" w:hAnsi="Times New Roman"/>
                <w:noProof/>
                <w:sz w:val="20"/>
                <w:szCs w:val="20"/>
                <w:lang w:val="it-IT"/>
              </w:rPr>
              <w:t>1,88</w:t>
            </w:r>
          </w:p>
        </w:tc>
      </w:tr>
      <w:tr>
        <w:trPr>
          <w:cantSplit/>
          <w:trPrChange w:id="5943" w:author="Author">
            <w:trPr>
              <w:cantSplit/>
              <w:trHeight w:val="331"/>
            </w:trPr>
          </w:trPrChange>
        </w:trPr>
        <w:tc>
          <w:tcPr>
            <w:tcW w:w="3055" w:type="dxa"/>
            <w:tcBorders>
              <w:top w:val="single" w:sz="4" w:space="0" w:color="auto"/>
              <w:left w:val="single" w:sz="4" w:space="0" w:color="auto"/>
              <w:bottom w:val="single" w:sz="4" w:space="0" w:color="auto"/>
              <w:right w:val="single" w:sz="4" w:space="0" w:color="auto"/>
            </w:tcBorders>
            <w:hideMark/>
            <w:tcPrChange w:id="5944"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5945" w:author="Author">
                <w:pPr>
                  <w:pStyle w:val="TextTi9"/>
                  <w:keepNext/>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 xml:space="preserve">min </w:t>
            </w:r>
            <w:r>
              <w:rPr>
                <w:rFonts w:ascii="Times New Roman" w:hAnsi="Times New Roman"/>
                <w:noProof/>
                <w:sz w:val="20"/>
                <w:szCs w:val="20"/>
                <w:lang w:val="it-IT"/>
              </w:rPr>
              <w:t>d’accumulo</w:t>
            </w:r>
          </w:p>
        </w:tc>
        <w:tc>
          <w:tcPr>
            <w:tcW w:w="2867" w:type="dxa"/>
            <w:tcBorders>
              <w:top w:val="single" w:sz="4" w:space="0" w:color="auto"/>
              <w:left w:val="single" w:sz="4" w:space="0" w:color="auto"/>
              <w:bottom w:val="single" w:sz="4" w:space="0" w:color="auto"/>
              <w:right w:val="single" w:sz="4" w:space="0" w:color="auto"/>
            </w:tcBorders>
            <w:tcPrChange w:id="5946"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5947" w:author="Author">
                <w:pPr>
                  <w:pStyle w:val="TextTi9"/>
                  <w:keepNext/>
                  <w:spacing w:after="120"/>
                  <w:jc w:val="center"/>
                </w:pPr>
              </w:pPrChange>
            </w:pPr>
            <w:r>
              <w:rPr>
                <w:rFonts w:ascii="Times New Roman" w:hAnsi="Times New Roman"/>
                <w:noProof/>
                <w:sz w:val="20"/>
                <w:szCs w:val="20"/>
                <w:lang w:val="it-IT"/>
              </w:rPr>
              <w:t>4,39</w:t>
            </w:r>
          </w:p>
        </w:tc>
        <w:tc>
          <w:tcPr>
            <w:tcW w:w="2867" w:type="dxa"/>
            <w:tcBorders>
              <w:top w:val="single" w:sz="4" w:space="0" w:color="auto"/>
              <w:left w:val="single" w:sz="4" w:space="0" w:color="auto"/>
              <w:bottom w:val="single" w:sz="4" w:space="0" w:color="auto"/>
              <w:right w:val="single" w:sz="4" w:space="0" w:color="auto"/>
            </w:tcBorders>
            <w:tcPrChange w:id="5948"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5949" w:author="Author">
                <w:pPr>
                  <w:pStyle w:val="TextTi9"/>
                  <w:keepNext/>
                  <w:spacing w:after="120"/>
                  <w:jc w:val="center"/>
                </w:pPr>
              </w:pPrChange>
            </w:pPr>
            <w:r>
              <w:rPr>
                <w:rFonts w:ascii="Times New Roman" w:hAnsi="Times New Roman"/>
                <w:noProof/>
                <w:sz w:val="20"/>
                <w:szCs w:val="20"/>
                <w:lang w:val="it-IT"/>
              </w:rPr>
              <w:t>3,21</w:t>
            </w:r>
          </w:p>
        </w:tc>
      </w:tr>
      <w:tr>
        <w:trPr>
          <w:cantSplit/>
          <w:trPrChange w:id="5950" w:author="Author">
            <w:trPr>
              <w:cantSplit/>
              <w:trHeight w:val="331"/>
            </w:trPr>
          </w:trPrChange>
        </w:trPr>
        <w:tc>
          <w:tcPr>
            <w:tcW w:w="3055" w:type="dxa"/>
            <w:tcBorders>
              <w:top w:val="single" w:sz="4" w:space="0" w:color="auto"/>
              <w:left w:val="single" w:sz="4" w:space="0" w:color="auto"/>
              <w:bottom w:val="single" w:sz="4" w:space="0" w:color="auto"/>
              <w:right w:val="single" w:sz="4" w:space="0" w:color="auto"/>
            </w:tcBorders>
            <w:tcPrChange w:id="5951" w:author="Author">
              <w:tcPr>
                <w:tcW w:w="2835"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rPr>
                <w:rFonts w:ascii="Times New Roman" w:hAnsi="Times New Roman"/>
                <w:noProof/>
                <w:sz w:val="20"/>
                <w:szCs w:val="20"/>
                <w:lang w:val="it-IT"/>
              </w:rPr>
              <w:pPrChange w:id="5952" w:author="Author">
                <w:pPr>
                  <w:pStyle w:val="TextTi9"/>
                  <w:keepNext/>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mean</w:t>
            </w:r>
            <w:r>
              <w:rPr>
                <w:rFonts w:ascii="Times New Roman" w:hAnsi="Times New Roman"/>
                <w:noProof/>
                <w:sz w:val="20"/>
                <w:szCs w:val="20"/>
                <w:lang w:val="it-IT"/>
              </w:rPr>
              <w:t xml:space="preserve"> d’accumulo o AUC</w:t>
            </w:r>
            <w:r>
              <w:rPr>
                <w:rFonts w:ascii="Times New Roman" w:hAnsi="Times New Roman"/>
                <w:noProof/>
                <w:sz w:val="20"/>
                <w:szCs w:val="20"/>
                <w:vertAlign w:val="subscript"/>
                <w:lang w:val="it-IT"/>
              </w:rPr>
              <w:t>τ</w:t>
            </w:r>
            <w:r>
              <w:rPr>
                <w:rFonts w:ascii="Times New Roman" w:hAnsi="Times New Roman"/>
                <w:noProof/>
                <w:sz w:val="20"/>
                <w:szCs w:val="20"/>
                <w:lang w:val="it-IT"/>
              </w:rPr>
              <w:t>*</w:t>
            </w:r>
          </w:p>
        </w:tc>
        <w:tc>
          <w:tcPr>
            <w:tcW w:w="2867" w:type="dxa"/>
            <w:tcBorders>
              <w:top w:val="single" w:sz="4" w:space="0" w:color="auto"/>
              <w:left w:val="single" w:sz="4" w:space="0" w:color="auto"/>
              <w:bottom w:val="single" w:sz="4" w:space="0" w:color="auto"/>
              <w:right w:val="single" w:sz="4" w:space="0" w:color="auto"/>
            </w:tcBorders>
            <w:tcPrChange w:id="5953"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5954" w:author="Author">
                <w:pPr>
                  <w:pStyle w:val="TextTi9"/>
                  <w:keepNext/>
                  <w:spacing w:after="120"/>
                  <w:jc w:val="center"/>
                </w:pPr>
              </w:pPrChange>
            </w:pPr>
            <w:r>
              <w:rPr>
                <w:rFonts w:ascii="Times New Roman" w:hAnsi="Times New Roman"/>
                <w:noProof/>
                <w:sz w:val="20"/>
                <w:szCs w:val="20"/>
                <w:lang w:val="it-IT"/>
              </w:rPr>
              <w:t>4,28</w:t>
            </w:r>
          </w:p>
        </w:tc>
        <w:tc>
          <w:tcPr>
            <w:tcW w:w="2867" w:type="dxa"/>
            <w:tcBorders>
              <w:top w:val="single" w:sz="4" w:space="0" w:color="auto"/>
              <w:left w:val="single" w:sz="4" w:space="0" w:color="auto"/>
              <w:bottom w:val="single" w:sz="4" w:space="0" w:color="auto"/>
              <w:right w:val="single" w:sz="4" w:space="0" w:color="auto"/>
            </w:tcBorders>
            <w:tcPrChange w:id="5955"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5956" w:author="Author">
                <w:pPr>
                  <w:pStyle w:val="TextTi9"/>
                  <w:keepNext/>
                  <w:spacing w:after="120"/>
                  <w:jc w:val="center"/>
                </w:pPr>
              </w:pPrChange>
            </w:pPr>
            <w:r>
              <w:rPr>
                <w:rFonts w:ascii="Times New Roman" w:hAnsi="Times New Roman"/>
                <w:noProof/>
                <w:sz w:val="20"/>
                <w:szCs w:val="20"/>
                <w:lang w:val="it-IT"/>
              </w:rPr>
              <w:t>2,27</w:t>
            </w:r>
          </w:p>
        </w:tc>
      </w:tr>
    </w:tbl>
    <w:p>
      <w:pPr>
        <w:jc w:val="both"/>
        <w:rPr>
          <w:noProof/>
          <w:sz w:val="18"/>
          <w:szCs w:val="18"/>
          <w:lang w:val="it-IT" w:eastAsia="en-US"/>
        </w:rPr>
      </w:pPr>
      <w:r>
        <w:rPr>
          <w:noProof/>
          <w:sz w:val="18"/>
          <w:szCs w:val="18"/>
          <w:lang w:val="it-IT" w:eastAsia="en-US"/>
        </w:rPr>
        <w:t>*τ</w:t>
      </w:r>
      <w:del w:id="5957" w:author="Author">
        <w:r>
          <w:rPr>
            <w:noProof/>
            <w:sz w:val="18"/>
            <w:szCs w:val="18"/>
            <w:lang w:val="it-IT" w:eastAsia="en-US"/>
          </w:rPr>
          <w:delText xml:space="preserve"> </w:delText>
        </w:r>
      </w:del>
      <w:ins w:id="5958" w:author="Author">
        <w:r>
          <w:rPr>
            <w:noProof/>
            <w:sz w:val="18"/>
            <w:szCs w:val="18"/>
            <w:lang w:val="it-IT" w:eastAsia="en-US"/>
          </w:rPr>
          <w:t> </w:t>
        </w:r>
      </w:ins>
      <w:r>
        <w:rPr>
          <w:noProof/>
          <w:sz w:val="18"/>
          <w:szCs w:val="18"/>
          <w:lang w:val="it-IT" w:eastAsia="en-US"/>
        </w:rPr>
        <w:t>=</w:t>
      </w:r>
      <w:ins w:id="5959" w:author="Author">
        <w:r>
          <w:rPr>
            <w:noProof/>
            <w:sz w:val="18"/>
            <w:szCs w:val="18"/>
            <w:lang w:val="it-IT" w:eastAsia="en-US"/>
          </w:rPr>
          <w:t> </w:t>
        </w:r>
      </w:ins>
      <w:del w:id="5960" w:author="Author">
        <w:r>
          <w:rPr>
            <w:noProof/>
            <w:sz w:val="18"/>
            <w:szCs w:val="18"/>
            <w:lang w:val="it-IT" w:eastAsia="en-US"/>
          </w:rPr>
          <w:delText xml:space="preserve"> </w:delText>
        </w:r>
      </w:del>
      <w:r>
        <w:rPr>
          <w:noProof/>
          <w:sz w:val="18"/>
          <w:szCs w:val="18"/>
          <w:lang w:val="it-IT" w:eastAsia="en-US"/>
        </w:rPr>
        <w:t>1 o 2 settimane per i due regimi sottocutanei</w:t>
      </w:r>
    </w:p>
    <w:p>
      <w:pPr>
        <w:numPr>
          <w:ilvl w:val="12"/>
          <w:numId w:val="0"/>
        </w:numPr>
        <w:ind w:right="-2"/>
        <w:rPr>
          <w:noProof/>
          <w:szCs w:val="22"/>
          <w:lang w:val="it-IT"/>
        </w:rPr>
      </w:pPr>
    </w:p>
    <w:p>
      <w:pPr>
        <w:numPr>
          <w:ilvl w:val="12"/>
          <w:numId w:val="0"/>
        </w:numPr>
        <w:tabs>
          <w:tab w:val="left" w:pos="180"/>
        </w:tabs>
        <w:ind w:right="-2"/>
        <w:rPr>
          <w:noProof/>
          <w:lang w:val="it-IT"/>
        </w:rPr>
      </w:pPr>
      <w:r>
        <w:rPr>
          <w:iCs/>
          <w:noProof/>
          <w:szCs w:val="22"/>
          <w:lang w:val="it-IT"/>
        </w:rPr>
        <w:t>Dopo somministrazione sottocutanea, il 90% circa dello stato stazionario è stato raggiunto entro la settimana 12 con entrambi i regimi 162 mg QW e Q2W.</w:t>
      </w:r>
    </w:p>
    <w:p>
      <w:pPr>
        <w:tabs>
          <w:tab w:val="left" w:pos="180"/>
        </w:tabs>
        <w:spacing w:line="0" w:lineRule="atLeast"/>
        <w:rPr>
          <w:noProof/>
          <w:szCs w:val="22"/>
          <w:lang w:val="it-IT"/>
        </w:rPr>
      </w:pPr>
    </w:p>
    <w:p>
      <w:pPr>
        <w:keepNext/>
        <w:tabs>
          <w:tab w:val="left" w:pos="180"/>
        </w:tabs>
        <w:spacing w:line="0" w:lineRule="atLeast"/>
        <w:rPr>
          <w:i/>
          <w:noProof/>
          <w:szCs w:val="22"/>
          <w:u w:val="single"/>
          <w:lang w:val="it-IT"/>
          <w:rPrChange w:id="5961" w:author="Author">
            <w:rPr>
              <w:iCs/>
              <w:szCs w:val="22"/>
              <w:u w:val="single"/>
              <w:lang w:val="it-IT"/>
            </w:rPr>
          </w:rPrChange>
        </w:rPr>
      </w:pPr>
      <w:r>
        <w:rPr>
          <w:i/>
          <w:noProof/>
          <w:szCs w:val="22"/>
          <w:u w:val="single"/>
          <w:lang w:val="it-IT"/>
          <w:rPrChange w:id="5962" w:author="Author">
            <w:rPr>
              <w:iCs/>
              <w:szCs w:val="22"/>
              <w:u w:val="single"/>
              <w:lang w:val="it-IT"/>
            </w:rPr>
          </w:rPrChange>
        </w:rPr>
        <w:t>Assorbimento</w:t>
      </w:r>
    </w:p>
    <w:p>
      <w:pPr>
        <w:keepNext/>
        <w:tabs>
          <w:tab w:val="left" w:pos="180"/>
        </w:tabs>
        <w:spacing w:line="0" w:lineRule="atLeast"/>
        <w:rPr>
          <w:iCs/>
          <w:noProof/>
          <w:szCs w:val="22"/>
          <w:lang w:val="it-IT"/>
        </w:rPr>
      </w:pPr>
      <w:r>
        <w:rPr>
          <w:iCs/>
          <w:noProof/>
          <w:szCs w:val="22"/>
          <w:lang w:val="it-IT"/>
        </w:rPr>
        <w:t>In seguito a somministrazione sottocutanea in pazienti affetti da AIGs, l’emivita di assorbimento si è attestata a 2 giorni circa, mentre la biodisponibilità della formulazione sottocutanea nei pazienti affetti da AIGs è stata del 95%.</w:t>
      </w:r>
    </w:p>
    <w:p>
      <w:pPr>
        <w:tabs>
          <w:tab w:val="left" w:pos="180"/>
        </w:tabs>
        <w:spacing w:line="0" w:lineRule="atLeast"/>
        <w:rPr>
          <w:iCs/>
          <w:noProof/>
          <w:szCs w:val="22"/>
          <w:lang w:val="it-IT"/>
        </w:rPr>
      </w:pPr>
    </w:p>
    <w:p>
      <w:pPr>
        <w:tabs>
          <w:tab w:val="left" w:pos="180"/>
        </w:tabs>
        <w:spacing w:line="0" w:lineRule="atLeast"/>
        <w:rPr>
          <w:i/>
          <w:noProof/>
          <w:szCs w:val="22"/>
          <w:u w:val="single"/>
          <w:lang w:val="it-IT"/>
          <w:rPrChange w:id="5963" w:author="Author">
            <w:rPr>
              <w:iCs/>
              <w:szCs w:val="22"/>
              <w:u w:val="single"/>
              <w:lang w:val="it-IT"/>
            </w:rPr>
          </w:rPrChange>
        </w:rPr>
      </w:pPr>
      <w:r>
        <w:rPr>
          <w:i/>
          <w:noProof/>
          <w:szCs w:val="22"/>
          <w:u w:val="single"/>
          <w:lang w:val="it-IT"/>
          <w:rPrChange w:id="5964" w:author="Author">
            <w:rPr>
              <w:iCs/>
              <w:szCs w:val="22"/>
              <w:u w:val="single"/>
              <w:lang w:val="it-IT"/>
            </w:rPr>
          </w:rPrChange>
        </w:rPr>
        <w:t>Distribuzione</w:t>
      </w:r>
    </w:p>
    <w:p>
      <w:pPr>
        <w:tabs>
          <w:tab w:val="left" w:pos="180"/>
        </w:tabs>
        <w:spacing w:line="0" w:lineRule="atLeast"/>
        <w:rPr>
          <w:iCs/>
          <w:noProof/>
          <w:szCs w:val="22"/>
          <w:lang w:val="it-IT"/>
        </w:rPr>
      </w:pPr>
      <w:r>
        <w:rPr>
          <w:iCs/>
          <w:noProof/>
          <w:szCs w:val="22"/>
          <w:lang w:val="it-IT"/>
        </w:rPr>
        <w:t xml:space="preserve">Nei pazienti pediatrici affetti da AIGs, il volume </w:t>
      </w:r>
      <w:del w:id="5965" w:author="Author">
        <w:r>
          <w:rPr>
            <w:iCs/>
            <w:noProof/>
            <w:szCs w:val="22"/>
            <w:lang w:val="it-IT"/>
          </w:rPr>
          <w:delText xml:space="preserve">centrale </w:delText>
        </w:r>
      </w:del>
      <w:r>
        <w:rPr>
          <w:iCs/>
          <w:noProof/>
          <w:szCs w:val="22"/>
          <w:lang w:val="it-IT"/>
        </w:rPr>
        <w:t xml:space="preserve">di distribuzione </w:t>
      </w:r>
      <w:ins w:id="5966" w:author="Author">
        <w:r>
          <w:rPr>
            <w:iCs/>
            <w:noProof/>
            <w:szCs w:val="22"/>
            <w:lang w:val="it-IT"/>
          </w:rPr>
          <w:t xml:space="preserve">centrale </w:t>
        </w:r>
      </w:ins>
      <w:r>
        <w:rPr>
          <w:iCs/>
          <w:noProof/>
          <w:szCs w:val="22"/>
          <w:lang w:val="it-IT"/>
        </w:rPr>
        <w:t xml:space="preserve">si è attestato a 1,87 </w:t>
      </w:r>
      <w:del w:id="5967" w:author="Author">
        <w:r>
          <w:rPr>
            <w:iCs/>
            <w:noProof/>
            <w:szCs w:val="22"/>
            <w:lang w:val="it-IT"/>
          </w:rPr>
          <w:delText>l</w:delText>
        </w:r>
      </w:del>
      <w:ins w:id="5968" w:author="Author">
        <w:r>
          <w:rPr>
            <w:iCs/>
            <w:noProof/>
            <w:szCs w:val="22"/>
            <w:lang w:val="it-IT"/>
          </w:rPr>
          <w:t>L</w:t>
        </w:r>
      </w:ins>
      <w:r>
        <w:rPr>
          <w:iCs/>
          <w:noProof/>
          <w:szCs w:val="22"/>
          <w:lang w:val="it-IT"/>
        </w:rPr>
        <w:t xml:space="preserve">, mentre quello periferico a 2,14 </w:t>
      </w:r>
      <w:ins w:id="5969" w:author="Author">
        <w:r>
          <w:rPr>
            <w:iCs/>
            <w:noProof/>
            <w:szCs w:val="22"/>
            <w:lang w:val="it-IT"/>
          </w:rPr>
          <w:t>L</w:t>
        </w:r>
      </w:ins>
      <w:del w:id="5970" w:author="Author">
        <w:r>
          <w:rPr>
            <w:iCs/>
            <w:noProof/>
            <w:szCs w:val="22"/>
            <w:lang w:val="it-IT"/>
          </w:rPr>
          <w:delText>l</w:delText>
        </w:r>
      </w:del>
      <w:r>
        <w:rPr>
          <w:iCs/>
          <w:noProof/>
          <w:szCs w:val="22"/>
          <w:lang w:val="it-IT"/>
        </w:rPr>
        <w:t xml:space="preserve">, per un volume di distribuzione allo stato stazionario pari a 4,01 </w:t>
      </w:r>
      <w:ins w:id="5971" w:author="Author">
        <w:r>
          <w:rPr>
            <w:iCs/>
            <w:noProof/>
            <w:szCs w:val="22"/>
            <w:lang w:val="it-IT"/>
          </w:rPr>
          <w:t>L</w:t>
        </w:r>
      </w:ins>
      <w:del w:id="5972" w:author="Author">
        <w:r>
          <w:rPr>
            <w:iCs/>
            <w:noProof/>
            <w:szCs w:val="22"/>
            <w:lang w:val="it-IT"/>
          </w:rPr>
          <w:delText>l</w:delText>
        </w:r>
      </w:del>
      <w:r>
        <w:rPr>
          <w:iCs/>
          <w:noProof/>
          <w:szCs w:val="22"/>
          <w:lang w:val="it-IT"/>
        </w:rPr>
        <w:t>.</w:t>
      </w:r>
    </w:p>
    <w:p>
      <w:pPr>
        <w:tabs>
          <w:tab w:val="left" w:pos="180"/>
        </w:tabs>
        <w:spacing w:line="0" w:lineRule="atLeast"/>
        <w:rPr>
          <w:iCs/>
          <w:noProof/>
          <w:szCs w:val="22"/>
          <w:lang w:val="it-IT"/>
        </w:rPr>
      </w:pPr>
    </w:p>
    <w:p>
      <w:pPr>
        <w:tabs>
          <w:tab w:val="left" w:pos="180"/>
        </w:tabs>
        <w:spacing w:line="0" w:lineRule="atLeast"/>
        <w:rPr>
          <w:i/>
          <w:noProof/>
          <w:szCs w:val="22"/>
          <w:u w:val="single"/>
          <w:lang w:val="it-IT"/>
          <w:rPrChange w:id="5973" w:author="Author">
            <w:rPr>
              <w:iCs/>
              <w:szCs w:val="22"/>
              <w:u w:val="single"/>
              <w:lang w:val="it-IT"/>
            </w:rPr>
          </w:rPrChange>
        </w:rPr>
      </w:pPr>
      <w:r>
        <w:rPr>
          <w:i/>
          <w:noProof/>
          <w:szCs w:val="22"/>
          <w:u w:val="single"/>
          <w:lang w:val="it-IT"/>
          <w:rPrChange w:id="5974" w:author="Author">
            <w:rPr>
              <w:iCs/>
              <w:szCs w:val="22"/>
              <w:u w:val="single"/>
              <w:lang w:val="it-IT"/>
            </w:rPr>
          </w:rPrChange>
        </w:rPr>
        <w:t>Eliminazione</w:t>
      </w:r>
    </w:p>
    <w:p>
      <w:pPr>
        <w:tabs>
          <w:tab w:val="left" w:pos="180"/>
        </w:tabs>
        <w:spacing w:line="0" w:lineRule="atLeast"/>
        <w:rPr>
          <w:noProof/>
          <w:szCs w:val="22"/>
          <w:lang w:val="it-IT"/>
        </w:rPr>
      </w:pPr>
      <w:r>
        <w:rPr>
          <w:noProof/>
          <w:szCs w:val="22"/>
          <w:lang w:val="it-IT"/>
        </w:rPr>
        <w:t xml:space="preserve">La clearance totale di tocilizumab è risultata dipendente dalla concentrazione e costituita dalla somma della clearance lineare e della clearance non lineare. La clearance lineare è stata stimata come </w:t>
      </w:r>
      <w:r>
        <w:rPr>
          <w:noProof/>
          <w:szCs w:val="22"/>
          <w:lang w:val="it-IT"/>
        </w:rPr>
        <w:lastRenderedPageBreak/>
        <w:t>parametro nell’analisi di farmacocinetica di popolazione e, nei pazienti pediatrici affetti da artrite idiopatica giovanile sistemica, è risultata pari a 5,7 mL/h. Dopo somministrazione sottocutanea, la t½ effettiva di tocilizumab nei pazienti affetti da AIGs si è attestato a un massimo di 14 giorni con entrambi i regimi 162 mg QW e Q2W durante un intervallo posologico allo stato stazionario.</w:t>
      </w:r>
    </w:p>
    <w:p>
      <w:pPr>
        <w:tabs>
          <w:tab w:val="left" w:pos="180"/>
        </w:tabs>
        <w:spacing w:line="0" w:lineRule="atLeast"/>
        <w:rPr>
          <w:noProof/>
          <w:szCs w:val="22"/>
          <w:lang w:val="it-IT"/>
        </w:rPr>
      </w:pPr>
    </w:p>
    <w:p>
      <w:pPr>
        <w:keepNext/>
        <w:tabs>
          <w:tab w:val="left" w:pos="180"/>
        </w:tabs>
        <w:rPr>
          <w:ins w:id="5975" w:author="Author"/>
          <w:noProof/>
          <w:szCs w:val="22"/>
          <w:u w:val="single"/>
          <w:lang w:val="it-IT"/>
        </w:rPr>
        <w:pPrChange w:id="5976" w:author="Author">
          <w:pPr>
            <w:tabs>
              <w:tab w:val="left" w:pos="180"/>
            </w:tabs>
            <w:spacing w:line="0" w:lineRule="atLeast"/>
          </w:pPr>
        </w:pPrChange>
      </w:pPr>
      <w:ins w:id="5977" w:author="Author">
        <w:r>
          <w:rPr>
            <w:noProof/>
            <w:szCs w:val="22"/>
            <w:u w:val="single"/>
            <w:lang w:val="it-IT"/>
          </w:rPr>
          <w:t>Uso sottocutaneo</w:t>
        </w:r>
      </w:ins>
    </w:p>
    <w:p>
      <w:pPr>
        <w:keepNext/>
        <w:tabs>
          <w:tab w:val="left" w:pos="180"/>
        </w:tabs>
        <w:rPr>
          <w:i/>
          <w:iCs/>
          <w:noProof/>
          <w:szCs w:val="22"/>
          <w:lang w:val="it-IT"/>
          <w:rPrChange w:id="5978" w:author="Author">
            <w:rPr>
              <w:szCs w:val="22"/>
              <w:u w:val="single"/>
              <w:lang w:val="it-IT"/>
            </w:rPr>
          </w:rPrChange>
        </w:rPr>
        <w:pPrChange w:id="5979" w:author="Author">
          <w:pPr>
            <w:tabs>
              <w:tab w:val="left" w:pos="180"/>
            </w:tabs>
            <w:spacing w:line="0" w:lineRule="atLeast"/>
          </w:pPr>
        </w:pPrChange>
      </w:pPr>
      <w:r>
        <w:rPr>
          <w:i/>
          <w:iCs/>
          <w:noProof/>
          <w:szCs w:val="22"/>
          <w:lang w:val="it-IT"/>
          <w:rPrChange w:id="5980" w:author="Author">
            <w:rPr>
              <w:szCs w:val="22"/>
              <w:u w:val="single"/>
              <w:lang w:val="it-IT"/>
            </w:rPr>
          </w:rPrChange>
        </w:rPr>
        <w:t>Pazienti affetti da AIGp</w:t>
      </w:r>
    </w:p>
    <w:p>
      <w:pPr>
        <w:keepNext/>
        <w:tabs>
          <w:tab w:val="left" w:pos="180"/>
        </w:tabs>
        <w:rPr>
          <w:noProof/>
          <w:szCs w:val="22"/>
          <w:u w:val="single"/>
          <w:lang w:val="it-IT"/>
        </w:rPr>
        <w:pPrChange w:id="5981" w:author="Author">
          <w:pPr>
            <w:tabs>
              <w:tab w:val="left" w:pos="180"/>
            </w:tabs>
            <w:spacing w:line="0" w:lineRule="atLeast"/>
          </w:pPr>
        </w:pPrChange>
      </w:pPr>
    </w:p>
    <w:p>
      <w:pPr>
        <w:tabs>
          <w:tab w:val="left" w:pos="180"/>
        </w:tabs>
        <w:rPr>
          <w:del w:id="5982" w:author="Author"/>
          <w:i/>
          <w:iCs/>
          <w:noProof/>
          <w:szCs w:val="22"/>
          <w:lang w:val="it-IT"/>
        </w:rPr>
        <w:pPrChange w:id="5983" w:author="Author">
          <w:pPr>
            <w:tabs>
              <w:tab w:val="left" w:pos="180"/>
            </w:tabs>
            <w:spacing w:line="0" w:lineRule="atLeast"/>
          </w:pPr>
        </w:pPrChange>
      </w:pPr>
      <w:del w:id="5984" w:author="Author">
        <w:r>
          <w:rPr>
            <w:i/>
            <w:iCs/>
            <w:noProof/>
            <w:szCs w:val="22"/>
            <w:lang w:val="it-IT"/>
          </w:rPr>
          <w:delText>Uso sottocutaneo</w:delText>
        </w:r>
      </w:del>
    </w:p>
    <w:p>
      <w:pPr>
        <w:tabs>
          <w:tab w:val="left" w:pos="180"/>
        </w:tabs>
        <w:rPr>
          <w:del w:id="5985" w:author="Author"/>
          <w:i/>
          <w:iCs/>
          <w:noProof/>
          <w:szCs w:val="22"/>
          <w:lang w:val="it-IT"/>
        </w:rPr>
        <w:pPrChange w:id="5986" w:author="Author">
          <w:pPr>
            <w:tabs>
              <w:tab w:val="left" w:pos="180"/>
            </w:tabs>
            <w:spacing w:line="0" w:lineRule="atLeast"/>
          </w:pPr>
        </w:pPrChange>
      </w:pPr>
    </w:p>
    <w:p>
      <w:pPr>
        <w:numPr>
          <w:ilvl w:val="12"/>
          <w:numId w:val="0"/>
        </w:numPr>
        <w:tabs>
          <w:tab w:val="left" w:pos="180"/>
        </w:tabs>
        <w:ind w:right="-2"/>
        <w:rPr>
          <w:noProof/>
          <w:lang w:val="it-IT"/>
        </w:rPr>
      </w:pPr>
      <w:r>
        <w:rPr>
          <w:noProof/>
          <w:lang w:val="it-IT"/>
        </w:rPr>
        <w:t xml:space="preserve">La farmacocinetica di </w:t>
      </w:r>
      <w:r>
        <w:rPr>
          <w:noProof/>
          <w:szCs w:val="22"/>
          <w:lang w:val="it-IT"/>
        </w:rPr>
        <w:t xml:space="preserve">tocilizumab </w:t>
      </w:r>
      <w:r>
        <w:rPr>
          <w:noProof/>
          <w:lang w:val="it-IT"/>
        </w:rPr>
        <w:t xml:space="preserve">nei pazienti affetti da AIGp è stata caratterizzata attraverso un’analisi di farmacocinetica di popolazione che ha incluso </w:t>
      </w:r>
      <w:r>
        <w:rPr>
          <w:noProof/>
          <w:lang w:val="it-IT" w:eastAsia="de-DE"/>
        </w:rPr>
        <w:t xml:space="preserve">237 pazienti trattati con 8 mg/kg </w:t>
      </w:r>
      <w:del w:id="5987" w:author="Author">
        <w:r>
          <w:rPr>
            <w:noProof/>
            <w:lang w:val="it-IT" w:eastAsia="de-DE"/>
          </w:rPr>
          <w:delText>della formulazione</w:delText>
        </w:r>
      </w:del>
      <w:ins w:id="5988" w:author="Author">
        <w:r>
          <w:rPr>
            <w:noProof/>
            <w:lang w:val="it-IT" w:eastAsia="de-DE"/>
          </w:rPr>
          <w:t>per via</w:t>
        </w:r>
      </w:ins>
      <w:r>
        <w:rPr>
          <w:noProof/>
          <w:lang w:val="it-IT" w:eastAsia="de-DE"/>
        </w:rPr>
        <w:t xml:space="preserve"> endovenosa ogni 4 settimane (pazienti di peso ≥ 30 kg), 10 mg/kg </w:t>
      </w:r>
      <w:del w:id="5989" w:author="Author">
        <w:r>
          <w:rPr>
            <w:noProof/>
            <w:lang w:val="it-IT" w:eastAsia="de-DE"/>
          </w:rPr>
          <w:delText>della formulazione</w:delText>
        </w:r>
      </w:del>
      <w:ins w:id="5990" w:author="Author">
        <w:r>
          <w:rPr>
            <w:noProof/>
            <w:lang w:val="it-IT" w:eastAsia="de-DE"/>
          </w:rPr>
          <w:t>per via</w:t>
        </w:r>
      </w:ins>
      <w:r>
        <w:rPr>
          <w:noProof/>
          <w:lang w:val="it-IT" w:eastAsia="de-DE"/>
        </w:rPr>
        <w:t xml:space="preserve"> endovenosa ogni 4 settimane (pazienti di peso inferiore a 30 kg), 162 mg </w:t>
      </w:r>
      <w:del w:id="5991" w:author="Author">
        <w:r>
          <w:rPr>
            <w:noProof/>
            <w:lang w:val="it-IT" w:eastAsia="de-DE"/>
          </w:rPr>
          <w:delText>della formulazione</w:delText>
        </w:r>
      </w:del>
      <w:ins w:id="5992" w:author="Author">
        <w:r>
          <w:rPr>
            <w:noProof/>
            <w:lang w:val="it-IT" w:eastAsia="de-DE"/>
          </w:rPr>
          <w:t>per via</w:t>
        </w:r>
      </w:ins>
      <w:r>
        <w:rPr>
          <w:noProof/>
          <w:lang w:val="it-IT" w:eastAsia="de-DE"/>
        </w:rPr>
        <w:t xml:space="preserve"> sottocutanea ogni 2 settimane (pazienti di peso ≥ 30 kg) o 162 mg </w:t>
      </w:r>
      <w:del w:id="5993" w:author="Author">
        <w:r>
          <w:rPr>
            <w:noProof/>
            <w:lang w:val="it-IT" w:eastAsia="de-DE"/>
          </w:rPr>
          <w:delText>della formulazione</w:delText>
        </w:r>
      </w:del>
      <w:ins w:id="5994" w:author="Author">
        <w:r>
          <w:rPr>
            <w:noProof/>
            <w:lang w:val="it-IT" w:eastAsia="de-DE"/>
          </w:rPr>
          <w:t>per via</w:t>
        </w:r>
      </w:ins>
      <w:r>
        <w:rPr>
          <w:noProof/>
          <w:lang w:val="it-IT" w:eastAsia="de-DE"/>
        </w:rPr>
        <w:t xml:space="preserve"> sottocutanea ogni 3 settimane (pazienti di peso inferiore a 30 kg)</w:t>
      </w:r>
      <w:r>
        <w:rPr>
          <w:noProof/>
          <w:lang w:val="it-IT"/>
        </w:rPr>
        <w:t>.</w:t>
      </w:r>
    </w:p>
    <w:p>
      <w:pPr>
        <w:numPr>
          <w:ilvl w:val="12"/>
          <w:numId w:val="0"/>
        </w:numPr>
        <w:tabs>
          <w:tab w:val="left" w:pos="180"/>
        </w:tabs>
        <w:ind w:right="-2"/>
        <w:rPr>
          <w:noProof/>
          <w:lang w:val="it-IT"/>
        </w:rPr>
      </w:pPr>
    </w:p>
    <w:p>
      <w:pPr>
        <w:keepNext/>
        <w:keepLines/>
        <w:numPr>
          <w:ilvl w:val="12"/>
          <w:numId w:val="0"/>
        </w:numPr>
        <w:ind w:right="-2"/>
        <w:rPr>
          <w:bCs/>
          <w:i/>
          <w:noProof/>
          <w:szCs w:val="22"/>
          <w:lang w:val="it-IT"/>
        </w:rPr>
      </w:pPr>
      <w:r>
        <w:rPr>
          <w:bCs/>
          <w:i/>
          <w:noProof/>
          <w:szCs w:val="22"/>
          <w:lang w:val="it-IT"/>
        </w:rPr>
        <w:t xml:space="preserve">Tabella 9. Parametri </w:t>
      </w:r>
      <w:del w:id="5995" w:author="Author">
        <w:r>
          <w:rPr>
            <w:bCs/>
            <w:i/>
            <w:noProof/>
            <w:szCs w:val="22"/>
            <w:lang w:val="it-IT"/>
          </w:rPr>
          <w:delText xml:space="preserve">previsti di </w:delText>
        </w:r>
      </w:del>
      <w:r>
        <w:rPr>
          <w:bCs/>
          <w:i/>
          <w:noProof/>
          <w:szCs w:val="22"/>
          <w:lang w:val="it-IT"/>
        </w:rPr>
        <w:t xml:space="preserve">PK </w:t>
      </w:r>
      <w:bookmarkStart w:id="5996" w:name="_Hlk224047028"/>
      <w:ins w:id="5997" w:author="Author">
        <w:r>
          <w:rPr>
            <w:bCs/>
            <w:i/>
            <w:noProof/>
            <w:szCs w:val="22"/>
            <w:lang w:val="it-IT"/>
          </w:rPr>
          <w:t xml:space="preserve">medi ± DS predetti </w:t>
        </w:r>
      </w:ins>
      <w:bookmarkEnd w:id="5996"/>
      <w:r>
        <w:rPr>
          <w:bCs/>
          <w:i/>
          <w:noProof/>
          <w:szCs w:val="22"/>
          <w:lang w:val="it-IT"/>
        </w:rPr>
        <w:t xml:space="preserve">allo stato stazionario </w:t>
      </w:r>
      <w:del w:id="5998" w:author="Author">
        <w:r>
          <w:rPr>
            <w:bCs/>
            <w:i/>
            <w:noProof/>
            <w:szCs w:val="22"/>
            <w:lang w:val="it-IT"/>
          </w:rPr>
          <w:delText xml:space="preserve">relativi a media </w:delText>
        </w:r>
      </w:del>
      <w:ins w:id="5999" w:author="Author">
        <w:del w:id="6000" w:author="Author">
          <w:r>
            <w:rPr>
              <w:bCs/>
              <w:i/>
              <w:noProof/>
              <w:szCs w:val="22"/>
              <w:lang w:val="it-IT"/>
            </w:rPr>
            <w:delText> </w:delText>
          </w:r>
        </w:del>
      </w:ins>
      <w:del w:id="6001" w:author="Author">
        <w:r>
          <w:rPr>
            <w:bCs/>
            <w:i/>
            <w:noProof/>
            <w:szCs w:val="22"/>
            <w:lang w:val="it-IT"/>
          </w:rPr>
          <w:delText>±</w:delText>
        </w:r>
      </w:del>
      <w:ins w:id="6002" w:author="Author">
        <w:del w:id="6003" w:author="Author">
          <w:r>
            <w:rPr>
              <w:bCs/>
              <w:i/>
              <w:noProof/>
              <w:szCs w:val="22"/>
              <w:lang w:val="it-IT"/>
            </w:rPr>
            <w:delText> </w:delText>
          </w:r>
        </w:del>
      </w:ins>
      <w:del w:id="6004" w:author="Author">
        <w:r>
          <w:rPr>
            <w:bCs/>
            <w:i/>
            <w:noProof/>
            <w:szCs w:val="22"/>
            <w:lang w:val="it-IT"/>
          </w:rPr>
          <w:delText xml:space="preserve"> DS </w:delText>
        </w:r>
      </w:del>
      <w:r>
        <w:rPr>
          <w:bCs/>
          <w:i/>
          <w:noProof/>
          <w:szCs w:val="22"/>
          <w:lang w:val="it-IT"/>
        </w:rPr>
        <w:t>dopo somministrazione</w:t>
      </w:r>
      <w:ins w:id="6005" w:author="Author">
        <w:r>
          <w:rPr>
            <w:bCs/>
            <w:i/>
            <w:noProof/>
            <w:szCs w:val="22"/>
            <w:lang w:val="it-IT"/>
          </w:rPr>
          <w:t xml:space="preserve"> </w:t>
        </w:r>
      </w:ins>
      <w:r>
        <w:rPr>
          <w:bCs/>
          <w:i/>
          <w:noProof/>
          <w:szCs w:val="22"/>
          <w:lang w:val="it-IT"/>
        </w:rPr>
        <w:t>sottocutanea in soggetti affetti da AIGp</w:t>
      </w:r>
    </w:p>
    <w:p>
      <w:pPr>
        <w:keepNext/>
        <w:keepLines/>
        <w:numPr>
          <w:ilvl w:val="12"/>
          <w:numId w:val="0"/>
        </w:numPr>
        <w:ind w:right="-2"/>
        <w:rPr>
          <w:bCs/>
          <w:i/>
          <w:noProof/>
          <w:szCs w:val="22"/>
          <w:lang w:val="it-IT"/>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6006" w:author="Author">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PrChange>
      </w:tblPr>
      <w:tblGrid>
        <w:gridCol w:w="3114"/>
        <w:gridCol w:w="2976"/>
        <w:gridCol w:w="2977"/>
        <w:tblGridChange w:id="6007">
          <w:tblGrid>
            <w:gridCol w:w="3114"/>
            <w:gridCol w:w="2835"/>
            <w:gridCol w:w="3118"/>
          </w:tblGrid>
        </w:tblGridChange>
      </w:tblGrid>
      <w:tr>
        <w:trPr>
          <w:cantSplit/>
          <w:trPrChange w:id="6008" w:author="Author">
            <w:trPr>
              <w:cantSplit/>
            </w:trPr>
          </w:trPrChange>
        </w:trPr>
        <w:tc>
          <w:tcPr>
            <w:tcW w:w="3114" w:type="dxa"/>
            <w:tcBorders>
              <w:top w:val="single" w:sz="4" w:space="0" w:color="auto"/>
              <w:left w:val="single" w:sz="4" w:space="0" w:color="auto"/>
              <w:bottom w:val="single" w:sz="4" w:space="0" w:color="auto"/>
              <w:right w:val="single" w:sz="4" w:space="0" w:color="auto"/>
            </w:tcBorders>
            <w:hideMark/>
            <w:tcPrChange w:id="6009" w:author="Author">
              <w:tcPr>
                <w:tcW w:w="3114"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6010" w:author="Author">
                <w:pPr>
                  <w:pStyle w:val="TextTi9"/>
                  <w:keepNext/>
                  <w:keepLines/>
                  <w:spacing w:after="120"/>
                </w:pPr>
              </w:pPrChange>
            </w:pPr>
            <w:r>
              <w:rPr>
                <w:rFonts w:ascii="Times New Roman" w:hAnsi="Times New Roman"/>
                <w:b/>
                <w:noProof/>
                <w:sz w:val="20"/>
                <w:szCs w:val="20"/>
                <w:lang w:val="it-IT"/>
              </w:rPr>
              <w:t>Parametro di PK di Tocilizumab</w:t>
            </w:r>
          </w:p>
        </w:tc>
        <w:tc>
          <w:tcPr>
            <w:tcW w:w="2976" w:type="dxa"/>
            <w:tcBorders>
              <w:top w:val="single" w:sz="4" w:space="0" w:color="auto"/>
              <w:left w:val="single" w:sz="4" w:space="0" w:color="auto"/>
              <w:bottom w:val="single" w:sz="4" w:space="0" w:color="auto"/>
              <w:right w:val="single" w:sz="4" w:space="0" w:color="auto"/>
            </w:tcBorders>
            <w:hideMark/>
            <w:tcPrChange w:id="6011"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del w:id="6012" w:author="Author"/>
                <w:rFonts w:ascii="Times New Roman" w:hAnsi="Times New Roman"/>
                <w:b/>
                <w:noProof/>
                <w:sz w:val="20"/>
                <w:szCs w:val="20"/>
                <w:lang w:val="it-IT"/>
              </w:rPr>
              <w:pPrChange w:id="6013" w:author="Author">
                <w:pPr>
                  <w:pStyle w:val="TextTi9"/>
                  <w:keepNext/>
                  <w:keepLines/>
                  <w:spacing w:after="120"/>
                  <w:jc w:val="center"/>
                </w:pPr>
              </w:pPrChange>
            </w:pPr>
            <w:r>
              <w:rPr>
                <w:rFonts w:ascii="Times New Roman" w:hAnsi="Times New Roman"/>
                <w:b/>
                <w:noProof/>
                <w:sz w:val="20"/>
                <w:szCs w:val="20"/>
                <w:lang w:val="it-IT"/>
              </w:rPr>
              <w:t>162 mg Q2W</w:t>
            </w:r>
            <w:ins w:id="6014" w:author="Author">
              <w:r>
                <w:rPr>
                  <w:rFonts w:ascii="Times New Roman" w:hAnsi="Times New Roman"/>
                  <w:b/>
                  <w:noProof/>
                  <w:sz w:val="20"/>
                  <w:szCs w:val="20"/>
                  <w:lang w:val="it-IT"/>
                </w:rPr>
                <w:t xml:space="preserve"> </w:t>
              </w:r>
            </w:ins>
          </w:p>
          <w:p>
            <w:pPr>
              <w:pStyle w:val="TextTi9"/>
              <w:keepNext/>
              <w:suppressAutoHyphens/>
              <w:spacing w:after="0"/>
              <w:jc w:val="center"/>
              <w:rPr>
                <w:rFonts w:ascii="Times New Roman" w:hAnsi="Times New Roman"/>
                <w:b/>
                <w:noProof/>
                <w:sz w:val="20"/>
                <w:szCs w:val="20"/>
                <w:lang w:val="it-IT"/>
              </w:rPr>
              <w:pPrChange w:id="6015" w:author="Author">
                <w:pPr>
                  <w:pStyle w:val="TextTi9"/>
                  <w:keepNext/>
                  <w:keepLines/>
                  <w:spacing w:after="120"/>
                  <w:jc w:val="center"/>
                </w:pPr>
              </w:pPrChange>
            </w:pPr>
            <w:r>
              <w:rPr>
                <w:rFonts w:ascii="Times New Roman" w:hAnsi="Times New Roman"/>
                <w:b/>
                <w:noProof/>
                <w:sz w:val="20"/>
                <w:szCs w:val="20"/>
                <w:lang w:val="it-IT"/>
              </w:rPr>
              <w:t>≥ 30 kg</w:t>
            </w:r>
          </w:p>
        </w:tc>
        <w:tc>
          <w:tcPr>
            <w:tcW w:w="2977" w:type="dxa"/>
            <w:tcBorders>
              <w:top w:val="single" w:sz="4" w:space="0" w:color="auto"/>
              <w:left w:val="single" w:sz="4" w:space="0" w:color="auto"/>
              <w:bottom w:val="single" w:sz="4" w:space="0" w:color="auto"/>
              <w:right w:val="single" w:sz="4" w:space="0" w:color="auto"/>
            </w:tcBorders>
            <w:hideMark/>
            <w:tcPrChange w:id="6016" w:author="Author">
              <w:tcPr>
                <w:tcW w:w="3118"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del w:id="6017" w:author="Author"/>
                <w:rFonts w:ascii="Times New Roman" w:hAnsi="Times New Roman"/>
                <w:b/>
                <w:noProof/>
                <w:sz w:val="20"/>
                <w:szCs w:val="20"/>
                <w:lang w:val="it-IT"/>
              </w:rPr>
              <w:pPrChange w:id="6018" w:author="Author">
                <w:pPr>
                  <w:pStyle w:val="TextTi9"/>
                  <w:keepNext/>
                  <w:keepLines/>
                  <w:spacing w:after="120"/>
                  <w:jc w:val="center"/>
                </w:pPr>
              </w:pPrChange>
            </w:pPr>
            <w:r>
              <w:rPr>
                <w:rFonts w:ascii="Times New Roman" w:hAnsi="Times New Roman"/>
                <w:b/>
                <w:noProof/>
                <w:sz w:val="20"/>
                <w:szCs w:val="20"/>
                <w:lang w:val="it-IT"/>
              </w:rPr>
              <w:t>162 mg Q3W</w:t>
            </w:r>
            <w:ins w:id="6019" w:author="Author">
              <w:r>
                <w:rPr>
                  <w:rFonts w:ascii="Times New Roman" w:hAnsi="Times New Roman"/>
                  <w:b/>
                  <w:noProof/>
                  <w:sz w:val="20"/>
                  <w:szCs w:val="20"/>
                  <w:lang w:val="it-IT"/>
                </w:rPr>
                <w:t xml:space="preserve"> </w:t>
              </w:r>
            </w:ins>
          </w:p>
          <w:p>
            <w:pPr>
              <w:pStyle w:val="TextTi9"/>
              <w:keepNext/>
              <w:suppressAutoHyphens/>
              <w:spacing w:after="0"/>
              <w:jc w:val="center"/>
              <w:rPr>
                <w:rFonts w:ascii="Times New Roman" w:hAnsi="Times New Roman"/>
                <w:b/>
                <w:noProof/>
                <w:sz w:val="20"/>
                <w:szCs w:val="20"/>
                <w:lang w:val="it-IT"/>
              </w:rPr>
              <w:pPrChange w:id="6020" w:author="Author">
                <w:pPr>
                  <w:pStyle w:val="TextTi9"/>
                  <w:keepNext/>
                  <w:keepLines/>
                  <w:spacing w:after="120"/>
                  <w:jc w:val="center"/>
                </w:pPr>
              </w:pPrChange>
            </w:pPr>
            <w:r>
              <w:rPr>
                <w:rFonts w:ascii="Times New Roman" w:hAnsi="Times New Roman"/>
                <w:b/>
                <w:noProof/>
                <w:sz w:val="20"/>
                <w:szCs w:val="20"/>
                <w:lang w:val="it-IT"/>
              </w:rPr>
              <w:t>&lt; 30 kg</w:t>
            </w:r>
          </w:p>
        </w:tc>
      </w:tr>
      <w:tr>
        <w:trPr>
          <w:cantSplit/>
          <w:trPrChange w:id="6021" w:author="Author">
            <w:trPr>
              <w:cantSplit/>
            </w:trPr>
          </w:trPrChange>
        </w:trPr>
        <w:tc>
          <w:tcPr>
            <w:tcW w:w="3114" w:type="dxa"/>
            <w:tcBorders>
              <w:top w:val="single" w:sz="4" w:space="0" w:color="auto"/>
              <w:left w:val="single" w:sz="4" w:space="0" w:color="auto"/>
              <w:bottom w:val="single" w:sz="4" w:space="0" w:color="auto"/>
              <w:right w:val="single" w:sz="4" w:space="0" w:color="auto"/>
            </w:tcBorders>
            <w:hideMark/>
            <w:tcPrChange w:id="6022" w:author="Author">
              <w:tcPr>
                <w:tcW w:w="3114"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6023" w:author="Author">
                <w:pPr>
                  <w:pStyle w:val="TextTi9"/>
                  <w:keepNext/>
                  <w:keepLines/>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max</w:t>
            </w:r>
            <w:r>
              <w:rPr>
                <w:rFonts w:ascii="Times New Roman" w:hAnsi="Times New Roman"/>
                <w:noProof/>
                <w:sz w:val="20"/>
                <w:szCs w:val="20"/>
                <w:lang w:val="it-IT"/>
              </w:rPr>
              <w:t xml:space="preserve"> (µg/mL)</w:t>
            </w:r>
          </w:p>
        </w:tc>
        <w:tc>
          <w:tcPr>
            <w:tcW w:w="2976" w:type="dxa"/>
            <w:tcBorders>
              <w:top w:val="single" w:sz="4" w:space="0" w:color="auto"/>
              <w:left w:val="single" w:sz="4" w:space="0" w:color="auto"/>
              <w:bottom w:val="single" w:sz="4" w:space="0" w:color="auto"/>
              <w:right w:val="single" w:sz="4" w:space="0" w:color="auto"/>
            </w:tcBorders>
            <w:hideMark/>
            <w:tcPrChange w:id="6024"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6025" w:author="Author">
                <w:pPr>
                  <w:pStyle w:val="TextTi9"/>
                  <w:keepNext/>
                  <w:keepLines/>
                  <w:spacing w:after="120"/>
                  <w:jc w:val="center"/>
                </w:pPr>
              </w:pPrChange>
            </w:pPr>
            <w:r>
              <w:rPr>
                <w:rFonts w:ascii="Times New Roman" w:hAnsi="Times New Roman"/>
                <w:noProof/>
                <w:sz w:val="20"/>
                <w:szCs w:val="20"/>
                <w:lang w:val="it-IT"/>
              </w:rPr>
              <w:t>29,4</w:t>
            </w:r>
            <w:del w:id="6026" w:author="Author">
              <w:r>
                <w:rPr>
                  <w:rFonts w:ascii="Times New Roman" w:hAnsi="Times New Roman"/>
                  <w:noProof/>
                  <w:sz w:val="20"/>
                  <w:szCs w:val="20"/>
                  <w:lang w:val="it-IT"/>
                </w:rPr>
                <w:delText xml:space="preserve"> </w:delText>
              </w:r>
            </w:del>
            <w:ins w:id="6027" w:author="Author">
              <w:r>
                <w:rPr>
                  <w:rFonts w:ascii="Times New Roman" w:hAnsi="Times New Roman"/>
                  <w:noProof/>
                  <w:sz w:val="20"/>
                  <w:szCs w:val="20"/>
                  <w:lang w:val="it-IT"/>
                </w:rPr>
                <w:t> </w:t>
              </w:r>
            </w:ins>
            <w:r>
              <w:rPr>
                <w:rFonts w:ascii="Times New Roman" w:hAnsi="Times New Roman"/>
                <w:noProof/>
                <w:sz w:val="20"/>
                <w:szCs w:val="20"/>
                <w:lang w:val="it-IT"/>
              </w:rPr>
              <w:t>±</w:t>
            </w:r>
            <w:ins w:id="6028" w:author="Author">
              <w:r>
                <w:rPr>
                  <w:rFonts w:ascii="Times New Roman" w:hAnsi="Times New Roman"/>
                  <w:noProof/>
                  <w:sz w:val="20"/>
                  <w:szCs w:val="20"/>
                  <w:lang w:val="it-IT"/>
                </w:rPr>
                <w:t> </w:t>
              </w:r>
            </w:ins>
            <w:del w:id="6029"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13,5</w:t>
            </w:r>
          </w:p>
        </w:tc>
        <w:tc>
          <w:tcPr>
            <w:tcW w:w="2977" w:type="dxa"/>
            <w:tcBorders>
              <w:top w:val="single" w:sz="4" w:space="0" w:color="auto"/>
              <w:left w:val="single" w:sz="4" w:space="0" w:color="auto"/>
              <w:bottom w:val="single" w:sz="4" w:space="0" w:color="auto"/>
              <w:right w:val="single" w:sz="4" w:space="0" w:color="auto"/>
            </w:tcBorders>
            <w:hideMark/>
            <w:tcPrChange w:id="6030" w:author="Author">
              <w:tcPr>
                <w:tcW w:w="3118"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6031" w:author="Author">
                <w:pPr>
                  <w:pStyle w:val="TextTi9"/>
                  <w:keepNext/>
                  <w:keepLines/>
                  <w:spacing w:after="120"/>
                  <w:jc w:val="center"/>
                </w:pPr>
              </w:pPrChange>
            </w:pPr>
            <w:r>
              <w:rPr>
                <w:rFonts w:ascii="Times New Roman" w:hAnsi="Times New Roman"/>
                <w:noProof/>
                <w:sz w:val="20"/>
                <w:szCs w:val="20"/>
                <w:lang w:val="it-IT"/>
              </w:rPr>
              <w:t>75,5</w:t>
            </w:r>
            <w:del w:id="6032" w:author="Author">
              <w:r>
                <w:rPr>
                  <w:rFonts w:ascii="Times New Roman" w:hAnsi="Times New Roman"/>
                  <w:noProof/>
                  <w:sz w:val="20"/>
                  <w:szCs w:val="20"/>
                  <w:lang w:val="it-IT"/>
                </w:rPr>
                <w:delText xml:space="preserve"> </w:delText>
              </w:r>
            </w:del>
            <w:ins w:id="6033" w:author="Author">
              <w:r>
                <w:rPr>
                  <w:rFonts w:ascii="Times New Roman" w:hAnsi="Times New Roman"/>
                  <w:noProof/>
                  <w:sz w:val="20"/>
                  <w:szCs w:val="20"/>
                  <w:lang w:val="it-IT"/>
                </w:rPr>
                <w:t> </w:t>
              </w:r>
            </w:ins>
            <w:r>
              <w:rPr>
                <w:rFonts w:ascii="Times New Roman" w:hAnsi="Times New Roman"/>
                <w:noProof/>
                <w:sz w:val="20"/>
                <w:szCs w:val="20"/>
                <w:lang w:val="it-IT"/>
              </w:rPr>
              <w:t>±</w:t>
            </w:r>
            <w:ins w:id="6034" w:author="Author">
              <w:r>
                <w:rPr>
                  <w:rFonts w:ascii="Times New Roman" w:hAnsi="Times New Roman"/>
                  <w:noProof/>
                  <w:sz w:val="20"/>
                  <w:szCs w:val="20"/>
                  <w:lang w:val="it-IT"/>
                </w:rPr>
                <w:t> </w:t>
              </w:r>
            </w:ins>
            <w:del w:id="6035"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24,1</w:t>
            </w:r>
          </w:p>
        </w:tc>
      </w:tr>
      <w:tr>
        <w:trPr>
          <w:cantSplit/>
          <w:trPrChange w:id="6036" w:author="Author">
            <w:trPr>
              <w:cantSplit/>
            </w:trPr>
          </w:trPrChange>
        </w:trPr>
        <w:tc>
          <w:tcPr>
            <w:tcW w:w="3114" w:type="dxa"/>
            <w:tcBorders>
              <w:top w:val="single" w:sz="4" w:space="0" w:color="auto"/>
              <w:left w:val="single" w:sz="4" w:space="0" w:color="auto"/>
              <w:bottom w:val="single" w:sz="4" w:space="0" w:color="auto"/>
              <w:right w:val="single" w:sz="4" w:space="0" w:color="auto"/>
            </w:tcBorders>
            <w:hideMark/>
            <w:tcPrChange w:id="6037" w:author="Author">
              <w:tcPr>
                <w:tcW w:w="3114"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6038" w:author="Author">
                <w:pPr>
                  <w:pStyle w:val="TextTi9"/>
                  <w:keepNext/>
                  <w:keepLines/>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min</w:t>
            </w:r>
            <w:r>
              <w:rPr>
                <w:rFonts w:ascii="Times New Roman" w:hAnsi="Times New Roman"/>
                <w:noProof/>
                <w:sz w:val="20"/>
                <w:szCs w:val="20"/>
                <w:lang w:val="it-IT"/>
              </w:rPr>
              <w:t xml:space="preserve"> (µg/mL)</w:t>
            </w:r>
          </w:p>
        </w:tc>
        <w:tc>
          <w:tcPr>
            <w:tcW w:w="2976" w:type="dxa"/>
            <w:tcBorders>
              <w:top w:val="single" w:sz="4" w:space="0" w:color="auto"/>
              <w:left w:val="single" w:sz="4" w:space="0" w:color="auto"/>
              <w:bottom w:val="single" w:sz="4" w:space="0" w:color="auto"/>
              <w:right w:val="single" w:sz="4" w:space="0" w:color="auto"/>
            </w:tcBorders>
            <w:hideMark/>
            <w:tcPrChange w:id="6039"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6040" w:author="Author">
                <w:pPr>
                  <w:pStyle w:val="TextTi9"/>
                  <w:keepNext/>
                  <w:keepLines/>
                  <w:spacing w:after="120"/>
                  <w:jc w:val="center"/>
                </w:pPr>
              </w:pPrChange>
            </w:pPr>
            <w:r>
              <w:rPr>
                <w:rFonts w:ascii="Times New Roman" w:hAnsi="Times New Roman"/>
                <w:noProof/>
                <w:sz w:val="20"/>
                <w:szCs w:val="20"/>
                <w:lang w:val="it-IT"/>
              </w:rPr>
              <w:t>11,8</w:t>
            </w:r>
            <w:del w:id="6041" w:author="Author">
              <w:r>
                <w:rPr>
                  <w:rFonts w:ascii="Times New Roman" w:hAnsi="Times New Roman"/>
                  <w:noProof/>
                  <w:sz w:val="20"/>
                  <w:szCs w:val="20"/>
                  <w:lang w:val="it-IT"/>
                </w:rPr>
                <w:delText xml:space="preserve"> </w:delText>
              </w:r>
            </w:del>
            <w:ins w:id="6042" w:author="Author">
              <w:r>
                <w:rPr>
                  <w:rFonts w:ascii="Times New Roman" w:hAnsi="Times New Roman"/>
                  <w:noProof/>
                  <w:sz w:val="20"/>
                  <w:szCs w:val="20"/>
                  <w:lang w:val="it-IT"/>
                </w:rPr>
                <w:t> </w:t>
              </w:r>
            </w:ins>
            <w:r>
              <w:rPr>
                <w:rFonts w:ascii="Times New Roman" w:hAnsi="Times New Roman"/>
                <w:noProof/>
                <w:sz w:val="20"/>
                <w:szCs w:val="20"/>
                <w:lang w:val="it-IT"/>
              </w:rPr>
              <w:t>±</w:t>
            </w:r>
            <w:ins w:id="6043" w:author="Author">
              <w:r>
                <w:rPr>
                  <w:rFonts w:ascii="Times New Roman" w:hAnsi="Times New Roman"/>
                  <w:noProof/>
                  <w:sz w:val="20"/>
                  <w:szCs w:val="20"/>
                  <w:lang w:val="it-IT"/>
                </w:rPr>
                <w:t> </w:t>
              </w:r>
            </w:ins>
            <w:del w:id="6044"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7,08</w:t>
            </w:r>
          </w:p>
        </w:tc>
        <w:tc>
          <w:tcPr>
            <w:tcW w:w="2977" w:type="dxa"/>
            <w:tcBorders>
              <w:top w:val="single" w:sz="4" w:space="0" w:color="auto"/>
              <w:left w:val="single" w:sz="4" w:space="0" w:color="auto"/>
              <w:bottom w:val="single" w:sz="4" w:space="0" w:color="auto"/>
              <w:right w:val="single" w:sz="4" w:space="0" w:color="auto"/>
            </w:tcBorders>
            <w:hideMark/>
            <w:tcPrChange w:id="6045" w:author="Author">
              <w:tcPr>
                <w:tcW w:w="3118"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6046" w:author="Author">
                <w:pPr>
                  <w:pStyle w:val="TextTi9"/>
                  <w:keepNext/>
                  <w:keepLines/>
                  <w:spacing w:after="120"/>
                  <w:jc w:val="center"/>
                </w:pPr>
              </w:pPrChange>
            </w:pPr>
            <w:r>
              <w:rPr>
                <w:rFonts w:ascii="Times New Roman" w:hAnsi="Times New Roman"/>
                <w:noProof/>
                <w:sz w:val="20"/>
                <w:szCs w:val="20"/>
                <w:lang w:val="it-IT"/>
              </w:rPr>
              <w:t>18,4</w:t>
            </w:r>
            <w:del w:id="6047" w:author="Author">
              <w:r>
                <w:rPr>
                  <w:rFonts w:ascii="Times New Roman" w:hAnsi="Times New Roman"/>
                  <w:noProof/>
                  <w:sz w:val="20"/>
                  <w:szCs w:val="20"/>
                  <w:lang w:val="it-IT"/>
                </w:rPr>
                <w:delText xml:space="preserve"> </w:delText>
              </w:r>
            </w:del>
            <w:ins w:id="6048" w:author="Author">
              <w:r>
                <w:rPr>
                  <w:rFonts w:ascii="Times New Roman" w:hAnsi="Times New Roman"/>
                  <w:noProof/>
                  <w:sz w:val="20"/>
                  <w:szCs w:val="20"/>
                  <w:lang w:val="it-IT"/>
                </w:rPr>
                <w:t> </w:t>
              </w:r>
            </w:ins>
            <w:r>
              <w:rPr>
                <w:rFonts w:ascii="Times New Roman" w:hAnsi="Times New Roman"/>
                <w:noProof/>
                <w:sz w:val="20"/>
                <w:szCs w:val="20"/>
                <w:lang w:val="it-IT"/>
              </w:rPr>
              <w:t>±</w:t>
            </w:r>
            <w:ins w:id="6049" w:author="Author">
              <w:r>
                <w:rPr>
                  <w:rFonts w:ascii="Times New Roman" w:hAnsi="Times New Roman"/>
                  <w:noProof/>
                  <w:sz w:val="20"/>
                  <w:szCs w:val="20"/>
                  <w:lang w:val="it-IT"/>
                </w:rPr>
                <w:t> </w:t>
              </w:r>
            </w:ins>
            <w:del w:id="6050"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12,9</w:t>
            </w:r>
          </w:p>
        </w:tc>
      </w:tr>
      <w:tr>
        <w:trPr>
          <w:cantSplit/>
          <w:trPrChange w:id="6051" w:author="Author">
            <w:trPr>
              <w:cantSplit/>
            </w:trPr>
          </w:trPrChange>
        </w:trPr>
        <w:tc>
          <w:tcPr>
            <w:tcW w:w="3114" w:type="dxa"/>
            <w:tcBorders>
              <w:top w:val="single" w:sz="4" w:space="0" w:color="auto"/>
              <w:left w:val="single" w:sz="4" w:space="0" w:color="auto"/>
              <w:bottom w:val="single" w:sz="4" w:space="0" w:color="auto"/>
              <w:right w:val="single" w:sz="4" w:space="0" w:color="auto"/>
            </w:tcBorders>
            <w:hideMark/>
            <w:tcPrChange w:id="6052" w:author="Author">
              <w:tcPr>
                <w:tcW w:w="3114"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6053" w:author="Author">
                <w:pPr>
                  <w:pStyle w:val="TextTi9"/>
                  <w:keepNext/>
                  <w:keepLines/>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avg</w:t>
            </w:r>
            <w:r>
              <w:rPr>
                <w:rFonts w:ascii="Times New Roman" w:hAnsi="Times New Roman"/>
                <w:noProof/>
                <w:sz w:val="20"/>
                <w:szCs w:val="20"/>
                <w:lang w:val="it-IT"/>
              </w:rPr>
              <w:t xml:space="preserve"> (µg/mL)</w:t>
            </w:r>
          </w:p>
        </w:tc>
        <w:tc>
          <w:tcPr>
            <w:tcW w:w="2976" w:type="dxa"/>
            <w:tcBorders>
              <w:top w:val="single" w:sz="4" w:space="0" w:color="auto"/>
              <w:left w:val="single" w:sz="4" w:space="0" w:color="auto"/>
              <w:bottom w:val="single" w:sz="4" w:space="0" w:color="auto"/>
              <w:right w:val="single" w:sz="4" w:space="0" w:color="auto"/>
            </w:tcBorders>
            <w:hideMark/>
            <w:tcPrChange w:id="6054"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6055" w:author="Author">
                <w:pPr>
                  <w:pStyle w:val="TextTi9"/>
                  <w:keepNext/>
                  <w:keepLines/>
                  <w:spacing w:after="120"/>
                  <w:jc w:val="center"/>
                </w:pPr>
              </w:pPrChange>
            </w:pPr>
            <w:r>
              <w:rPr>
                <w:rFonts w:ascii="Times New Roman" w:hAnsi="Times New Roman"/>
                <w:noProof/>
                <w:sz w:val="20"/>
                <w:szCs w:val="20"/>
                <w:lang w:val="it-IT"/>
              </w:rPr>
              <w:t>21,7</w:t>
            </w:r>
            <w:del w:id="6056" w:author="Author">
              <w:r>
                <w:rPr>
                  <w:rFonts w:ascii="Times New Roman" w:hAnsi="Times New Roman"/>
                  <w:noProof/>
                  <w:sz w:val="20"/>
                  <w:szCs w:val="20"/>
                  <w:lang w:val="it-IT"/>
                </w:rPr>
                <w:delText xml:space="preserve"> </w:delText>
              </w:r>
            </w:del>
            <w:ins w:id="6057" w:author="Author">
              <w:r>
                <w:rPr>
                  <w:rFonts w:ascii="Times New Roman" w:hAnsi="Times New Roman"/>
                  <w:noProof/>
                  <w:sz w:val="20"/>
                  <w:szCs w:val="20"/>
                  <w:lang w:val="it-IT"/>
                </w:rPr>
                <w:t> </w:t>
              </w:r>
            </w:ins>
            <w:r>
              <w:rPr>
                <w:rFonts w:ascii="Times New Roman" w:hAnsi="Times New Roman"/>
                <w:noProof/>
                <w:sz w:val="20"/>
                <w:szCs w:val="20"/>
                <w:lang w:val="it-IT"/>
              </w:rPr>
              <w:t>±</w:t>
            </w:r>
            <w:ins w:id="6058" w:author="Author">
              <w:r>
                <w:rPr>
                  <w:rFonts w:ascii="Times New Roman" w:hAnsi="Times New Roman"/>
                  <w:noProof/>
                  <w:sz w:val="20"/>
                  <w:szCs w:val="20"/>
                  <w:lang w:val="it-IT"/>
                </w:rPr>
                <w:t> </w:t>
              </w:r>
            </w:ins>
            <w:del w:id="6059"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10,4</w:t>
            </w:r>
          </w:p>
        </w:tc>
        <w:tc>
          <w:tcPr>
            <w:tcW w:w="2977" w:type="dxa"/>
            <w:tcBorders>
              <w:top w:val="single" w:sz="4" w:space="0" w:color="auto"/>
              <w:left w:val="single" w:sz="4" w:space="0" w:color="auto"/>
              <w:bottom w:val="single" w:sz="4" w:space="0" w:color="auto"/>
              <w:right w:val="single" w:sz="4" w:space="0" w:color="auto"/>
            </w:tcBorders>
            <w:hideMark/>
            <w:tcPrChange w:id="6060" w:author="Author">
              <w:tcPr>
                <w:tcW w:w="3118"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6061" w:author="Author">
                <w:pPr>
                  <w:pStyle w:val="TextTi9"/>
                  <w:keepNext/>
                  <w:keepLines/>
                  <w:spacing w:after="120"/>
                  <w:jc w:val="center"/>
                </w:pPr>
              </w:pPrChange>
            </w:pPr>
            <w:r>
              <w:rPr>
                <w:rFonts w:ascii="Times New Roman" w:hAnsi="Times New Roman"/>
                <w:noProof/>
                <w:sz w:val="20"/>
                <w:szCs w:val="20"/>
                <w:lang w:val="it-IT"/>
              </w:rPr>
              <w:t>45,5</w:t>
            </w:r>
            <w:del w:id="6062" w:author="Author">
              <w:r>
                <w:rPr>
                  <w:rFonts w:ascii="Times New Roman" w:hAnsi="Times New Roman"/>
                  <w:noProof/>
                  <w:sz w:val="20"/>
                  <w:szCs w:val="20"/>
                  <w:lang w:val="it-IT"/>
                </w:rPr>
                <w:delText xml:space="preserve"> </w:delText>
              </w:r>
            </w:del>
            <w:ins w:id="6063" w:author="Author">
              <w:r>
                <w:rPr>
                  <w:rFonts w:ascii="Times New Roman" w:hAnsi="Times New Roman"/>
                  <w:noProof/>
                  <w:sz w:val="20"/>
                  <w:szCs w:val="20"/>
                  <w:lang w:val="it-IT"/>
                </w:rPr>
                <w:t> </w:t>
              </w:r>
            </w:ins>
            <w:r>
              <w:rPr>
                <w:rFonts w:ascii="Times New Roman" w:hAnsi="Times New Roman"/>
                <w:noProof/>
                <w:sz w:val="20"/>
                <w:szCs w:val="20"/>
                <w:lang w:val="it-IT"/>
              </w:rPr>
              <w:t>±</w:t>
            </w:r>
            <w:ins w:id="6064" w:author="Author">
              <w:r>
                <w:rPr>
                  <w:rFonts w:ascii="Times New Roman" w:hAnsi="Times New Roman"/>
                  <w:noProof/>
                  <w:sz w:val="20"/>
                  <w:szCs w:val="20"/>
                  <w:lang w:val="it-IT"/>
                </w:rPr>
                <w:t> </w:t>
              </w:r>
            </w:ins>
            <w:del w:id="6065"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19,8</w:t>
            </w:r>
          </w:p>
        </w:tc>
      </w:tr>
      <w:tr>
        <w:trPr>
          <w:cantSplit/>
          <w:trPrChange w:id="6066" w:author="Author">
            <w:trPr>
              <w:cantSplit/>
            </w:trPr>
          </w:trPrChange>
        </w:trPr>
        <w:tc>
          <w:tcPr>
            <w:tcW w:w="3114" w:type="dxa"/>
            <w:tcBorders>
              <w:top w:val="single" w:sz="4" w:space="0" w:color="auto"/>
              <w:left w:val="single" w:sz="4" w:space="0" w:color="auto"/>
              <w:bottom w:val="single" w:sz="4" w:space="0" w:color="auto"/>
              <w:right w:val="single" w:sz="4" w:space="0" w:color="auto"/>
            </w:tcBorders>
            <w:hideMark/>
            <w:tcPrChange w:id="6067" w:author="Author">
              <w:tcPr>
                <w:tcW w:w="3114"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6068" w:author="Author">
                <w:pPr>
                  <w:pStyle w:val="TextTi9"/>
                  <w:keepNext/>
                  <w:keepLines/>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 xml:space="preserve">max </w:t>
            </w:r>
            <w:r>
              <w:rPr>
                <w:rFonts w:ascii="Times New Roman" w:hAnsi="Times New Roman"/>
                <w:noProof/>
                <w:sz w:val="20"/>
                <w:szCs w:val="20"/>
                <w:lang w:val="it-IT"/>
              </w:rPr>
              <w:t>d’accumulo</w:t>
            </w:r>
          </w:p>
        </w:tc>
        <w:tc>
          <w:tcPr>
            <w:tcW w:w="2976" w:type="dxa"/>
            <w:tcBorders>
              <w:top w:val="single" w:sz="4" w:space="0" w:color="auto"/>
              <w:left w:val="single" w:sz="4" w:space="0" w:color="auto"/>
              <w:bottom w:val="single" w:sz="4" w:space="0" w:color="auto"/>
              <w:right w:val="single" w:sz="4" w:space="0" w:color="auto"/>
            </w:tcBorders>
            <w:tcPrChange w:id="6069" w:author="Author">
              <w:tcPr>
                <w:tcW w:w="2835"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6070" w:author="Author">
                <w:pPr>
                  <w:pStyle w:val="TextTi9"/>
                  <w:keepNext/>
                  <w:keepLines/>
                  <w:spacing w:after="120"/>
                  <w:jc w:val="center"/>
                </w:pPr>
              </w:pPrChange>
            </w:pPr>
            <w:r>
              <w:rPr>
                <w:rFonts w:ascii="Times New Roman" w:hAnsi="Times New Roman"/>
                <w:noProof/>
                <w:sz w:val="20"/>
                <w:szCs w:val="20"/>
                <w:lang w:val="it-IT"/>
              </w:rPr>
              <w:t>1,72</w:t>
            </w:r>
          </w:p>
        </w:tc>
        <w:tc>
          <w:tcPr>
            <w:tcW w:w="2977" w:type="dxa"/>
            <w:tcBorders>
              <w:top w:val="single" w:sz="4" w:space="0" w:color="auto"/>
              <w:left w:val="single" w:sz="4" w:space="0" w:color="auto"/>
              <w:bottom w:val="single" w:sz="4" w:space="0" w:color="auto"/>
              <w:right w:val="single" w:sz="4" w:space="0" w:color="auto"/>
            </w:tcBorders>
            <w:tcPrChange w:id="6071" w:author="Author">
              <w:tcPr>
                <w:tcW w:w="3118"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6072" w:author="Author">
                <w:pPr>
                  <w:pStyle w:val="TextTi9"/>
                  <w:keepNext/>
                  <w:keepLines/>
                  <w:spacing w:after="120"/>
                  <w:jc w:val="center"/>
                </w:pPr>
              </w:pPrChange>
            </w:pPr>
            <w:r>
              <w:rPr>
                <w:rFonts w:ascii="Times New Roman" w:hAnsi="Times New Roman"/>
                <w:noProof/>
                <w:sz w:val="20"/>
                <w:szCs w:val="20"/>
                <w:lang w:val="it-IT"/>
              </w:rPr>
              <w:t>1,32</w:t>
            </w:r>
          </w:p>
        </w:tc>
      </w:tr>
      <w:tr>
        <w:trPr>
          <w:cantSplit/>
          <w:trPrChange w:id="6073" w:author="Author">
            <w:trPr>
              <w:cantSplit/>
            </w:trPr>
          </w:trPrChange>
        </w:trPr>
        <w:tc>
          <w:tcPr>
            <w:tcW w:w="3114" w:type="dxa"/>
            <w:tcBorders>
              <w:top w:val="single" w:sz="4" w:space="0" w:color="auto"/>
              <w:left w:val="single" w:sz="4" w:space="0" w:color="auto"/>
              <w:bottom w:val="single" w:sz="4" w:space="0" w:color="auto"/>
              <w:right w:val="single" w:sz="4" w:space="0" w:color="auto"/>
            </w:tcBorders>
            <w:hideMark/>
            <w:tcPrChange w:id="6074" w:author="Author">
              <w:tcPr>
                <w:tcW w:w="3114"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6075" w:author="Author">
                <w:pPr>
                  <w:pStyle w:val="TextTi9"/>
                  <w:keepNext/>
                  <w:keepLines/>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 xml:space="preserve">min </w:t>
            </w:r>
            <w:r>
              <w:rPr>
                <w:rFonts w:ascii="Times New Roman" w:hAnsi="Times New Roman"/>
                <w:noProof/>
                <w:sz w:val="20"/>
                <w:szCs w:val="20"/>
                <w:lang w:val="it-IT"/>
              </w:rPr>
              <w:t>d’accumulo</w:t>
            </w:r>
          </w:p>
        </w:tc>
        <w:tc>
          <w:tcPr>
            <w:tcW w:w="2976" w:type="dxa"/>
            <w:tcBorders>
              <w:top w:val="single" w:sz="4" w:space="0" w:color="auto"/>
              <w:left w:val="single" w:sz="4" w:space="0" w:color="auto"/>
              <w:bottom w:val="single" w:sz="4" w:space="0" w:color="auto"/>
              <w:right w:val="single" w:sz="4" w:space="0" w:color="auto"/>
            </w:tcBorders>
            <w:tcPrChange w:id="6076" w:author="Author">
              <w:tcPr>
                <w:tcW w:w="2835"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6077" w:author="Author">
                <w:pPr>
                  <w:pStyle w:val="TextTi9"/>
                  <w:keepNext/>
                  <w:keepLines/>
                  <w:spacing w:after="120"/>
                  <w:jc w:val="center"/>
                </w:pPr>
              </w:pPrChange>
            </w:pPr>
            <w:r>
              <w:rPr>
                <w:rFonts w:ascii="Times New Roman" w:hAnsi="Times New Roman"/>
                <w:noProof/>
                <w:sz w:val="20"/>
                <w:szCs w:val="20"/>
                <w:lang w:val="it-IT"/>
              </w:rPr>
              <w:t>3,58</w:t>
            </w:r>
          </w:p>
        </w:tc>
        <w:tc>
          <w:tcPr>
            <w:tcW w:w="2977" w:type="dxa"/>
            <w:tcBorders>
              <w:top w:val="single" w:sz="4" w:space="0" w:color="auto"/>
              <w:left w:val="single" w:sz="4" w:space="0" w:color="auto"/>
              <w:bottom w:val="single" w:sz="4" w:space="0" w:color="auto"/>
              <w:right w:val="single" w:sz="4" w:space="0" w:color="auto"/>
            </w:tcBorders>
            <w:tcPrChange w:id="6078" w:author="Author">
              <w:tcPr>
                <w:tcW w:w="3118"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6079" w:author="Author">
                <w:pPr>
                  <w:pStyle w:val="TextTi9"/>
                  <w:keepNext/>
                  <w:keepLines/>
                  <w:spacing w:after="120"/>
                  <w:jc w:val="center"/>
                </w:pPr>
              </w:pPrChange>
            </w:pPr>
            <w:r>
              <w:rPr>
                <w:rFonts w:ascii="Times New Roman" w:hAnsi="Times New Roman"/>
                <w:noProof/>
                <w:sz w:val="20"/>
                <w:szCs w:val="20"/>
                <w:lang w:val="it-IT"/>
              </w:rPr>
              <w:t>2,08</w:t>
            </w:r>
          </w:p>
        </w:tc>
      </w:tr>
      <w:tr>
        <w:trPr>
          <w:cantSplit/>
          <w:trPrChange w:id="6080" w:author="Author">
            <w:trPr>
              <w:cantSplit/>
            </w:trPr>
          </w:trPrChange>
        </w:trPr>
        <w:tc>
          <w:tcPr>
            <w:tcW w:w="3114" w:type="dxa"/>
            <w:tcBorders>
              <w:top w:val="single" w:sz="4" w:space="0" w:color="auto"/>
              <w:left w:val="single" w:sz="4" w:space="0" w:color="auto"/>
              <w:bottom w:val="single" w:sz="4" w:space="0" w:color="auto"/>
              <w:right w:val="single" w:sz="4" w:space="0" w:color="auto"/>
            </w:tcBorders>
            <w:tcPrChange w:id="6081" w:author="Author">
              <w:tcPr>
                <w:tcW w:w="3114"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rPr>
                <w:rFonts w:ascii="Times New Roman" w:hAnsi="Times New Roman"/>
                <w:noProof/>
                <w:sz w:val="20"/>
                <w:szCs w:val="20"/>
                <w:lang w:val="it-IT"/>
              </w:rPr>
              <w:pPrChange w:id="6082" w:author="Author">
                <w:pPr>
                  <w:pStyle w:val="TextTi9"/>
                  <w:keepNext/>
                  <w:keepLines/>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 xml:space="preserve">mean </w:t>
            </w:r>
            <w:r>
              <w:rPr>
                <w:rFonts w:ascii="Times New Roman" w:hAnsi="Times New Roman"/>
                <w:noProof/>
                <w:sz w:val="20"/>
                <w:szCs w:val="20"/>
                <w:lang w:val="it-IT"/>
              </w:rPr>
              <w:t>d’accumulo o AUC</w:t>
            </w:r>
            <w:r>
              <w:rPr>
                <w:rFonts w:ascii="Times New Roman" w:hAnsi="Times New Roman"/>
                <w:noProof/>
                <w:sz w:val="20"/>
                <w:szCs w:val="20"/>
                <w:vertAlign w:val="subscript"/>
                <w:lang w:val="it-IT"/>
              </w:rPr>
              <w:t>τ</w:t>
            </w:r>
            <w:r>
              <w:rPr>
                <w:rFonts w:ascii="Times New Roman" w:hAnsi="Times New Roman"/>
                <w:noProof/>
                <w:sz w:val="20"/>
                <w:szCs w:val="20"/>
                <w:lang w:val="it-IT"/>
              </w:rPr>
              <w:t>*</w:t>
            </w:r>
          </w:p>
        </w:tc>
        <w:tc>
          <w:tcPr>
            <w:tcW w:w="2976" w:type="dxa"/>
            <w:tcBorders>
              <w:top w:val="single" w:sz="4" w:space="0" w:color="auto"/>
              <w:left w:val="single" w:sz="4" w:space="0" w:color="auto"/>
              <w:bottom w:val="single" w:sz="4" w:space="0" w:color="auto"/>
              <w:right w:val="single" w:sz="4" w:space="0" w:color="auto"/>
            </w:tcBorders>
            <w:tcPrChange w:id="6083" w:author="Author">
              <w:tcPr>
                <w:tcW w:w="2835"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6084" w:author="Author">
                <w:pPr>
                  <w:pStyle w:val="TextTi9"/>
                  <w:keepNext/>
                  <w:keepLines/>
                  <w:spacing w:after="120"/>
                  <w:jc w:val="center"/>
                </w:pPr>
              </w:pPrChange>
            </w:pPr>
            <w:r>
              <w:rPr>
                <w:rFonts w:ascii="Times New Roman" w:hAnsi="Times New Roman"/>
                <w:noProof/>
                <w:sz w:val="20"/>
                <w:szCs w:val="20"/>
                <w:lang w:val="it-IT"/>
              </w:rPr>
              <w:t>2,04</w:t>
            </w:r>
          </w:p>
        </w:tc>
        <w:tc>
          <w:tcPr>
            <w:tcW w:w="2977" w:type="dxa"/>
            <w:tcBorders>
              <w:top w:val="single" w:sz="4" w:space="0" w:color="auto"/>
              <w:left w:val="single" w:sz="4" w:space="0" w:color="auto"/>
              <w:bottom w:val="single" w:sz="4" w:space="0" w:color="auto"/>
              <w:right w:val="single" w:sz="4" w:space="0" w:color="auto"/>
            </w:tcBorders>
            <w:tcPrChange w:id="6085" w:author="Author">
              <w:tcPr>
                <w:tcW w:w="3118"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6086" w:author="Author">
                <w:pPr>
                  <w:pStyle w:val="TextTi9"/>
                  <w:keepNext/>
                  <w:keepLines/>
                  <w:spacing w:after="120"/>
                  <w:jc w:val="center"/>
                </w:pPr>
              </w:pPrChange>
            </w:pPr>
            <w:r>
              <w:rPr>
                <w:rFonts w:ascii="Times New Roman" w:hAnsi="Times New Roman"/>
                <w:noProof/>
                <w:sz w:val="20"/>
                <w:szCs w:val="20"/>
                <w:lang w:val="it-IT"/>
              </w:rPr>
              <w:t>1,46</w:t>
            </w:r>
          </w:p>
        </w:tc>
      </w:tr>
    </w:tbl>
    <w:p>
      <w:pPr>
        <w:jc w:val="both"/>
        <w:rPr>
          <w:noProof/>
          <w:sz w:val="18"/>
          <w:szCs w:val="18"/>
          <w:lang w:val="it-IT" w:eastAsia="en-US"/>
        </w:rPr>
      </w:pPr>
      <w:r>
        <w:rPr>
          <w:noProof/>
          <w:sz w:val="18"/>
          <w:szCs w:val="18"/>
          <w:lang w:val="it-IT" w:eastAsia="en-US"/>
        </w:rPr>
        <w:t>*τ</w:t>
      </w:r>
      <w:del w:id="6087" w:author="Author">
        <w:r>
          <w:rPr>
            <w:noProof/>
            <w:sz w:val="18"/>
            <w:szCs w:val="18"/>
            <w:lang w:val="it-IT" w:eastAsia="en-US"/>
          </w:rPr>
          <w:delText xml:space="preserve"> </w:delText>
        </w:r>
      </w:del>
      <w:ins w:id="6088" w:author="Author">
        <w:r>
          <w:rPr>
            <w:noProof/>
            <w:sz w:val="18"/>
            <w:szCs w:val="18"/>
            <w:lang w:val="it-IT" w:eastAsia="en-US"/>
          </w:rPr>
          <w:t> </w:t>
        </w:r>
      </w:ins>
      <w:r>
        <w:rPr>
          <w:noProof/>
          <w:sz w:val="18"/>
          <w:szCs w:val="18"/>
          <w:lang w:val="it-IT" w:eastAsia="en-US"/>
        </w:rPr>
        <w:t>=</w:t>
      </w:r>
      <w:ins w:id="6089" w:author="Author">
        <w:r>
          <w:rPr>
            <w:noProof/>
            <w:sz w:val="18"/>
            <w:szCs w:val="18"/>
            <w:lang w:val="it-IT" w:eastAsia="en-US"/>
          </w:rPr>
          <w:t> </w:t>
        </w:r>
      </w:ins>
      <w:del w:id="6090" w:author="Author">
        <w:r>
          <w:rPr>
            <w:noProof/>
            <w:sz w:val="18"/>
            <w:szCs w:val="18"/>
            <w:lang w:val="it-IT" w:eastAsia="en-US"/>
          </w:rPr>
          <w:delText xml:space="preserve"> </w:delText>
        </w:r>
      </w:del>
      <w:r>
        <w:rPr>
          <w:noProof/>
          <w:sz w:val="18"/>
          <w:szCs w:val="18"/>
          <w:lang w:val="it-IT" w:eastAsia="en-US"/>
        </w:rPr>
        <w:t>2 o 3 settimane per i due regimi sottocutanei</w:t>
      </w:r>
    </w:p>
    <w:p>
      <w:pPr>
        <w:numPr>
          <w:ilvl w:val="12"/>
          <w:numId w:val="0"/>
        </w:numPr>
        <w:ind w:right="-2"/>
        <w:rPr>
          <w:noProof/>
          <w:szCs w:val="22"/>
          <w:lang w:val="it-IT"/>
        </w:rPr>
      </w:pPr>
    </w:p>
    <w:p>
      <w:pPr>
        <w:numPr>
          <w:ilvl w:val="12"/>
          <w:numId w:val="0"/>
        </w:numPr>
        <w:tabs>
          <w:tab w:val="left" w:pos="180"/>
        </w:tabs>
        <w:ind w:right="-2"/>
        <w:rPr>
          <w:noProof/>
          <w:lang w:val="it-IT"/>
        </w:rPr>
      </w:pPr>
      <w:r>
        <w:rPr>
          <w:iCs/>
          <w:noProof/>
          <w:szCs w:val="22"/>
          <w:lang w:val="it-IT"/>
        </w:rPr>
        <w:t xml:space="preserve">Dopo somministrazione </w:t>
      </w:r>
      <w:del w:id="6091" w:author="Author">
        <w:r>
          <w:rPr>
            <w:iCs/>
            <w:noProof/>
            <w:szCs w:val="22"/>
            <w:lang w:val="it-IT"/>
          </w:rPr>
          <w:delText xml:space="preserve">della formulazione </w:delText>
        </w:r>
      </w:del>
      <w:r>
        <w:rPr>
          <w:iCs/>
          <w:noProof/>
          <w:szCs w:val="22"/>
          <w:lang w:val="it-IT"/>
        </w:rPr>
        <w:t xml:space="preserve">endovenosa, il 90% circa dello stato stazionario è stato raggiunto entro la settimana 12 con la dose da </w:t>
      </w:r>
      <w:r>
        <w:rPr>
          <w:noProof/>
          <w:szCs w:val="22"/>
          <w:lang w:val="it-IT"/>
        </w:rPr>
        <w:t>10 mg/kg (peso corporeo &lt; 30 kg) ed entro la settimana 16 con la dose da 8 mg/kg (peso corporeo</w:t>
      </w:r>
      <w:del w:id="6092" w:author="Author">
        <w:r>
          <w:rPr>
            <w:noProof/>
            <w:szCs w:val="22"/>
            <w:lang w:val="it-IT"/>
          </w:rPr>
          <w:delText xml:space="preserve"> </w:delText>
        </w:r>
      </w:del>
      <w:ins w:id="6093" w:author="Author">
        <w:r>
          <w:rPr>
            <w:noProof/>
            <w:szCs w:val="22"/>
            <w:lang w:val="it-IT"/>
          </w:rPr>
          <w:t> </w:t>
        </w:r>
      </w:ins>
      <w:r>
        <w:rPr>
          <w:noProof/>
          <w:szCs w:val="22"/>
          <w:lang w:val="it-IT"/>
        </w:rPr>
        <w:t xml:space="preserve">≥ 30 kg). </w:t>
      </w:r>
      <w:r>
        <w:rPr>
          <w:iCs/>
          <w:noProof/>
          <w:szCs w:val="22"/>
          <w:lang w:val="it-IT"/>
        </w:rPr>
        <w:t xml:space="preserve">Dopo somministrazione sottocutanea, il 90% circa dello stato stazionario è stato raggiunto entro la settimana 12 con entrambi i regimi </w:t>
      </w:r>
      <w:r>
        <w:rPr>
          <w:noProof/>
          <w:szCs w:val="22"/>
          <w:lang w:val="it-IT"/>
        </w:rPr>
        <w:t>162 mg della formulazione sottocutanea Q2W e Q3W</w:t>
      </w:r>
      <w:r>
        <w:rPr>
          <w:iCs/>
          <w:noProof/>
          <w:szCs w:val="22"/>
          <w:lang w:val="it-IT"/>
        </w:rPr>
        <w:t>.</w:t>
      </w:r>
    </w:p>
    <w:p>
      <w:pPr>
        <w:tabs>
          <w:tab w:val="left" w:pos="180"/>
        </w:tabs>
        <w:spacing w:line="0" w:lineRule="atLeast"/>
        <w:rPr>
          <w:noProof/>
          <w:szCs w:val="22"/>
          <w:lang w:val="it-IT"/>
        </w:rPr>
      </w:pPr>
    </w:p>
    <w:p>
      <w:pPr>
        <w:keepNext/>
        <w:tabs>
          <w:tab w:val="left" w:pos="180"/>
        </w:tabs>
        <w:rPr>
          <w:i/>
          <w:noProof/>
          <w:szCs w:val="22"/>
          <w:u w:val="single"/>
          <w:lang w:val="it-IT"/>
        </w:rPr>
        <w:pPrChange w:id="6094" w:author="Author">
          <w:pPr>
            <w:tabs>
              <w:tab w:val="left" w:pos="180"/>
            </w:tabs>
            <w:spacing w:line="0" w:lineRule="atLeast"/>
          </w:pPr>
        </w:pPrChange>
      </w:pPr>
      <w:r>
        <w:rPr>
          <w:i/>
          <w:noProof/>
          <w:szCs w:val="22"/>
          <w:u w:val="single"/>
          <w:lang w:val="it-IT"/>
        </w:rPr>
        <w:t>Assorbimento</w:t>
      </w:r>
    </w:p>
    <w:p>
      <w:pPr>
        <w:tabs>
          <w:tab w:val="left" w:pos="180"/>
        </w:tabs>
        <w:rPr>
          <w:iCs/>
          <w:noProof/>
          <w:szCs w:val="22"/>
          <w:lang w:val="it-IT"/>
        </w:rPr>
        <w:pPrChange w:id="6095" w:author="Author">
          <w:pPr>
            <w:tabs>
              <w:tab w:val="left" w:pos="180"/>
            </w:tabs>
            <w:spacing w:line="0" w:lineRule="atLeast"/>
          </w:pPr>
        </w:pPrChange>
      </w:pPr>
      <w:r>
        <w:rPr>
          <w:iCs/>
          <w:noProof/>
          <w:szCs w:val="22"/>
          <w:lang w:val="it-IT"/>
        </w:rPr>
        <w:t>In seguito a somministrazione sottocutanea in pazienti affetti da AIGp, l’emivita di assorbimento si è attestata a 2</w:t>
      </w:r>
      <w:del w:id="6096" w:author="Author">
        <w:r>
          <w:rPr>
            <w:iCs/>
            <w:noProof/>
            <w:szCs w:val="22"/>
            <w:lang w:val="it-IT"/>
          </w:rPr>
          <w:delText xml:space="preserve"> </w:delText>
        </w:r>
      </w:del>
      <w:ins w:id="6097" w:author="Author">
        <w:r>
          <w:rPr>
            <w:iCs/>
            <w:noProof/>
            <w:szCs w:val="22"/>
            <w:lang w:val="it-IT"/>
          </w:rPr>
          <w:t> </w:t>
        </w:r>
      </w:ins>
      <w:r>
        <w:rPr>
          <w:iCs/>
          <w:noProof/>
          <w:szCs w:val="22"/>
          <w:lang w:val="it-IT"/>
        </w:rPr>
        <w:t>giorni circa, mentre la biodisponibilità della formulazione sottocutanea</w:t>
      </w:r>
      <w:del w:id="6098" w:author="Author">
        <w:r>
          <w:rPr>
            <w:iCs/>
            <w:noProof/>
            <w:szCs w:val="22"/>
            <w:lang w:val="it-IT"/>
          </w:rPr>
          <w:delText xml:space="preserve"> </w:delText>
        </w:r>
      </w:del>
      <w:r>
        <w:rPr>
          <w:iCs/>
          <w:noProof/>
          <w:szCs w:val="22"/>
          <w:lang w:val="it-IT"/>
        </w:rPr>
        <w:t xml:space="preserve"> nei pazienti affetti da AIGp è stata del 96%.</w:t>
      </w:r>
    </w:p>
    <w:p>
      <w:pPr>
        <w:tabs>
          <w:tab w:val="left" w:pos="180"/>
        </w:tabs>
        <w:spacing w:line="0" w:lineRule="atLeast"/>
        <w:rPr>
          <w:iCs/>
          <w:noProof/>
          <w:szCs w:val="22"/>
          <w:lang w:val="it-IT"/>
        </w:rPr>
      </w:pPr>
    </w:p>
    <w:p>
      <w:pPr>
        <w:tabs>
          <w:tab w:val="left" w:pos="180"/>
        </w:tabs>
        <w:spacing w:line="0" w:lineRule="atLeast"/>
        <w:rPr>
          <w:iCs/>
          <w:noProof/>
          <w:szCs w:val="22"/>
          <w:u w:val="single"/>
          <w:lang w:val="it-IT"/>
        </w:rPr>
      </w:pPr>
      <w:r>
        <w:rPr>
          <w:iCs/>
          <w:noProof/>
          <w:szCs w:val="22"/>
          <w:u w:val="single"/>
          <w:lang w:val="it-IT"/>
        </w:rPr>
        <w:t>Distribuzione</w:t>
      </w:r>
    </w:p>
    <w:p>
      <w:pPr>
        <w:tabs>
          <w:tab w:val="left" w:pos="180"/>
        </w:tabs>
        <w:spacing w:line="0" w:lineRule="atLeast"/>
        <w:rPr>
          <w:iCs/>
          <w:noProof/>
          <w:szCs w:val="22"/>
          <w:lang w:val="it-IT"/>
        </w:rPr>
      </w:pPr>
      <w:r>
        <w:rPr>
          <w:iCs/>
          <w:noProof/>
          <w:szCs w:val="22"/>
          <w:lang w:val="it-IT"/>
        </w:rPr>
        <w:t xml:space="preserve">Nei pazienti pediatrici affetti da AIGp, il volume </w:t>
      </w:r>
      <w:del w:id="6099" w:author="Author">
        <w:r>
          <w:rPr>
            <w:iCs/>
            <w:noProof/>
            <w:szCs w:val="22"/>
            <w:lang w:val="it-IT"/>
          </w:rPr>
          <w:delText xml:space="preserve">centrale </w:delText>
        </w:r>
      </w:del>
      <w:r>
        <w:rPr>
          <w:iCs/>
          <w:noProof/>
          <w:szCs w:val="22"/>
          <w:lang w:val="it-IT"/>
        </w:rPr>
        <w:t xml:space="preserve">di distribuzione </w:t>
      </w:r>
      <w:ins w:id="6100" w:author="Author">
        <w:r>
          <w:rPr>
            <w:iCs/>
            <w:noProof/>
            <w:szCs w:val="22"/>
            <w:lang w:val="it-IT"/>
          </w:rPr>
          <w:t xml:space="preserve">centrale </w:t>
        </w:r>
      </w:ins>
      <w:r>
        <w:rPr>
          <w:iCs/>
          <w:noProof/>
          <w:szCs w:val="22"/>
          <w:lang w:val="it-IT"/>
        </w:rPr>
        <w:t xml:space="preserve">si è attestato a 1,97 </w:t>
      </w:r>
      <w:ins w:id="6101" w:author="Author">
        <w:r>
          <w:rPr>
            <w:iCs/>
            <w:noProof/>
            <w:szCs w:val="22"/>
            <w:lang w:val="it-IT"/>
          </w:rPr>
          <w:t>L</w:t>
        </w:r>
      </w:ins>
      <w:del w:id="6102" w:author="Author">
        <w:r>
          <w:rPr>
            <w:iCs/>
            <w:noProof/>
            <w:szCs w:val="22"/>
            <w:lang w:val="it-IT"/>
          </w:rPr>
          <w:delText>l</w:delText>
        </w:r>
      </w:del>
      <w:r>
        <w:rPr>
          <w:iCs/>
          <w:noProof/>
          <w:szCs w:val="22"/>
          <w:lang w:val="it-IT"/>
        </w:rPr>
        <w:t xml:space="preserve">, mentre quello periferico a 2,03 </w:t>
      </w:r>
      <w:ins w:id="6103" w:author="Author">
        <w:r>
          <w:rPr>
            <w:iCs/>
            <w:noProof/>
            <w:szCs w:val="22"/>
            <w:lang w:val="it-IT"/>
          </w:rPr>
          <w:t>L</w:t>
        </w:r>
      </w:ins>
      <w:del w:id="6104" w:author="Author">
        <w:r>
          <w:rPr>
            <w:iCs/>
            <w:noProof/>
            <w:szCs w:val="22"/>
            <w:lang w:val="it-IT"/>
          </w:rPr>
          <w:delText>l</w:delText>
        </w:r>
      </w:del>
      <w:r>
        <w:rPr>
          <w:iCs/>
          <w:noProof/>
          <w:szCs w:val="22"/>
          <w:lang w:val="it-IT"/>
        </w:rPr>
        <w:t xml:space="preserve">, per un volume di distribuzione allo stato stazionario pari a 4,0 </w:t>
      </w:r>
      <w:ins w:id="6105" w:author="Author">
        <w:r>
          <w:rPr>
            <w:iCs/>
            <w:noProof/>
            <w:szCs w:val="22"/>
            <w:lang w:val="it-IT"/>
          </w:rPr>
          <w:t>L</w:t>
        </w:r>
      </w:ins>
      <w:del w:id="6106" w:author="Author">
        <w:r>
          <w:rPr>
            <w:iCs/>
            <w:noProof/>
            <w:szCs w:val="22"/>
            <w:lang w:val="it-IT"/>
          </w:rPr>
          <w:delText>l</w:delText>
        </w:r>
      </w:del>
      <w:r>
        <w:rPr>
          <w:iCs/>
          <w:noProof/>
          <w:szCs w:val="22"/>
          <w:lang w:val="it-IT"/>
        </w:rPr>
        <w:t>.</w:t>
      </w:r>
    </w:p>
    <w:p>
      <w:pPr>
        <w:tabs>
          <w:tab w:val="left" w:pos="180"/>
        </w:tabs>
        <w:spacing w:line="0" w:lineRule="atLeast"/>
        <w:rPr>
          <w:iCs/>
          <w:noProof/>
          <w:szCs w:val="22"/>
          <w:lang w:val="it-IT"/>
        </w:rPr>
      </w:pPr>
    </w:p>
    <w:p>
      <w:pPr>
        <w:tabs>
          <w:tab w:val="left" w:pos="180"/>
        </w:tabs>
        <w:spacing w:line="0" w:lineRule="atLeast"/>
        <w:rPr>
          <w:iCs/>
          <w:noProof/>
          <w:szCs w:val="22"/>
          <w:u w:val="single"/>
          <w:lang w:val="it-IT"/>
        </w:rPr>
      </w:pPr>
      <w:r>
        <w:rPr>
          <w:iCs/>
          <w:noProof/>
          <w:szCs w:val="22"/>
          <w:u w:val="single"/>
          <w:lang w:val="it-IT"/>
        </w:rPr>
        <w:t>Eliminazione</w:t>
      </w:r>
    </w:p>
    <w:p>
      <w:pPr>
        <w:tabs>
          <w:tab w:val="left" w:pos="180"/>
        </w:tabs>
        <w:spacing w:line="0" w:lineRule="atLeast"/>
        <w:rPr>
          <w:noProof/>
          <w:szCs w:val="22"/>
          <w:lang w:val="it-IT"/>
        </w:rPr>
      </w:pPr>
      <w:r>
        <w:rPr>
          <w:noProof/>
          <w:szCs w:val="22"/>
          <w:lang w:val="it-IT"/>
        </w:rPr>
        <w:t>L’analisi di farmacocinetica di popolazione sui pazienti affetti da AIGp ha evidenziato un impatto sulla clearance lineare correlato al peso corporeo, in ragione del quale occorre prendere in considerazione una posologia basata sul peso (vedere Tabella 9).</w:t>
      </w:r>
    </w:p>
    <w:p>
      <w:pPr>
        <w:tabs>
          <w:tab w:val="left" w:pos="180"/>
        </w:tabs>
        <w:spacing w:line="0" w:lineRule="atLeast"/>
        <w:rPr>
          <w:noProof/>
          <w:szCs w:val="22"/>
          <w:lang w:val="it-IT"/>
        </w:rPr>
      </w:pPr>
    </w:p>
    <w:p>
      <w:pPr>
        <w:tabs>
          <w:tab w:val="left" w:pos="180"/>
        </w:tabs>
        <w:spacing w:line="0" w:lineRule="atLeast"/>
        <w:rPr>
          <w:noProof/>
          <w:szCs w:val="22"/>
          <w:lang w:val="it-IT"/>
        </w:rPr>
      </w:pPr>
      <w:r>
        <w:rPr>
          <w:noProof/>
          <w:szCs w:val="22"/>
          <w:lang w:val="it-IT"/>
        </w:rPr>
        <w:t xml:space="preserve">Dopo somministrazione sottocutanea, la t½ effettiva di tocilizumab nei pazienti affetti da AIGp si è attestato a un massimo di 10 giorni nei pazienti di peso &lt; 30 kg (162 mg </w:t>
      </w:r>
      <w:del w:id="6107" w:author="Author">
        <w:r>
          <w:rPr>
            <w:noProof/>
            <w:szCs w:val="22"/>
            <w:lang w:val="it-IT"/>
          </w:rPr>
          <w:delText xml:space="preserve">formulazione </w:delText>
        </w:r>
      </w:del>
      <w:r>
        <w:rPr>
          <w:noProof/>
          <w:szCs w:val="22"/>
          <w:lang w:val="it-IT"/>
        </w:rPr>
        <w:t>sottocut</w:t>
      </w:r>
      <w:ins w:id="6108" w:author="Author">
        <w:r>
          <w:rPr>
            <w:noProof/>
            <w:szCs w:val="22"/>
            <w:lang w:val="it-IT"/>
          </w:rPr>
          <w:t>e</w:t>
        </w:r>
      </w:ins>
      <w:del w:id="6109" w:author="Author">
        <w:r>
          <w:rPr>
            <w:noProof/>
            <w:szCs w:val="22"/>
            <w:lang w:val="it-IT"/>
          </w:rPr>
          <w:delText>anea</w:delText>
        </w:r>
      </w:del>
      <w:r>
        <w:rPr>
          <w:noProof/>
          <w:szCs w:val="22"/>
          <w:lang w:val="it-IT"/>
        </w:rPr>
        <w:t xml:space="preserve"> Q3W) e di 7 giorni nei pazienti di peso</w:t>
      </w:r>
      <w:ins w:id="6110" w:author="Author">
        <w:r>
          <w:rPr>
            <w:noProof/>
            <w:szCs w:val="22"/>
            <w:lang w:val="it-IT"/>
          </w:rPr>
          <w:t xml:space="preserve"> </w:t>
        </w:r>
        <w:r>
          <w:rPr>
            <w:rFonts w:ascii="Tahoma" w:hAnsi="Tahoma" w:cs="Tahoma"/>
            <w:noProof/>
            <w:szCs w:val="22"/>
            <w:lang w:val="it-IT"/>
          </w:rPr>
          <w:t>≥</w:t>
        </w:r>
      </w:ins>
      <w:r>
        <w:rPr>
          <w:noProof/>
          <w:szCs w:val="22"/>
          <w:lang w:val="it-IT"/>
        </w:rPr>
        <w:t xml:space="preserve"> </w:t>
      </w:r>
      <w:del w:id="6111" w:author="Author">
        <w:r>
          <w:rPr>
            <w:noProof/>
            <w:szCs w:val="22"/>
            <w:lang w:val="it-IT"/>
          </w:rPr>
          <w:delText>&gt;=</w:delText>
        </w:r>
      </w:del>
      <w:r>
        <w:rPr>
          <w:noProof/>
          <w:szCs w:val="22"/>
          <w:lang w:val="it-IT"/>
        </w:rPr>
        <w:t xml:space="preserve"> 30 kg (162 mg </w:t>
      </w:r>
      <w:del w:id="6112" w:author="Author">
        <w:r>
          <w:rPr>
            <w:noProof/>
            <w:szCs w:val="22"/>
            <w:lang w:val="it-IT"/>
          </w:rPr>
          <w:delText xml:space="preserve">formulazione </w:delText>
        </w:r>
      </w:del>
      <w:r>
        <w:rPr>
          <w:noProof/>
          <w:szCs w:val="22"/>
          <w:lang w:val="it-IT"/>
        </w:rPr>
        <w:t>sottocut</w:t>
      </w:r>
      <w:ins w:id="6113" w:author="Author">
        <w:r>
          <w:rPr>
            <w:noProof/>
            <w:szCs w:val="22"/>
            <w:lang w:val="it-IT"/>
          </w:rPr>
          <w:t>e</w:t>
        </w:r>
      </w:ins>
      <w:del w:id="6114" w:author="Author">
        <w:r>
          <w:rPr>
            <w:noProof/>
            <w:szCs w:val="22"/>
            <w:lang w:val="it-IT"/>
          </w:rPr>
          <w:delText>anea</w:delText>
        </w:r>
      </w:del>
      <w:r>
        <w:rPr>
          <w:noProof/>
          <w:szCs w:val="22"/>
          <w:lang w:val="it-IT"/>
        </w:rPr>
        <w:t xml:space="preserve"> Q2W) durante un intervallo posologico allo stato stazionario. A seguito di somministrazione endovenosa, tocilizumab viene eliminato dalla circolazione con un andamento bifasico. La clearance totale di tocilizumab è risultata dipendente dalla concentrazione e costituita dalla somma della clearance lineare e della clearance non lineare. La clearance lineare è stata stimata come parametro nell’analisi di farmacocinetica di popolazione ed è risultata pari a 6,25 mL/h. La clearance non lineare dipendente dalla concentrazione riveste un ruolo di primo piano a basse concentrazioni di tocilizumab. Una volta che la via della clearance non lineare è </w:t>
      </w:r>
      <w:r>
        <w:rPr>
          <w:noProof/>
          <w:szCs w:val="22"/>
          <w:lang w:val="it-IT"/>
        </w:rPr>
        <w:lastRenderedPageBreak/>
        <w:t>satura, a concentrazioni più alte di tocilizumab, la clearance è determinata principalmente dalla clearance lineare.</w:t>
      </w:r>
    </w:p>
    <w:p>
      <w:pPr>
        <w:tabs>
          <w:tab w:val="left" w:pos="180"/>
        </w:tabs>
        <w:spacing w:line="0" w:lineRule="atLeast"/>
        <w:rPr>
          <w:noProof/>
          <w:szCs w:val="22"/>
          <w:lang w:val="it-IT"/>
        </w:rPr>
      </w:pPr>
    </w:p>
    <w:p>
      <w:pPr>
        <w:numPr>
          <w:ilvl w:val="12"/>
          <w:numId w:val="0"/>
        </w:numPr>
        <w:ind w:right="-2"/>
        <w:rPr>
          <w:moveFrom w:id="6115" w:author="Author"/>
          <w:iCs/>
          <w:noProof/>
          <w:u w:val="single"/>
          <w:lang w:val="it-IT"/>
        </w:rPr>
      </w:pPr>
      <w:moveFromRangeStart w:id="6116" w:author="Author" w:name="move203712719"/>
      <w:moveFrom w:id="6117" w:author="Author">
        <w:r>
          <w:rPr>
            <w:iCs/>
            <w:noProof/>
            <w:u w:val="single"/>
            <w:lang w:val="it-IT"/>
          </w:rPr>
          <w:t>Pazienti affetti da ACG</w:t>
        </w:r>
      </w:moveFrom>
    </w:p>
    <w:moveFromRangeEnd w:id="6116"/>
    <w:p>
      <w:pPr>
        <w:numPr>
          <w:ilvl w:val="12"/>
          <w:numId w:val="0"/>
        </w:numPr>
        <w:ind w:right="-2"/>
        <w:rPr>
          <w:del w:id="6118" w:author="Author"/>
          <w:iCs/>
          <w:noProof/>
          <w:u w:val="single"/>
          <w:lang w:val="it-IT"/>
        </w:rPr>
      </w:pPr>
    </w:p>
    <w:p>
      <w:pPr>
        <w:keepNext/>
        <w:keepLines/>
        <w:numPr>
          <w:ilvl w:val="12"/>
          <w:numId w:val="0"/>
        </w:numPr>
        <w:ind w:right="-2"/>
        <w:rPr>
          <w:iCs/>
          <w:noProof/>
          <w:u w:val="single"/>
          <w:lang w:val="it-IT"/>
          <w:rPrChange w:id="6119" w:author="Author">
            <w:rPr>
              <w:i/>
              <w:lang w:val="it-IT"/>
            </w:rPr>
          </w:rPrChange>
        </w:rPr>
        <w:pPrChange w:id="6120" w:author="Author">
          <w:pPr>
            <w:numPr>
              <w:ilvl w:val="12"/>
            </w:numPr>
            <w:ind w:right="-2"/>
          </w:pPr>
        </w:pPrChange>
      </w:pPr>
      <w:r>
        <w:rPr>
          <w:iCs/>
          <w:noProof/>
          <w:u w:val="single"/>
          <w:lang w:val="it-IT"/>
          <w:rPrChange w:id="6121" w:author="Author">
            <w:rPr>
              <w:i/>
              <w:lang w:val="it-IT"/>
            </w:rPr>
          </w:rPrChange>
        </w:rPr>
        <w:t>Uso sottocutaneo</w:t>
      </w:r>
    </w:p>
    <w:p>
      <w:pPr>
        <w:keepNext/>
        <w:keepLines/>
        <w:numPr>
          <w:ilvl w:val="12"/>
          <w:numId w:val="0"/>
        </w:numPr>
        <w:ind w:right="-2"/>
        <w:rPr>
          <w:moveTo w:id="6122" w:author="Author"/>
          <w:i/>
          <w:noProof/>
          <w:lang w:val="it-IT"/>
          <w:rPrChange w:id="6123" w:author="Author">
            <w:rPr>
              <w:moveTo w:id="6124" w:author="Author"/>
              <w:iCs/>
              <w:u w:val="single"/>
              <w:lang w:val="it-IT"/>
            </w:rPr>
          </w:rPrChange>
        </w:rPr>
        <w:pPrChange w:id="6125" w:author="Author">
          <w:pPr>
            <w:numPr>
              <w:ilvl w:val="12"/>
            </w:numPr>
            <w:ind w:right="-2"/>
          </w:pPr>
        </w:pPrChange>
      </w:pPr>
      <w:moveToRangeStart w:id="6126" w:author="Author" w:name="move203712719"/>
      <w:moveTo w:id="6127" w:author="Author">
        <w:r>
          <w:rPr>
            <w:i/>
            <w:noProof/>
            <w:lang w:val="it-IT"/>
            <w:rPrChange w:id="6128" w:author="Author">
              <w:rPr>
                <w:iCs/>
                <w:u w:val="single"/>
                <w:lang w:val="it-IT"/>
              </w:rPr>
            </w:rPrChange>
          </w:rPr>
          <w:t>Pazienti affetti da ACG</w:t>
        </w:r>
      </w:moveTo>
    </w:p>
    <w:moveToRangeEnd w:id="6126"/>
    <w:p>
      <w:pPr>
        <w:keepNext/>
        <w:keepLines/>
        <w:numPr>
          <w:ilvl w:val="12"/>
          <w:numId w:val="0"/>
        </w:numPr>
        <w:ind w:right="-2"/>
        <w:rPr>
          <w:i/>
          <w:noProof/>
          <w:u w:val="single"/>
          <w:lang w:val="it-IT"/>
        </w:rPr>
        <w:pPrChange w:id="6129" w:author="Author">
          <w:pPr>
            <w:numPr>
              <w:ilvl w:val="12"/>
            </w:numPr>
            <w:ind w:right="-2"/>
          </w:pPr>
        </w:pPrChange>
      </w:pPr>
    </w:p>
    <w:p>
      <w:pPr>
        <w:spacing w:line="280" w:lineRule="atLeast"/>
        <w:rPr>
          <w:noProof/>
          <w:lang w:val="it-IT"/>
        </w:rPr>
      </w:pPr>
      <w:r>
        <w:rPr>
          <w:noProof/>
          <w:lang w:val="it-IT"/>
        </w:rPr>
        <w:t xml:space="preserve">La PK di tocilizumab in pazienti con ACG è stata determinata utilizzando un modello </w:t>
      </w:r>
      <w:del w:id="6130" w:author="Author">
        <w:r>
          <w:rPr>
            <w:noProof/>
            <w:lang w:val="it-IT"/>
          </w:rPr>
          <w:delText>di PK</w:delText>
        </w:r>
      </w:del>
      <w:ins w:id="6131" w:author="Author">
        <w:r>
          <w:rPr>
            <w:noProof/>
            <w:lang w:val="it-IT"/>
          </w:rPr>
          <w:t>farmacocinetico</w:t>
        </w:r>
      </w:ins>
      <w:r>
        <w:rPr>
          <w:noProof/>
          <w:lang w:val="it-IT"/>
        </w:rPr>
        <w:t xml:space="preserve"> di popolazione </w:t>
      </w:r>
      <w:ins w:id="6132" w:author="Author">
        <w:r>
          <w:rPr>
            <w:noProof/>
            <w:lang w:val="it-IT"/>
          </w:rPr>
          <w:t>che includeva i dati di</w:t>
        </w:r>
      </w:ins>
      <w:del w:id="6133" w:author="Author">
        <w:r>
          <w:rPr>
            <w:noProof/>
            <w:lang w:val="it-IT"/>
          </w:rPr>
          <w:delText>da un set di dati composto da</w:delText>
        </w:r>
      </w:del>
      <w:r>
        <w:rPr>
          <w:noProof/>
          <w:lang w:val="it-IT"/>
        </w:rPr>
        <w:t xml:space="preserve"> 149 pazienti con ACG trattati con 162 mg per via sottocutanea </w:t>
      </w:r>
      <w:del w:id="6134" w:author="Author">
        <w:r>
          <w:rPr>
            <w:noProof/>
            <w:lang w:val="it-IT"/>
          </w:rPr>
          <w:delText xml:space="preserve">ogni </w:delText>
        </w:r>
      </w:del>
      <w:ins w:id="6135" w:author="Author">
        <w:r>
          <w:rPr>
            <w:noProof/>
            <w:lang w:val="it-IT"/>
          </w:rPr>
          <w:t xml:space="preserve">una volta a </w:t>
        </w:r>
      </w:ins>
      <w:r>
        <w:rPr>
          <w:noProof/>
          <w:lang w:val="it-IT"/>
        </w:rPr>
        <w:t xml:space="preserve">settimana o 162 mg per via sottocutanea </w:t>
      </w:r>
      <w:ins w:id="6136" w:author="Author">
        <w:r>
          <w:rPr>
            <w:noProof/>
            <w:lang w:val="it-IT"/>
          </w:rPr>
          <w:t>ogni due</w:t>
        </w:r>
      </w:ins>
      <w:del w:id="6137" w:author="Author">
        <w:r>
          <w:rPr>
            <w:noProof/>
            <w:lang w:val="it-IT"/>
          </w:rPr>
          <w:delText>a</w:delText>
        </w:r>
      </w:del>
      <w:r>
        <w:rPr>
          <w:noProof/>
          <w:lang w:val="it-IT"/>
        </w:rPr>
        <w:t xml:space="preserve"> settimane</w:t>
      </w:r>
      <w:del w:id="6138" w:author="Author">
        <w:r>
          <w:rPr>
            <w:noProof/>
            <w:lang w:val="it-IT"/>
          </w:rPr>
          <w:delText xml:space="preserve"> alterne</w:delText>
        </w:r>
      </w:del>
      <w:r>
        <w:rPr>
          <w:noProof/>
          <w:lang w:val="it-IT"/>
        </w:rPr>
        <w:t xml:space="preserve">. Il modello sviluppato aveva la stessa struttura del modello </w:t>
      </w:r>
      <w:del w:id="6139" w:author="Author">
        <w:r>
          <w:rPr>
            <w:noProof/>
            <w:lang w:val="it-IT"/>
          </w:rPr>
          <w:delText xml:space="preserve">di </w:delText>
        </w:r>
      </w:del>
      <w:r>
        <w:rPr>
          <w:noProof/>
          <w:lang w:val="it-IT"/>
        </w:rPr>
        <w:t>PK di popolazione sviluppato in precedenza sulla base dei dati raccolti su pazienti con AR (vedere Tabella 10).</w:t>
      </w:r>
    </w:p>
    <w:p>
      <w:pPr>
        <w:spacing w:line="280" w:lineRule="atLeast"/>
        <w:rPr>
          <w:i/>
          <w:noProof/>
          <w:lang w:val="it-IT"/>
        </w:rPr>
      </w:pPr>
    </w:p>
    <w:p>
      <w:pPr>
        <w:keepNext/>
        <w:keepLines/>
        <w:rPr>
          <w:i/>
          <w:noProof/>
          <w:lang w:val="it-IT"/>
        </w:rPr>
        <w:pPrChange w:id="6140" w:author="Author">
          <w:pPr>
            <w:keepNext/>
            <w:keepLines/>
            <w:spacing w:line="280" w:lineRule="atLeast"/>
            <w:jc w:val="both"/>
          </w:pPr>
        </w:pPrChange>
      </w:pPr>
      <w:r>
        <w:rPr>
          <w:i/>
          <w:noProof/>
          <w:lang w:val="it-IT"/>
        </w:rPr>
        <w:t xml:space="preserve">Tabella 10. Parametri </w:t>
      </w:r>
      <w:del w:id="6141" w:author="Author">
        <w:r>
          <w:rPr>
            <w:i/>
            <w:noProof/>
            <w:lang w:val="it-IT"/>
          </w:rPr>
          <w:delText xml:space="preserve">previsti di </w:delText>
        </w:r>
      </w:del>
      <w:r>
        <w:rPr>
          <w:i/>
          <w:noProof/>
          <w:lang w:val="it-IT"/>
        </w:rPr>
        <w:t>PK</w:t>
      </w:r>
      <w:ins w:id="6142" w:author="Author">
        <w:r>
          <w:rPr>
            <w:i/>
            <w:noProof/>
            <w:lang w:val="it-IT"/>
          </w:rPr>
          <w:t xml:space="preserve"> medi ± DS</w:t>
        </w:r>
      </w:ins>
      <w:r>
        <w:rPr>
          <w:i/>
          <w:noProof/>
          <w:lang w:val="it-IT"/>
        </w:rPr>
        <w:t xml:space="preserve"> </w:t>
      </w:r>
      <w:ins w:id="6143" w:author="Author">
        <w:r>
          <w:rPr>
            <w:i/>
            <w:noProof/>
            <w:lang w:val="it-IT"/>
          </w:rPr>
          <w:t xml:space="preserve">predetti </w:t>
        </w:r>
      </w:ins>
      <w:r>
        <w:rPr>
          <w:i/>
          <w:noProof/>
          <w:lang w:val="it-IT"/>
        </w:rPr>
        <w:t xml:space="preserve">allo stato stazionario </w:t>
      </w:r>
      <w:del w:id="6144" w:author="Author">
        <w:r>
          <w:rPr>
            <w:i/>
            <w:noProof/>
            <w:lang w:val="it-IT"/>
          </w:rPr>
          <w:delText xml:space="preserve">relativi a media </w:delText>
        </w:r>
      </w:del>
      <w:ins w:id="6145" w:author="Author">
        <w:del w:id="6146" w:author="Author">
          <w:r>
            <w:rPr>
              <w:i/>
              <w:noProof/>
              <w:lang w:val="it-IT"/>
            </w:rPr>
            <w:delText> </w:delText>
          </w:r>
        </w:del>
      </w:ins>
      <w:del w:id="6147" w:author="Author">
        <w:r>
          <w:rPr>
            <w:i/>
            <w:noProof/>
            <w:lang w:val="it-IT"/>
          </w:rPr>
          <w:delText>±</w:delText>
        </w:r>
      </w:del>
      <w:ins w:id="6148" w:author="Author">
        <w:del w:id="6149" w:author="Author">
          <w:r>
            <w:rPr>
              <w:i/>
              <w:noProof/>
              <w:lang w:val="it-IT"/>
            </w:rPr>
            <w:delText> </w:delText>
          </w:r>
        </w:del>
      </w:ins>
      <w:del w:id="6150" w:author="Author">
        <w:r>
          <w:rPr>
            <w:i/>
            <w:noProof/>
            <w:lang w:val="it-IT"/>
          </w:rPr>
          <w:delText xml:space="preserve"> DS </w:delText>
        </w:r>
      </w:del>
      <w:r>
        <w:rPr>
          <w:i/>
          <w:noProof/>
          <w:lang w:val="it-IT"/>
        </w:rPr>
        <w:t>dopo somministrazione sottocutanea in pazienti con ACG</w:t>
      </w:r>
    </w:p>
    <w:p>
      <w:pPr>
        <w:keepNext/>
        <w:keepLines/>
        <w:rPr>
          <w:i/>
          <w:noProof/>
          <w:lang w:val="it-IT"/>
        </w:rPr>
        <w:pPrChange w:id="6151" w:author="Author">
          <w:pPr>
            <w:keepNext/>
            <w:keepLines/>
            <w:spacing w:line="280" w:lineRule="atLeast"/>
            <w:jc w:val="both"/>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6152" w:author="Author">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323"/>
        <w:gridCol w:w="2869"/>
        <w:gridCol w:w="2869"/>
        <w:tblGridChange w:id="6153">
          <w:tblGrid>
            <w:gridCol w:w="4735"/>
            <w:gridCol w:w="1483"/>
            <w:gridCol w:w="2601"/>
          </w:tblGrid>
        </w:tblGridChange>
      </w:tblGrid>
      <w:tr>
        <w:trPr>
          <w:cantSplit/>
          <w:trPrChange w:id="6154" w:author="Author">
            <w:trPr>
              <w:cantSplit/>
              <w:trHeight w:val="128"/>
              <w:jc w:val="center"/>
            </w:trPr>
          </w:trPrChange>
        </w:trPr>
        <w:tc>
          <w:tcPr>
            <w:tcW w:w="3235" w:type="dxa"/>
            <w:tcBorders>
              <w:top w:val="single" w:sz="4" w:space="0" w:color="auto"/>
              <w:left w:val="single" w:sz="4" w:space="0" w:color="auto"/>
              <w:bottom w:val="single" w:sz="4" w:space="0" w:color="auto"/>
              <w:right w:val="single" w:sz="4" w:space="0" w:color="auto"/>
            </w:tcBorders>
            <w:tcPrChange w:id="6155" w:author="Author">
              <w:tcPr>
                <w:tcW w:w="4735" w:type="dxa"/>
                <w:tcBorders>
                  <w:top w:val="single" w:sz="4" w:space="0" w:color="auto"/>
                  <w:left w:val="single" w:sz="4" w:space="0" w:color="auto"/>
                  <w:bottom w:val="single" w:sz="4" w:space="0" w:color="auto"/>
                  <w:right w:val="single" w:sz="4" w:space="0" w:color="auto"/>
                </w:tcBorders>
              </w:tcPr>
            </w:tcPrChange>
          </w:tcPr>
          <w:p>
            <w:pPr>
              <w:keepNext/>
              <w:suppressAutoHyphens/>
              <w:ind w:left="1701" w:hanging="1701"/>
              <w:rPr>
                <w:rFonts w:eastAsia="MS Mincho"/>
                <w:b/>
                <w:noProof/>
                <w:sz w:val="20"/>
                <w:lang w:val="it-IT"/>
              </w:rPr>
              <w:pPrChange w:id="6156" w:author="Author">
                <w:pPr>
                  <w:keepNext/>
                  <w:keepLines/>
                  <w:spacing w:before="113" w:after="57" w:line="280" w:lineRule="atLeast"/>
                  <w:ind w:left="1701" w:hanging="1701"/>
                  <w:outlineLvl w:val="6"/>
                </w:pPr>
              </w:pPrChange>
            </w:pPr>
          </w:p>
        </w:tc>
        <w:tc>
          <w:tcPr>
            <w:tcW w:w="5584" w:type="dxa"/>
            <w:gridSpan w:val="2"/>
            <w:tcBorders>
              <w:top w:val="single" w:sz="4" w:space="0" w:color="auto"/>
              <w:left w:val="single" w:sz="4" w:space="0" w:color="auto"/>
              <w:bottom w:val="single" w:sz="4" w:space="0" w:color="auto"/>
              <w:right w:val="single" w:sz="4" w:space="0" w:color="auto"/>
            </w:tcBorders>
            <w:tcPrChange w:id="6157" w:author="Author">
              <w:tcPr>
                <w:tcW w:w="4084" w:type="dxa"/>
                <w:gridSpan w:val="2"/>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b/>
                <w:noProof/>
                <w:sz w:val="20"/>
                <w:lang w:val="it-IT"/>
              </w:rPr>
              <w:pPrChange w:id="6158" w:author="Author">
                <w:pPr>
                  <w:keepNext/>
                  <w:keepLines/>
                  <w:spacing w:after="200"/>
                  <w:jc w:val="center"/>
                </w:pPr>
              </w:pPrChange>
            </w:pPr>
            <w:r>
              <w:rPr>
                <w:b/>
                <w:noProof/>
                <w:sz w:val="20"/>
                <w:lang w:val="it-IT"/>
              </w:rPr>
              <w:t>Somministrazione sottocutanea</w:t>
            </w:r>
          </w:p>
        </w:tc>
      </w:tr>
      <w:tr>
        <w:trPr>
          <w:cantSplit/>
          <w:trPrChange w:id="6159" w:author="Author">
            <w:trPr>
              <w:cantSplit/>
              <w:trHeight w:val="452"/>
              <w:jc w:val="center"/>
            </w:trPr>
          </w:trPrChange>
        </w:trPr>
        <w:tc>
          <w:tcPr>
            <w:tcW w:w="3235" w:type="dxa"/>
            <w:tcBorders>
              <w:top w:val="single" w:sz="4" w:space="0" w:color="auto"/>
              <w:left w:val="single" w:sz="4" w:space="0" w:color="auto"/>
              <w:bottom w:val="single" w:sz="4" w:space="0" w:color="auto"/>
              <w:right w:val="single" w:sz="4" w:space="0" w:color="auto"/>
            </w:tcBorders>
            <w:tcPrChange w:id="6160" w:author="Author">
              <w:tcPr>
                <w:tcW w:w="4735" w:type="dxa"/>
                <w:tcBorders>
                  <w:top w:val="single" w:sz="4" w:space="0" w:color="auto"/>
                  <w:left w:val="single" w:sz="4" w:space="0" w:color="auto"/>
                  <w:bottom w:val="single" w:sz="4" w:space="0" w:color="auto"/>
                  <w:right w:val="single" w:sz="4" w:space="0" w:color="auto"/>
                </w:tcBorders>
              </w:tcPr>
            </w:tcPrChange>
          </w:tcPr>
          <w:p>
            <w:pPr>
              <w:keepNext/>
              <w:suppressAutoHyphens/>
              <w:rPr>
                <w:rFonts w:eastAsia="PMingLiU"/>
                <w:noProof/>
                <w:sz w:val="20"/>
                <w:lang w:val="it-IT"/>
              </w:rPr>
              <w:pPrChange w:id="6161" w:author="Author">
                <w:pPr>
                  <w:keepNext/>
                  <w:keepLines/>
                  <w:spacing w:after="120"/>
                </w:pPr>
              </w:pPrChange>
            </w:pPr>
            <w:r>
              <w:rPr>
                <w:b/>
                <w:noProof/>
                <w:sz w:val="20"/>
                <w:lang w:val="it-IT"/>
              </w:rPr>
              <w:t>Parametro di PK di tocilizumab</w:t>
            </w:r>
          </w:p>
        </w:tc>
        <w:tc>
          <w:tcPr>
            <w:tcW w:w="2792" w:type="dxa"/>
            <w:tcBorders>
              <w:top w:val="single" w:sz="4" w:space="0" w:color="auto"/>
              <w:left w:val="single" w:sz="4" w:space="0" w:color="auto"/>
              <w:bottom w:val="single" w:sz="4" w:space="0" w:color="auto"/>
              <w:right w:val="single" w:sz="4" w:space="0" w:color="auto"/>
            </w:tcBorders>
            <w:tcPrChange w:id="6162" w:author="Author">
              <w:tcPr>
                <w:tcW w:w="1483"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b/>
                <w:noProof/>
                <w:sz w:val="20"/>
                <w:lang w:val="it-IT"/>
              </w:rPr>
              <w:pPrChange w:id="6163" w:author="Author">
                <w:pPr>
                  <w:keepNext/>
                  <w:keepLines/>
                  <w:spacing w:after="120"/>
                  <w:jc w:val="center"/>
                </w:pPr>
              </w:pPrChange>
            </w:pPr>
            <w:r>
              <w:rPr>
                <w:b/>
                <w:noProof/>
                <w:sz w:val="20"/>
                <w:lang w:val="it-IT"/>
              </w:rPr>
              <w:t xml:space="preserve">162 mg </w:t>
            </w:r>
            <w:ins w:id="6164" w:author="Author">
              <w:r>
                <w:rPr>
                  <w:b/>
                  <w:noProof/>
                  <w:sz w:val="20"/>
                  <w:lang w:val="it-IT"/>
                </w:rPr>
                <w:t>ogni due settimane</w:t>
              </w:r>
            </w:ins>
            <w:del w:id="6165" w:author="Author">
              <w:r>
                <w:rPr>
                  <w:b/>
                  <w:noProof/>
                  <w:sz w:val="20"/>
                  <w:lang w:val="it-IT"/>
                </w:rPr>
                <w:delText>a settimane alterne</w:delText>
              </w:r>
            </w:del>
          </w:p>
        </w:tc>
        <w:tc>
          <w:tcPr>
            <w:tcW w:w="2792" w:type="dxa"/>
            <w:tcBorders>
              <w:top w:val="single" w:sz="4" w:space="0" w:color="auto"/>
              <w:left w:val="single" w:sz="4" w:space="0" w:color="auto"/>
              <w:bottom w:val="single" w:sz="4" w:space="0" w:color="auto"/>
              <w:right w:val="single" w:sz="4" w:space="0" w:color="auto"/>
            </w:tcBorders>
            <w:tcPrChange w:id="6166" w:author="Author">
              <w:tcPr>
                <w:tcW w:w="2601"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b/>
                <w:noProof/>
                <w:sz w:val="20"/>
                <w:lang w:val="it-IT"/>
              </w:rPr>
              <w:pPrChange w:id="6167" w:author="Author">
                <w:pPr>
                  <w:keepNext/>
                  <w:keepLines/>
                  <w:spacing w:after="120"/>
                  <w:jc w:val="center"/>
                </w:pPr>
              </w:pPrChange>
            </w:pPr>
            <w:r>
              <w:rPr>
                <w:b/>
                <w:noProof/>
                <w:sz w:val="20"/>
                <w:lang w:val="it-IT"/>
              </w:rPr>
              <w:t xml:space="preserve">162 mg </w:t>
            </w:r>
            <w:del w:id="6168" w:author="Author">
              <w:r>
                <w:rPr>
                  <w:b/>
                  <w:noProof/>
                  <w:sz w:val="20"/>
                  <w:lang w:val="it-IT"/>
                </w:rPr>
                <w:delText xml:space="preserve">ogni </w:delText>
              </w:r>
            </w:del>
            <w:ins w:id="6169" w:author="Author">
              <w:r>
                <w:rPr>
                  <w:b/>
                  <w:noProof/>
                  <w:sz w:val="20"/>
                  <w:lang w:val="it-IT"/>
                </w:rPr>
                <w:t xml:space="preserve">una volta a </w:t>
              </w:r>
            </w:ins>
            <w:r>
              <w:rPr>
                <w:b/>
                <w:noProof/>
                <w:sz w:val="20"/>
                <w:lang w:val="it-IT"/>
              </w:rPr>
              <w:t>settimana</w:t>
            </w:r>
          </w:p>
        </w:tc>
      </w:tr>
      <w:tr>
        <w:trPr>
          <w:cantSplit/>
          <w:trPrChange w:id="6170" w:author="Author">
            <w:trPr>
              <w:cantSplit/>
              <w:trHeight w:val="195"/>
              <w:jc w:val="center"/>
            </w:trPr>
          </w:trPrChange>
        </w:trPr>
        <w:tc>
          <w:tcPr>
            <w:tcW w:w="3235" w:type="dxa"/>
            <w:tcBorders>
              <w:top w:val="single" w:sz="4" w:space="0" w:color="auto"/>
              <w:left w:val="single" w:sz="4" w:space="0" w:color="auto"/>
              <w:bottom w:val="single" w:sz="4" w:space="0" w:color="auto"/>
              <w:right w:val="single" w:sz="4" w:space="0" w:color="auto"/>
            </w:tcBorders>
            <w:tcPrChange w:id="6171" w:author="Author">
              <w:tcPr>
                <w:tcW w:w="4735" w:type="dxa"/>
                <w:tcBorders>
                  <w:top w:val="single" w:sz="4" w:space="0" w:color="auto"/>
                  <w:left w:val="single" w:sz="4" w:space="0" w:color="auto"/>
                  <w:bottom w:val="single" w:sz="4" w:space="0" w:color="auto"/>
                  <w:right w:val="single" w:sz="4" w:space="0" w:color="auto"/>
                </w:tcBorders>
              </w:tcPr>
            </w:tcPrChange>
          </w:tcPr>
          <w:p>
            <w:pPr>
              <w:keepNext/>
              <w:suppressAutoHyphens/>
              <w:rPr>
                <w:rFonts w:eastAsia="PMingLiU"/>
                <w:noProof/>
                <w:sz w:val="20"/>
                <w:lang w:val="it-IT"/>
              </w:rPr>
              <w:pPrChange w:id="6172" w:author="Author">
                <w:pPr>
                  <w:keepNext/>
                  <w:keepLines/>
                  <w:spacing w:after="120"/>
                </w:pPr>
              </w:pPrChange>
            </w:pPr>
            <w:r>
              <w:rPr>
                <w:noProof/>
                <w:sz w:val="20"/>
                <w:lang w:val="it-IT"/>
              </w:rPr>
              <w:t>C</w:t>
            </w:r>
            <w:r>
              <w:rPr>
                <w:noProof/>
                <w:sz w:val="20"/>
                <w:vertAlign w:val="subscript"/>
                <w:lang w:val="it-IT"/>
              </w:rPr>
              <w:t>max</w:t>
            </w:r>
            <w:r>
              <w:rPr>
                <w:noProof/>
                <w:sz w:val="20"/>
                <w:lang w:val="it-IT"/>
              </w:rPr>
              <w:t xml:space="preserve"> (µg/mL)</w:t>
            </w:r>
          </w:p>
        </w:tc>
        <w:tc>
          <w:tcPr>
            <w:tcW w:w="2792" w:type="dxa"/>
            <w:tcBorders>
              <w:top w:val="single" w:sz="4" w:space="0" w:color="auto"/>
              <w:left w:val="single" w:sz="4" w:space="0" w:color="auto"/>
              <w:bottom w:val="single" w:sz="4" w:space="0" w:color="auto"/>
              <w:right w:val="single" w:sz="4" w:space="0" w:color="auto"/>
            </w:tcBorders>
            <w:tcPrChange w:id="6173" w:author="Author">
              <w:tcPr>
                <w:tcW w:w="1483"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rPr>
              <w:pPrChange w:id="6174" w:author="Author">
                <w:pPr>
                  <w:keepNext/>
                  <w:keepLines/>
                  <w:spacing w:after="120"/>
                  <w:jc w:val="center"/>
                </w:pPr>
              </w:pPrChange>
            </w:pPr>
            <w:r>
              <w:rPr>
                <w:noProof/>
                <w:sz w:val="20"/>
                <w:lang w:val="it-IT"/>
              </w:rPr>
              <w:t>19,3</w:t>
            </w:r>
            <w:del w:id="6175" w:author="Author">
              <w:r>
                <w:rPr>
                  <w:noProof/>
                  <w:sz w:val="20"/>
                  <w:lang w:val="it-IT"/>
                </w:rPr>
                <w:delText xml:space="preserve"> </w:delText>
              </w:r>
            </w:del>
            <w:ins w:id="6176" w:author="Author">
              <w:r>
                <w:rPr>
                  <w:noProof/>
                  <w:sz w:val="20"/>
                  <w:lang w:val="it-IT"/>
                </w:rPr>
                <w:t> </w:t>
              </w:r>
            </w:ins>
            <w:r>
              <w:rPr>
                <w:noProof/>
                <w:sz w:val="20"/>
                <w:lang w:val="it-IT"/>
              </w:rPr>
              <w:t>±</w:t>
            </w:r>
            <w:ins w:id="6177" w:author="Author">
              <w:r>
                <w:rPr>
                  <w:noProof/>
                  <w:sz w:val="20"/>
                  <w:lang w:val="it-IT"/>
                </w:rPr>
                <w:t> </w:t>
              </w:r>
            </w:ins>
            <w:del w:id="6178" w:author="Author">
              <w:r>
                <w:rPr>
                  <w:noProof/>
                  <w:sz w:val="20"/>
                  <w:lang w:val="it-IT"/>
                </w:rPr>
                <w:delText xml:space="preserve"> </w:delText>
              </w:r>
            </w:del>
            <w:r>
              <w:rPr>
                <w:noProof/>
                <w:sz w:val="20"/>
                <w:lang w:val="it-IT"/>
              </w:rPr>
              <w:t>12,8</w:t>
            </w:r>
          </w:p>
        </w:tc>
        <w:tc>
          <w:tcPr>
            <w:tcW w:w="2792" w:type="dxa"/>
            <w:tcBorders>
              <w:top w:val="single" w:sz="4" w:space="0" w:color="auto"/>
              <w:left w:val="single" w:sz="4" w:space="0" w:color="auto"/>
              <w:bottom w:val="single" w:sz="4" w:space="0" w:color="auto"/>
              <w:right w:val="single" w:sz="4" w:space="0" w:color="auto"/>
            </w:tcBorders>
            <w:tcPrChange w:id="6179" w:author="Author">
              <w:tcPr>
                <w:tcW w:w="2601"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rPr>
              <w:pPrChange w:id="6180" w:author="Author">
                <w:pPr>
                  <w:keepNext/>
                  <w:keepLines/>
                  <w:spacing w:after="120"/>
                  <w:jc w:val="center"/>
                </w:pPr>
              </w:pPrChange>
            </w:pPr>
            <w:r>
              <w:rPr>
                <w:noProof/>
                <w:sz w:val="20"/>
                <w:lang w:val="it-IT"/>
              </w:rPr>
              <w:t>73</w:t>
            </w:r>
            <w:del w:id="6181" w:author="Author">
              <w:r>
                <w:rPr>
                  <w:noProof/>
                  <w:sz w:val="20"/>
                  <w:lang w:val="it-IT"/>
                </w:rPr>
                <w:delText xml:space="preserve"> </w:delText>
              </w:r>
            </w:del>
            <w:ins w:id="6182" w:author="Author">
              <w:r>
                <w:rPr>
                  <w:noProof/>
                  <w:sz w:val="20"/>
                  <w:lang w:val="it-IT"/>
                </w:rPr>
                <w:t> </w:t>
              </w:r>
            </w:ins>
            <w:r>
              <w:rPr>
                <w:noProof/>
                <w:sz w:val="20"/>
                <w:lang w:val="it-IT"/>
              </w:rPr>
              <w:t>±</w:t>
            </w:r>
            <w:ins w:id="6183" w:author="Author">
              <w:r>
                <w:rPr>
                  <w:noProof/>
                  <w:sz w:val="20"/>
                  <w:lang w:val="it-IT"/>
                </w:rPr>
                <w:t> </w:t>
              </w:r>
            </w:ins>
            <w:del w:id="6184" w:author="Author">
              <w:r>
                <w:rPr>
                  <w:noProof/>
                  <w:sz w:val="20"/>
                  <w:lang w:val="it-IT"/>
                </w:rPr>
                <w:delText xml:space="preserve"> </w:delText>
              </w:r>
            </w:del>
            <w:r>
              <w:rPr>
                <w:noProof/>
                <w:sz w:val="20"/>
                <w:lang w:val="it-IT"/>
              </w:rPr>
              <w:t>30,4</w:t>
            </w:r>
          </w:p>
        </w:tc>
      </w:tr>
      <w:tr>
        <w:trPr>
          <w:cantSplit/>
          <w:trPrChange w:id="6185" w:author="Author">
            <w:trPr>
              <w:cantSplit/>
              <w:trHeight w:val="195"/>
              <w:jc w:val="center"/>
            </w:trPr>
          </w:trPrChange>
        </w:trPr>
        <w:tc>
          <w:tcPr>
            <w:tcW w:w="3235" w:type="dxa"/>
            <w:tcBorders>
              <w:top w:val="single" w:sz="4" w:space="0" w:color="auto"/>
              <w:left w:val="single" w:sz="4" w:space="0" w:color="auto"/>
              <w:bottom w:val="single" w:sz="4" w:space="0" w:color="auto"/>
              <w:right w:val="single" w:sz="4" w:space="0" w:color="auto"/>
            </w:tcBorders>
            <w:tcPrChange w:id="6186" w:author="Author">
              <w:tcPr>
                <w:tcW w:w="4735" w:type="dxa"/>
                <w:tcBorders>
                  <w:top w:val="single" w:sz="4" w:space="0" w:color="auto"/>
                  <w:left w:val="single" w:sz="4" w:space="0" w:color="auto"/>
                  <w:bottom w:val="single" w:sz="4" w:space="0" w:color="auto"/>
                  <w:right w:val="single" w:sz="4" w:space="0" w:color="auto"/>
                </w:tcBorders>
              </w:tcPr>
            </w:tcPrChange>
          </w:tcPr>
          <w:p>
            <w:pPr>
              <w:keepNext/>
              <w:suppressAutoHyphens/>
              <w:rPr>
                <w:rFonts w:eastAsia="PMingLiU"/>
                <w:noProof/>
                <w:sz w:val="20"/>
                <w:lang w:val="it-IT"/>
              </w:rPr>
              <w:pPrChange w:id="6187" w:author="Author">
                <w:pPr>
                  <w:keepNext/>
                  <w:keepLines/>
                  <w:spacing w:after="120"/>
                </w:pPr>
              </w:pPrChange>
            </w:pPr>
            <w:r>
              <w:rPr>
                <w:noProof/>
                <w:sz w:val="20"/>
                <w:lang w:val="it-IT"/>
              </w:rPr>
              <w:t>C</w:t>
            </w:r>
            <w:ins w:id="6188" w:author="Author">
              <w:r>
                <w:rPr>
                  <w:noProof/>
                  <w:sz w:val="20"/>
                  <w:vertAlign w:val="subscript"/>
                  <w:lang w:val="it-IT"/>
                </w:rPr>
                <w:t>trough</w:t>
              </w:r>
            </w:ins>
            <w:del w:id="6189" w:author="Author">
              <w:r>
                <w:rPr>
                  <w:noProof/>
                  <w:sz w:val="20"/>
                  <w:vertAlign w:val="subscript"/>
                  <w:lang w:val="it-IT"/>
                </w:rPr>
                <w:delText>min</w:delText>
              </w:r>
            </w:del>
            <w:r>
              <w:rPr>
                <w:noProof/>
                <w:sz w:val="20"/>
                <w:lang w:val="it-IT"/>
              </w:rPr>
              <w:t xml:space="preserve"> (µg/mL)</w:t>
            </w:r>
          </w:p>
        </w:tc>
        <w:tc>
          <w:tcPr>
            <w:tcW w:w="2792" w:type="dxa"/>
            <w:tcBorders>
              <w:top w:val="single" w:sz="4" w:space="0" w:color="auto"/>
              <w:left w:val="single" w:sz="4" w:space="0" w:color="auto"/>
              <w:bottom w:val="single" w:sz="4" w:space="0" w:color="auto"/>
              <w:right w:val="single" w:sz="4" w:space="0" w:color="auto"/>
            </w:tcBorders>
            <w:tcPrChange w:id="6190" w:author="Author">
              <w:tcPr>
                <w:tcW w:w="1483"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rPr>
              <w:pPrChange w:id="6191" w:author="Author">
                <w:pPr>
                  <w:keepNext/>
                  <w:keepLines/>
                  <w:spacing w:after="120"/>
                  <w:jc w:val="center"/>
                </w:pPr>
              </w:pPrChange>
            </w:pPr>
            <w:r>
              <w:rPr>
                <w:noProof/>
                <w:sz w:val="20"/>
                <w:lang w:val="it-IT"/>
              </w:rPr>
              <w:t>11,1</w:t>
            </w:r>
            <w:del w:id="6192" w:author="Author">
              <w:r>
                <w:rPr>
                  <w:noProof/>
                  <w:sz w:val="20"/>
                  <w:lang w:val="it-IT"/>
                </w:rPr>
                <w:delText xml:space="preserve"> </w:delText>
              </w:r>
            </w:del>
            <w:ins w:id="6193" w:author="Author">
              <w:r>
                <w:rPr>
                  <w:noProof/>
                  <w:sz w:val="20"/>
                  <w:lang w:val="it-IT"/>
                </w:rPr>
                <w:t> </w:t>
              </w:r>
            </w:ins>
            <w:r>
              <w:rPr>
                <w:noProof/>
                <w:sz w:val="20"/>
                <w:lang w:val="it-IT"/>
              </w:rPr>
              <w:t>±</w:t>
            </w:r>
            <w:ins w:id="6194" w:author="Author">
              <w:r>
                <w:rPr>
                  <w:noProof/>
                  <w:sz w:val="20"/>
                  <w:lang w:val="it-IT"/>
                </w:rPr>
                <w:t> </w:t>
              </w:r>
            </w:ins>
            <w:del w:id="6195" w:author="Author">
              <w:r>
                <w:rPr>
                  <w:noProof/>
                  <w:sz w:val="20"/>
                  <w:lang w:val="it-IT"/>
                </w:rPr>
                <w:delText xml:space="preserve"> </w:delText>
              </w:r>
            </w:del>
            <w:r>
              <w:rPr>
                <w:noProof/>
                <w:sz w:val="20"/>
                <w:lang w:val="it-IT"/>
              </w:rPr>
              <w:t>10,3</w:t>
            </w:r>
          </w:p>
        </w:tc>
        <w:tc>
          <w:tcPr>
            <w:tcW w:w="2792" w:type="dxa"/>
            <w:tcBorders>
              <w:top w:val="single" w:sz="4" w:space="0" w:color="auto"/>
              <w:left w:val="single" w:sz="4" w:space="0" w:color="auto"/>
              <w:bottom w:val="single" w:sz="4" w:space="0" w:color="auto"/>
              <w:right w:val="single" w:sz="4" w:space="0" w:color="auto"/>
            </w:tcBorders>
            <w:tcPrChange w:id="6196" w:author="Author">
              <w:tcPr>
                <w:tcW w:w="2601"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rPr>
              <w:pPrChange w:id="6197" w:author="Author">
                <w:pPr>
                  <w:keepNext/>
                  <w:keepLines/>
                  <w:spacing w:after="120"/>
                  <w:jc w:val="center"/>
                </w:pPr>
              </w:pPrChange>
            </w:pPr>
            <w:r>
              <w:rPr>
                <w:noProof/>
                <w:sz w:val="20"/>
                <w:lang w:val="it-IT"/>
              </w:rPr>
              <w:t>68,1</w:t>
            </w:r>
            <w:ins w:id="6198" w:author="Author">
              <w:r>
                <w:rPr>
                  <w:noProof/>
                  <w:sz w:val="20"/>
                  <w:lang w:val="it-IT"/>
                </w:rPr>
                <w:t> </w:t>
              </w:r>
            </w:ins>
            <w:r>
              <w:rPr>
                <w:noProof/>
                <w:sz w:val="20"/>
                <w:lang w:val="it-IT"/>
              </w:rPr>
              <w:t>±</w:t>
            </w:r>
            <w:ins w:id="6199" w:author="Author">
              <w:r>
                <w:rPr>
                  <w:noProof/>
                  <w:sz w:val="20"/>
                  <w:lang w:val="it-IT"/>
                </w:rPr>
                <w:t> </w:t>
              </w:r>
            </w:ins>
            <w:del w:id="6200" w:author="Author">
              <w:r>
                <w:rPr>
                  <w:noProof/>
                  <w:sz w:val="20"/>
                  <w:lang w:val="it-IT"/>
                </w:rPr>
                <w:delText xml:space="preserve"> </w:delText>
              </w:r>
            </w:del>
            <w:r>
              <w:rPr>
                <w:noProof/>
                <w:sz w:val="20"/>
                <w:lang w:val="it-IT"/>
              </w:rPr>
              <w:t>29,5</w:t>
            </w:r>
          </w:p>
        </w:tc>
      </w:tr>
      <w:tr>
        <w:trPr>
          <w:cantSplit/>
          <w:trPrChange w:id="6201" w:author="Author">
            <w:trPr>
              <w:cantSplit/>
              <w:trHeight w:val="324"/>
              <w:jc w:val="center"/>
            </w:trPr>
          </w:trPrChange>
        </w:trPr>
        <w:tc>
          <w:tcPr>
            <w:tcW w:w="3235" w:type="dxa"/>
            <w:tcBorders>
              <w:top w:val="single" w:sz="4" w:space="0" w:color="auto"/>
              <w:left w:val="single" w:sz="4" w:space="0" w:color="auto"/>
              <w:bottom w:val="single" w:sz="4" w:space="0" w:color="auto"/>
              <w:right w:val="single" w:sz="4" w:space="0" w:color="auto"/>
            </w:tcBorders>
            <w:tcPrChange w:id="6202" w:author="Author">
              <w:tcPr>
                <w:tcW w:w="4735" w:type="dxa"/>
                <w:tcBorders>
                  <w:top w:val="single" w:sz="4" w:space="0" w:color="auto"/>
                  <w:left w:val="single" w:sz="4" w:space="0" w:color="auto"/>
                  <w:bottom w:val="single" w:sz="4" w:space="0" w:color="auto"/>
                  <w:right w:val="single" w:sz="4" w:space="0" w:color="auto"/>
                </w:tcBorders>
              </w:tcPr>
            </w:tcPrChange>
          </w:tcPr>
          <w:p>
            <w:pPr>
              <w:keepNext/>
              <w:suppressAutoHyphens/>
              <w:rPr>
                <w:rFonts w:eastAsia="PMingLiU"/>
                <w:noProof/>
                <w:sz w:val="20"/>
                <w:lang w:val="it-IT"/>
              </w:rPr>
              <w:pPrChange w:id="6203" w:author="Author">
                <w:pPr>
                  <w:keepNext/>
                  <w:spacing w:after="120"/>
                </w:pPr>
              </w:pPrChange>
            </w:pPr>
            <w:r>
              <w:rPr>
                <w:noProof/>
                <w:sz w:val="20"/>
                <w:lang w:val="it-IT"/>
              </w:rPr>
              <w:t>C</w:t>
            </w:r>
            <w:r>
              <w:rPr>
                <w:noProof/>
                <w:sz w:val="20"/>
                <w:vertAlign w:val="subscript"/>
                <w:lang w:val="it-IT"/>
              </w:rPr>
              <w:t xml:space="preserve">mean </w:t>
            </w:r>
            <w:r>
              <w:rPr>
                <w:noProof/>
                <w:sz w:val="20"/>
                <w:lang w:val="it-IT"/>
              </w:rPr>
              <w:t>(µg/mL)</w:t>
            </w:r>
          </w:p>
        </w:tc>
        <w:tc>
          <w:tcPr>
            <w:tcW w:w="2792" w:type="dxa"/>
            <w:tcBorders>
              <w:top w:val="single" w:sz="4" w:space="0" w:color="auto"/>
              <w:left w:val="single" w:sz="4" w:space="0" w:color="auto"/>
              <w:bottom w:val="single" w:sz="4" w:space="0" w:color="auto"/>
              <w:right w:val="single" w:sz="4" w:space="0" w:color="auto"/>
            </w:tcBorders>
            <w:tcPrChange w:id="6204" w:author="Author">
              <w:tcPr>
                <w:tcW w:w="1483"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rPr>
              <w:pPrChange w:id="6205" w:author="Author">
                <w:pPr>
                  <w:keepNext/>
                  <w:spacing w:after="120"/>
                  <w:jc w:val="center"/>
                </w:pPr>
              </w:pPrChange>
            </w:pPr>
            <w:r>
              <w:rPr>
                <w:noProof/>
                <w:sz w:val="20"/>
                <w:lang w:val="it-IT"/>
              </w:rPr>
              <w:t>16,2</w:t>
            </w:r>
            <w:del w:id="6206" w:author="Author">
              <w:r>
                <w:rPr>
                  <w:noProof/>
                  <w:sz w:val="20"/>
                  <w:lang w:val="it-IT"/>
                </w:rPr>
                <w:delText xml:space="preserve"> </w:delText>
              </w:r>
            </w:del>
            <w:ins w:id="6207" w:author="Author">
              <w:r>
                <w:rPr>
                  <w:noProof/>
                  <w:sz w:val="20"/>
                  <w:lang w:val="it-IT"/>
                </w:rPr>
                <w:t> </w:t>
              </w:r>
            </w:ins>
            <w:r>
              <w:rPr>
                <w:noProof/>
                <w:sz w:val="20"/>
                <w:lang w:val="it-IT"/>
              </w:rPr>
              <w:t>±</w:t>
            </w:r>
            <w:ins w:id="6208" w:author="Author">
              <w:r>
                <w:rPr>
                  <w:noProof/>
                  <w:sz w:val="20"/>
                  <w:lang w:val="it-IT"/>
                </w:rPr>
                <w:t> </w:t>
              </w:r>
            </w:ins>
            <w:del w:id="6209" w:author="Author">
              <w:r>
                <w:rPr>
                  <w:noProof/>
                  <w:sz w:val="20"/>
                  <w:lang w:val="it-IT"/>
                </w:rPr>
                <w:delText xml:space="preserve"> </w:delText>
              </w:r>
            </w:del>
            <w:r>
              <w:rPr>
                <w:noProof/>
                <w:sz w:val="20"/>
                <w:lang w:val="it-IT"/>
              </w:rPr>
              <w:t>11,8</w:t>
            </w:r>
          </w:p>
        </w:tc>
        <w:tc>
          <w:tcPr>
            <w:tcW w:w="2792" w:type="dxa"/>
            <w:tcBorders>
              <w:top w:val="single" w:sz="4" w:space="0" w:color="auto"/>
              <w:left w:val="single" w:sz="4" w:space="0" w:color="auto"/>
              <w:bottom w:val="single" w:sz="4" w:space="0" w:color="auto"/>
              <w:right w:val="single" w:sz="4" w:space="0" w:color="auto"/>
            </w:tcBorders>
            <w:tcPrChange w:id="6210" w:author="Author">
              <w:tcPr>
                <w:tcW w:w="2601"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rPr>
              <w:pPrChange w:id="6211" w:author="Author">
                <w:pPr>
                  <w:keepNext/>
                  <w:spacing w:after="120"/>
                  <w:jc w:val="center"/>
                </w:pPr>
              </w:pPrChange>
            </w:pPr>
            <w:r>
              <w:rPr>
                <w:noProof/>
                <w:sz w:val="20"/>
                <w:lang w:val="it-IT"/>
              </w:rPr>
              <w:t>71,3</w:t>
            </w:r>
            <w:del w:id="6212" w:author="Author">
              <w:r>
                <w:rPr>
                  <w:noProof/>
                  <w:sz w:val="20"/>
                  <w:lang w:val="it-IT"/>
                </w:rPr>
                <w:delText xml:space="preserve"> </w:delText>
              </w:r>
            </w:del>
            <w:ins w:id="6213" w:author="Author">
              <w:r>
                <w:rPr>
                  <w:noProof/>
                  <w:sz w:val="20"/>
                  <w:lang w:val="it-IT"/>
                </w:rPr>
                <w:t> </w:t>
              </w:r>
            </w:ins>
            <w:r>
              <w:rPr>
                <w:noProof/>
                <w:sz w:val="20"/>
                <w:lang w:val="it-IT"/>
              </w:rPr>
              <w:t>±</w:t>
            </w:r>
            <w:ins w:id="6214" w:author="Author">
              <w:r>
                <w:rPr>
                  <w:noProof/>
                  <w:sz w:val="20"/>
                  <w:lang w:val="it-IT"/>
                </w:rPr>
                <w:t> </w:t>
              </w:r>
            </w:ins>
            <w:del w:id="6215" w:author="Author">
              <w:r>
                <w:rPr>
                  <w:noProof/>
                  <w:sz w:val="20"/>
                  <w:lang w:val="it-IT"/>
                </w:rPr>
                <w:delText xml:space="preserve"> </w:delText>
              </w:r>
            </w:del>
            <w:r>
              <w:rPr>
                <w:noProof/>
                <w:sz w:val="20"/>
                <w:lang w:val="it-IT"/>
              </w:rPr>
              <w:t>30,1</w:t>
            </w:r>
          </w:p>
        </w:tc>
      </w:tr>
      <w:tr>
        <w:trPr>
          <w:cantSplit/>
          <w:trPrChange w:id="6216" w:author="Author">
            <w:trPr>
              <w:cantSplit/>
              <w:trHeight w:val="324"/>
              <w:jc w:val="center"/>
            </w:trPr>
          </w:trPrChange>
        </w:trPr>
        <w:tc>
          <w:tcPr>
            <w:tcW w:w="3235" w:type="dxa"/>
            <w:tcBorders>
              <w:top w:val="single" w:sz="4" w:space="0" w:color="auto"/>
              <w:left w:val="single" w:sz="4" w:space="0" w:color="auto"/>
              <w:bottom w:val="single" w:sz="4" w:space="0" w:color="auto"/>
              <w:right w:val="single" w:sz="4" w:space="0" w:color="auto"/>
            </w:tcBorders>
            <w:tcPrChange w:id="6217" w:author="Author">
              <w:tcPr>
                <w:tcW w:w="4735" w:type="dxa"/>
                <w:tcBorders>
                  <w:top w:val="single" w:sz="4" w:space="0" w:color="auto"/>
                  <w:left w:val="single" w:sz="4" w:space="0" w:color="auto"/>
                  <w:bottom w:val="single" w:sz="4" w:space="0" w:color="auto"/>
                  <w:right w:val="single" w:sz="4" w:space="0" w:color="auto"/>
                </w:tcBorders>
              </w:tcPr>
            </w:tcPrChange>
          </w:tcPr>
          <w:p>
            <w:pPr>
              <w:keepNext/>
              <w:suppressAutoHyphens/>
              <w:rPr>
                <w:rFonts w:eastAsia="PMingLiU"/>
                <w:noProof/>
                <w:sz w:val="20"/>
                <w:lang w:val="it-IT"/>
              </w:rPr>
              <w:pPrChange w:id="6218" w:author="Author">
                <w:pPr>
                  <w:spacing w:after="120"/>
                </w:pPr>
              </w:pPrChange>
            </w:pPr>
            <w:r>
              <w:rPr>
                <w:noProof/>
                <w:sz w:val="20"/>
                <w:lang w:val="it-IT"/>
              </w:rPr>
              <w:t>C</w:t>
            </w:r>
            <w:r>
              <w:rPr>
                <w:noProof/>
                <w:sz w:val="20"/>
                <w:vertAlign w:val="subscript"/>
                <w:lang w:val="it-IT"/>
              </w:rPr>
              <w:t xml:space="preserve">max </w:t>
            </w:r>
            <w:r>
              <w:rPr>
                <w:noProof/>
                <w:sz w:val="20"/>
                <w:lang w:val="it-IT"/>
              </w:rPr>
              <w:t>d’accumulo</w:t>
            </w:r>
          </w:p>
        </w:tc>
        <w:tc>
          <w:tcPr>
            <w:tcW w:w="2792" w:type="dxa"/>
            <w:tcBorders>
              <w:top w:val="single" w:sz="4" w:space="0" w:color="auto"/>
              <w:left w:val="single" w:sz="4" w:space="0" w:color="auto"/>
              <w:bottom w:val="single" w:sz="4" w:space="0" w:color="auto"/>
              <w:right w:val="single" w:sz="4" w:space="0" w:color="auto"/>
            </w:tcBorders>
            <w:tcPrChange w:id="6219" w:author="Author">
              <w:tcPr>
                <w:tcW w:w="1483"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rPr>
              <w:pPrChange w:id="6220" w:author="Author">
                <w:pPr>
                  <w:spacing w:after="120"/>
                  <w:jc w:val="center"/>
                </w:pPr>
              </w:pPrChange>
            </w:pPr>
            <w:r>
              <w:rPr>
                <w:noProof/>
                <w:sz w:val="20"/>
                <w:lang w:val="it-IT"/>
              </w:rPr>
              <w:t>2,18</w:t>
            </w:r>
          </w:p>
        </w:tc>
        <w:tc>
          <w:tcPr>
            <w:tcW w:w="2792" w:type="dxa"/>
            <w:tcBorders>
              <w:top w:val="single" w:sz="4" w:space="0" w:color="auto"/>
              <w:left w:val="single" w:sz="4" w:space="0" w:color="auto"/>
              <w:bottom w:val="single" w:sz="4" w:space="0" w:color="auto"/>
              <w:right w:val="single" w:sz="4" w:space="0" w:color="auto"/>
            </w:tcBorders>
            <w:tcPrChange w:id="6221" w:author="Author">
              <w:tcPr>
                <w:tcW w:w="2601"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rPr>
              <w:pPrChange w:id="6222" w:author="Author">
                <w:pPr>
                  <w:spacing w:after="120"/>
                  <w:jc w:val="center"/>
                </w:pPr>
              </w:pPrChange>
            </w:pPr>
            <w:r>
              <w:rPr>
                <w:noProof/>
                <w:sz w:val="20"/>
                <w:lang w:val="it-IT"/>
              </w:rPr>
              <w:t>8,88</w:t>
            </w:r>
          </w:p>
        </w:tc>
      </w:tr>
      <w:tr>
        <w:trPr>
          <w:cantSplit/>
          <w:trPrChange w:id="6223" w:author="Author">
            <w:trPr>
              <w:cantSplit/>
              <w:trHeight w:val="331"/>
              <w:jc w:val="center"/>
            </w:trPr>
          </w:trPrChange>
        </w:trPr>
        <w:tc>
          <w:tcPr>
            <w:tcW w:w="3235" w:type="dxa"/>
            <w:tcBorders>
              <w:top w:val="single" w:sz="4" w:space="0" w:color="auto"/>
              <w:left w:val="single" w:sz="4" w:space="0" w:color="auto"/>
              <w:bottom w:val="single" w:sz="4" w:space="0" w:color="auto"/>
              <w:right w:val="single" w:sz="4" w:space="0" w:color="auto"/>
            </w:tcBorders>
            <w:tcPrChange w:id="6224" w:author="Author">
              <w:tcPr>
                <w:tcW w:w="4735" w:type="dxa"/>
                <w:tcBorders>
                  <w:top w:val="single" w:sz="4" w:space="0" w:color="auto"/>
                  <w:left w:val="single" w:sz="4" w:space="0" w:color="auto"/>
                  <w:bottom w:val="single" w:sz="4" w:space="0" w:color="auto"/>
                  <w:right w:val="single" w:sz="4" w:space="0" w:color="auto"/>
                </w:tcBorders>
              </w:tcPr>
            </w:tcPrChange>
          </w:tcPr>
          <w:p>
            <w:pPr>
              <w:keepNext/>
              <w:suppressAutoHyphens/>
              <w:rPr>
                <w:rFonts w:eastAsia="PMingLiU"/>
                <w:noProof/>
                <w:sz w:val="20"/>
                <w:lang w:val="it-IT"/>
              </w:rPr>
              <w:pPrChange w:id="6225" w:author="Author">
                <w:pPr>
                  <w:spacing w:after="120"/>
                </w:pPr>
              </w:pPrChange>
            </w:pPr>
            <w:del w:id="6226" w:author="Author">
              <w:r>
                <w:rPr>
                  <w:noProof/>
                  <w:sz w:val="20"/>
                  <w:lang w:val="it-IT"/>
                </w:rPr>
                <w:delText>C</w:delText>
              </w:r>
              <w:r>
                <w:rPr>
                  <w:noProof/>
                  <w:sz w:val="20"/>
                  <w:vertAlign w:val="subscript"/>
                  <w:lang w:val="it-IT"/>
                </w:rPr>
                <w:delText>min</w:delText>
              </w:r>
            </w:del>
            <w:ins w:id="6227" w:author="Author">
              <w:r>
                <w:rPr>
                  <w:rFonts w:eastAsia="PMingLiU"/>
                  <w:noProof/>
                  <w:sz w:val="20"/>
                  <w:lang w:val="it-IT"/>
                  <w:rPrChange w:id="6228" w:author="Author">
                    <w:rPr>
                      <w:rFonts w:eastAsia="PMingLiU"/>
                      <w:szCs w:val="22"/>
                      <w:lang w:val="en-GB"/>
                    </w:rPr>
                  </w:rPrChange>
                </w:rPr>
                <w:t>C</w:t>
              </w:r>
              <w:r>
                <w:rPr>
                  <w:rFonts w:eastAsia="PMingLiU"/>
                  <w:noProof/>
                  <w:sz w:val="20"/>
                  <w:vertAlign w:val="subscript"/>
                  <w:lang w:val="it-IT"/>
                  <w:rPrChange w:id="6229" w:author="Author">
                    <w:rPr>
                      <w:rFonts w:eastAsia="PMingLiU"/>
                      <w:szCs w:val="22"/>
                      <w:vertAlign w:val="subscript"/>
                      <w:lang w:val="en-GB"/>
                    </w:rPr>
                  </w:rPrChange>
                </w:rPr>
                <w:t>trough</w:t>
              </w:r>
            </w:ins>
            <w:r>
              <w:rPr>
                <w:noProof/>
                <w:sz w:val="20"/>
                <w:vertAlign w:val="subscript"/>
                <w:lang w:val="it-IT"/>
              </w:rPr>
              <w:t xml:space="preserve"> </w:t>
            </w:r>
            <w:r>
              <w:rPr>
                <w:noProof/>
                <w:sz w:val="20"/>
                <w:lang w:val="it-IT"/>
              </w:rPr>
              <w:t>d’accumulo</w:t>
            </w:r>
          </w:p>
        </w:tc>
        <w:tc>
          <w:tcPr>
            <w:tcW w:w="2792" w:type="dxa"/>
            <w:tcBorders>
              <w:top w:val="single" w:sz="4" w:space="0" w:color="auto"/>
              <w:left w:val="single" w:sz="4" w:space="0" w:color="auto"/>
              <w:bottom w:val="single" w:sz="4" w:space="0" w:color="auto"/>
              <w:right w:val="single" w:sz="4" w:space="0" w:color="auto"/>
            </w:tcBorders>
            <w:tcPrChange w:id="6230" w:author="Author">
              <w:tcPr>
                <w:tcW w:w="1483"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rPr>
              <w:pPrChange w:id="6231" w:author="Author">
                <w:pPr>
                  <w:spacing w:after="120"/>
                  <w:jc w:val="center"/>
                </w:pPr>
              </w:pPrChange>
            </w:pPr>
            <w:r>
              <w:rPr>
                <w:noProof/>
                <w:sz w:val="20"/>
                <w:lang w:val="it-IT"/>
              </w:rPr>
              <w:t>5,61</w:t>
            </w:r>
          </w:p>
        </w:tc>
        <w:tc>
          <w:tcPr>
            <w:tcW w:w="2792" w:type="dxa"/>
            <w:tcBorders>
              <w:top w:val="single" w:sz="4" w:space="0" w:color="auto"/>
              <w:left w:val="single" w:sz="4" w:space="0" w:color="auto"/>
              <w:bottom w:val="single" w:sz="4" w:space="0" w:color="auto"/>
              <w:right w:val="single" w:sz="4" w:space="0" w:color="auto"/>
            </w:tcBorders>
            <w:tcPrChange w:id="6232" w:author="Author">
              <w:tcPr>
                <w:tcW w:w="2601"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rPr>
              <w:pPrChange w:id="6233" w:author="Author">
                <w:pPr>
                  <w:spacing w:after="120"/>
                  <w:jc w:val="center"/>
                </w:pPr>
              </w:pPrChange>
            </w:pPr>
            <w:r>
              <w:rPr>
                <w:noProof/>
                <w:sz w:val="20"/>
                <w:lang w:val="it-IT"/>
              </w:rPr>
              <w:t>9,59</w:t>
            </w:r>
          </w:p>
        </w:tc>
      </w:tr>
      <w:tr>
        <w:trPr>
          <w:cantSplit/>
          <w:trPrChange w:id="6234" w:author="Author">
            <w:trPr>
              <w:cantSplit/>
              <w:trHeight w:val="331"/>
              <w:jc w:val="center"/>
            </w:trPr>
          </w:trPrChange>
        </w:trPr>
        <w:tc>
          <w:tcPr>
            <w:tcW w:w="3235" w:type="dxa"/>
            <w:tcBorders>
              <w:top w:val="single" w:sz="4" w:space="0" w:color="auto"/>
              <w:left w:val="single" w:sz="4" w:space="0" w:color="auto"/>
              <w:bottom w:val="single" w:sz="4" w:space="0" w:color="auto"/>
              <w:right w:val="single" w:sz="4" w:space="0" w:color="auto"/>
            </w:tcBorders>
            <w:tcPrChange w:id="6235" w:author="Author">
              <w:tcPr>
                <w:tcW w:w="4735" w:type="dxa"/>
                <w:tcBorders>
                  <w:top w:val="single" w:sz="4" w:space="0" w:color="auto"/>
                  <w:left w:val="single" w:sz="4" w:space="0" w:color="auto"/>
                  <w:bottom w:val="single" w:sz="4" w:space="0" w:color="auto"/>
                  <w:right w:val="single" w:sz="4" w:space="0" w:color="auto"/>
                </w:tcBorders>
              </w:tcPr>
            </w:tcPrChange>
          </w:tcPr>
          <w:p>
            <w:pPr>
              <w:keepNext/>
              <w:suppressAutoHyphens/>
              <w:rPr>
                <w:rFonts w:eastAsia="PMingLiU"/>
                <w:noProof/>
                <w:sz w:val="20"/>
                <w:lang w:val="it-IT"/>
              </w:rPr>
              <w:pPrChange w:id="6236" w:author="Author">
                <w:pPr>
                  <w:spacing w:after="120"/>
                </w:pPr>
              </w:pPrChange>
            </w:pPr>
            <w:r>
              <w:rPr>
                <w:noProof/>
                <w:sz w:val="20"/>
                <w:lang w:val="it-IT"/>
              </w:rPr>
              <w:t>C</w:t>
            </w:r>
            <w:r>
              <w:rPr>
                <w:noProof/>
                <w:sz w:val="20"/>
                <w:vertAlign w:val="subscript"/>
                <w:lang w:val="it-IT"/>
              </w:rPr>
              <w:t xml:space="preserve">mean </w:t>
            </w:r>
            <w:r>
              <w:rPr>
                <w:noProof/>
                <w:sz w:val="20"/>
                <w:lang w:val="it-IT"/>
              </w:rPr>
              <w:t>d’accumulo o AUC</w:t>
            </w:r>
            <w:ins w:id="6237" w:author="Author">
              <w:r>
                <w:rPr>
                  <w:noProof/>
                  <w:sz w:val="18"/>
                  <w:szCs w:val="18"/>
                  <w:lang w:val="it-IT" w:eastAsia="en-US"/>
                </w:rPr>
                <w:t xml:space="preserve"> τ </w:t>
              </w:r>
            </w:ins>
            <w:r>
              <w:rPr>
                <w:noProof/>
                <w:sz w:val="20"/>
                <w:lang w:val="it-IT"/>
              </w:rPr>
              <w:t>*</w:t>
            </w:r>
          </w:p>
        </w:tc>
        <w:tc>
          <w:tcPr>
            <w:tcW w:w="2792" w:type="dxa"/>
            <w:tcBorders>
              <w:top w:val="single" w:sz="4" w:space="0" w:color="auto"/>
              <w:left w:val="single" w:sz="4" w:space="0" w:color="auto"/>
              <w:bottom w:val="single" w:sz="4" w:space="0" w:color="auto"/>
              <w:right w:val="single" w:sz="4" w:space="0" w:color="auto"/>
            </w:tcBorders>
            <w:tcPrChange w:id="6238" w:author="Author">
              <w:tcPr>
                <w:tcW w:w="1483"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rPr>
              <w:pPrChange w:id="6239" w:author="Author">
                <w:pPr>
                  <w:spacing w:after="120"/>
                  <w:jc w:val="center"/>
                </w:pPr>
              </w:pPrChange>
            </w:pPr>
            <w:r>
              <w:rPr>
                <w:noProof/>
                <w:sz w:val="20"/>
                <w:lang w:val="it-IT"/>
              </w:rPr>
              <w:t>2,81</w:t>
            </w:r>
          </w:p>
        </w:tc>
        <w:tc>
          <w:tcPr>
            <w:tcW w:w="2792" w:type="dxa"/>
            <w:tcBorders>
              <w:top w:val="single" w:sz="4" w:space="0" w:color="auto"/>
              <w:left w:val="single" w:sz="4" w:space="0" w:color="auto"/>
              <w:bottom w:val="single" w:sz="4" w:space="0" w:color="auto"/>
              <w:right w:val="single" w:sz="4" w:space="0" w:color="auto"/>
            </w:tcBorders>
            <w:tcPrChange w:id="6240" w:author="Author">
              <w:tcPr>
                <w:tcW w:w="2601"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rPr>
              <w:pPrChange w:id="6241" w:author="Author">
                <w:pPr>
                  <w:spacing w:after="120"/>
                  <w:jc w:val="center"/>
                </w:pPr>
              </w:pPrChange>
            </w:pPr>
            <w:r>
              <w:rPr>
                <w:noProof/>
                <w:sz w:val="20"/>
                <w:lang w:val="it-IT"/>
              </w:rPr>
              <w:t>10,91</w:t>
            </w:r>
          </w:p>
        </w:tc>
      </w:tr>
    </w:tbl>
    <w:p>
      <w:pPr>
        <w:jc w:val="both"/>
        <w:rPr>
          <w:noProof/>
          <w:sz w:val="18"/>
          <w:szCs w:val="18"/>
          <w:lang w:val="it-IT" w:eastAsia="en-US"/>
        </w:rPr>
      </w:pPr>
      <w:r>
        <w:rPr>
          <w:noProof/>
          <w:sz w:val="18"/>
          <w:szCs w:val="18"/>
          <w:lang w:val="it-IT" w:eastAsia="en-US"/>
        </w:rPr>
        <w:t>*τ</w:t>
      </w:r>
      <w:del w:id="6242" w:author="Author">
        <w:r>
          <w:rPr>
            <w:noProof/>
            <w:sz w:val="18"/>
            <w:szCs w:val="18"/>
            <w:lang w:val="it-IT" w:eastAsia="en-US"/>
          </w:rPr>
          <w:delText xml:space="preserve"> </w:delText>
        </w:r>
      </w:del>
      <w:ins w:id="6243" w:author="Author">
        <w:r>
          <w:rPr>
            <w:noProof/>
            <w:sz w:val="18"/>
            <w:szCs w:val="18"/>
            <w:lang w:val="it-IT" w:eastAsia="en-US"/>
          </w:rPr>
          <w:t> </w:t>
        </w:r>
      </w:ins>
      <w:r>
        <w:rPr>
          <w:noProof/>
          <w:sz w:val="18"/>
          <w:szCs w:val="18"/>
          <w:lang w:val="it-IT" w:eastAsia="en-US"/>
        </w:rPr>
        <w:t>=</w:t>
      </w:r>
      <w:ins w:id="6244" w:author="Author">
        <w:r>
          <w:rPr>
            <w:noProof/>
            <w:sz w:val="18"/>
            <w:szCs w:val="18"/>
            <w:lang w:val="it-IT" w:eastAsia="en-US"/>
          </w:rPr>
          <w:t> </w:t>
        </w:r>
      </w:ins>
      <w:del w:id="6245" w:author="Author">
        <w:r>
          <w:rPr>
            <w:noProof/>
            <w:sz w:val="18"/>
            <w:szCs w:val="18"/>
            <w:lang w:val="it-IT" w:eastAsia="en-US"/>
          </w:rPr>
          <w:delText xml:space="preserve"> </w:delText>
        </w:r>
      </w:del>
      <w:r>
        <w:rPr>
          <w:noProof/>
          <w:sz w:val="18"/>
          <w:szCs w:val="18"/>
          <w:lang w:val="it-IT" w:eastAsia="en-US"/>
        </w:rPr>
        <w:t>2 o 1 settimana per i due regimi sottocutanei</w:t>
      </w:r>
    </w:p>
    <w:p>
      <w:pPr>
        <w:rPr>
          <w:noProof/>
          <w:lang w:val="it-IT" w:eastAsia="de-DE"/>
        </w:rPr>
      </w:pPr>
    </w:p>
    <w:p>
      <w:pPr>
        <w:rPr>
          <w:noProof/>
          <w:lang w:val="it-IT"/>
        </w:rPr>
      </w:pPr>
      <w:r>
        <w:rPr>
          <w:noProof/>
          <w:lang w:val="it-IT"/>
        </w:rPr>
        <w:t xml:space="preserve">Il profilo allo stato stazionario della somministrazione settimanale di tocilizumab è risultato sostanzialmente piatto, con fluttuazioni minime tra i valori minimi e massimi, mentre per tocilizumab </w:t>
      </w:r>
      <w:del w:id="6246" w:author="Author">
        <w:r>
          <w:rPr>
            <w:noProof/>
            <w:lang w:val="it-IT"/>
          </w:rPr>
          <w:delText xml:space="preserve">in </w:delText>
        </w:r>
      </w:del>
      <w:r>
        <w:rPr>
          <w:noProof/>
          <w:lang w:val="it-IT"/>
        </w:rPr>
        <w:t>somministra</w:t>
      </w:r>
      <w:ins w:id="6247" w:author="Author">
        <w:r>
          <w:rPr>
            <w:noProof/>
            <w:lang w:val="it-IT"/>
          </w:rPr>
          <w:t>to</w:t>
        </w:r>
      </w:ins>
      <w:del w:id="6248" w:author="Author">
        <w:r>
          <w:rPr>
            <w:noProof/>
            <w:lang w:val="it-IT"/>
          </w:rPr>
          <w:delText>zione</w:delText>
        </w:r>
      </w:del>
      <w:r>
        <w:rPr>
          <w:noProof/>
          <w:lang w:val="it-IT"/>
        </w:rPr>
        <w:t xml:space="preserve"> </w:t>
      </w:r>
      <w:ins w:id="6249" w:author="Author">
        <w:r>
          <w:rPr>
            <w:noProof/>
            <w:lang w:val="it-IT"/>
          </w:rPr>
          <w:t>ogni due</w:t>
        </w:r>
      </w:ins>
      <w:del w:id="6250" w:author="Author">
        <w:r>
          <w:rPr>
            <w:noProof/>
            <w:lang w:val="it-IT"/>
          </w:rPr>
          <w:delText>a</w:delText>
        </w:r>
      </w:del>
      <w:r>
        <w:rPr>
          <w:noProof/>
          <w:lang w:val="it-IT"/>
        </w:rPr>
        <w:t xml:space="preserve"> settimane </w:t>
      </w:r>
      <w:del w:id="6251" w:author="Author">
        <w:r>
          <w:rPr>
            <w:noProof/>
            <w:lang w:val="it-IT"/>
          </w:rPr>
          <w:delText xml:space="preserve">alterne </w:delText>
        </w:r>
      </w:del>
      <w:r>
        <w:rPr>
          <w:noProof/>
          <w:lang w:val="it-IT"/>
        </w:rPr>
        <w:t xml:space="preserve">le fluttuazioni rilevate sono state considerevoli. Il 90% circa dello stato stazionario (AUCτ) è stato raggiunto entro la settimana 14 nel gruppo trattato </w:t>
      </w:r>
      <w:ins w:id="6252" w:author="Author">
        <w:r>
          <w:rPr>
            <w:noProof/>
            <w:lang w:val="it-IT"/>
          </w:rPr>
          <w:t>ogni due</w:t>
        </w:r>
      </w:ins>
      <w:del w:id="6253" w:author="Author">
        <w:r>
          <w:rPr>
            <w:noProof/>
            <w:lang w:val="it-IT"/>
          </w:rPr>
          <w:delText>a</w:delText>
        </w:r>
      </w:del>
      <w:r>
        <w:rPr>
          <w:noProof/>
          <w:lang w:val="it-IT"/>
        </w:rPr>
        <w:t xml:space="preserve"> settimane </w:t>
      </w:r>
      <w:del w:id="6254" w:author="Author">
        <w:r>
          <w:rPr>
            <w:noProof/>
            <w:lang w:val="it-IT"/>
          </w:rPr>
          <w:delText xml:space="preserve">alterne </w:delText>
        </w:r>
      </w:del>
      <w:r>
        <w:rPr>
          <w:noProof/>
          <w:lang w:val="it-IT"/>
        </w:rPr>
        <w:t xml:space="preserve">ed entro la settimana 17 nel gruppo </w:t>
      </w:r>
      <w:del w:id="6255" w:author="Author">
        <w:r>
          <w:rPr>
            <w:noProof/>
            <w:lang w:val="it-IT"/>
          </w:rPr>
          <w:delText xml:space="preserve">in </w:delText>
        </w:r>
      </w:del>
      <w:r>
        <w:rPr>
          <w:noProof/>
          <w:lang w:val="it-IT"/>
        </w:rPr>
        <w:t>tratta</w:t>
      </w:r>
      <w:ins w:id="6256" w:author="Author">
        <w:r>
          <w:rPr>
            <w:noProof/>
            <w:lang w:val="it-IT"/>
          </w:rPr>
          <w:t xml:space="preserve">to una volta a settimana. </w:t>
        </w:r>
      </w:ins>
      <w:del w:id="6257" w:author="Author">
        <w:r>
          <w:rPr>
            <w:noProof/>
            <w:lang w:val="it-IT"/>
          </w:rPr>
          <w:delText>mento settimanale.</w:delText>
        </w:r>
      </w:del>
    </w:p>
    <w:p>
      <w:pPr>
        <w:rPr>
          <w:noProof/>
          <w:lang w:val="it-IT"/>
        </w:rPr>
      </w:pPr>
    </w:p>
    <w:p>
      <w:pPr>
        <w:rPr>
          <w:noProof/>
          <w:lang w:val="it-IT"/>
        </w:rPr>
      </w:pPr>
      <w:r>
        <w:rPr>
          <w:noProof/>
          <w:lang w:val="it-IT"/>
        </w:rPr>
        <w:t>Sulla base dell’attuale caratterizzazione della PK, in questa popolazione si osservano concentrazioni minime allo stato stazionario di tocilizumab più elevate del 50% rispetto alle concentrazioni medie rilevate nel più ampio set di dati della popolazione con AR. Tali differenze sono ascrivibili a ragioni non note. Le differenze di PK non si associano a differenze marcate dei parametri di PD e pertanto la loro rilevanza clinica non è nota.</w:t>
      </w:r>
    </w:p>
    <w:p>
      <w:pPr>
        <w:rPr>
          <w:noProof/>
          <w:lang w:val="it-IT"/>
        </w:rPr>
      </w:pPr>
    </w:p>
    <w:p>
      <w:pPr>
        <w:rPr>
          <w:noProof/>
          <w:lang w:val="it-IT"/>
        </w:rPr>
      </w:pPr>
      <w:r>
        <w:rPr>
          <w:noProof/>
          <w:lang w:val="it-IT"/>
        </w:rPr>
        <w:t xml:space="preserve">Nei </w:t>
      </w:r>
      <w:del w:id="6258" w:author="Author">
        <w:r>
          <w:rPr>
            <w:noProof/>
            <w:lang w:val="it-IT"/>
          </w:rPr>
          <w:delText xml:space="preserve">paziente </w:delText>
        </w:r>
      </w:del>
      <w:ins w:id="6259" w:author="Author">
        <w:r>
          <w:rPr>
            <w:noProof/>
            <w:lang w:val="it-IT"/>
          </w:rPr>
          <w:t xml:space="preserve">pazienti </w:t>
        </w:r>
      </w:ins>
      <w:r>
        <w:rPr>
          <w:noProof/>
          <w:lang w:val="it-IT"/>
        </w:rPr>
        <w:t xml:space="preserve">affetti da ACG </w:t>
      </w:r>
      <w:del w:id="6260" w:author="Author">
        <w:r>
          <w:rPr>
            <w:noProof/>
            <w:lang w:val="it-IT"/>
          </w:rPr>
          <w:delText xml:space="preserve">si </w:delText>
        </w:r>
      </w:del>
      <w:r>
        <w:rPr>
          <w:noProof/>
          <w:lang w:val="it-IT"/>
        </w:rPr>
        <w:t xml:space="preserve">è </w:t>
      </w:r>
      <w:ins w:id="6261" w:author="Author">
        <w:r>
          <w:rPr>
            <w:noProof/>
            <w:lang w:val="it-IT"/>
          </w:rPr>
          <w:t xml:space="preserve">stata </w:t>
        </w:r>
      </w:ins>
      <w:r>
        <w:rPr>
          <w:noProof/>
          <w:lang w:val="it-IT"/>
        </w:rPr>
        <w:t>osservata un’esposizione più elevata in pazienti con peso corporeo inferiore. Per lo schema posologico da 162 mg una volta alla settimana, lo stato stazionario C</w:t>
      </w:r>
      <w:r>
        <w:rPr>
          <w:noProof/>
          <w:vertAlign w:val="subscript"/>
          <w:lang w:val="it-IT"/>
          <w:rPrChange w:id="6262" w:author="Author">
            <w:rPr>
              <w:lang w:val="it-IT"/>
            </w:rPr>
          </w:rPrChange>
        </w:rPr>
        <w:t>av</w:t>
      </w:r>
      <w:r>
        <w:rPr>
          <w:noProof/>
          <w:lang w:val="it-IT"/>
        </w:rPr>
        <w:t xml:space="preserve"> è stato più elevato (del 51%) in pazienti con peso corporeo inferiore a 60 kg rispetto a pazienti con peso compreso tra 60 e 100 kg. Per lo schema posologico da 162 mg ogni due settimane, lo stato stazionario C</w:t>
      </w:r>
      <w:r>
        <w:rPr>
          <w:noProof/>
          <w:vertAlign w:val="subscript"/>
          <w:lang w:val="it-IT"/>
          <w:rPrChange w:id="6263" w:author="Author">
            <w:rPr>
              <w:lang w:val="it-IT"/>
            </w:rPr>
          </w:rPrChange>
        </w:rPr>
        <w:t>av</w:t>
      </w:r>
      <w:r>
        <w:rPr>
          <w:noProof/>
          <w:lang w:val="it-IT"/>
        </w:rPr>
        <w:t xml:space="preserve"> è stato più elevato (del 129%) in pazienti con peso corporeo inferiore a 60 kg rispetto a pazienti con peso compreso tra 60 e 100 kg. Sono disponibili dati limitati su pazienti con peso superiore a 100</w:t>
      </w:r>
      <w:ins w:id="6264" w:author="Author">
        <w:r>
          <w:rPr>
            <w:noProof/>
            <w:lang w:val="it-IT"/>
          </w:rPr>
          <w:t> </w:t>
        </w:r>
      </w:ins>
      <w:del w:id="6265" w:author="Author">
        <w:r>
          <w:rPr>
            <w:noProof/>
            <w:lang w:val="it-IT"/>
          </w:rPr>
          <w:delText xml:space="preserve"> </w:delText>
        </w:r>
      </w:del>
      <w:r>
        <w:rPr>
          <w:noProof/>
          <w:lang w:val="it-IT"/>
        </w:rPr>
        <w:t>kg (n</w:t>
      </w:r>
      <w:ins w:id="6266" w:author="Author">
        <w:r>
          <w:rPr>
            <w:noProof/>
            <w:lang w:val="it-IT"/>
          </w:rPr>
          <w:t> </w:t>
        </w:r>
      </w:ins>
      <w:r>
        <w:rPr>
          <w:noProof/>
          <w:lang w:val="it-IT"/>
        </w:rPr>
        <w:t>=</w:t>
      </w:r>
      <w:ins w:id="6267" w:author="Author">
        <w:r>
          <w:rPr>
            <w:noProof/>
            <w:lang w:val="it-IT"/>
          </w:rPr>
          <w:t> </w:t>
        </w:r>
      </w:ins>
      <w:r>
        <w:rPr>
          <w:noProof/>
          <w:lang w:val="it-IT"/>
        </w:rPr>
        <w:t>7).</w:t>
      </w:r>
    </w:p>
    <w:p>
      <w:pPr>
        <w:rPr>
          <w:noProof/>
          <w:lang w:val="it-IT"/>
        </w:rPr>
      </w:pPr>
    </w:p>
    <w:p>
      <w:pPr>
        <w:keepNext/>
        <w:keepLines/>
        <w:rPr>
          <w:i/>
          <w:iCs/>
          <w:noProof/>
          <w:u w:val="single"/>
          <w:lang w:val="it-IT"/>
        </w:rPr>
      </w:pPr>
      <w:r>
        <w:rPr>
          <w:i/>
          <w:iCs/>
          <w:noProof/>
          <w:u w:val="single"/>
          <w:lang w:val="it-IT"/>
        </w:rPr>
        <w:t>Assorbimento</w:t>
      </w:r>
    </w:p>
    <w:p>
      <w:pPr>
        <w:keepNext/>
        <w:keepLines/>
        <w:rPr>
          <w:iCs/>
          <w:noProof/>
          <w:lang w:val="it-IT"/>
        </w:rPr>
      </w:pPr>
      <w:r>
        <w:rPr>
          <w:noProof/>
          <w:lang w:val="it-IT"/>
        </w:rPr>
        <w:t>In seguito a somministrazione sottocutanea in pazienti con ACG, il t½ di assorbimento è stato raggiunto intorno ai 4 giorni. La biodisponibilità della formulazione sottocutanea è stata di 0,8. I valori mediani di T</w:t>
      </w:r>
      <w:r>
        <w:rPr>
          <w:iCs/>
          <w:noProof/>
          <w:vertAlign w:val="subscript"/>
          <w:lang w:val="it-IT"/>
        </w:rPr>
        <w:t>max</w:t>
      </w:r>
      <w:r>
        <w:rPr>
          <w:noProof/>
          <w:lang w:val="it-IT"/>
        </w:rPr>
        <w:t xml:space="preserve"> sono stati raggiunti 3 giorni dopo la somministrazione della dose settimanale di tocilizumab e 4,5 giorni dopo la somministrazione della dose di tocilizumab </w:t>
      </w:r>
      <w:ins w:id="6268" w:author="Author">
        <w:r>
          <w:rPr>
            <w:noProof/>
            <w:lang w:val="it-IT"/>
          </w:rPr>
          <w:t>ogni due</w:t>
        </w:r>
      </w:ins>
      <w:del w:id="6269" w:author="Author">
        <w:r>
          <w:rPr>
            <w:noProof/>
            <w:lang w:val="it-IT"/>
          </w:rPr>
          <w:delText>a</w:delText>
        </w:r>
      </w:del>
      <w:r>
        <w:rPr>
          <w:noProof/>
          <w:lang w:val="it-IT"/>
        </w:rPr>
        <w:t xml:space="preserve"> settimane</w:t>
      </w:r>
      <w:del w:id="6270" w:author="Author">
        <w:r>
          <w:rPr>
            <w:noProof/>
            <w:lang w:val="it-IT"/>
          </w:rPr>
          <w:delText xml:space="preserve"> alterne</w:delText>
        </w:r>
      </w:del>
      <w:r>
        <w:rPr>
          <w:noProof/>
          <w:lang w:val="it-IT"/>
        </w:rPr>
        <w:t>.</w:t>
      </w:r>
    </w:p>
    <w:p>
      <w:pPr>
        <w:rPr>
          <w:iCs/>
          <w:noProof/>
          <w:lang w:val="it-IT" w:eastAsia="de-DE"/>
        </w:rPr>
        <w:pPrChange w:id="6271" w:author="Author">
          <w:pPr>
            <w:keepNext/>
            <w:keepLines/>
          </w:pPr>
        </w:pPrChange>
      </w:pPr>
    </w:p>
    <w:p>
      <w:pPr>
        <w:keepNext/>
        <w:keepLines/>
        <w:rPr>
          <w:i/>
          <w:iCs/>
          <w:noProof/>
          <w:u w:val="single"/>
          <w:lang w:val="it-IT"/>
        </w:rPr>
      </w:pPr>
      <w:r>
        <w:rPr>
          <w:i/>
          <w:iCs/>
          <w:noProof/>
          <w:u w:val="single"/>
          <w:lang w:val="it-IT"/>
        </w:rPr>
        <w:lastRenderedPageBreak/>
        <w:t>Distribuzione</w:t>
      </w:r>
    </w:p>
    <w:p>
      <w:pPr>
        <w:keepNext/>
        <w:keepLines/>
        <w:rPr>
          <w:noProof/>
          <w:lang w:val="it-IT"/>
        </w:rPr>
      </w:pPr>
      <w:r>
        <w:rPr>
          <w:noProof/>
          <w:lang w:val="it-IT"/>
        </w:rPr>
        <w:t>In pazienti con ACG, il volume di distribuzione centrale è stato di 4,09 </w:t>
      </w:r>
      <w:ins w:id="6272" w:author="Author">
        <w:r>
          <w:rPr>
            <w:noProof/>
            <w:lang w:val="it-IT"/>
          </w:rPr>
          <w:t>L</w:t>
        </w:r>
      </w:ins>
      <w:del w:id="6273" w:author="Author">
        <w:r>
          <w:rPr>
            <w:noProof/>
            <w:lang w:val="it-IT"/>
          </w:rPr>
          <w:delText>l</w:delText>
        </w:r>
      </w:del>
      <w:r>
        <w:rPr>
          <w:noProof/>
          <w:lang w:val="it-IT"/>
        </w:rPr>
        <w:t>, il volume di distribuzione periferico è stato di 3,37 </w:t>
      </w:r>
      <w:ins w:id="6274" w:author="Author">
        <w:r>
          <w:rPr>
            <w:noProof/>
            <w:lang w:val="it-IT"/>
          </w:rPr>
          <w:t>L</w:t>
        </w:r>
      </w:ins>
      <w:del w:id="6275" w:author="Author">
        <w:r>
          <w:rPr>
            <w:noProof/>
            <w:lang w:val="it-IT"/>
          </w:rPr>
          <w:delText>l</w:delText>
        </w:r>
      </w:del>
      <w:r>
        <w:rPr>
          <w:noProof/>
          <w:lang w:val="it-IT"/>
        </w:rPr>
        <w:t xml:space="preserve">, e di conseguenza il volume di distribuzione </w:t>
      </w:r>
      <w:del w:id="6276" w:author="Author">
        <w:r>
          <w:rPr>
            <w:noProof/>
            <w:lang w:val="it-IT"/>
          </w:rPr>
          <w:delText xml:space="preserve">in </w:delText>
        </w:r>
      </w:del>
      <w:ins w:id="6277" w:author="Author">
        <w:r>
          <w:rPr>
            <w:noProof/>
            <w:lang w:val="it-IT"/>
          </w:rPr>
          <w:t xml:space="preserve">allo </w:t>
        </w:r>
      </w:ins>
      <w:r>
        <w:rPr>
          <w:noProof/>
          <w:lang w:val="it-IT"/>
        </w:rPr>
        <w:t>stato stazionario è stato di 7,46 </w:t>
      </w:r>
      <w:ins w:id="6278" w:author="Author">
        <w:r>
          <w:rPr>
            <w:noProof/>
            <w:lang w:val="it-IT"/>
          </w:rPr>
          <w:t>L</w:t>
        </w:r>
      </w:ins>
      <w:del w:id="6279" w:author="Author">
        <w:r>
          <w:rPr>
            <w:noProof/>
            <w:lang w:val="it-IT"/>
          </w:rPr>
          <w:delText>l</w:delText>
        </w:r>
      </w:del>
      <w:r>
        <w:rPr>
          <w:noProof/>
          <w:lang w:val="it-IT"/>
        </w:rPr>
        <w:t>.</w:t>
      </w:r>
    </w:p>
    <w:p>
      <w:pPr>
        <w:rPr>
          <w:noProof/>
          <w:lang w:val="it-IT" w:eastAsia="de-DE"/>
        </w:rPr>
        <w:pPrChange w:id="6280" w:author="Author">
          <w:pPr>
            <w:keepNext/>
            <w:keepLines/>
          </w:pPr>
        </w:pPrChange>
      </w:pPr>
    </w:p>
    <w:p>
      <w:pPr>
        <w:keepNext/>
        <w:keepLines/>
        <w:rPr>
          <w:i/>
          <w:iCs/>
          <w:noProof/>
          <w:u w:val="single"/>
          <w:lang w:val="it-IT"/>
        </w:rPr>
        <w:pPrChange w:id="6281" w:author="Author">
          <w:pPr/>
        </w:pPrChange>
      </w:pPr>
      <w:r>
        <w:rPr>
          <w:i/>
          <w:iCs/>
          <w:noProof/>
          <w:u w:val="single"/>
          <w:lang w:val="it-IT"/>
        </w:rPr>
        <w:t>Eliminazione</w:t>
      </w:r>
    </w:p>
    <w:p>
      <w:pPr>
        <w:rPr>
          <w:noProof/>
          <w:lang w:val="it-IT"/>
        </w:rPr>
      </w:pPr>
      <w:r>
        <w:rPr>
          <w:noProof/>
          <w:lang w:val="it-IT"/>
        </w:rPr>
        <w:t>La clearance totale di tocilizumab è risultata dipendente dalla concentrazione e costituita dalla somma della clearance lineare e della clearance non lineare. La clearance lineare è stata stimata come parametro nell’analisi della farmacocinetica di popolazione ed è risultata pari a 6,7 mL/h nei pazienti con ACG.</w:t>
      </w:r>
    </w:p>
    <w:p>
      <w:pPr>
        <w:rPr>
          <w:noProof/>
          <w:lang w:val="it-IT"/>
        </w:rPr>
      </w:pPr>
    </w:p>
    <w:p>
      <w:pPr>
        <w:rPr>
          <w:noProof/>
          <w:lang w:val="it-IT"/>
        </w:rPr>
      </w:pPr>
      <w:r>
        <w:rPr>
          <w:noProof/>
          <w:lang w:val="it-IT"/>
        </w:rPr>
        <w:t>Nei pazienti con ACG, allo stato stazionario, il t</w:t>
      </w:r>
      <w:r>
        <w:rPr>
          <w:noProof/>
          <w:vertAlign w:val="subscript"/>
          <w:lang w:val="it-IT"/>
          <w:rPrChange w:id="6282" w:author="Author">
            <w:rPr>
              <w:lang w:val="it-IT"/>
            </w:rPr>
          </w:rPrChange>
        </w:rPr>
        <w:t>½</w:t>
      </w:r>
      <w:r>
        <w:rPr>
          <w:noProof/>
          <w:lang w:val="it-IT"/>
        </w:rPr>
        <w:t xml:space="preserve"> effettivo di tocilizumab ha oscillato tra 18,3 e 18,9 giorni per il regime settimanale da 162 mg, e tra 4,2 e 7,9 giorni per il regime </w:t>
      </w:r>
      <w:del w:id="6283" w:author="Author">
        <w:r>
          <w:rPr>
            <w:noProof/>
            <w:lang w:val="it-IT"/>
          </w:rPr>
          <w:delText>a settimane alterne</w:delText>
        </w:r>
      </w:del>
      <w:ins w:id="6284" w:author="Author">
        <w:r>
          <w:rPr>
            <w:noProof/>
            <w:lang w:val="it-IT"/>
          </w:rPr>
          <w:t>ogni due settimane</w:t>
        </w:r>
      </w:ins>
      <w:r>
        <w:rPr>
          <w:noProof/>
          <w:lang w:val="it-IT"/>
        </w:rPr>
        <w:t xml:space="preserve"> da 162 mg. A concentrazioni sieriche elevate, quando la clearance totale di tocilizumab è dominata dalla clearance lineare, dalle stime dei parametri di popolazione è stato ricavato un t½ effettivo di circa 32 giorni.</w:t>
      </w:r>
    </w:p>
    <w:p>
      <w:pPr>
        <w:rPr>
          <w:noProof/>
          <w:lang w:val="it-IT"/>
        </w:rPr>
      </w:pPr>
    </w:p>
    <w:p>
      <w:pPr>
        <w:rPr>
          <w:del w:id="6285" w:author="Author"/>
          <w:noProof/>
          <w:u w:val="single"/>
          <w:lang w:val="it-IT"/>
        </w:rPr>
      </w:pPr>
      <w:r>
        <w:rPr>
          <w:noProof/>
          <w:u w:val="single"/>
          <w:lang w:val="it-IT"/>
        </w:rPr>
        <w:t xml:space="preserve">Popolazioni </w:t>
      </w:r>
      <w:del w:id="6286" w:author="Author">
        <w:r>
          <w:rPr>
            <w:noProof/>
            <w:u w:val="single"/>
            <w:lang w:val="it-IT"/>
          </w:rPr>
          <w:delText>particolari</w:delText>
        </w:r>
      </w:del>
      <w:ins w:id="6287" w:author="Author">
        <w:r>
          <w:rPr>
            <w:noProof/>
            <w:u w:val="single"/>
            <w:lang w:val="it-IT"/>
            <w:rPrChange w:id="6288" w:author="Author">
              <w:rPr>
                <w:noProof/>
                <w:highlight w:val="green"/>
                <w:u w:val="single"/>
                <w:lang w:val="it-IT"/>
              </w:rPr>
            </w:rPrChange>
          </w:rPr>
          <w:t>special</w:t>
        </w:r>
        <w:r>
          <w:rPr>
            <w:noProof/>
            <w:u w:val="single"/>
            <w:lang w:val="it-IT"/>
          </w:rPr>
          <w:t>i</w:t>
        </w:r>
      </w:ins>
    </w:p>
    <w:p>
      <w:pPr>
        <w:rPr>
          <w:noProof/>
          <w:u w:val="single"/>
          <w:lang w:val="it-IT"/>
        </w:rPr>
      </w:pPr>
    </w:p>
    <w:p>
      <w:pPr>
        <w:rPr>
          <w:noProof/>
          <w:lang w:val="it-IT"/>
        </w:rPr>
      </w:pPr>
      <w:r>
        <w:rPr>
          <w:i/>
          <w:noProof/>
          <w:lang w:val="it-IT"/>
        </w:rPr>
        <w:t>Compromissione renale</w:t>
      </w:r>
      <w:r>
        <w:rPr>
          <w:noProof/>
          <w:lang w:val="it-IT"/>
        </w:rPr>
        <w:t xml:space="preserve"> </w:t>
      </w:r>
    </w:p>
    <w:p>
      <w:pPr>
        <w:rPr>
          <w:noProof/>
          <w:lang w:val="it-IT"/>
        </w:rPr>
      </w:pPr>
      <w:r>
        <w:rPr>
          <w:noProof/>
          <w:lang w:val="it-IT"/>
        </w:rPr>
        <w:t xml:space="preserve">Non sono stati condotti studi </w:t>
      </w:r>
      <w:ins w:id="6289" w:author="Author">
        <w:r>
          <w:rPr>
            <w:noProof/>
            <w:lang w:val="it-IT"/>
          </w:rPr>
          <w:t xml:space="preserve">clinici </w:t>
        </w:r>
      </w:ins>
      <w:r>
        <w:rPr>
          <w:noProof/>
          <w:lang w:val="it-IT"/>
        </w:rPr>
        <w:t>formali sull’effetto di una funzione renale compromessa sulla farmacocinetica di tocilizumab. La maggior parte dei pazienti con AR e ACG oggetto dell’analisi di farmacocinetica di popolazione presentava una funzione renale nella norma o una</w:t>
      </w:r>
      <w:ins w:id="6290" w:author="Author">
        <w:r>
          <w:rPr>
            <w:noProof/>
            <w:lang w:val="it-IT"/>
          </w:rPr>
          <w:t xml:space="preserve"> compromissione</w:t>
        </w:r>
      </w:ins>
      <w:r>
        <w:rPr>
          <w:noProof/>
          <w:lang w:val="it-IT"/>
        </w:rPr>
        <w:t xml:space="preserve"> </w:t>
      </w:r>
      <w:ins w:id="6291" w:author="Author">
        <w:r>
          <w:rPr>
            <w:noProof/>
            <w:lang w:val="it-IT"/>
          </w:rPr>
          <w:t xml:space="preserve">renale </w:t>
        </w:r>
      </w:ins>
      <w:r>
        <w:rPr>
          <w:noProof/>
          <w:lang w:val="it-IT"/>
        </w:rPr>
        <w:t xml:space="preserve">lieve </w:t>
      </w:r>
      <w:del w:id="6292" w:author="Author">
        <w:r>
          <w:rPr>
            <w:noProof/>
            <w:lang w:val="it-IT"/>
          </w:rPr>
          <w:delText>alterazione della funzione renale</w:delText>
        </w:r>
      </w:del>
      <w:r>
        <w:rPr>
          <w:noProof/>
          <w:lang w:val="it-IT"/>
        </w:rPr>
        <w:t xml:space="preserve">. Una </w:t>
      </w:r>
      <w:ins w:id="6293" w:author="Author">
        <w:r>
          <w:rPr>
            <w:noProof/>
            <w:lang w:val="it-IT"/>
          </w:rPr>
          <w:t xml:space="preserve">compromissione renale </w:t>
        </w:r>
      </w:ins>
      <w:r>
        <w:rPr>
          <w:noProof/>
          <w:lang w:val="it-IT"/>
        </w:rPr>
        <w:t xml:space="preserve">lieve </w:t>
      </w:r>
      <w:del w:id="6294" w:author="Author">
        <w:r>
          <w:rPr>
            <w:noProof/>
            <w:lang w:val="it-IT"/>
          </w:rPr>
          <w:delText xml:space="preserve">alterazione della funzione renale </w:delText>
        </w:r>
      </w:del>
      <w:r>
        <w:rPr>
          <w:noProof/>
          <w:lang w:val="it-IT"/>
        </w:rPr>
        <w:t>(clearance della creatinina stimata secondo la formula di Cockcroft-Gault) non ha avuto alcun effetto sulla farmacocinetica di tocilizumab.</w:t>
      </w:r>
    </w:p>
    <w:p>
      <w:pPr>
        <w:rPr>
          <w:noProof/>
          <w:lang w:val="it-IT"/>
        </w:rPr>
      </w:pPr>
    </w:p>
    <w:p>
      <w:pPr>
        <w:rPr>
          <w:noProof/>
          <w:lang w:val="it-IT"/>
        </w:rPr>
      </w:pPr>
      <w:r>
        <w:rPr>
          <w:noProof/>
          <w:lang w:val="it-IT"/>
        </w:rPr>
        <w:t xml:space="preserve">Un terzo circa dei pazienti nello studio </w:t>
      </w:r>
      <w:ins w:id="6295" w:author="Author">
        <w:r>
          <w:rPr>
            <w:noProof/>
            <w:lang w:val="it-IT"/>
          </w:rPr>
          <w:t xml:space="preserve">clinico </w:t>
        </w:r>
      </w:ins>
      <w:r>
        <w:rPr>
          <w:noProof/>
          <w:lang w:val="it-IT"/>
        </w:rPr>
        <w:t>sulla ACG presentava una compromissione renale moderata al basale (clearance della creatinina stimata di 30-59 mL/min). In questi pazienti non è stato osservato alcun effetto sull’esposizione a tocilizumab.</w:t>
      </w:r>
    </w:p>
    <w:p>
      <w:pPr>
        <w:rPr>
          <w:noProof/>
          <w:lang w:val="it-IT"/>
        </w:rPr>
      </w:pPr>
    </w:p>
    <w:p>
      <w:pPr>
        <w:rPr>
          <w:noProof/>
          <w:lang w:val="it-IT"/>
        </w:rPr>
      </w:pPr>
      <w:r>
        <w:rPr>
          <w:noProof/>
          <w:lang w:val="it-IT"/>
        </w:rPr>
        <w:t>Non è necessario alcun aggiustamento della dose nei pazienti con compromissione renale lieve o moderata.</w:t>
      </w:r>
    </w:p>
    <w:p>
      <w:pPr>
        <w:rPr>
          <w:noProof/>
          <w:lang w:val="it-IT"/>
        </w:rPr>
      </w:pPr>
    </w:p>
    <w:p>
      <w:pPr>
        <w:keepNext/>
        <w:rPr>
          <w:i/>
          <w:noProof/>
          <w:lang w:val="it-IT"/>
        </w:rPr>
      </w:pPr>
      <w:r>
        <w:rPr>
          <w:i/>
          <w:noProof/>
          <w:lang w:val="it-IT"/>
        </w:rPr>
        <w:t>Compromissione epatica</w:t>
      </w:r>
    </w:p>
    <w:p>
      <w:pPr>
        <w:keepNext/>
        <w:rPr>
          <w:noProof/>
          <w:lang w:val="it-IT"/>
        </w:rPr>
      </w:pPr>
      <w:r>
        <w:rPr>
          <w:noProof/>
          <w:lang w:val="it-IT"/>
        </w:rPr>
        <w:t xml:space="preserve">Non sono stati condotti studi </w:t>
      </w:r>
      <w:ins w:id="6296" w:author="Author">
        <w:r>
          <w:rPr>
            <w:noProof/>
            <w:lang w:val="it-IT"/>
          </w:rPr>
          <w:t xml:space="preserve">clinici </w:t>
        </w:r>
      </w:ins>
      <w:r>
        <w:rPr>
          <w:noProof/>
          <w:lang w:val="it-IT"/>
        </w:rPr>
        <w:t xml:space="preserve">formali sull’effetto di una funzione epatica compromessa sulla farmacocinetica di tocilizumab. </w:t>
      </w:r>
    </w:p>
    <w:p>
      <w:pPr>
        <w:rPr>
          <w:noProof/>
          <w:lang w:val="it-IT"/>
        </w:rPr>
      </w:pPr>
    </w:p>
    <w:p>
      <w:pPr>
        <w:rPr>
          <w:noProof/>
          <w:lang w:val="it-IT"/>
        </w:rPr>
      </w:pPr>
      <w:r>
        <w:rPr>
          <w:i/>
          <w:noProof/>
          <w:lang w:val="it-IT"/>
        </w:rPr>
        <w:t>Età, genere ed etnia</w:t>
      </w:r>
      <w:r>
        <w:rPr>
          <w:noProof/>
          <w:lang w:val="it-IT"/>
        </w:rPr>
        <w:t xml:space="preserve"> </w:t>
      </w:r>
    </w:p>
    <w:p>
      <w:pPr>
        <w:rPr>
          <w:noProof/>
          <w:lang w:val="it-IT"/>
        </w:rPr>
      </w:pPr>
      <w:r>
        <w:rPr>
          <w:noProof/>
          <w:lang w:val="it-IT"/>
        </w:rPr>
        <w:t>L</w:t>
      </w:r>
      <w:del w:id="6297" w:author="Author">
        <w:r>
          <w:rPr>
            <w:noProof/>
            <w:lang w:val="it-IT"/>
          </w:rPr>
          <w:delText>l</w:delText>
        </w:r>
      </w:del>
      <w:r>
        <w:rPr>
          <w:noProof/>
          <w:lang w:val="it-IT"/>
        </w:rPr>
        <w:t>e analisi di farmacocinetica di popolazione effettuate su pazienti adulti affetti da AR e ACG hanno dimostrato che età, sesso e origine etnica non hanno influito sulla farmacocinetica di tocilizumab.</w:t>
      </w:r>
    </w:p>
    <w:p>
      <w:pPr>
        <w:rPr>
          <w:noProof/>
          <w:lang w:val="it-IT"/>
        </w:rPr>
      </w:pPr>
    </w:p>
    <w:p>
      <w:pPr>
        <w:rPr>
          <w:iCs/>
          <w:noProof/>
          <w:szCs w:val="22"/>
          <w:lang w:val="it-IT"/>
        </w:rPr>
      </w:pPr>
      <w:r>
        <w:rPr>
          <w:iCs/>
          <w:noProof/>
          <w:szCs w:val="22"/>
          <w:lang w:val="it-IT"/>
        </w:rPr>
        <w:t xml:space="preserve">I risultati dell’analisi di farmacocinetica di popolazione nei pazienti affetti da AIGs e AIGp hanno confermato che le dimensioni corporee rappresentano l’unica covariata che influisce in misura significativa sulla farmacocinetica di </w:t>
      </w:r>
      <w:r>
        <w:rPr>
          <w:noProof/>
          <w:lang w:val="it-IT"/>
        </w:rPr>
        <w:t xml:space="preserve">tocilizumab </w:t>
      </w:r>
      <w:r>
        <w:rPr>
          <w:iCs/>
          <w:noProof/>
          <w:szCs w:val="22"/>
          <w:lang w:val="it-IT"/>
        </w:rPr>
        <w:t>inclusi l’eliminazione e l’assorbimento pertanto deve essere presa in considerazione la dose basata sul peso corporeo (vedere Tabelle</w:t>
      </w:r>
      <w:del w:id="6298" w:author="Author">
        <w:r>
          <w:rPr>
            <w:iCs/>
            <w:noProof/>
            <w:szCs w:val="22"/>
            <w:lang w:val="it-IT"/>
          </w:rPr>
          <w:delText xml:space="preserve"> </w:delText>
        </w:r>
      </w:del>
      <w:ins w:id="6299" w:author="Author">
        <w:r>
          <w:rPr>
            <w:iCs/>
            <w:noProof/>
            <w:szCs w:val="22"/>
            <w:lang w:val="it-IT"/>
          </w:rPr>
          <w:t> </w:t>
        </w:r>
      </w:ins>
      <w:r>
        <w:rPr>
          <w:iCs/>
          <w:noProof/>
          <w:szCs w:val="22"/>
          <w:lang w:val="it-IT"/>
        </w:rPr>
        <w:t>8 e 9).</w:t>
      </w:r>
    </w:p>
    <w:p>
      <w:pPr>
        <w:rPr>
          <w:noProof/>
          <w:lang w:val="it-IT"/>
        </w:rPr>
      </w:pPr>
    </w:p>
    <w:p>
      <w:pPr>
        <w:keepNext/>
        <w:tabs>
          <w:tab w:val="left" w:pos="180"/>
        </w:tabs>
        <w:ind w:left="567" w:hanging="567"/>
        <w:outlineLvl w:val="0"/>
        <w:rPr>
          <w:noProof/>
          <w:lang w:val="it-IT"/>
        </w:rPr>
        <w:pPrChange w:id="6300" w:author="Author">
          <w:pPr>
            <w:tabs>
              <w:tab w:val="left" w:pos="180"/>
            </w:tabs>
            <w:ind w:left="567" w:hanging="567"/>
            <w:outlineLvl w:val="0"/>
          </w:pPr>
        </w:pPrChange>
      </w:pPr>
      <w:r>
        <w:rPr>
          <w:b/>
          <w:noProof/>
          <w:lang w:val="it-IT"/>
        </w:rPr>
        <w:t>5.3</w:t>
      </w:r>
      <w:r>
        <w:rPr>
          <w:noProof/>
          <w:lang w:val="it-IT"/>
        </w:rPr>
        <w:tab/>
      </w:r>
      <w:r>
        <w:rPr>
          <w:b/>
          <w:noProof/>
          <w:lang w:val="it-IT"/>
        </w:rPr>
        <w:t>Dati preclinici di sicurezza</w:t>
      </w:r>
    </w:p>
    <w:p>
      <w:pPr>
        <w:keepNext/>
        <w:tabs>
          <w:tab w:val="left" w:pos="180"/>
        </w:tabs>
        <w:rPr>
          <w:noProof/>
          <w:lang w:val="it-IT"/>
        </w:rPr>
        <w:pPrChange w:id="6301" w:author="Author">
          <w:pPr>
            <w:tabs>
              <w:tab w:val="left" w:pos="180"/>
            </w:tabs>
          </w:pPr>
        </w:pPrChange>
      </w:pPr>
    </w:p>
    <w:p>
      <w:pPr>
        <w:tabs>
          <w:tab w:val="left" w:pos="180"/>
        </w:tabs>
        <w:rPr>
          <w:noProof/>
          <w:szCs w:val="22"/>
          <w:lang w:val="it-IT"/>
        </w:rPr>
      </w:pPr>
      <w:r>
        <w:rPr>
          <w:noProof/>
          <w:lang w:val="it-IT"/>
        </w:rPr>
        <w:t xml:space="preserve">I dati non-clinici non rivelano rischi particolari per l’uomo sulla base di studi convenzionali di farmacologia di sicurezza, tossicità a dosi ripetute, genotossicità, </w:t>
      </w:r>
      <w:r>
        <w:rPr>
          <w:noProof/>
          <w:szCs w:val="22"/>
          <w:lang w:val="it-IT"/>
        </w:rPr>
        <w:t>tossicità riproduttiva e dello sviluppo.</w:t>
      </w:r>
    </w:p>
    <w:p>
      <w:pPr>
        <w:tabs>
          <w:tab w:val="left" w:pos="180"/>
        </w:tabs>
        <w:rPr>
          <w:bCs/>
          <w:noProof/>
          <w:lang w:val="it-IT"/>
        </w:rPr>
      </w:pPr>
    </w:p>
    <w:p>
      <w:pPr>
        <w:tabs>
          <w:tab w:val="left" w:pos="180"/>
        </w:tabs>
        <w:rPr>
          <w:bCs/>
          <w:noProof/>
          <w:lang w:val="it-IT"/>
        </w:rPr>
      </w:pPr>
      <w:r>
        <w:rPr>
          <w:bCs/>
          <w:noProof/>
          <w:lang w:val="it-IT"/>
        </w:rPr>
        <w:t xml:space="preserve">Non sono stati effettuati studi </w:t>
      </w:r>
      <w:ins w:id="6302" w:author="Author">
        <w:r>
          <w:rPr>
            <w:bCs/>
            <w:noProof/>
            <w:lang w:val="it-IT"/>
          </w:rPr>
          <w:t xml:space="preserve">clinici </w:t>
        </w:r>
      </w:ins>
      <w:r>
        <w:rPr>
          <w:bCs/>
          <w:noProof/>
          <w:lang w:val="it-IT"/>
        </w:rPr>
        <w:t xml:space="preserve">di carcinogenicità con tocilizumab in quanto non si ritiene che gli anticorpi monoclonali IgG1 abbiano un potenziale carcinogenico intrinseco. </w:t>
      </w:r>
    </w:p>
    <w:p>
      <w:pPr>
        <w:tabs>
          <w:tab w:val="left" w:pos="180"/>
        </w:tabs>
        <w:rPr>
          <w:noProof/>
          <w:lang w:val="it-IT"/>
        </w:rPr>
      </w:pPr>
    </w:p>
    <w:p>
      <w:pPr>
        <w:keepNext/>
        <w:keepLines/>
        <w:tabs>
          <w:tab w:val="left" w:pos="180"/>
        </w:tabs>
        <w:rPr>
          <w:noProof/>
          <w:lang w:val="it-IT"/>
        </w:rPr>
      </w:pPr>
      <w:r>
        <w:rPr>
          <w:noProof/>
          <w:lang w:val="it-IT"/>
        </w:rPr>
        <w:lastRenderedPageBreak/>
        <w:t xml:space="preserve">I dati non-clinici disponibili hanno dimostrato l’effetto di IL-6 sulla progressione tumorale e sulla resistenza all’apoptosi di diverse tipologie tumorali. Questi dati non suggeriscono un rischio rilevante per l'instaurarsi e il progredire di una neoplasia nel corso della terapia con tocilizumab. Inoltre, non sono state osservate lesioni proliferative in uno studio di tossicità cronica della durata di 6 mesi effettuato nelle scimmie cynomolgus o su topi privi di IL-6. </w:t>
      </w:r>
    </w:p>
    <w:p>
      <w:pPr>
        <w:tabs>
          <w:tab w:val="left" w:pos="180"/>
        </w:tabs>
        <w:rPr>
          <w:noProof/>
          <w:lang w:val="it-IT"/>
        </w:rPr>
      </w:pPr>
    </w:p>
    <w:p>
      <w:pPr>
        <w:numPr>
          <w:ilvl w:val="12"/>
          <w:numId w:val="0"/>
        </w:numPr>
        <w:tabs>
          <w:tab w:val="left" w:pos="180"/>
        </w:tabs>
        <w:ind w:right="-2"/>
        <w:rPr>
          <w:iCs/>
          <w:noProof/>
          <w:lang w:val="it-IT"/>
        </w:rPr>
      </w:pPr>
      <w:r>
        <w:rPr>
          <w:iCs/>
          <w:noProof/>
          <w:lang w:val="it-IT"/>
        </w:rPr>
        <w:t xml:space="preserve">I dati non-clinici disponibili non indicano un effetto sulla fertilità del trattamento con </w:t>
      </w:r>
      <w:r>
        <w:rPr>
          <w:noProof/>
          <w:lang w:val="it-IT"/>
        </w:rPr>
        <w:t>tocilizumab</w:t>
      </w:r>
      <w:r>
        <w:rPr>
          <w:iCs/>
          <w:noProof/>
          <w:lang w:val="it-IT"/>
        </w:rPr>
        <w:t xml:space="preserve">. Non sono stati osservati effetti sugli organi attivi del sistema endocrino o dell’apparato riproduttivo in uno studio di tossicità cronica effettuato su scimmie cynomolgus e le potenzialità riproduttive non sono state alterate in topi privi di IL-6. </w:t>
      </w:r>
      <w:r>
        <w:rPr>
          <w:noProof/>
          <w:lang w:val="it-IT"/>
        </w:rPr>
        <w:t xml:space="preserve">Tocilizumab </w:t>
      </w:r>
      <w:r>
        <w:rPr>
          <w:iCs/>
          <w:noProof/>
          <w:lang w:val="it-IT"/>
        </w:rPr>
        <w:t>somministrato a scimmie cynomolgus nella prima fase della gestazione non ha dimostrato di determinare alcun effetto nocivo diretto o indiretto sulla gravidanza o sullo sviluppo embrio-fetale. Con un’esposizione sistemica elevata (</w:t>
      </w:r>
      <w:r>
        <w:rPr>
          <w:iCs/>
          <w:noProof/>
          <w:lang w:val="it-IT"/>
        </w:rPr>
        <w:sym w:font="Symbol" w:char="F03E"/>
      </w:r>
      <w:r>
        <w:rPr>
          <w:iCs/>
          <w:noProof/>
          <w:lang w:val="it-IT"/>
        </w:rPr>
        <w:t xml:space="preserve">100 volte l’esposizione nell’uomo) è stato tuttavia registrato un lieve incremento del tasso di aborto/morte embrio-fetale nel gruppo trattato con la dose elevata di 50 mg/kg/die rispetto ai gruppi placebo e a basse dosi. Sebbene IL-6 non sembri rappresentare una citochina fondamentale per la crescita fetale o per il controllo immunologico dell’interfaccia materno-fetale, non può essere esclusa una correlazione tra questo risultato e </w:t>
      </w:r>
      <w:r>
        <w:rPr>
          <w:noProof/>
          <w:lang w:val="it-IT"/>
        </w:rPr>
        <w:t>tocilizumab</w:t>
      </w:r>
      <w:r>
        <w:rPr>
          <w:iCs/>
          <w:noProof/>
          <w:lang w:val="it-IT"/>
        </w:rPr>
        <w:t>.</w:t>
      </w:r>
    </w:p>
    <w:p>
      <w:pPr>
        <w:tabs>
          <w:tab w:val="left" w:pos="180"/>
        </w:tabs>
        <w:rPr>
          <w:noProof/>
          <w:lang w:val="it-IT"/>
        </w:rPr>
      </w:pPr>
    </w:p>
    <w:p>
      <w:pPr>
        <w:tabs>
          <w:tab w:val="left" w:pos="180"/>
        </w:tabs>
        <w:rPr>
          <w:noProof/>
          <w:lang w:val="it-IT"/>
        </w:rPr>
      </w:pPr>
      <w:r>
        <w:rPr>
          <w:noProof/>
          <w:lang w:val="it-IT"/>
        </w:rPr>
        <w:t>Il trattamento con un analogo murino non ha comportato effetti tossici nei topi giovani. In particolare, non è stata osservata alcuna compromissione della crescita scheletrica, della funzione immunitaria e della maturazione sessuale.</w:t>
      </w:r>
    </w:p>
    <w:p>
      <w:pPr>
        <w:tabs>
          <w:tab w:val="left" w:pos="180"/>
        </w:tabs>
        <w:ind w:left="567" w:hanging="567"/>
        <w:rPr>
          <w:b/>
          <w:noProof/>
          <w:lang w:val="it-IT"/>
        </w:rPr>
      </w:pPr>
    </w:p>
    <w:p>
      <w:pPr>
        <w:tabs>
          <w:tab w:val="left" w:pos="180"/>
        </w:tabs>
        <w:rPr>
          <w:noProof/>
          <w:szCs w:val="22"/>
          <w:lang w:val="it-IT"/>
        </w:rPr>
      </w:pPr>
      <w:r>
        <w:rPr>
          <w:noProof/>
          <w:lang w:val="it-IT"/>
        </w:rPr>
        <w:t xml:space="preserve">Il profilo non-clinico di sicurezza di tocilizumab valutato nelle scimmie cynomolgus non suggerisce l’esistenza di differenze tra la via di somministrazione endovenosa e quella sottocutanea. </w:t>
      </w:r>
    </w:p>
    <w:p>
      <w:pPr>
        <w:tabs>
          <w:tab w:val="left" w:pos="180"/>
        </w:tabs>
        <w:ind w:left="567" w:hanging="567"/>
        <w:rPr>
          <w:b/>
          <w:noProof/>
          <w:lang w:val="it-IT"/>
        </w:rPr>
      </w:pPr>
    </w:p>
    <w:p>
      <w:pPr>
        <w:tabs>
          <w:tab w:val="left" w:pos="180"/>
        </w:tabs>
        <w:ind w:left="567" w:hanging="567"/>
        <w:rPr>
          <w:b/>
          <w:noProof/>
          <w:lang w:val="it-IT"/>
        </w:rPr>
      </w:pPr>
    </w:p>
    <w:p>
      <w:pPr>
        <w:keepNext/>
        <w:keepLines/>
        <w:tabs>
          <w:tab w:val="left" w:pos="180"/>
        </w:tabs>
        <w:ind w:left="567" w:hanging="567"/>
        <w:rPr>
          <w:b/>
          <w:noProof/>
          <w:lang w:val="it-IT"/>
        </w:rPr>
      </w:pPr>
      <w:r>
        <w:rPr>
          <w:b/>
          <w:noProof/>
          <w:lang w:val="it-IT"/>
        </w:rPr>
        <w:t>6.</w:t>
      </w:r>
      <w:r>
        <w:rPr>
          <w:noProof/>
          <w:lang w:val="it-IT"/>
        </w:rPr>
        <w:tab/>
      </w:r>
      <w:r>
        <w:rPr>
          <w:noProof/>
          <w:lang w:val="it-IT"/>
        </w:rPr>
        <w:tab/>
      </w:r>
      <w:r>
        <w:rPr>
          <w:b/>
          <w:noProof/>
          <w:lang w:val="it-IT"/>
        </w:rPr>
        <w:t>INFORMAZIONI FARMACEUTICHE</w:t>
      </w:r>
    </w:p>
    <w:p>
      <w:pPr>
        <w:keepNext/>
        <w:keepLines/>
        <w:tabs>
          <w:tab w:val="left" w:pos="180"/>
        </w:tabs>
        <w:rPr>
          <w:noProof/>
          <w:lang w:val="it-IT"/>
        </w:rPr>
      </w:pPr>
    </w:p>
    <w:p>
      <w:pPr>
        <w:keepNext/>
        <w:keepLines/>
        <w:tabs>
          <w:tab w:val="left" w:pos="180"/>
        </w:tabs>
        <w:rPr>
          <w:b/>
          <w:noProof/>
          <w:lang w:val="it-IT"/>
        </w:rPr>
      </w:pPr>
      <w:r>
        <w:rPr>
          <w:b/>
          <w:noProof/>
          <w:lang w:val="it-IT"/>
        </w:rPr>
        <w:t>6.1</w:t>
      </w:r>
      <w:r>
        <w:rPr>
          <w:noProof/>
          <w:lang w:val="it-IT"/>
        </w:rPr>
        <w:tab/>
      </w:r>
      <w:r>
        <w:rPr>
          <w:b/>
          <w:noProof/>
          <w:lang w:val="it-IT"/>
        </w:rPr>
        <w:t>Elenco degli eccipienti</w:t>
      </w:r>
    </w:p>
    <w:p>
      <w:pPr>
        <w:keepNext/>
        <w:keepLines/>
        <w:tabs>
          <w:tab w:val="left" w:pos="180"/>
        </w:tabs>
        <w:rPr>
          <w:iCs/>
          <w:noProof/>
          <w:szCs w:val="22"/>
          <w:lang w:val="it-IT"/>
        </w:rPr>
      </w:pPr>
    </w:p>
    <w:p>
      <w:pPr>
        <w:keepNext/>
        <w:keepLines/>
        <w:tabs>
          <w:tab w:val="left" w:pos="180"/>
        </w:tabs>
        <w:ind w:left="567" w:hanging="567"/>
        <w:outlineLvl w:val="0"/>
        <w:rPr>
          <w:bCs/>
          <w:noProof/>
          <w:szCs w:val="22"/>
          <w:lang w:val="it-IT"/>
        </w:rPr>
      </w:pPr>
      <w:r>
        <w:rPr>
          <w:bCs/>
          <w:noProof/>
          <w:szCs w:val="22"/>
          <w:lang w:val="it-IT"/>
        </w:rPr>
        <w:t>L-istidina (per aggiustamenti del pH)</w:t>
      </w:r>
    </w:p>
    <w:p>
      <w:pPr>
        <w:keepNext/>
        <w:keepLines/>
        <w:tabs>
          <w:tab w:val="left" w:pos="180"/>
        </w:tabs>
        <w:ind w:left="567" w:hanging="567"/>
        <w:outlineLvl w:val="0"/>
        <w:rPr>
          <w:b/>
          <w:noProof/>
          <w:szCs w:val="22"/>
          <w:lang w:val="it-IT"/>
        </w:rPr>
      </w:pPr>
      <w:r>
        <w:rPr>
          <w:bCs/>
          <w:noProof/>
          <w:szCs w:val="22"/>
          <w:lang w:val="it-IT"/>
        </w:rPr>
        <w:t>L-istidina monocloridrato monoidrato (per aggiustamenti del pH)</w:t>
      </w:r>
    </w:p>
    <w:p>
      <w:pPr>
        <w:keepNext/>
        <w:keepLines/>
        <w:tabs>
          <w:tab w:val="left" w:pos="180"/>
        </w:tabs>
        <w:ind w:left="567" w:hanging="567"/>
        <w:outlineLvl w:val="0"/>
        <w:rPr>
          <w:bCs/>
          <w:noProof/>
          <w:szCs w:val="22"/>
          <w:lang w:val="it-IT"/>
        </w:rPr>
      </w:pPr>
      <w:r>
        <w:rPr>
          <w:bCs/>
          <w:noProof/>
          <w:szCs w:val="22"/>
          <w:lang w:val="it-IT"/>
        </w:rPr>
        <w:t>L-arginina/L-arginina cloridrato</w:t>
      </w:r>
    </w:p>
    <w:p>
      <w:pPr>
        <w:keepNext/>
        <w:keepLines/>
        <w:tabs>
          <w:tab w:val="left" w:pos="180"/>
        </w:tabs>
        <w:outlineLvl w:val="0"/>
        <w:rPr>
          <w:bCs/>
          <w:noProof/>
          <w:szCs w:val="22"/>
          <w:lang w:val="it-IT"/>
        </w:rPr>
      </w:pPr>
      <w:r>
        <w:rPr>
          <w:bCs/>
          <w:noProof/>
          <w:szCs w:val="22"/>
          <w:lang w:val="it-IT"/>
        </w:rPr>
        <w:t>L-metionina</w:t>
      </w:r>
    </w:p>
    <w:p>
      <w:pPr>
        <w:keepNext/>
        <w:keepLines/>
        <w:tabs>
          <w:tab w:val="left" w:pos="180"/>
        </w:tabs>
        <w:ind w:left="567" w:hanging="567"/>
        <w:outlineLvl w:val="0"/>
        <w:rPr>
          <w:bCs/>
          <w:noProof/>
          <w:szCs w:val="22"/>
          <w:lang w:val="it-IT"/>
        </w:rPr>
      </w:pPr>
      <w:r>
        <w:rPr>
          <w:bCs/>
          <w:noProof/>
          <w:szCs w:val="22"/>
          <w:lang w:val="it-IT"/>
        </w:rPr>
        <w:t>Polisorbato 80 (E</w:t>
      </w:r>
      <w:del w:id="6303" w:author="Author">
        <w:r>
          <w:rPr>
            <w:bCs/>
            <w:noProof/>
            <w:szCs w:val="22"/>
            <w:lang w:val="it-IT"/>
          </w:rPr>
          <w:delText xml:space="preserve"> </w:delText>
        </w:r>
      </w:del>
      <w:ins w:id="6304" w:author="Author">
        <w:r>
          <w:rPr>
            <w:bCs/>
            <w:noProof/>
            <w:szCs w:val="22"/>
            <w:lang w:val="it-IT"/>
          </w:rPr>
          <w:t> </w:t>
        </w:r>
      </w:ins>
      <w:r>
        <w:rPr>
          <w:bCs/>
          <w:noProof/>
          <w:szCs w:val="22"/>
          <w:lang w:val="it-IT"/>
        </w:rPr>
        <w:t>433)</w:t>
      </w:r>
    </w:p>
    <w:p>
      <w:pPr>
        <w:keepNext/>
        <w:keepLines/>
        <w:tabs>
          <w:tab w:val="left" w:pos="180"/>
        </w:tabs>
        <w:ind w:left="567" w:hanging="567"/>
        <w:outlineLvl w:val="0"/>
        <w:rPr>
          <w:bCs/>
          <w:noProof/>
          <w:szCs w:val="22"/>
          <w:lang w:val="it-IT"/>
        </w:rPr>
      </w:pPr>
      <w:r>
        <w:rPr>
          <w:bCs/>
          <w:noProof/>
          <w:szCs w:val="22"/>
          <w:lang w:val="it-IT"/>
        </w:rPr>
        <w:t>Acqua per preparazioni iniettabili</w:t>
      </w:r>
    </w:p>
    <w:p>
      <w:pPr>
        <w:tabs>
          <w:tab w:val="left" w:pos="180"/>
        </w:tabs>
        <w:ind w:left="567" w:hanging="567"/>
        <w:outlineLvl w:val="0"/>
        <w:rPr>
          <w:bCs/>
          <w:noProof/>
          <w:szCs w:val="22"/>
          <w:lang w:val="it-IT"/>
        </w:rPr>
      </w:pPr>
    </w:p>
    <w:p>
      <w:pPr>
        <w:tabs>
          <w:tab w:val="left" w:pos="180"/>
        </w:tabs>
        <w:ind w:left="567" w:hanging="567"/>
        <w:outlineLvl w:val="0"/>
        <w:rPr>
          <w:noProof/>
          <w:lang w:val="it-IT"/>
        </w:rPr>
      </w:pPr>
      <w:r>
        <w:rPr>
          <w:b/>
          <w:noProof/>
          <w:lang w:val="it-IT"/>
        </w:rPr>
        <w:t>6.2</w:t>
      </w:r>
      <w:r>
        <w:rPr>
          <w:noProof/>
          <w:lang w:val="it-IT"/>
        </w:rPr>
        <w:tab/>
      </w:r>
      <w:r>
        <w:rPr>
          <w:b/>
          <w:noProof/>
          <w:lang w:val="it-IT"/>
        </w:rPr>
        <w:t>Incompatibilità</w:t>
      </w:r>
    </w:p>
    <w:p>
      <w:pPr>
        <w:tabs>
          <w:tab w:val="left" w:pos="180"/>
        </w:tabs>
        <w:rPr>
          <w:noProof/>
          <w:lang w:val="it-IT"/>
        </w:rPr>
      </w:pPr>
    </w:p>
    <w:p>
      <w:pPr>
        <w:tabs>
          <w:tab w:val="left" w:pos="180"/>
        </w:tabs>
        <w:ind w:left="567" w:hanging="567"/>
        <w:outlineLvl w:val="0"/>
        <w:rPr>
          <w:bCs/>
          <w:noProof/>
          <w:lang w:val="it-IT"/>
        </w:rPr>
      </w:pPr>
      <w:r>
        <w:rPr>
          <w:bCs/>
          <w:noProof/>
          <w:lang w:val="it-IT"/>
        </w:rPr>
        <w:t xml:space="preserve">In assenza di studi di compatibilità, questo medicinale non deve essere miscelato con altri </w:t>
      </w:r>
      <w:del w:id="6305" w:author="Author">
        <w:r>
          <w:rPr>
            <w:bCs/>
            <w:noProof/>
            <w:lang w:val="it-IT"/>
          </w:rPr>
          <w:delText xml:space="preserve">prodotti </w:delText>
        </w:r>
      </w:del>
    </w:p>
    <w:p>
      <w:pPr>
        <w:tabs>
          <w:tab w:val="left" w:pos="180"/>
        </w:tabs>
        <w:ind w:left="567" w:hanging="567"/>
        <w:outlineLvl w:val="0"/>
        <w:rPr>
          <w:bCs/>
          <w:noProof/>
          <w:lang w:val="it-IT"/>
        </w:rPr>
      </w:pPr>
      <w:r>
        <w:rPr>
          <w:bCs/>
          <w:noProof/>
          <w:lang w:val="it-IT"/>
        </w:rPr>
        <w:t>medicinali.</w:t>
      </w:r>
    </w:p>
    <w:p>
      <w:pPr>
        <w:tabs>
          <w:tab w:val="left" w:pos="180"/>
        </w:tabs>
        <w:ind w:left="567" w:hanging="567"/>
        <w:outlineLvl w:val="0"/>
        <w:rPr>
          <w:noProof/>
          <w:lang w:val="it-IT"/>
        </w:rPr>
      </w:pPr>
    </w:p>
    <w:p>
      <w:pPr>
        <w:keepNext/>
        <w:tabs>
          <w:tab w:val="left" w:pos="180"/>
        </w:tabs>
        <w:ind w:left="567" w:hanging="567"/>
        <w:outlineLvl w:val="0"/>
        <w:rPr>
          <w:noProof/>
          <w:lang w:val="it-IT"/>
        </w:rPr>
      </w:pPr>
      <w:r>
        <w:rPr>
          <w:b/>
          <w:noProof/>
          <w:lang w:val="it-IT"/>
        </w:rPr>
        <w:t>6.3</w:t>
      </w:r>
      <w:r>
        <w:rPr>
          <w:noProof/>
          <w:lang w:val="it-IT"/>
        </w:rPr>
        <w:tab/>
      </w:r>
      <w:r>
        <w:rPr>
          <w:b/>
          <w:noProof/>
          <w:lang w:val="it-IT"/>
        </w:rPr>
        <w:t>Periodo di validità</w:t>
      </w:r>
    </w:p>
    <w:p>
      <w:pPr>
        <w:tabs>
          <w:tab w:val="left" w:pos="180"/>
        </w:tabs>
        <w:rPr>
          <w:noProof/>
          <w:lang w:val="it-IT"/>
        </w:rPr>
      </w:pPr>
    </w:p>
    <w:p>
      <w:pPr>
        <w:tabs>
          <w:tab w:val="left" w:pos="180"/>
        </w:tabs>
        <w:rPr>
          <w:noProof/>
          <w:lang w:val="it-IT"/>
        </w:rPr>
      </w:pPr>
      <w:r>
        <w:rPr>
          <w:noProof/>
          <w:lang w:val="it-IT"/>
        </w:rPr>
        <w:t>3 anni</w:t>
      </w:r>
    </w:p>
    <w:p>
      <w:pPr>
        <w:tabs>
          <w:tab w:val="left" w:pos="180"/>
        </w:tabs>
        <w:rPr>
          <w:noProof/>
          <w:lang w:val="it-IT"/>
        </w:rPr>
      </w:pPr>
    </w:p>
    <w:p>
      <w:pPr>
        <w:keepNext/>
        <w:numPr>
          <w:ilvl w:val="12"/>
          <w:numId w:val="0"/>
        </w:numPr>
        <w:tabs>
          <w:tab w:val="left" w:pos="180"/>
        </w:tabs>
        <w:ind w:right="-2"/>
        <w:rPr>
          <w:b/>
          <w:noProof/>
          <w:lang w:val="it-IT"/>
        </w:rPr>
      </w:pPr>
      <w:r>
        <w:rPr>
          <w:b/>
          <w:noProof/>
          <w:lang w:val="it-IT"/>
        </w:rPr>
        <w:t>6.4</w:t>
      </w:r>
      <w:r>
        <w:rPr>
          <w:noProof/>
          <w:lang w:val="it-IT"/>
        </w:rPr>
        <w:tab/>
      </w:r>
      <w:r>
        <w:rPr>
          <w:b/>
          <w:noProof/>
          <w:lang w:val="it-IT"/>
        </w:rPr>
        <w:t xml:space="preserve">Precauzioni particolari per la conservazione </w:t>
      </w:r>
    </w:p>
    <w:p>
      <w:pPr>
        <w:keepNext/>
        <w:numPr>
          <w:ilvl w:val="12"/>
          <w:numId w:val="0"/>
        </w:numPr>
        <w:tabs>
          <w:tab w:val="left" w:pos="180"/>
        </w:tabs>
        <w:ind w:right="-2"/>
        <w:rPr>
          <w:noProof/>
          <w:szCs w:val="22"/>
          <w:lang w:val="it-IT"/>
        </w:rPr>
        <w:pPrChange w:id="6306" w:author="Author">
          <w:pPr>
            <w:numPr>
              <w:ilvl w:val="12"/>
            </w:numPr>
            <w:tabs>
              <w:tab w:val="left" w:pos="180"/>
            </w:tabs>
            <w:ind w:right="-2"/>
          </w:pPr>
        </w:pPrChange>
      </w:pPr>
    </w:p>
    <w:p>
      <w:pPr>
        <w:tabs>
          <w:tab w:val="left" w:pos="180"/>
        </w:tabs>
        <w:rPr>
          <w:noProof/>
          <w:szCs w:val="22"/>
          <w:lang w:val="it-IT"/>
        </w:rPr>
      </w:pPr>
      <w:r>
        <w:rPr>
          <w:noProof/>
          <w:szCs w:val="22"/>
          <w:lang w:val="it-IT"/>
        </w:rPr>
        <w:t>Conservare in frigorifero (2°C - 8°C). Non congelare. Una volta tolta dal frigorifero, la siringa preriempita può essere conservata per un massimo di 2 settimane a temperatura pari o inferiore a 30°C.</w:t>
      </w:r>
    </w:p>
    <w:p>
      <w:pPr>
        <w:tabs>
          <w:tab w:val="left" w:pos="180"/>
        </w:tabs>
        <w:rPr>
          <w:noProof/>
          <w:szCs w:val="22"/>
          <w:lang w:val="it-IT"/>
        </w:rPr>
      </w:pPr>
    </w:p>
    <w:p>
      <w:pPr>
        <w:tabs>
          <w:tab w:val="left" w:pos="180"/>
        </w:tabs>
        <w:rPr>
          <w:noProof/>
          <w:szCs w:val="22"/>
          <w:lang w:val="it-IT"/>
        </w:rPr>
      </w:pPr>
      <w:r>
        <w:rPr>
          <w:noProof/>
          <w:szCs w:val="22"/>
          <w:lang w:val="it-IT"/>
        </w:rPr>
        <w:t>Tenere la siringa preriempita nell’imballaggio esterno per proteggerl</w:t>
      </w:r>
      <w:del w:id="6307" w:author="Author">
        <w:r>
          <w:rPr>
            <w:noProof/>
            <w:szCs w:val="22"/>
            <w:lang w:val="it-IT"/>
          </w:rPr>
          <w:delText>e</w:delText>
        </w:r>
      </w:del>
      <w:ins w:id="6308" w:author="Author">
        <w:r>
          <w:rPr>
            <w:noProof/>
            <w:szCs w:val="22"/>
            <w:lang w:val="it-IT"/>
          </w:rPr>
          <w:t>a</w:t>
        </w:r>
      </w:ins>
      <w:r>
        <w:rPr>
          <w:noProof/>
          <w:szCs w:val="22"/>
          <w:lang w:val="it-IT"/>
        </w:rPr>
        <w:t xml:space="preserve"> dalla luce e dall’umidità.</w:t>
      </w:r>
    </w:p>
    <w:p>
      <w:pPr>
        <w:tabs>
          <w:tab w:val="left" w:pos="180"/>
        </w:tabs>
        <w:rPr>
          <w:ins w:id="6309" w:author="Author"/>
          <w:noProof/>
          <w:lang w:val="it-IT"/>
        </w:rPr>
      </w:pPr>
    </w:p>
    <w:p>
      <w:pPr>
        <w:tabs>
          <w:tab w:val="left" w:pos="180"/>
        </w:tabs>
        <w:rPr>
          <w:ins w:id="6310" w:author="Author"/>
          <w:noProof/>
          <w:lang w:val="it-IT"/>
          <w:rPrChange w:id="6311" w:author="Author">
            <w:rPr>
              <w:ins w:id="6312" w:author="Author"/>
              <w:noProof/>
              <w:highlight w:val="green"/>
            </w:rPr>
          </w:rPrChange>
        </w:rPr>
      </w:pPr>
      <w:ins w:id="6313" w:author="Author">
        <w:r>
          <w:rPr>
            <w:noProof/>
            <w:lang w:val="it-IT"/>
            <w:rPrChange w:id="6314" w:author="Author">
              <w:rPr>
                <w:noProof/>
                <w:highlight w:val="green"/>
              </w:rPr>
            </w:rPrChange>
          </w:rPr>
          <w:t>La data e l'ora di rimozione della confezione dal frigorifero devono essere registrate sulla confezione.</w:t>
        </w:r>
      </w:ins>
    </w:p>
    <w:p>
      <w:pPr>
        <w:tabs>
          <w:tab w:val="left" w:pos="180"/>
        </w:tabs>
        <w:rPr>
          <w:ins w:id="6315" w:author="Author"/>
          <w:noProof/>
          <w:lang w:val="it-IT"/>
        </w:rPr>
      </w:pPr>
      <w:ins w:id="6316" w:author="Author">
        <w:del w:id="6317" w:author="Author">
          <w:r>
            <w:rPr>
              <w:noProof/>
              <w:lang w:val="it-IT"/>
            </w:rPr>
            <w:delText xml:space="preserve">. </w:delText>
          </w:r>
        </w:del>
        <w:r>
          <w:rPr>
            <w:noProof/>
            <w:lang w:val="it-IT"/>
          </w:rPr>
          <w:t>Eliminare la siringa se lasciata fuori dal frigorifero per più di 2 settimane. Non utilizzare fonti di calore esterne come acqua calda per riscaldare la siringa preriempita.</w:t>
        </w:r>
      </w:ins>
    </w:p>
    <w:p>
      <w:pPr>
        <w:tabs>
          <w:tab w:val="left" w:pos="180"/>
        </w:tabs>
        <w:rPr>
          <w:noProof/>
          <w:lang w:val="it-IT"/>
        </w:rPr>
      </w:pPr>
    </w:p>
    <w:p>
      <w:pPr>
        <w:keepNext/>
        <w:keepLines/>
        <w:tabs>
          <w:tab w:val="left" w:pos="180"/>
        </w:tabs>
        <w:ind w:left="567" w:hanging="567"/>
        <w:outlineLvl w:val="0"/>
        <w:rPr>
          <w:b/>
          <w:noProof/>
          <w:lang w:val="it-IT"/>
        </w:rPr>
      </w:pPr>
      <w:r>
        <w:rPr>
          <w:b/>
          <w:noProof/>
          <w:lang w:val="it-IT"/>
        </w:rPr>
        <w:t>6.5</w:t>
      </w:r>
      <w:r>
        <w:rPr>
          <w:noProof/>
          <w:lang w:val="it-IT"/>
        </w:rPr>
        <w:tab/>
      </w:r>
      <w:r>
        <w:rPr>
          <w:b/>
          <w:noProof/>
          <w:lang w:val="it-IT"/>
        </w:rPr>
        <w:t xml:space="preserve">Natura e contenuto del contenitore </w:t>
      </w:r>
    </w:p>
    <w:p>
      <w:pPr>
        <w:keepNext/>
        <w:keepLines/>
        <w:tabs>
          <w:tab w:val="left" w:pos="180"/>
        </w:tabs>
        <w:ind w:left="567" w:hanging="567"/>
        <w:outlineLvl w:val="0"/>
        <w:rPr>
          <w:b/>
          <w:noProof/>
          <w:szCs w:val="22"/>
          <w:lang w:val="it-IT"/>
        </w:rPr>
      </w:pPr>
    </w:p>
    <w:p>
      <w:pPr>
        <w:keepNext/>
        <w:keepLines/>
        <w:tabs>
          <w:tab w:val="left" w:pos="180"/>
        </w:tabs>
        <w:rPr>
          <w:noProof/>
          <w:szCs w:val="22"/>
          <w:lang w:val="it-IT"/>
        </w:rPr>
      </w:pPr>
      <w:r>
        <w:rPr>
          <w:noProof/>
          <w:szCs w:val="22"/>
          <w:lang w:val="it-IT"/>
        </w:rPr>
        <w:t>Soluzione in 0,9</w:t>
      </w:r>
      <w:del w:id="6318" w:author="Author">
        <w:r>
          <w:rPr>
            <w:noProof/>
            <w:szCs w:val="22"/>
            <w:lang w:val="it-IT"/>
          </w:rPr>
          <w:delText xml:space="preserve"> </w:delText>
        </w:r>
      </w:del>
      <w:ins w:id="6319" w:author="Author">
        <w:r>
          <w:rPr>
            <w:noProof/>
            <w:szCs w:val="22"/>
            <w:lang w:val="it-IT"/>
          </w:rPr>
          <w:t> </w:t>
        </w:r>
      </w:ins>
      <w:r>
        <w:rPr>
          <w:noProof/>
          <w:szCs w:val="22"/>
          <w:lang w:val="it-IT"/>
        </w:rPr>
        <w:t>mL in una siringa preriempita (vetro di tipo 1) con un ago fisso</w:t>
      </w:r>
      <w:r>
        <w:rPr>
          <w:iCs/>
          <w:noProof/>
          <w:szCs w:val="22"/>
          <w:lang w:val="it-IT"/>
        </w:rPr>
        <w:t xml:space="preserve">. </w:t>
      </w:r>
      <w:r>
        <w:rPr>
          <w:noProof/>
          <w:szCs w:val="22"/>
          <w:lang w:val="it-IT"/>
        </w:rPr>
        <w:t xml:space="preserve">La siringa è chiusa da un </w:t>
      </w:r>
      <w:ins w:id="6320" w:author="Author">
        <w:r>
          <w:rPr>
            <w:noProof/>
            <w:szCs w:val="22"/>
            <w:lang w:val="it-IT"/>
          </w:rPr>
          <w:t>copriago rigido</w:t>
        </w:r>
      </w:ins>
      <w:del w:id="6321" w:author="Author">
        <w:r>
          <w:rPr>
            <w:noProof/>
            <w:szCs w:val="22"/>
            <w:lang w:val="it-IT"/>
          </w:rPr>
          <w:delText>manicotto di sicurezza rigido per l’ago</w:delText>
        </w:r>
      </w:del>
      <w:r>
        <w:rPr>
          <w:noProof/>
          <w:szCs w:val="22"/>
          <w:lang w:val="it-IT"/>
        </w:rPr>
        <w:t xml:space="preserve"> (guarnizione elastomerica di tenuta con involucro in polipropilene) e da un tappo a stantuffo (gomma butilica rivestita in fluororesina).</w:t>
      </w:r>
    </w:p>
    <w:p>
      <w:pPr>
        <w:tabs>
          <w:tab w:val="left" w:pos="180"/>
        </w:tabs>
        <w:rPr>
          <w:noProof/>
          <w:szCs w:val="22"/>
          <w:lang w:val="it-IT"/>
        </w:rPr>
      </w:pPr>
    </w:p>
    <w:p>
      <w:pPr>
        <w:tabs>
          <w:tab w:val="left" w:pos="180"/>
        </w:tabs>
        <w:rPr>
          <w:iCs/>
          <w:noProof/>
          <w:szCs w:val="22"/>
          <w:lang w:val="it-IT"/>
        </w:rPr>
      </w:pPr>
      <w:r>
        <w:rPr>
          <w:iCs/>
          <w:noProof/>
          <w:szCs w:val="22"/>
          <w:lang w:val="it-IT"/>
        </w:rPr>
        <w:t xml:space="preserve">Confezioni da 4 siringhe preriempite </w:t>
      </w:r>
      <w:r>
        <w:rPr>
          <w:noProof/>
          <w:szCs w:val="22"/>
          <w:lang w:val="it-IT"/>
        </w:rPr>
        <w:t xml:space="preserve">e </w:t>
      </w:r>
      <w:r>
        <w:rPr>
          <w:noProof/>
          <w:szCs w:val="22"/>
          <w:lang w:val="it-IT"/>
          <w:rPrChange w:id="6322" w:author="Author">
            <w:rPr>
              <w:b/>
              <w:bCs/>
              <w:szCs w:val="22"/>
              <w:lang w:val="it-IT"/>
            </w:rPr>
          </w:rPrChange>
        </w:rPr>
        <w:t>confezioni multiple che contengono 12 (3 confezioni da 4) siringhe preriempite. È probabile che n</w:t>
      </w:r>
      <w:r>
        <w:rPr>
          <w:noProof/>
          <w:szCs w:val="22"/>
          <w:lang w:val="it-IT" w:eastAsia="it-IT" w:bidi="it-IT"/>
          <w:rPrChange w:id="6323" w:author="Author">
            <w:rPr>
              <w:b/>
              <w:bCs/>
              <w:szCs w:val="22"/>
              <w:lang w:val="it-IT" w:eastAsia="it-IT" w:bidi="it-IT"/>
            </w:rPr>
          </w:rPrChange>
        </w:rPr>
        <w:t xml:space="preserve">on tutte le confezioni </w:t>
      </w:r>
      <w:r>
        <w:rPr>
          <w:noProof/>
          <w:szCs w:val="22"/>
          <w:lang w:val="it-IT"/>
          <w:rPrChange w:id="6324" w:author="Author">
            <w:rPr>
              <w:b/>
              <w:bCs/>
              <w:szCs w:val="22"/>
              <w:lang w:val="it-IT"/>
            </w:rPr>
          </w:rPrChange>
        </w:rPr>
        <w:t>siano</w:t>
      </w:r>
      <w:r>
        <w:rPr>
          <w:noProof/>
          <w:szCs w:val="22"/>
          <w:lang w:val="it-IT" w:eastAsia="it-IT" w:bidi="it-IT"/>
          <w:rPrChange w:id="6325" w:author="Author">
            <w:rPr>
              <w:b/>
              <w:bCs/>
              <w:szCs w:val="22"/>
              <w:lang w:val="it-IT" w:eastAsia="it-IT" w:bidi="it-IT"/>
            </w:rPr>
          </w:rPrChange>
        </w:rPr>
        <w:t xml:space="preserve"> commercializzate</w:t>
      </w:r>
      <w:r>
        <w:rPr>
          <w:iCs/>
          <w:noProof/>
          <w:szCs w:val="22"/>
          <w:lang w:val="it-IT"/>
          <w:rPrChange w:id="6326" w:author="Author">
            <w:rPr>
              <w:b/>
              <w:bCs/>
              <w:iCs/>
              <w:szCs w:val="22"/>
              <w:lang w:val="it-IT"/>
            </w:rPr>
          </w:rPrChange>
        </w:rPr>
        <w:t>.</w:t>
      </w:r>
    </w:p>
    <w:p>
      <w:pPr>
        <w:tabs>
          <w:tab w:val="left" w:pos="180"/>
        </w:tabs>
        <w:rPr>
          <w:noProof/>
          <w:szCs w:val="22"/>
          <w:lang w:val="it-IT"/>
        </w:rPr>
      </w:pPr>
    </w:p>
    <w:p>
      <w:pPr>
        <w:tabs>
          <w:tab w:val="left" w:pos="180"/>
        </w:tabs>
        <w:ind w:left="567" w:hanging="567"/>
        <w:outlineLvl w:val="0"/>
        <w:rPr>
          <w:noProof/>
          <w:lang w:val="it-IT"/>
        </w:rPr>
      </w:pPr>
      <w:r>
        <w:rPr>
          <w:b/>
          <w:noProof/>
          <w:lang w:val="it-IT"/>
        </w:rPr>
        <w:t>6.6</w:t>
      </w:r>
      <w:r>
        <w:rPr>
          <w:noProof/>
          <w:lang w:val="it-IT"/>
        </w:rPr>
        <w:tab/>
      </w:r>
      <w:r>
        <w:rPr>
          <w:b/>
          <w:noProof/>
          <w:lang w:val="it-IT"/>
        </w:rPr>
        <w:t>Precauzioni particolari per lo smaltimento e la manipolazione</w:t>
      </w:r>
    </w:p>
    <w:p>
      <w:pPr>
        <w:tabs>
          <w:tab w:val="left" w:pos="180"/>
        </w:tabs>
        <w:rPr>
          <w:noProof/>
          <w:szCs w:val="22"/>
          <w:lang w:val="it-IT"/>
        </w:rPr>
      </w:pPr>
    </w:p>
    <w:p>
      <w:pPr>
        <w:tabs>
          <w:tab w:val="left" w:pos="180"/>
        </w:tabs>
        <w:rPr>
          <w:noProof/>
          <w:szCs w:val="22"/>
          <w:lang w:val="it-IT"/>
        </w:rPr>
      </w:pPr>
      <w:r>
        <w:rPr>
          <w:noProof/>
          <w:szCs w:val="22"/>
          <w:lang w:val="it-IT"/>
        </w:rPr>
        <w:t xml:space="preserve">RoActemra è fornito in una siringa preriempita monouso con un dispositivo di sicurezza per l’ago. Prima di effettuare l’iniezione, una volta tolta la siringa preriempita dal frigorifero, occorre lasciare che raggiunga la temperatura ambiente (tra 18°C e 28°C) attendendo per 25-30 minuti. La siringa non deve essere agitata. Una volta rimosso il cappuccio la somministrazione </w:t>
      </w:r>
      <w:del w:id="6327" w:author="Author">
        <w:r>
          <w:rPr>
            <w:noProof/>
            <w:szCs w:val="22"/>
            <w:lang w:val="it-IT"/>
          </w:rPr>
          <w:delText>dell’iniezione</w:delText>
        </w:r>
      </w:del>
      <w:r>
        <w:rPr>
          <w:noProof/>
          <w:szCs w:val="22"/>
          <w:lang w:val="it-IT"/>
        </w:rPr>
        <w:t xml:space="preserve"> deve essere iniziata entro 5 minuti, per evitare che il </w:t>
      </w:r>
      <w:del w:id="6328" w:author="Author">
        <w:r>
          <w:rPr>
            <w:noProof/>
            <w:szCs w:val="22"/>
            <w:lang w:val="it-IT"/>
          </w:rPr>
          <w:delText xml:space="preserve">farmaco </w:delText>
        </w:r>
      </w:del>
      <w:ins w:id="6329" w:author="Author">
        <w:r>
          <w:rPr>
            <w:noProof/>
            <w:szCs w:val="22"/>
            <w:lang w:val="it-IT"/>
          </w:rPr>
          <w:t xml:space="preserve">medicinale </w:t>
        </w:r>
      </w:ins>
      <w:r>
        <w:rPr>
          <w:noProof/>
          <w:szCs w:val="22"/>
          <w:lang w:val="it-IT"/>
        </w:rPr>
        <w:t xml:space="preserve">si secchi e blocchi l'ago. Se la siringa preriempita non viene utilizzata entro 5 minuti dalla rimozione del cappuccio, è necessario smaltirla in un contenitore resistente alla perforazione e utilizzare una nuova siringa preriempita. </w:t>
      </w:r>
    </w:p>
    <w:p>
      <w:pPr>
        <w:tabs>
          <w:tab w:val="left" w:pos="180"/>
        </w:tabs>
        <w:rPr>
          <w:noProof/>
          <w:szCs w:val="22"/>
          <w:lang w:val="it-IT"/>
        </w:rPr>
      </w:pPr>
      <w:r>
        <w:rPr>
          <w:noProof/>
          <w:szCs w:val="22"/>
          <w:lang w:val="it-IT"/>
        </w:rPr>
        <w:t>Se dopo l'inserimento dell'ago non è possibile spingere lo stantuffo, è necessario gettare la siringa preriempita in un contenitore resistente alla perforazione e utilizzare una nuova siringa preriempita.</w:t>
      </w:r>
    </w:p>
    <w:p>
      <w:pPr>
        <w:tabs>
          <w:tab w:val="left" w:pos="180"/>
        </w:tabs>
        <w:rPr>
          <w:noProof/>
          <w:szCs w:val="22"/>
          <w:lang w:val="it-IT"/>
        </w:rPr>
      </w:pPr>
    </w:p>
    <w:p>
      <w:pPr>
        <w:tabs>
          <w:tab w:val="left" w:pos="180"/>
        </w:tabs>
        <w:spacing w:line="0" w:lineRule="atLeast"/>
        <w:rPr>
          <w:noProof/>
          <w:szCs w:val="22"/>
          <w:lang w:val="it-IT"/>
        </w:rPr>
      </w:pPr>
      <w:r>
        <w:rPr>
          <w:noProof/>
          <w:szCs w:val="22"/>
          <w:lang w:val="it-IT"/>
        </w:rPr>
        <w:t>Il medicinale non deve essere usato se la soluzione è torbida o contiene particelle, se non è trasparente o presenta un colore diverso dal leggermente giallastro, o se qualsiasi parte della siringa preriempita appare danneggiata.</w:t>
      </w:r>
    </w:p>
    <w:p>
      <w:pPr>
        <w:tabs>
          <w:tab w:val="left" w:pos="180"/>
        </w:tabs>
        <w:spacing w:line="280" w:lineRule="atLeast"/>
        <w:rPr>
          <w:noProof/>
          <w:szCs w:val="22"/>
          <w:lang w:val="it-IT" w:eastAsia="de-DE"/>
        </w:rPr>
      </w:pPr>
    </w:p>
    <w:p>
      <w:pPr>
        <w:tabs>
          <w:tab w:val="left" w:pos="180"/>
        </w:tabs>
        <w:rPr>
          <w:iCs/>
          <w:noProof/>
          <w:szCs w:val="22"/>
          <w:lang w:val="it-IT"/>
        </w:rPr>
      </w:pPr>
      <w:r>
        <w:rPr>
          <w:iCs/>
          <w:noProof/>
          <w:szCs w:val="22"/>
          <w:lang w:val="it-IT"/>
        </w:rPr>
        <w:t>Le istruzioni complete relative alla somministrazione di RoActemra in siringa preriempita sono fornite nel foglio illustrativo.</w:t>
      </w:r>
    </w:p>
    <w:p>
      <w:pPr>
        <w:tabs>
          <w:tab w:val="left" w:pos="180"/>
        </w:tabs>
        <w:rPr>
          <w:noProof/>
          <w:lang w:val="it-IT"/>
        </w:rPr>
      </w:pPr>
    </w:p>
    <w:p>
      <w:pPr>
        <w:tabs>
          <w:tab w:val="left" w:pos="180"/>
        </w:tabs>
        <w:rPr>
          <w:noProof/>
          <w:lang w:val="it-IT"/>
        </w:rPr>
      </w:pPr>
      <w:r>
        <w:rPr>
          <w:noProof/>
          <w:lang w:val="it-IT"/>
        </w:rPr>
        <w:t>Il medicinale non utilizzato ed i rifiuti derivati da tale medicinale devono essere smaltiti in conformità alla normativa locale vigente.</w:t>
      </w:r>
    </w:p>
    <w:p>
      <w:pPr>
        <w:tabs>
          <w:tab w:val="left" w:pos="180"/>
        </w:tabs>
        <w:rPr>
          <w:noProof/>
          <w:lang w:val="it-IT"/>
        </w:rPr>
      </w:pPr>
    </w:p>
    <w:p>
      <w:pPr>
        <w:tabs>
          <w:tab w:val="left" w:pos="180"/>
        </w:tabs>
        <w:rPr>
          <w:noProof/>
          <w:lang w:val="it-IT"/>
        </w:rPr>
      </w:pPr>
    </w:p>
    <w:p>
      <w:pPr>
        <w:keepNext/>
        <w:tabs>
          <w:tab w:val="left" w:pos="180"/>
        </w:tabs>
        <w:ind w:left="567" w:hanging="567"/>
        <w:rPr>
          <w:noProof/>
          <w:lang w:val="it-IT"/>
        </w:rPr>
      </w:pPr>
      <w:r>
        <w:rPr>
          <w:b/>
          <w:noProof/>
          <w:lang w:val="it-IT"/>
        </w:rPr>
        <w:t>7.</w:t>
      </w:r>
      <w:r>
        <w:rPr>
          <w:noProof/>
          <w:lang w:val="it-IT"/>
        </w:rPr>
        <w:tab/>
      </w:r>
      <w:r>
        <w:rPr>
          <w:noProof/>
          <w:lang w:val="it-IT"/>
        </w:rPr>
        <w:tab/>
      </w:r>
      <w:r>
        <w:rPr>
          <w:b/>
          <w:noProof/>
          <w:lang w:val="it-IT"/>
        </w:rPr>
        <w:t>TITOLARE DELL'AUTORIZZAZIONE ALL'IMMISSIONE IN COMMERCIO</w:t>
      </w:r>
    </w:p>
    <w:p>
      <w:pPr>
        <w:keepNext/>
        <w:tabs>
          <w:tab w:val="left" w:pos="180"/>
        </w:tabs>
        <w:rPr>
          <w:noProof/>
          <w:lang w:val="it-IT"/>
        </w:rPr>
      </w:pPr>
    </w:p>
    <w:p>
      <w:pPr>
        <w:rPr>
          <w:noProof/>
          <w:lang w:val="it-IT"/>
        </w:rPr>
      </w:pPr>
      <w:r>
        <w:rPr>
          <w:noProof/>
          <w:lang w:val="it-IT"/>
        </w:rPr>
        <w:t xml:space="preserve">Roche Registration GmbH </w:t>
      </w:r>
    </w:p>
    <w:p>
      <w:pPr>
        <w:rPr>
          <w:noProof/>
          <w:lang w:val="it-IT"/>
        </w:rPr>
      </w:pPr>
      <w:r>
        <w:rPr>
          <w:noProof/>
          <w:lang w:val="it-IT"/>
        </w:rPr>
        <w:t>Emil-Barell-Strasse 1</w:t>
      </w:r>
    </w:p>
    <w:p>
      <w:pPr>
        <w:rPr>
          <w:noProof/>
          <w:lang w:val="it-IT"/>
        </w:rPr>
      </w:pPr>
      <w:r>
        <w:rPr>
          <w:noProof/>
          <w:lang w:val="it-IT"/>
        </w:rPr>
        <w:t>79639 Grenzach-Wyhlen</w:t>
      </w:r>
    </w:p>
    <w:p>
      <w:pPr>
        <w:rPr>
          <w:noProof/>
          <w:lang w:val="it-IT"/>
        </w:rPr>
      </w:pPr>
      <w:r>
        <w:rPr>
          <w:noProof/>
          <w:lang w:val="it-IT"/>
        </w:rPr>
        <w:t>Germania</w:t>
      </w:r>
    </w:p>
    <w:p>
      <w:pPr>
        <w:tabs>
          <w:tab w:val="left" w:pos="180"/>
        </w:tabs>
        <w:rPr>
          <w:noProof/>
          <w:lang w:val="it-IT"/>
        </w:rPr>
      </w:pPr>
    </w:p>
    <w:p>
      <w:pPr>
        <w:tabs>
          <w:tab w:val="left" w:pos="180"/>
        </w:tabs>
        <w:rPr>
          <w:noProof/>
          <w:lang w:val="it-IT"/>
        </w:rPr>
      </w:pPr>
    </w:p>
    <w:p>
      <w:pPr>
        <w:keepNext/>
        <w:tabs>
          <w:tab w:val="left" w:pos="180"/>
        </w:tabs>
        <w:ind w:left="567" w:hanging="567"/>
        <w:rPr>
          <w:b/>
          <w:noProof/>
          <w:lang w:val="it-IT"/>
        </w:rPr>
      </w:pPr>
      <w:r>
        <w:rPr>
          <w:b/>
          <w:noProof/>
          <w:lang w:val="it-IT"/>
        </w:rPr>
        <w:t>8.</w:t>
      </w:r>
      <w:r>
        <w:rPr>
          <w:noProof/>
          <w:lang w:val="it-IT"/>
        </w:rPr>
        <w:tab/>
      </w:r>
      <w:r>
        <w:rPr>
          <w:noProof/>
          <w:lang w:val="it-IT"/>
        </w:rPr>
        <w:tab/>
      </w:r>
      <w:r>
        <w:rPr>
          <w:b/>
          <w:noProof/>
          <w:lang w:val="it-IT"/>
        </w:rPr>
        <w:t>NUMER</w:t>
      </w:r>
      <w:del w:id="6330" w:author="Author">
        <w:r>
          <w:rPr>
            <w:b/>
            <w:noProof/>
            <w:lang w:val="it-IT"/>
          </w:rPr>
          <w:delText>O(</w:delText>
        </w:r>
      </w:del>
      <w:r>
        <w:rPr>
          <w:b/>
          <w:noProof/>
          <w:lang w:val="it-IT"/>
        </w:rPr>
        <w:t>I</w:t>
      </w:r>
      <w:del w:id="6331" w:author="Author">
        <w:r>
          <w:rPr>
            <w:b/>
            <w:noProof/>
            <w:lang w:val="it-IT"/>
          </w:rPr>
          <w:delText>)</w:delText>
        </w:r>
      </w:del>
      <w:r>
        <w:rPr>
          <w:b/>
          <w:noProof/>
          <w:lang w:val="it-IT"/>
        </w:rPr>
        <w:t xml:space="preserve"> DELL’AUTORIZZAZIONE ALL’IMMISSIONE IN COMMERCIO </w:t>
      </w:r>
    </w:p>
    <w:p>
      <w:pPr>
        <w:keepNext/>
        <w:tabs>
          <w:tab w:val="left" w:pos="180"/>
        </w:tabs>
        <w:rPr>
          <w:noProof/>
          <w:lang w:val="it-IT"/>
        </w:rPr>
      </w:pPr>
    </w:p>
    <w:p>
      <w:pPr>
        <w:tabs>
          <w:tab w:val="left" w:pos="180"/>
        </w:tabs>
        <w:rPr>
          <w:noProof/>
          <w:lang w:val="it-IT"/>
        </w:rPr>
      </w:pPr>
      <w:r>
        <w:rPr>
          <w:noProof/>
          <w:lang w:val="it-IT"/>
        </w:rPr>
        <w:t>EU/1/08/492/007</w:t>
      </w:r>
    </w:p>
    <w:p>
      <w:pPr>
        <w:tabs>
          <w:tab w:val="left" w:pos="180"/>
        </w:tabs>
        <w:rPr>
          <w:noProof/>
          <w:lang w:val="it-IT"/>
        </w:rPr>
      </w:pPr>
      <w:r>
        <w:rPr>
          <w:noProof/>
          <w:lang w:val="it-IT"/>
        </w:rPr>
        <w:t>EU/1/08/492/008</w:t>
      </w:r>
    </w:p>
    <w:p>
      <w:pPr>
        <w:tabs>
          <w:tab w:val="left" w:pos="180"/>
        </w:tabs>
        <w:rPr>
          <w:noProof/>
          <w:lang w:val="it-IT"/>
        </w:rPr>
      </w:pPr>
    </w:p>
    <w:p>
      <w:pPr>
        <w:tabs>
          <w:tab w:val="left" w:pos="180"/>
        </w:tabs>
        <w:rPr>
          <w:noProof/>
          <w:lang w:val="it-IT"/>
        </w:rPr>
      </w:pPr>
    </w:p>
    <w:p>
      <w:pPr>
        <w:tabs>
          <w:tab w:val="left" w:pos="180"/>
        </w:tabs>
        <w:ind w:left="567" w:hanging="567"/>
        <w:rPr>
          <w:noProof/>
          <w:lang w:val="it-IT"/>
        </w:rPr>
      </w:pPr>
      <w:r>
        <w:rPr>
          <w:b/>
          <w:noProof/>
          <w:lang w:val="it-IT"/>
        </w:rPr>
        <w:t>9.</w:t>
      </w:r>
      <w:r>
        <w:rPr>
          <w:noProof/>
          <w:lang w:val="it-IT"/>
        </w:rPr>
        <w:tab/>
      </w:r>
      <w:r>
        <w:rPr>
          <w:noProof/>
          <w:lang w:val="it-IT"/>
        </w:rPr>
        <w:tab/>
      </w:r>
      <w:r>
        <w:rPr>
          <w:b/>
          <w:noProof/>
          <w:lang w:val="it-IT"/>
        </w:rPr>
        <w:t xml:space="preserve">DATA DELLA PRIMA AUTORIZZAZIONE/DATA DELL’ULTIMO RINNOVO </w:t>
      </w:r>
    </w:p>
    <w:p>
      <w:pPr>
        <w:tabs>
          <w:tab w:val="left" w:pos="180"/>
        </w:tabs>
        <w:rPr>
          <w:noProof/>
          <w:lang w:val="it-IT"/>
        </w:rPr>
      </w:pPr>
    </w:p>
    <w:p>
      <w:pPr>
        <w:tabs>
          <w:tab w:val="left" w:pos="180"/>
        </w:tabs>
        <w:rPr>
          <w:noProof/>
          <w:lang w:val="it-IT"/>
        </w:rPr>
      </w:pPr>
      <w:r>
        <w:rPr>
          <w:noProof/>
          <w:color w:val="222222"/>
          <w:szCs w:val="22"/>
          <w:shd w:val="clear" w:color="auto" w:fill="FFFFFF"/>
          <w:lang w:val="it-IT"/>
        </w:rPr>
        <w:t xml:space="preserve">Data della prima autorizzazione: </w:t>
      </w:r>
      <w:r>
        <w:rPr>
          <w:noProof/>
          <w:lang w:val="it-IT"/>
        </w:rPr>
        <w:t>16 gennaio 2009.</w:t>
      </w:r>
    </w:p>
    <w:p>
      <w:pPr>
        <w:tabs>
          <w:tab w:val="left" w:pos="180"/>
        </w:tabs>
        <w:rPr>
          <w:noProof/>
          <w:color w:val="222222"/>
          <w:szCs w:val="22"/>
          <w:shd w:val="clear" w:color="auto" w:fill="FFFFFF"/>
          <w:lang w:val="it-IT"/>
        </w:rPr>
      </w:pPr>
      <w:r>
        <w:rPr>
          <w:noProof/>
          <w:color w:val="222222"/>
          <w:szCs w:val="22"/>
          <w:shd w:val="clear" w:color="auto" w:fill="FFFFFF"/>
          <w:lang w:val="it-IT"/>
        </w:rPr>
        <w:t>Data del rinnovo più recente: 25 settembre 2013</w:t>
      </w:r>
    </w:p>
    <w:p>
      <w:pPr>
        <w:tabs>
          <w:tab w:val="left" w:pos="180"/>
        </w:tabs>
        <w:rPr>
          <w:noProof/>
          <w:lang w:val="it-IT"/>
        </w:rPr>
      </w:pPr>
    </w:p>
    <w:p>
      <w:pPr>
        <w:tabs>
          <w:tab w:val="left" w:pos="180"/>
        </w:tabs>
        <w:rPr>
          <w:noProof/>
          <w:lang w:val="it-IT"/>
        </w:rPr>
      </w:pPr>
    </w:p>
    <w:p>
      <w:pPr>
        <w:keepNext/>
        <w:keepLines/>
        <w:tabs>
          <w:tab w:val="left" w:pos="180"/>
        </w:tabs>
        <w:ind w:left="567" w:hanging="567"/>
        <w:rPr>
          <w:b/>
          <w:noProof/>
          <w:lang w:val="it-IT"/>
        </w:rPr>
      </w:pPr>
      <w:r>
        <w:rPr>
          <w:b/>
          <w:noProof/>
          <w:lang w:val="it-IT"/>
        </w:rPr>
        <w:t>10.</w:t>
      </w:r>
      <w:r>
        <w:rPr>
          <w:noProof/>
          <w:lang w:val="it-IT"/>
        </w:rPr>
        <w:tab/>
      </w:r>
      <w:r>
        <w:rPr>
          <w:b/>
          <w:noProof/>
          <w:lang w:val="it-IT"/>
        </w:rPr>
        <w:t>DATA DI REVISIONE DEL TESTO</w:t>
      </w:r>
    </w:p>
    <w:p>
      <w:pPr>
        <w:keepNext/>
        <w:keepLines/>
        <w:tabs>
          <w:tab w:val="left" w:pos="180"/>
        </w:tabs>
        <w:ind w:left="567" w:hanging="567"/>
        <w:rPr>
          <w:b/>
          <w:noProof/>
          <w:lang w:val="it-IT"/>
        </w:rPr>
      </w:pPr>
    </w:p>
    <w:p>
      <w:pPr>
        <w:keepNext/>
        <w:keepLines/>
        <w:numPr>
          <w:ilvl w:val="12"/>
          <w:numId w:val="0"/>
        </w:numPr>
        <w:tabs>
          <w:tab w:val="left" w:pos="180"/>
        </w:tabs>
        <w:ind w:right="-2"/>
        <w:rPr>
          <w:del w:id="6332" w:author="Author"/>
          <w:noProof/>
          <w:lang w:val="it-IT"/>
        </w:rPr>
      </w:pPr>
      <w:r>
        <w:rPr>
          <w:iCs/>
          <w:noProof/>
          <w:lang w:val="it-IT"/>
        </w:rPr>
        <w:t xml:space="preserve">Informazioni più dettagliate su questo medicinale </w:t>
      </w:r>
      <w:r>
        <w:rPr>
          <w:noProof/>
          <w:lang w:val="it-IT"/>
        </w:rPr>
        <w:t xml:space="preserve">sono disponibili sul sito web dell’Agenzia europea dei medicinali </w:t>
      </w:r>
      <w:ins w:id="6333" w:author="Author">
        <w:r>
          <w:rPr>
            <w:noProof/>
            <w:lang w:val="it-IT"/>
          </w:rPr>
          <w:fldChar w:fldCharType="begin"/>
        </w:r>
        <w:r>
          <w:rPr>
            <w:noProof/>
            <w:lang w:val="it-IT"/>
          </w:rPr>
          <w:instrText xml:space="preserve"> HYPERLINK "</w:instrText>
        </w:r>
      </w:ins>
      <w:r>
        <w:rPr>
          <w:lang w:val="es-ES"/>
          <w:rPrChange w:id="6334" w:author="TCS" w:date="2026-03-20T12:47:00Z">
            <w:rPr>
              <w:rStyle w:val="Hyperlink"/>
              <w:noProof/>
              <w:lang w:val="it-IT"/>
            </w:rPr>
          </w:rPrChange>
        </w:rPr>
        <w:instrText>http</w:instrText>
      </w:r>
      <w:ins w:id="6335" w:author="Author">
        <w:r>
          <w:rPr>
            <w:lang w:val="es-ES"/>
            <w:rPrChange w:id="6336" w:author="TCS" w:date="2026-03-20T12:47:00Z">
              <w:rPr>
                <w:rStyle w:val="Hyperlink"/>
                <w:noProof/>
                <w:lang w:val="it-IT"/>
              </w:rPr>
            </w:rPrChange>
          </w:rPr>
          <w:instrText>s</w:instrText>
        </w:r>
      </w:ins>
      <w:r>
        <w:rPr>
          <w:lang w:val="es-ES"/>
          <w:rPrChange w:id="6337" w:author="TCS" w:date="2026-03-20T12:47:00Z">
            <w:rPr>
              <w:rStyle w:val="Hyperlink"/>
              <w:noProof/>
              <w:lang w:val="it-IT"/>
            </w:rPr>
          </w:rPrChange>
        </w:rPr>
        <w:instrText>://www.ema.europa.eu</w:instrText>
      </w:r>
      <w:ins w:id="6338" w:author="Author">
        <w:r>
          <w:rPr>
            <w:noProof/>
            <w:lang w:val="it-IT"/>
          </w:rPr>
          <w:instrText xml:space="preserve">" </w:instrText>
        </w:r>
        <w:r>
          <w:rPr>
            <w:noProof/>
            <w:lang w:val="it-IT"/>
          </w:rPr>
          <w:fldChar w:fldCharType="separate"/>
        </w:r>
      </w:ins>
      <w:r>
        <w:rPr>
          <w:rStyle w:val="Hyperlink"/>
          <w:noProof/>
          <w:lang w:val="it-IT"/>
        </w:rPr>
        <w:t>http</w:t>
      </w:r>
      <w:ins w:id="6339" w:author="Author">
        <w:r>
          <w:rPr>
            <w:rStyle w:val="Hyperlink"/>
            <w:noProof/>
            <w:lang w:val="it-IT"/>
          </w:rPr>
          <w:t>s</w:t>
        </w:r>
      </w:ins>
      <w:r>
        <w:rPr>
          <w:rStyle w:val="Hyperlink"/>
          <w:noProof/>
          <w:lang w:val="it-IT"/>
        </w:rPr>
        <w:t>://www.ema.europa.eu</w:t>
      </w:r>
      <w:ins w:id="6340" w:author="Author">
        <w:r>
          <w:rPr>
            <w:noProof/>
            <w:lang w:val="it-IT"/>
          </w:rPr>
          <w:fldChar w:fldCharType="end"/>
        </w:r>
      </w:ins>
      <w:r>
        <w:rPr>
          <w:noProof/>
          <w:lang w:val="it-IT"/>
        </w:rPr>
        <w:t>.</w:t>
      </w:r>
    </w:p>
    <w:p>
      <w:pPr>
        <w:keepNext/>
        <w:keepLines/>
        <w:numPr>
          <w:ilvl w:val="12"/>
          <w:numId w:val="0"/>
        </w:numPr>
        <w:tabs>
          <w:tab w:val="left" w:pos="180"/>
        </w:tabs>
        <w:ind w:right="-2"/>
        <w:rPr>
          <w:b/>
          <w:noProof/>
          <w:lang w:val="it-IT"/>
        </w:rPr>
        <w:pPrChange w:id="6341" w:author="Author">
          <w:pPr>
            <w:tabs>
              <w:tab w:val="left" w:pos="180"/>
            </w:tabs>
          </w:pPr>
        </w:pPrChange>
      </w:pPr>
    </w:p>
    <w:p>
      <w:pPr>
        <w:ind w:left="567" w:hanging="567"/>
        <w:rPr>
          <w:noProof/>
          <w:szCs w:val="22"/>
          <w:lang w:val="it-IT" w:eastAsia="en-US"/>
        </w:rPr>
      </w:pPr>
      <w:r>
        <w:rPr>
          <w:noProof/>
          <w:lang w:val="it-IT"/>
        </w:rPr>
        <w:br w:type="page"/>
      </w:r>
      <w:r>
        <w:rPr>
          <w:rFonts w:eastAsia="Calibri"/>
          <w:b/>
          <w:noProof/>
          <w:szCs w:val="22"/>
          <w:lang w:val="it-IT" w:eastAsia="en-US"/>
        </w:rPr>
        <w:lastRenderedPageBreak/>
        <w:t>1.</w:t>
      </w:r>
      <w:r>
        <w:rPr>
          <w:rFonts w:eastAsia="Calibri"/>
          <w:b/>
          <w:noProof/>
          <w:szCs w:val="22"/>
          <w:lang w:val="it-IT" w:eastAsia="en-US"/>
        </w:rPr>
        <w:tab/>
        <w:t>DENOMINAZIONE DEL MEDICINALE</w:t>
      </w:r>
    </w:p>
    <w:p>
      <w:pPr>
        <w:rPr>
          <w:iCs/>
          <w:noProof/>
          <w:szCs w:val="22"/>
          <w:lang w:val="it-IT"/>
        </w:rPr>
      </w:pPr>
    </w:p>
    <w:p>
      <w:pPr>
        <w:rPr>
          <w:iCs/>
          <w:noProof/>
          <w:szCs w:val="22"/>
          <w:lang w:val="it-IT" w:eastAsia="en-US"/>
        </w:rPr>
      </w:pPr>
      <w:r>
        <w:rPr>
          <w:rFonts w:eastAsia="Calibri"/>
          <w:iCs/>
          <w:noProof/>
          <w:szCs w:val="22"/>
          <w:lang w:val="it-IT" w:eastAsia="en-US"/>
        </w:rPr>
        <w:t>RoActemra 162 mg soluzione iniettabile in penna preriempita</w:t>
      </w:r>
    </w:p>
    <w:p>
      <w:pPr>
        <w:widowControl w:val="0"/>
        <w:rPr>
          <w:bCs/>
          <w:noProof/>
          <w:szCs w:val="22"/>
          <w:lang w:val="it-IT"/>
        </w:rPr>
      </w:pPr>
    </w:p>
    <w:p>
      <w:pPr>
        <w:widowControl w:val="0"/>
        <w:rPr>
          <w:bCs/>
          <w:noProof/>
          <w:szCs w:val="22"/>
          <w:lang w:val="it-IT"/>
        </w:rPr>
      </w:pPr>
    </w:p>
    <w:p>
      <w:pPr>
        <w:widowControl w:val="0"/>
        <w:ind w:left="567" w:hanging="567"/>
        <w:rPr>
          <w:noProof/>
          <w:szCs w:val="22"/>
          <w:lang w:val="it-IT" w:eastAsia="en-US"/>
        </w:rPr>
      </w:pPr>
      <w:r>
        <w:rPr>
          <w:rFonts w:eastAsia="Calibri"/>
          <w:b/>
          <w:noProof/>
          <w:szCs w:val="22"/>
          <w:lang w:val="it-IT" w:eastAsia="en-US"/>
        </w:rPr>
        <w:t>2.</w:t>
      </w:r>
      <w:r>
        <w:rPr>
          <w:rFonts w:eastAsia="Calibri"/>
          <w:b/>
          <w:noProof/>
          <w:szCs w:val="22"/>
          <w:lang w:val="it-IT" w:eastAsia="en-US"/>
        </w:rPr>
        <w:tab/>
        <w:t>COMPOSIZIONE QUALITATIVA E QUANTITATIVA</w:t>
      </w:r>
    </w:p>
    <w:p>
      <w:pPr>
        <w:widowControl w:val="0"/>
        <w:ind w:left="567" w:hanging="567"/>
        <w:rPr>
          <w:b/>
          <w:bCs/>
          <w:noProof/>
          <w:szCs w:val="22"/>
          <w:lang w:val="it-IT"/>
        </w:rPr>
      </w:pPr>
    </w:p>
    <w:p>
      <w:pPr>
        <w:rPr>
          <w:noProof/>
          <w:szCs w:val="22"/>
          <w:lang w:val="it-IT" w:eastAsia="en-US"/>
        </w:rPr>
      </w:pPr>
      <w:r>
        <w:rPr>
          <w:rFonts w:eastAsia="Calibri"/>
          <w:noProof/>
          <w:szCs w:val="22"/>
          <w:lang w:val="it-IT" w:eastAsia="en-US"/>
        </w:rPr>
        <w:t>Ciascuna penna preriempita contiene 162 mg di RoActemra (tocilizumab) in 0,9 mL.</w:t>
      </w:r>
    </w:p>
    <w:p>
      <w:pPr>
        <w:widowControl w:val="0"/>
        <w:ind w:left="567" w:hanging="567"/>
        <w:rPr>
          <w:b/>
          <w:bCs/>
          <w:noProof/>
          <w:szCs w:val="22"/>
          <w:lang w:val="it-IT"/>
        </w:rPr>
      </w:pPr>
    </w:p>
    <w:p>
      <w:pPr>
        <w:autoSpaceDE w:val="0"/>
        <w:autoSpaceDN w:val="0"/>
        <w:adjustRightInd w:val="0"/>
        <w:rPr>
          <w:noProof/>
          <w:szCs w:val="22"/>
          <w:lang w:val="it-IT" w:eastAsia="en-US"/>
        </w:rPr>
      </w:pPr>
      <w:r>
        <w:rPr>
          <w:rFonts w:eastAsia="Calibri"/>
          <w:noProof/>
          <w:szCs w:val="22"/>
          <w:lang w:val="it-IT" w:eastAsia="en-US"/>
        </w:rPr>
        <w:t>RoActemra è un anticorpo monoclonale umanizzato ricombinante, appartenente alla sottoclasse di immunoglobuline</w:t>
      </w:r>
      <w:ins w:id="6342" w:author="Author">
        <w:r>
          <w:rPr>
            <w:rFonts w:eastAsia="Calibri"/>
            <w:noProof/>
            <w:szCs w:val="22"/>
            <w:lang w:val="it-IT" w:eastAsia="en-US"/>
          </w:rPr>
          <w:t> </w:t>
        </w:r>
      </w:ins>
      <w:del w:id="6343" w:author="Author">
        <w:r>
          <w:rPr>
            <w:rFonts w:eastAsia="Calibri"/>
            <w:noProof/>
            <w:szCs w:val="22"/>
            <w:lang w:val="it-IT" w:eastAsia="en-US"/>
          </w:rPr>
          <w:delText xml:space="preserve"> </w:delText>
        </w:r>
      </w:del>
      <w:r>
        <w:rPr>
          <w:rFonts w:eastAsia="Calibri"/>
          <w:noProof/>
          <w:szCs w:val="22"/>
          <w:lang w:val="it-IT" w:eastAsia="en-US"/>
        </w:rPr>
        <w:t>G1 (IgG1).</w:t>
      </w:r>
    </w:p>
    <w:p>
      <w:pPr>
        <w:widowControl w:val="0"/>
        <w:rPr>
          <w:b/>
          <w:bCs/>
          <w:noProof/>
          <w:szCs w:val="22"/>
          <w:lang w:val="it-IT"/>
        </w:rPr>
      </w:pPr>
    </w:p>
    <w:p>
      <w:pPr>
        <w:widowControl w:val="0"/>
        <w:rPr>
          <w:noProof/>
          <w:szCs w:val="22"/>
          <w:u w:val="single"/>
          <w:lang w:val="it-IT"/>
        </w:rPr>
      </w:pPr>
      <w:r>
        <w:rPr>
          <w:noProof/>
          <w:szCs w:val="22"/>
          <w:u w:val="single"/>
          <w:lang w:val="it-IT"/>
        </w:rPr>
        <w:t>Eccipienti con effetto noto</w:t>
      </w:r>
    </w:p>
    <w:p>
      <w:pPr>
        <w:widowControl w:val="0"/>
        <w:rPr>
          <w:noProof/>
          <w:szCs w:val="22"/>
          <w:lang w:val="it-IT"/>
        </w:rPr>
      </w:pPr>
      <w:r>
        <w:rPr>
          <w:noProof/>
          <w:szCs w:val="22"/>
          <w:lang w:val="it-IT"/>
        </w:rPr>
        <w:t xml:space="preserve">Ogni penna pre-riempita da 162 mg/0,9 mL </w:t>
      </w:r>
      <w:del w:id="6344" w:author="Author">
        <w:r>
          <w:rPr>
            <w:noProof/>
            <w:szCs w:val="22"/>
            <w:lang w:val="it-IT"/>
          </w:rPr>
          <w:delText xml:space="preserve">contiente </w:delText>
        </w:r>
      </w:del>
      <w:ins w:id="6345" w:author="Author">
        <w:r>
          <w:rPr>
            <w:noProof/>
            <w:szCs w:val="22"/>
            <w:lang w:val="it-IT"/>
          </w:rPr>
          <w:t xml:space="preserve">contiene </w:t>
        </w:r>
      </w:ins>
      <w:r>
        <w:rPr>
          <w:noProof/>
          <w:szCs w:val="22"/>
          <w:lang w:val="it-IT"/>
        </w:rPr>
        <w:t>0,18 mg (0,2 mg/mL) di polisorbato 80.</w:t>
      </w:r>
    </w:p>
    <w:p>
      <w:pPr>
        <w:widowControl w:val="0"/>
        <w:rPr>
          <w:noProof/>
          <w:szCs w:val="22"/>
          <w:lang w:val="it-IT"/>
        </w:rPr>
      </w:pPr>
    </w:p>
    <w:p>
      <w:pPr>
        <w:rPr>
          <w:noProof/>
          <w:szCs w:val="22"/>
          <w:lang w:val="it-IT" w:eastAsia="en-US"/>
        </w:rPr>
      </w:pPr>
      <w:r>
        <w:rPr>
          <w:rFonts w:eastAsia="Calibri"/>
          <w:noProof/>
          <w:szCs w:val="22"/>
          <w:lang w:val="it-IT" w:eastAsia="en-US"/>
        </w:rPr>
        <w:t>Per l’elenco completo degli eccipienti, vedere paragrafo 6.1.</w:t>
      </w:r>
    </w:p>
    <w:p>
      <w:pPr>
        <w:rPr>
          <w:noProof/>
          <w:szCs w:val="22"/>
          <w:lang w:val="it-IT"/>
        </w:rPr>
      </w:pPr>
    </w:p>
    <w:p>
      <w:pPr>
        <w:rPr>
          <w:noProof/>
          <w:szCs w:val="22"/>
          <w:lang w:val="it-IT"/>
        </w:rPr>
      </w:pPr>
    </w:p>
    <w:p>
      <w:pPr>
        <w:ind w:left="567" w:hanging="567"/>
        <w:rPr>
          <w:caps/>
          <w:noProof/>
          <w:szCs w:val="22"/>
          <w:lang w:val="it-IT" w:eastAsia="en-US"/>
        </w:rPr>
      </w:pPr>
      <w:r>
        <w:rPr>
          <w:rFonts w:eastAsia="Calibri"/>
          <w:b/>
          <w:noProof/>
          <w:szCs w:val="22"/>
          <w:lang w:val="it-IT" w:eastAsia="en-US"/>
        </w:rPr>
        <w:t>3.</w:t>
      </w:r>
      <w:r>
        <w:rPr>
          <w:rFonts w:eastAsia="Calibri"/>
          <w:b/>
          <w:noProof/>
          <w:szCs w:val="22"/>
          <w:lang w:val="it-IT" w:eastAsia="en-US"/>
        </w:rPr>
        <w:tab/>
        <w:t>FORMA FARMACEUTICA</w:t>
      </w:r>
    </w:p>
    <w:p>
      <w:pPr>
        <w:rPr>
          <w:noProof/>
          <w:szCs w:val="22"/>
          <w:lang w:val="it-IT"/>
        </w:rPr>
      </w:pPr>
    </w:p>
    <w:p>
      <w:pPr>
        <w:rPr>
          <w:rFonts w:eastAsia="Calibri"/>
          <w:noProof/>
          <w:szCs w:val="22"/>
          <w:lang w:val="it-IT" w:eastAsia="en-US"/>
        </w:rPr>
      </w:pPr>
      <w:r>
        <w:rPr>
          <w:rFonts w:eastAsia="Calibri"/>
          <w:noProof/>
          <w:szCs w:val="22"/>
          <w:lang w:val="it-IT" w:eastAsia="en-US"/>
        </w:rPr>
        <w:t>Soluzione iniettabile in penna preriempita (ACTPen).</w:t>
      </w:r>
    </w:p>
    <w:p>
      <w:pPr>
        <w:rPr>
          <w:noProof/>
          <w:szCs w:val="22"/>
          <w:lang w:val="it-IT"/>
        </w:rPr>
      </w:pPr>
    </w:p>
    <w:p>
      <w:pPr>
        <w:rPr>
          <w:noProof/>
          <w:szCs w:val="22"/>
          <w:lang w:val="it-IT" w:eastAsia="en-US"/>
        </w:rPr>
      </w:pPr>
      <w:r>
        <w:rPr>
          <w:rFonts w:eastAsia="Calibri"/>
          <w:noProof/>
          <w:szCs w:val="22"/>
          <w:lang w:val="it-IT" w:eastAsia="en-US"/>
        </w:rPr>
        <w:t>Soluzione da trasparente a leggermente giallastra con un pH di 5</w:t>
      </w:r>
      <w:ins w:id="6346" w:author="Author">
        <w:r>
          <w:rPr>
            <w:rFonts w:eastAsia="Calibri"/>
            <w:noProof/>
            <w:szCs w:val="22"/>
            <w:lang w:val="it-IT" w:eastAsia="en-US"/>
          </w:rPr>
          <w:t>,</w:t>
        </w:r>
      </w:ins>
      <w:del w:id="6347" w:author="Author">
        <w:r>
          <w:rPr>
            <w:rFonts w:eastAsia="Calibri"/>
            <w:noProof/>
            <w:szCs w:val="22"/>
            <w:lang w:val="it-IT" w:eastAsia="en-US"/>
          </w:rPr>
          <w:delText>.</w:delText>
        </w:r>
      </w:del>
      <w:r>
        <w:rPr>
          <w:rFonts w:eastAsia="Calibri"/>
          <w:noProof/>
          <w:szCs w:val="22"/>
          <w:lang w:val="it-IT" w:eastAsia="en-US"/>
        </w:rPr>
        <w:t>5-6-5 e una osmolalità di 200-372 mOsm/kg.</w:t>
      </w:r>
    </w:p>
    <w:p>
      <w:pPr>
        <w:rPr>
          <w:noProof/>
          <w:szCs w:val="22"/>
          <w:lang w:val="it-IT"/>
        </w:rPr>
      </w:pPr>
    </w:p>
    <w:p>
      <w:pPr>
        <w:rPr>
          <w:noProof/>
          <w:szCs w:val="22"/>
          <w:lang w:val="it-IT"/>
        </w:rPr>
      </w:pPr>
    </w:p>
    <w:p>
      <w:pPr>
        <w:ind w:left="567" w:hanging="567"/>
        <w:rPr>
          <w:caps/>
          <w:noProof/>
          <w:szCs w:val="22"/>
          <w:lang w:val="it-IT" w:eastAsia="en-US"/>
        </w:rPr>
      </w:pPr>
      <w:r>
        <w:rPr>
          <w:rFonts w:eastAsia="Calibri"/>
          <w:b/>
          <w:caps/>
          <w:noProof/>
          <w:szCs w:val="22"/>
          <w:lang w:val="it-IT" w:eastAsia="en-US"/>
        </w:rPr>
        <w:t>4.</w:t>
      </w:r>
      <w:r>
        <w:rPr>
          <w:rFonts w:eastAsia="Calibri"/>
          <w:b/>
          <w:caps/>
          <w:noProof/>
          <w:szCs w:val="22"/>
          <w:lang w:val="it-IT" w:eastAsia="en-US"/>
        </w:rPr>
        <w:tab/>
        <w:t>Informazioni cliniche</w:t>
      </w:r>
    </w:p>
    <w:p>
      <w:pPr>
        <w:rPr>
          <w:noProof/>
          <w:szCs w:val="22"/>
          <w:lang w:val="it-IT"/>
        </w:rPr>
      </w:pPr>
    </w:p>
    <w:p>
      <w:pPr>
        <w:ind w:left="567" w:hanging="567"/>
        <w:outlineLvl w:val="0"/>
        <w:rPr>
          <w:ins w:id="6348" w:author="Author"/>
          <w:rFonts w:eastAsia="Calibri"/>
          <w:b/>
          <w:bCs/>
          <w:noProof/>
          <w:szCs w:val="22"/>
          <w:lang w:val="it-IT" w:eastAsia="en-US"/>
        </w:rPr>
      </w:pPr>
      <w:r>
        <w:rPr>
          <w:rFonts w:eastAsia="Calibri"/>
          <w:b/>
          <w:bCs/>
          <w:noProof/>
          <w:szCs w:val="22"/>
          <w:lang w:val="it-IT" w:eastAsia="en-US"/>
        </w:rPr>
        <w:t>4.1</w:t>
      </w:r>
      <w:r>
        <w:rPr>
          <w:rFonts w:eastAsia="Calibri"/>
          <w:b/>
          <w:bCs/>
          <w:noProof/>
          <w:szCs w:val="22"/>
          <w:lang w:val="it-IT" w:eastAsia="en-US"/>
        </w:rPr>
        <w:tab/>
        <w:t>Indicazioni terapeutiche</w:t>
      </w:r>
    </w:p>
    <w:p>
      <w:pPr>
        <w:ind w:left="567" w:hanging="567"/>
        <w:outlineLvl w:val="0"/>
        <w:rPr>
          <w:ins w:id="6349" w:author="Author"/>
          <w:rFonts w:eastAsia="Calibri"/>
          <w:b/>
          <w:bCs/>
          <w:noProof/>
          <w:szCs w:val="22"/>
          <w:lang w:val="it-IT" w:eastAsia="en-US"/>
        </w:rPr>
      </w:pPr>
    </w:p>
    <w:p>
      <w:pPr>
        <w:rPr>
          <w:ins w:id="6350" w:author="Author"/>
          <w:rFonts w:eastAsia="Calibri"/>
          <w:noProof/>
          <w:u w:val="single"/>
          <w:lang w:val="it-IT" w:eastAsia="en-US"/>
        </w:rPr>
      </w:pPr>
      <w:ins w:id="6351" w:author="Author">
        <w:r>
          <w:rPr>
            <w:rFonts w:eastAsia="Calibri"/>
            <w:noProof/>
            <w:u w:val="single"/>
            <w:lang w:val="it-IT" w:eastAsia="en-US"/>
          </w:rPr>
          <w:t>Artrite reumatoide (AR)</w:t>
        </w:r>
      </w:ins>
    </w:p>
    <w:p>
      <w:pPr>
        <w:rPr>
          <w:noProof/>
          <w:szCs w:val="22"/>
          <w:lang w:val="it-IT" w:eastAsia="en-US"/>
        </w:rPr>
      </w:pPr>
      <w:r>
        <w:rPr>
          <w:rFonts w:eastAsia="Calibri"/>
          <w:noProof/>
          <w:szCs w:val="22"/>
          <w:lang w:val="it-IT" w:eastAsia="en-US"/>
        </w:rPr>
        <w:t>RoActemra in associazione con metotre</w:t>
      </w:r>
      <w:ins w:id="6352" w:author="Author">
        <w:r>
          <w:rPr>
            <w:rFonts w:eastAsia="Calibri"/>
            <w:noProof/>
            <w:szCs w:val="22"/>
            <w:lang w:val="it-IT" w:eastAsia="en-US"/>
          </w:rPr>
          <w:t>x</w:t>
        </w:r>
      </w:ins>
      <w:del w:id="6353" w:author="Author">
        <w:r>
          <w:rPr>
            <w:rFonts w:eastAsia="Calibri"/>
            <w:noProof/>
            <w:szCs w:val="22"/>
            <w:lang w:val="it-IT" w:eastAsia="en-US"/>
          </w:rPr>
          <w:delText>ss</w:delText>
        </w:r>
      </w:del>
      <w:r>
        <w:rPr>
          <w:rFonts w:eastAsia="Calibri"/>
          <w:noProof/>
          <w:szCs w:val="22"/>
          <w:lang w:val="it-IT" w:eastAsia="en-US"/>
        </w:rPr>
        <w:t>ato (MTX) è indicato per</w:t>
      </w:r>
    </w:p>
    <w:p>
      <w:pPr>
        <w:rPr>
          <w:del w:id="6354" w:author="Author"/>
          <w:noProof/>
          <w:szCs w:val="22"/>
          <w:lang w:val="it-IT"/>
        </w:rPr>
      </w:pPr>
    </w:p>
    <w:p>
      <w:pPr>
        <w:rPr>
          <w:del w:id="6355" w:author="Author"/>
          <w:rFonts w:eastAsia="Calibri"/>
          <w:noProof/>
          <w:u w:val="single"/>
          <w:lang w:val="it-IT" w:eastAsia="en-US"/>
        </w:rPr>
      </w:pPr>
      <w:del w:id="6356" w:author="Author">
        <w:r>
          <w:rPr>
            <w:rFonts w:eastAsia="Calibri"/>
            <w:noProof/>
            <w:u w:val="single"/>
            <w:lang w:val="it-IT" w:eastAsia="en-US"/>
          </w:rPr>
          <w:delText>Artrite reumatoide (AR)</w:delText>
        </w:r>
      </w:del>
    </w:p>
    <w:p>
      <w:pPr>
        <w:rPr>
          <w:noProof/>
          <w:szCs w:val="22"/>
          <w:u w:val="single"/>
          <w:lang w:val="it-IT"/>
        </w:rPr>
      </w:pPr>
    </w:p>
    <w:p>
      <w:pPr>
        <w:ind w:left="567" w:hanging="567"/>
        <w:rPr>
          <w:noProof/>
          <w:szCs w:val="22"/>
          <w:lang w:val="it-IT" w:eastAsia="en-US"/>
        </w:rPr>
        <w:pPrChange w:id="6357" w:author="Author">
          <w:pPr>
            <w:ind w:left="714" w:hanging="357"/>
          </w:pPr>
        </w:pPrChange>
      </w:pPr>
      <w:r>
        <w:rPr>
          <w:rFonts w:eastAsia="Calibri"/>
          <w:noProof/>
          <w:lang w:val="it-IT" w:eastAsia="en-US"/>
        </w:rPr>
        <w:sym w:font="Symbol" w:char="F0B7"/>
      </w:r>
      <w:r>
        <w:rPr>
          <w:rFonts w:eastAsia="Calibri"/>
          <w:noProof/>
          <w:lang w:val="it-IT" w:eastAsia="en-US"/>
        </w:rPr>
        <w:tab/>
        <w:t>il trattamento dell’AR</w:t>
      </w:r>
      <w:ins w:id="6358" w:author="Author">
        <w:r>
          <w:rPr>
            <w:rFonts w:eastAsia="Calibri"/>
            <w:noProof/>
            <w:lang w:val="it-IT" w:eastAsia="en-US"/>
          </w:rPr>
          <w:t xml:space="preserve"> </w:t>
        </w:r>
      </w:ins>
      <w:del w:id="6359" w:author="Author">
        <w:r>
          <w:rPr>
            <w:rFonts w:eastAsia="Calibri"/>
            <w:noProof/>
            <w:lang w:val="it-IT" w:eastAsia="en-US"/>
          </w:rPr>
          <w:delText xml:space="preserve"> </w:delText>
        </w:r>
      </w:del>
      <w:ins w:id="6360" w:author="Author">
        <w:r>
          <w:rPr>
            <w:rFonts w:eastAsia="Calibri"/>
            <w:noProof/>
            <w:lang w:val="it-IT" w:eastAsia="en-US"/>
          </w:rPr>
          <w:t>severa</w:t>
        </w:r>
      </w:ins>
      <w:del w:id="6361" w:author="Author">
        <w:r>
          <w:rPr>
            <w:rFonts w:eastAsia="Calibri"/>
            <w:noProof/>
            <w:lang w:val="it-IT" w:eastAsia="en-US"/>
          </w:rPr>
          <w:delText>grave</w:delText>
        </w:r>
      </w:del>
      <w:r>
        <w:rPr>
          <w:rFonts w:eastAsia="Calibri"/>
          <w:noProof/>
          <w:lang w:val="it-IT" w:eastAsia="en-US"/>
        </w:rPr>
        <w:t>, attiva e progressiva negli adulti non precedentemente trattati con MTX.</w:t>
      </w:r>
    </w:p>
    <w:p>
      <w:pPr>
        <w:ind w:left="567" w:hanging="567"/>
        <w:rPr>
          <w:rFonts w:eastAsia="Calibri"/>
          <w:noProof/>
          <w:szCs w:val="22"/>
          <w:lang w:val="it-IT" w:eastAsia="en-US"/>
        </w:rPr>
        <w:pPrChange w:id="6362" w:author="Author">
          <w:pPr>
            <w:ind w:left="714" w:hanging="357"/>
          </w:pPr>
        </w:pPrChange>
      </w:pPr>
      <w:r>
        <w:rPr>
          <w:rFonts w:eastAsia="Calibri"/>
          <w:noProof/>
          <w:lang w:val="it-IT" w:eastAsia="en-US"/>
        </w:rPr>
        <w:sym w:font="Symbol" w:char="F0B7"/>
      </w:r>
      <w:r>
        <w:rPr>
          <w:rFonts w:eastAsia="Calibri"/>
          <w:noProof/>
          <w:lang w:val="it-IT" w:eastAsia="en-US"/>
        </w:rPr>
        <w:tab/>
      </w:r>
      <w:r>
        <w:rPr>
          <w:rFonts w:eastAsia="Calibri"/>
          <w:noProof/>
          <w:szCs w:val="22"/>
          <w:lang w:val="it-IT" w:eastAsia="en-US"/>
        </w:rPr>
        <w:t xml:space="preserve">il trattamento dell’AR attiva da moderata a </w:t>
      </w:r>
      <w:del w:id="6363" w:author="Author">
        <w:r>
          <w:rPr>
            <w:rFonts w:eastAsia="Calibri"/>
            <w:noProof/>
            <w:szCs w:val="22"/>
            <w:lang w:val="it-IT" w:eastAsia="en-US"/>
          </w:rPr>
          <w:delText>grave</w:delText>
        </w:r>
      </w:del>
      <w:ins w:id="6364" w:author="Author">
        <w:r>
          <w:rPr>
            <w:rFonts w:eastAsia="Calibri"/>
            <w:noProof/>
            <w:szCs w:val="22"/>
            <w:lang w:val="it-IT" w:eastAsia="en-US"/>
          </w:rPr>
          <w:t>severa</w:t>
        </w:r>
      </w:ins>
      <w:r>
        <w:rPr>
          <w:rFonts w:eastAsia="Calibri"/>
          <w:noProof/>
          <w:szCs w:val="22"/>
          <w:lang w:val="it-IT" w:eastAsia="en-US"/>
        </w:rPr>
        <w:t xml:space="preserve"> in pazienti adulti che non abbiano risposto adeguatamente o siano </w:t>
      </w:r>
      <w:ins w:id="6365" w:author="Author">
        <w:r>
          <w:rPr>
            <w:rFonts w:eastAsia="Calibri"/>
            <w:noProof/>
            <w:szCs w:val="22"/>
            <w:lang w:val="it-IT" w:eastAsia="en-US"/>
          </w:rPr>
          <w:t xml:space="preserve">risultati </w:t>
        </w:r>
      </w:ins>
      <w:r>
        <w:rPr>
          <w:rFonts w:eastAsia="Calibri"/>
          <w:noProof/>
          <w:szCs w:val="22"/>
          <w:lang w:val="it-IT" w:eastAsia="en-US"/>
        </w:rPr>
        <w:t xml:space="preserve">intolleranti a </w:t>
      </w:r>
      <w:ins w:id="6366" w:author="Author">
        <w:del w:id="6367" w:author="Author">
          <w:r>
            <w:rPr>
              <w:rFonts w:eastAsia="Calibri"/>
              <w:noProof/>
              <w:szCs w:val="22"/>
              <w:lang w:val="it-IT" w:eastAsia="en-US"/>
            </w:rPr>
            <w:delText xml:space="preserve">una </w:delText>
          </w:r>
        </w:del>
      </w:ins>
      <w:r>
        <w:rPr>
          <w:rFonts w:eastAsia="Calibri"/>
          <w:noProof/>
          <w:szCs w:val="22"/>
          <w:lang w:val="it-IT" w:eastAsia="en-US"/>
        </w:rPr>
        <w:t>precedente terapia con uno o più farmaci antireumatici modificanti la malattia (DMARD) o antagonisti del fattore di necrosi tumorale (TNF).</w:t>
      </w:r>
    </w:p>
    <w:p>
      <w:pPr>
        <w:rPr>
          <w:noProof/>
          <w:szCs w:val="22"/>
          <w:lang w:val="it-IT"/>
        </w:rPr>
      </w:pPr>
    </w:p>
    <w:p>
      <w:pPr>
        <w:rPr>
          <w:rFonts w:eastAsia="Calibri"/>
          <w:noProof/>
          <w:szCs w:val="22"/>
          <w:lang w:val="it-IT" w:eastAsia="en-US"/>
        </w:rPr>
      </w:pPr>
      <w:r>
        <w:rPr>
          <w:rFonts w:eastAsia="Calibri"/>
          <w:noProof/>
          <w:szCs w:val="22"/>
          <w:lang w:val="it-IT" w:eastAsia="en-US"/>
        </w:rPr>
        <w:t>In questi pazienti RoActemra può essere somministrato in monoterapia in caso di intolleranza a MTX o quando sia inappropriato continuare un trattamento con MTX.</w:t>
      </w:r>
    </w:p>
    <w:p>
      <w:pPr>
        <w:rPr>
          <w:noProof/>
          <w:szCs w:val="22"/>
          <w:lang w:val="it-IT"/>
        </w:rPr>
      </w:pPr>
    </w:p>
    <w:p>
      <w:pPr>
        <w:rPr>
          <w:rFonts w:eastAsia="Calibri"/>
          <w:noProof/>
          <w:szCs w:val="22"/>
          <w:lang w:val="it-IT" w:eastAsia="en-US"/>
        </w:rPr>
      </w:pPr>
      <w:r>
        <w:rPr>
          <w:rFonts w:eastAsia="Calibri"/>
          <w:noProof/>
          <w:szCs w:val="22"/>
          <w:lang w:val="it-IT" w:eastAsia="en-US"/>
        </w:rPr>
        <w:t>RoActemra ha dimostrato di ridurre la percentuale di progressione del danno articolare, come valutato mediante raggi X, e di migliorare le funzioni fisiche quando somministrato in associazione con metotre</w:t>
      </w:r>
      <w:ins w:id="6368" w:author="Author">
        <w:r>
          <w:rPr>
            <w:rFonts w:eastAsia="Calibri"/>
            <w:noProof/>
            <w:szCs w:val="22"/>
            <w:lang w:val="it-IT" w:eastAsia="en-US"/>
          </w:rPr>
          <w:t>x</w:t>
        </w:r>
      </w:ins>
      <w:del w:id="6369" w:author="Author">
        <w:r>
          <w:rPr>
            <w:rFonts w:eastAsia="Calibri"/>
            <w:noProof/>
            <w:szCs w:val="22"/>
            <w:lang w:val="it-IT" w:eastAsia="en-US"/>
          </w:rPr>
          <w:delText>ss</w:delText>
        </w:r>
      </w:del>
      <w:r>
        <w:rPr>
          <w:rFonts w:eastAsia="Calibri"/>
          <w:noProof/>
          <w:szCs w:val="22"/>
          <w:lang w:val="it-IT" w:eastAsia="en-US"/>
        </w:rPr>
        <w:t>ato.</w:t>
      </w:r>
    </w:p>
    <w:p>
      <w:pPr>
        <w:rPr>
          <w:rFonts w:eastAsia="Calibri"/>
          <w:noProof/>
          <w:szCs w:val="22"/>
          <w:lang w:val="it-IT" w:eastAsia="en-US"/>
        </w:rPr>
      </w:pPr>
    </w:p>
    <w:p>
      <w:pPr>
        <w:rPr>
          <w:del w:id="6370" w:author="Author"/>
          <w:rFonts w:eastAsia="SimSun" w:cs="Arial"/>
          <w:noProof/>
          <w:u w:val="single"/>
          <w:lang w:val="it-IT" w:eastAsia="zh-CN" w:bidi="th-TH"/>
        </w:rPr>
      </w:pPr>
      <w:r>
        <w:rPr>
          <w:rFonts w:eastAsia="SimSun" w:cs="Arial"/>
          <w:noProof/>
          <w:u w:val="single"/>
          <w:lang w:val="it-IT" w:eastAsia="zh-CN" w:bidi="th-TH"/>
        </w:rPr>
        <w:t>Artrite idiopatica giovanile sistemica (AIGs)</w:t>
      </w:r>
    </w:p>
    <w:p>
      <w:pPr>
        <w:rPr>
          <w:rFonts w:eastAsia="Calibri"/>
          <w:noProof/>
          <w:szCs w:val="22"/>
          <w:u w:val="single"/>
          <w:lang w:val="it-IT" w:eastAsia="en-US"/>
        </w:rPr>
      </w:pPr>
    </w:p>
    <w:p>
      <w:pPr>
        <w:tabs>
          <w:tab w:val="left" w:pos="180"/>
        </w:tabs>
        <w:rPr>
          <w:rFonts w:eastAsia="SimSun" w:cs="Arial"/>
          <w:noProof/>
          <w:lang w:val="it-IT" w:eastAsia="zh-CN" w:bidi="th-TH"/>
        </w:rPr>
      </w:pPr>
      <w:r>
        <w:rPr>
          <w:rFonts w:eastAsia="SimSun" w:cs="Arial"/>
          <w:noProof/>
          <w:lang w:val="it-IT" w:eastAsia="zh-CN" w:bidi="th-TH"/>
        </w:rPr>
        <w:t>RoActemra è indicato per il trattamento dell’ AIGs attiva in pazienti di età uguale o superiore a 12 anni che non abbiano risposto adeguatamente a precedente terapia con farmaci anti-infiammatori non steroidei (FANS) e corticosteroidi sistemici</w:t>
      </w:r>
      <w:del w:id="6371" w:author="Author">
        <w:r>
          <w:rPr>
            <w:rFonts w:eastAsia="SimSun" w:cs="Arial"/>
            <w:noProof/>
            <w:lang w:val="it-IT" w:eastAsia="zh-CN" w:bidi="th-TH"/>
          </w:rPr>
          <w:delText xml:space="preserve"> (vedere paragrafo 4.2)</w:delText>
        </w:r>
      </w:del>
      <w:r>
        <w:rPr>
          <w:rFonts w:eastAsia="SimSun" w:cs="Arial"/>
          <w:noProof/>
          <w:lang w:val="it-IT" w:eastAsia="zh-CN" w:bidi="th-TH"/>
        </w:rPr>
        <w:t>.</w:t>
      </w:r>
    </w:p>
    <w:p>
      <w:pPr>
        <w:tabs>
          <w:tab w:val="left" w:pos="180"/>
        </w:tabs>
        <w:rPr>
          <w:rFonts w:eastAsia="SimSun" w:cs="Arial"/>
          <w:noProof/>
          <w:lang w:val="it-IT" w:eastAsia="zh-CN" w:bidi="th-TH"/>
        </w:rPr>
      </w:pPr>
      <w:r>
        <w:rPr>
          <w:rFonts w:eastAsia="SimSun" w:cs="Arial"/>
          <w:noProof/>
          <w:lang w:val="it-IT" w:eastAsia="zh-CN" w:bidi="th-TH"/>
        </w:rPr>
        <w:t>RoActemra può essere somministrato come monoterapia (in caso di intolleranza a MTX o quando il trattamento con MTX risulti inappropriato) o in associazione con MTX.</w:t>
      </w:r>
    </w:p>
    <w:p>
      <w:pPr>
        <w:tabs>
          <w:tab w:val="left" w:pos="180"/>
        </w:tabs>
        <w:rPr>
          <w:noProof/>
          <w:szCs w:val="22"/>
          <w:lang w:val="it-IT"/>
        </w:rPr>
      </w:pPr>
    </w:p>
    <w:p>
      <w:pPr>
        <w:keepNext/>
        <w:tabs>
          <w:tab w:val="left" w:pos="180"/>
        </w:tabs>
        <w:rPr>
          <w:del w:id="6372" w:author="Author"/>
          <w:rFonts w:eastAsia="SimSun" w:cs="Arial"/>
          <w:noProof/>
          <w:u w:val="single"/>
          <w:lang w:val="it-IT" w:eastAsia="zh-CN" w:bidi="th-TH"/>
        </w:rPr>
      </w:pPr>
      <w:r>
        <w:rPr>
          <w:rFonts w:eastAsia="SimSun" w:cs="Arial"/>
          <w:noProof/>
          <w:u w:val="single"/>
          <w:lang w:val="it-IT" w:eastAsia="zh-CN" w:bidi="th-TH"/>
        </w:rPr>
        <w:lastRenderedPageBreak/>
        <w:t xml:space="preserve">Poliartritre idiopatica giovanile </w:t>
      </w:r>
      <w:r>
        <w:rPr>
          <w:rFonts w:eastAsia="SimSun"/>
          <w:noProof/>
          <w:u w:val="single"/>
          <w:lang w:val="it-IT"/>
        </w:rPr>
        <w:t>(</w:t>
      </w:r>
      <w:r>
        <w:rPr>
          <w:rFonts w:eastAsia="SimSun" w:cs="Arial"/>
          <w:noProof/>
          <w:u w:val="single"/>
          <w:lang w:val="it-IT" w:eastAsia="zh-CN" w:bidi="th-TH"/>
        </w:rPr>
        <w:t>AIGp)</w:t>
      </w:r>
    </w:p>
    <w:p>
      <w:pPr>
        <w:keepNext/>
        <w:tabs>
          <w:tab w:val="left" w:pos="180"/>
        </w:tabs>
        <w:rPr>
          <w:rFonts w:eastAsia="SimSun" w:cs="Arial"/>
          <w:noProof/>
          <w:u w:val="single"/>
          <w:lang w:val="it-IT" w:eastAsia="zh-CN" w:bidi="th-TH"/>
        </w:rPr>
        <w:pPrChange w:id="6373" w:author="Author">
          <w:pPr>
            <w:tabs>
              <w:tab w:val="left" w:pos="180"/>
            </w:tabs>
          </w:pPr>
        </w:pPrChange>
      </w:pPr>
    </w:p>
    <w:p>
      <w:pPr>
        <w:tabs>
          <w:tab w:val="left" w:pos="180"/>
        </w:tabs>
        <w:rPr>
          <w:rFonts w:eastAsia="SimSun" w:cs="Arial"/>
          <w:noProof/>
          <w:lang w:val="it-IT" w:eastAsia="zh-CN" w:bidi="th-TH"/>
        </w:rPr>
      </w:pPr>
      <w:r>
        <w:rPr>
          <w:rFonts w:eastAsia="SimSun" w:cs="Arial"/>
          <w:noProof/>
          <w:lang w:val="it-IT" w:eastAsia="zh-CN" w:bidi="th-TH"/>
        </w:rPr>
        <w:t>RoActemra in associazione con metotre</w:t>
      </w:r>
      <w:ins w:id="6374" w:author="Author">
        <w:r>
          <w:rPr>
            <w:rFonts w:eastAsia="SimSun" w:cs="Arial"/>
            <w:noProof/>
            <w:lang w:val="it-IT" w:eastAsia="zh-CN" w:bidi="th-TH"/>
          </w:rPr>
          <w:t>x</w:t>
        </w:r>
      </w:ins>
      <w:del w:id="6375" w:author="Author">
        <w:r>
          <w:rPr>
            <w:rFonts w:eastAsia="SimSun" w:cs="Arial"/>
            <w:noProof/>
            <w:lang w:val="it-IT" w:eastAsia="zh-CN" w:bidi="th-TH"/>
          </w:rPr>
          <w:delText>ss</w:delText>
        </w:r>
      </w:del>
      <w:r>
        <w:rPr>
          <w:rFonts w:eastAsia="SimSun" w:cs="Arial"/>
          <w:noProof/>
          <w:lang w:val="it-IT" w:eastAsia="zh-CN" w:bidi="th-TH"/>
        </w:rPr>
        <w:t>ato (MTX) è indicato per il trattamento della AIGp (fattore reumatoide positivo o negativo e oligoartrite estesa) in pazienti di età uguale o superiore a 12 anni che non abbiano risposto adeguatamente a precedente terapia con MTX</w:t>
      </w:r>
      <w:del w:id="6376" w:author="Author">
        <w:r>
          <w:rPr>
            <w:rFonts w:eastAsia="SimSun" w:cs="Arial"/>
            <w:noProof/>
            <w:lang w:val="it-IT" w:eastAsia="zh-CN" w:bidi="th-TH"/>
          </w:rPr>
          <w:delText xml:space="preserve"> (vedere paragrafo 4.2)</w:delText>
        </w:r>
      </w:del>
      <w:r>
        <w:rPr>
          <w:rFonts w:eastAsia="SimSun" w:cs="Arial"/>
          <w:noProof/>
          <w:lang w:val="it-IT" w:eastAsia="zh-CN" w:bidi="th-TH"/>
        </w:rPr>
        <w:t>.</w:t>
      </w:r>
    </w:p>
    <w:p>
      <w:pPr>
        <w:rPr>
          <w:rFonts w:eastAsia="SimSun" w:cs="Arial"/>
          <w:noProof/>
          <w:lang w:val="it-IT" w:eastAsia="zh-CN" w:bidi="th-TH"/>
        </w:rPr>
      </w:pPr>
      <w:r>
        <w:rPr>
          <w:rFonts w:eastAsia="SimSun" w:cs="Arial"/>
          <w:noProof/>
          <w:lang w:val="it-IT" w:eastAsia="zh-CN" w:bidi="th-TH"/>
        </w:rPr>
        <w:t>RoActemra può essere somministrato come monoterapia in caso di intolleranza a MTX o quando sia inappropriato continuare un trattamento con MTX.</w:t>
      </w:r>
    </w:p>
    <w:p>
      <w:pPr>
        <w:rPr>
          <w:rFonts w:eastAsia="SimSun" w:cs="Arial"/>
          <w:noProof/>
          <w:lang w:val="it-IT" w:eastAsia="zh-CN" w:bidi="th-TH"/>
        </w:rPr>
      </w:pPr>
    </w:p>
    <w:p>
      <w:pPr>
        <w:rPr>
          <w:del w:id="6377" w:author="Author"/>
          <w:rFonts w:eastAsia="Calibri"/>
          <w:noProof/>
          <w:szCs w:val="22"/>
          <w:lang w:val="it-IT" w:eastAsia="en-US"/>
        </w:rPr>
      </w:pPr>
      <w:r>
        <w:rPr>
          <w:rFonts w:eastAsia="Calibri"/>
          <w:noProof/>
          <w:szCs w:val="22"/>
          <w:u w:val="single"/>
          <w:lang w:val="it-IT" w:eastAsia="en-US"/>
        </w:rPr>
        <w:t>Arterite a cellule giganti</w:t>
      </w:r>
      <w:ins w:id="6378" w:author="Author">
        <w:r>
          <w:rPr>
            <w:rFonts w:eastAsia="Calibri"/>
            <w:noProof/>
            <w:szCs w:val="22"/>
            <w:u w:val="single"/>
            <w:lang w:val="it-IT" w:eastAsia="en-US"/>
          </w:rPr>
          <w:t xml:space="preserve"> </w:t>
        </w:r>
      </w:ins>
      <w:r>
        <w:rPr>
          <w:rFonts w:eastAsia="Calibri"/>
          <w:noProof/>
          <w:szCs w:val="22"/>
          <w:u w:val="single"/>
          <w:lang w:val="it-IT" w:eastAsia="en-US"/>
          <w:rPrChange w:id="6379" w:author="Author">
            <w:rPr>
              <w:rFonts w:eastAsia="Calibri"/>
              <w:szCs w:val="22"/>
              <w:lang w:val="it-IT" w:eastAsia="en-US"/>
            </w:rPr>
          </w:rPrChange>
        </w:rPr>
        <w:t>(ACG)</w:t>
      </w:r>
    </w:p>
    <w:p>
      <w:pPr>
        <w:rPr>
          <w:rFonts w:eastAsia="SimSun"/>
          <w:noProof/>
          <w:szCs w:val="22"/>
          <w:u w:val="single"/>
          <w:lang w:val="it-IT" w:eastAsia="zh-CN" w:bidi="th-TH"/>
        </w:rPr>
      </w:pPr>
    </w:p>
    <w:p>
      <w:pPr>
        <w:rPr>
          <w:rFonts w:eastAsia="SimSun"/>
          <w:noProof/>
          <w:szCs w:val="22"/>
          <w:lang w:val="it-IT" w:eastAsia="en-US"/>
        </w:rPr>
      </w:pPr>
      <w:r>
        <w:rPr>
          <w:rFonts w:eastAsia="Calibri"/>
          <w:noProof/>
          <w:szCs w:val="22"/>
          <w:lang w:val="it-IT" w:eastAsia="en-US"/>
        </w:rPr>
        <w:t>RoActemra è indicato per il trattamento dell’ACG in pazienti adulti.</w:t>
      </w:r>
    </w:p>
    <w:p>
      <w:pPr>
        <w:rPr>
          <w:rFonts w:eastAsia="SimSun"/>
          <w:noProof/>
          <w:szCs w:val="22"/>
          <w:lang w:val="it-IT" w:eastAsia="zh-CN" w:bidi="th-TH"/>
        </w:rPr>
      </w:pPr>
    </w:p>
    <w:p>
      <w:pPr>
        <w:ind w:left="567" w:hanging="567"/>
        <w:outlineLvl w:val="0"/>
        <w:rPr>
          <w:b/>
          <w:noProof/>
          <w:szCs w:val="22"/>
          <w:lang w:val="it-IT" w:eastAsia="en-US"/>
        </w:rPr>
      </w:pPr>
      <w:r>
        <w:rPr>
          <w:rFonts w:eastAsia="Calibri"/>
          <w:b/>
          <w:bCs/>
          <w:noProof/>
          <w:szCs w:val="22"/>
          <w:lang w:val="it-IT" w:eastAsia="en-US"/>
        </w:rPr>
        <w:t>4.2</w:t>
      </w:r>
      <w:r>
        <w:rPr>
          <w:rFonts w:eastAsia="Calibri"/>
          <w:b/>
          <w:bCs/>
          <w:noProof/>
          <w:szCs w:val="22"/>
          <w:lang w:val="it-IT" w:eastAsia="en-US"/>
        </w:rPr>
        <w:tab/>
        <w:t>Posologia e modo di somministrazione</w:t>
      </w:r>
    </w:p>
    <w:p>
      <w:pPr>
        <w:rPr>
          <w:b/>
          <w:noProof/>
          <w:szCs w:val="22"/>
          <w:lang w:val="it-IT"/>
        </w:rPr>
      </w:pPr>
    </w:p>
    <w:p>
      <w:pPr>
        <w:autoSpaceDE w:val="0"/>
        <w:autoSpaceDN w:val="0"/>
        <w:adjustRightInd w:val="0"/>
        <w:rPr>
          <w:rFonts w:eastAsia="Calibri"/>
          <w:noProof/>
          <w:szCs w:val="22"/>
          <w:lang w:val="it-IT" w:eastAsia="en-US"/>
        </w:rPr>
      </w:pPr>
      <w:r>
        <w:rPr>
          <w:noProof/>
          <w:lang w:val="it-IT"/>
        </w:rPr>
        <w:t>Tocilizumab in formulazione sottocutanea viene somministrato con l’ausilio di una penna preriempita</w:t>
      </w:r>
      <w:r>
        <w:rPr>
          <w:rFonts w:eastAsia="Calibri"/>
          <w:noProof/>
          <w:szCs w:val="22"/>
          <w:lang w:val="it-IT" w:eastAsia="en-US"/>
        </w:rPr>
        <w:t xml:space="preserve"> monouso. Il trattamento deve essere iniziato da operatori sanitari esperti nella diagnosi e nel trattamento dell’AR, della AIGs, della AIGp e/o dell’ACG. </w:t>
      </w:r>
    </w:p>
    <w:p>
      <w:pPr>
        <w:autoSpaceDE w:val="0"/>
        <w:autoSpaceDN w:val="0"/>
        <w:adjustRightInd w:val="0"/>
        <w:rPr>
          <w:rFonts w:eastAsia="Calibri"/>
          <w:noProof/>
          <w:szCs w:val="22"/>
          <w:lang w:val="it-IT" w:eastAsia="en-US"/>
        </w:rPr>
      </w:pPr>
    </w:p>
    <w:p>
      <w:pPr>
        <w:tabs>
          <w:tab w:val="left" w:pos="180"/>
        </w:tabs>
        <w:autoSpaceDE w:val="0"/>
        <w:autoSpaceDN w:val="0"/>
        <w:adjustRightInd w:val="0"/>
        <w:rPr>
          <w:noProof/>
          <w:szCs w:val="22"/>
          <w:lang w:val="it-IT"/>
        </w:rPr>
      </w:pPr>
      <w:r>
        <w:rPr>
          <w:noProof/>
          <w:szCs w:val="22"/>
          <w:lang w:val="it-IT"/>
        </w:rPr>
        <w:t>La penna preriempita non deve essere usata per trattare pazienti pediatrici di età &lt; 12 anni in quanto sussiste il potenziale rischio di iniezione intramuscolare dovuta alla presenza di uno strato di tessuto sottocutaneo più sottile.</w:t>
      </w:r>
    </w:p>
    <w:p>
      <w:pPr>
        <w:tabs>
          <w:tab w:val="left" w:pos="180"/>
        </w:tabs>
        <w:autoSpaceDE w:val="0"/>
        <w:autoSpaceDN w:val="0"/>
        <w:adjustRightInd w:val="0"/>
        <w:rPr>
          <w:noProof/>
          <w:szCs w:val="22"/>
          <w:lang w:val="it-IT"/>
        </w:rPr>
      </w:pPr>
      <w:r>
        <w:rPr>
          <w:noProof/>
          <w:szCs w:val="22"/>
          <w:lang w:val="it-IT"/>
        </w:rPr>
        <w:t xml:space="preserve">La prima iniezione deve essere praticata sotto la supervisione di un operatore sanitario qualificato. </w:t>
      </w:r>
      <w:r>
        <w:rPr>
          <w:noProof/>
          <w:lang w:val="it-IT"/>
        </w:rPr>
        <w:t xml:space="preserve">Questo medicinale può essere autoiniettato dal paziente o somministrato dal </w:t>
      </w:r>
      <w:r>
        <w:rPr>
          <w:noProof/>
          <w:szCs w:val="22"/>
          <w:lang w:val="it-IT"/>
        </w:rPr>
        <w:t>genitore/tutore soltanto qualora il medico lo ritenga opportuno e laddove il paziente o il genitore/tutore acconsenta al follow-up medico necessario e sia stato istruito sulla corretta tecnica di iniezione.</w:t>
      </w:r>
    </w:p>
    <w:p>
      <w:pPr>
        <w:tabs>
          <w:tab w:val="left" w:pos="180"/>
        </w:tabs>
        <w:autoSpaceDE w:val="0"/>
        <w:autoSpaceDN w:val="0"/>
        <w:adjustRightInd w:val="0"/>
        <w:rPr>
          <w:noProof/>
          <w:szCs w:val="22"/>
          <w:lang w:val="it-IT"/>
        </w:rPr>
      </w:pPr>
    </w:p>
    <w:p>
      <w:pPr>
        <w:tabs>
          <w:tab w:val="left" w:pos="180"/>
        </w:tabs>
        <w:autoSpaceDE w:val="0"/>
        <w:autoSpaceDN w:val="0"/>
        <w:adjustRightInd w:val="0"/>
        <w:rPr>
          <w:rFonts w:eastAsia="SimSun"/>
          <w:noProof/>
          <w:szCs w:val="22"/>
          <w:lang w:val="it-IT"/>
        </w:rPr>
      </w:pPr>
      <w:r>
        <w:rPr>
          <w:bCs/>
          <w:noProof/>
          <w:lang w:val="it-IT"/>
        </w:rPr>
        <w:t xml:space="preserve">I pazienti che passano dalla terapia con </w:t>
      </w:r>
      <w:r>
        <w:rPr>
          <w:noProof/>
          <w:lang w:val="it-IT"/>
        </w:rPr>
        <w:t>tocilizumab in formulazione endovenosa alla somministrazione sottocutanea</w:t>
      </w:r>
      <w:r>
        <w:rPr>
          <w:bCs/>
          <w:noProof/>
          <w:lang w:val="it-IT"/>
        </w:rPr>
        <w:t xml:space="preserve"> devono procedere alla somministrazione della prima dose della formulazione sottocutanea al momento della successiva dose endovenosa programmata, sotto la supervisione di un operatore sanitario qualificato.</w:t>
      </w:r>
    </w:p>
    <w:p>
      <w:pPr>
        <w:autoSpaceDE w:val="0"/>
        <w:autoSpaceDN w:val="0"/>
        <w:adjustRightInd w:val="0"/>
        <w:rPr>
          <w:rFonts w:eastAsia="Calibri"/>
          <w:noProof/>
          <w:szCs w:val="22"/>
          <w:lang w:val="it-IT" w:eastAsia="en-US"/>
        </w:rPr>
      </w:pPr>
    </w:p>
    <w:p>
      <w:pPr>
        <w:autoSpaceDE w:val="0"/>
        <w:autoSpaceDN w:val="0"/>
        <w:adjustRightInd w:val="0"/>
        <w:rPr>
          <w:rFonts w:eastAsia="Calibri"/>
          <w:noProof/>
          <w:szCs w:val="22"/>
          <w:lang w:val="it-IT" w:eastAsia="en-US"/>
        </w:rPr>
      </w:pPr>
      <w:r>
        <w:rPr>
          <w:rFonts w:eastAsia="Calibri"/>
          <w:noProof/>
          <w:szCs w:val="22"/>
          <w:lang w:val="it-IT" w:eastAsia="en-US"/>
        </w:rPr>
        <w:t xml:space="preserve">A tutti i pazienti trattati con RoActemra deve essere consegnata la Scheda per il Paziente. </w:t>
      </w:r>
    </w:p>
    <w:p>
      <w:pPr>
        <w:autoSpaceDE w:val="0"/>
        <w:autoSpaceDN w:val="0"/>
        <w:adjustRightInd w:val="0"/>
        <w:rPr>
          <w:del w:id="6380" w:author="Author"/>
          <w:rFonts w:eastAsia="Calibri"/>
          <w:noProof/>
          <w:szCs w:val="22"/>
          <w:lang w:val="it-IT" w:eastAsia="en-US"/>
        </w:rPr>
      </w:pPr>
    </w:p>
    <w:p>
      <w:pPr>
        <w:autoSpaceDE w:val="0"/>
        <w:autoSpaceDN w:val="0"/>
        <w:adjustRightInd w:val="0"/>
        <w:rPr>
          <w:rFonts w:eastAsia="SimSun"/>
          <w:noProof/>
          <w:szCs w:val="22"/>
          <w:lang w:val="it-IT" w:eastAsia="en-US"/>
        </w:rPr>
      </w:pPr>
      <w:r>
        <w:rPr>
          <w:rFonts w:eastAsia="Calibri"/>
          <w:noProof/>
          <w:szCs w:val="22"/>
          <w:lang w:val="it-IT" w:eastAsia="en-US"/>
        </w:rPr>
        <w:t xml:space="preserve">Occorre valutare l’idoneità del paziente o </w:t>
      </w:r>
      <w:r>
        <w:rPr>
          <w:noProof/>
          <w:szCs w:val="22"/>
          <w:lang w:val="it-IT"/>
        </w:rPr>
        <w:t xml:space="preserve">del </w:t>
      </w:r>
      <w:ins w:id="6381" w:author="Author">
        <w:r>
          <w:rPr>
            <w:noProof/>
            <w:szCs w:val="22"/>
            <w:lang w:val="it-IT"/>
          </w:rPr>
          <w:t xml:space="preserve">rispettivo </w:t>
        </w:r>
      </w:ins>
      <w:r>
        <w:rPr>
          <w:noProof/>
          <w:szCs w:val="22"/>
          <w:lang w:val="it-IT"/>
        </w:rPr>
        <w:t xml:space="preserve">genitore/tutore </w:t>
      </w:r>
      <w:r>
        <w:rPr>
          <w:rFonts w:eastAsia="Calibri"/>
          <w:noProof/>
          <w:szCs w:val="22"/>
          <w:lang w:val="it-IT" w:eastAsia="en-US"/>
        </w:rPr>
        <w:t xml:space="preserve">all’uso sottocutaneo per il trattamento domiciliare e istruire i pazienti o </w:t>
      </w:r>
      <w:r>
        <w:rPr>
          <w:noProof/>
          <w:szCs w:val="22"/>
          <w:lang w:val="it-IT"/>
        </w:rPr>
        <w:t>i</w:t>
      </w:r>
      <w:del w:id="6382" w:author="Author">
        <w:r>
          <w:rPr>
            <w:noProof/>
            <w:szCs w:val="22"/>
            <w:lang w:val="it-IT"/>
          </w:rPr>
          <w:delText xml:space="preserve"> loro</w:delText>
        </w:r>
      </w:del>
      <w:ins w:id="6383" w:author="Author">
        <w:r>
          <w:rPr>
            <w:noProof/>
            <w:szCs w:val="22"/>
            <w:lang w:val="it-IT"/>
          </w:rPr>
          <w:t xml:space="preserve"> rispettivi</w:t>
        </w:r>
      </w:ins>
      <w:r>
        <w:rPr>
          <w:noProof/>
          <w:szCs w:val="22"/>
          <w:lang w:val="it-IT"/>
        </w:rPr>
        <w:t xml:space="preserve"> genitori/tutori </w:t>
      </w:r>
      <w:r>
        <w:rPr>
          <w:rFonts w:eastAsia="Calibri"/>
          <w:noProof/>
          <w:szCs w:val="22"/>
          <w:lang w:val="it-IT" w:eastAsia="en-US"/>
        </w:rPr>
        <w:t xml:space="preserve">a riferire a un operatore sanitario </w:t>
      </w:r>
      <w:r>
        <w:rPr>
          <w:noProof/>
          <w:szCs w:val="22"/>
          <w:lang w:val="it-IT"/>
        </w:rPr>
        <w:t>prima della somministrazione della dose successiva</w:t>
      </w:r>
      <w:r>
        <w:rPr>
          <w:rFonts w:eastAsia="Calibri"/>
          <w:noProof/>
          <w:szCs w:val="22"/>
          <w:lang w:val="it-IT" w:eastAsia="en-US"/>
        </w:rPr>
        <w:t xml:space="preserve"> la comparsa di eventuali sintomi indicativi di una reazione allergica. I pazienti devono rivolgersi immediatamente al medico se sviluppano sintomi di reazioni allergiche gravi (vedere paragrafo 4.4).</w:t>
      </w:r>
    </w:p>
    <w:p>
      <w:pPr>
        <w:autoSpaceDE w:val="0"/>
        <w:autoSpaceDN w:val="0"/>
        <w:adjustRightInd w:val="0"/>
        <w:rPr>
          <w:rFonts w:eastAsia="SimSun"/>
          <w:noProof/>
          <w:szCs w:val="22"/>
          <w:lang w:val="it-IT" w:eastAsia="zh-CN"/>
        </w:rPr>
      </w:pPr>
    </w:p>
    <w:p>
      <w:pPr>
        <w:keepNext/>
        <w:keepLines/>
        <w:autoSpaceDE w:val="0"/>
        <w:autoSpaceDN w:val="0"/>
        <w:adjustRightInd w:val="0"/>
        <w:rPr>
          <w:del w:id="6384" w:author="Author"/>
          <w:noProof/>
          <w:szCs w:val="22"/>
          <w:u w:val="single"/>
          <w:lang w:val="it-IT" w:eastAsia="en-US"/>
        </w:rPr>
      </w:pPr>
      <w:r>
        <w:rPr>
          <w:rFonts w:eastAsia="Calibri"/>
          <w:noProof/>
          <w:szCs w:val="22"/>
          <w:u w:val="single"/>
          <w:lang w:val="it-IT" w:eastAsia="en-US"/>
        </w:rPr>
        <w:t>Posologia</w:t>
      </w:r>
    </w:p>
    <w:p>
      <w:pPr>
        <w:keepNext/>
        <w:keepLines/>
        <w:autoSpaceDE w:val="0"/>
        <w:autoSpaceDN w:val="0"/>
        <w:adjustRightInd w:val="0"/>
        <w:rPr>
          <w:noProof/>
          <w:szCs w:val="22"/>
          <w:u w:val="single"/>
          <w:lang w:val="it-IT"/>
        </w:rPr>
      </w:pPr>
    </w:p>
    <w:p>
      <w:pPr>
        <w:keepNext/>
        <w:keepLines/>
        <w:autoSpaceDE w:val="0"/>
        <w:autoSpaceDN w:val="0"/>
        <w:adjustRightInd w:val="0"/>
        <w:rPr>
          <w:rFonts w:eastAsia="Calibri"/>
          <w:i/>
          <w:iCs/>
          <w:noProof/>
          <w:szCs w:val="22"/>
          <w:lang w:val="it-IT" w:eastAsia="en-US"/>
        </w:rPr>
      </w:pPr>
      <w:r>
        <w:rPr>
          <w:rFonts w:eastAsia="Calibri"/>
          <w:i/>
          <w:iCs/>
          <w:noProof/>
          <w:szCs w:val="22"/>
          <w:lang w:val="it-IT" w:eastAsia="en-US"/>
        </w:rPr>
        <w:t>Pazienti affetti da AR</w:t>
      </w:r>
    </w:p>
    <w:p>
      <w:pPr>
        <w:keepNext/>
        <w:keepLines/>
        <w:autoSpaceDE w:val="0"/>
        <w:autoSpaceDN w:val="0"/>
        <w:adjustRightInd w:val="0"/>
        <w:rPr>
          <w:noProof/>
          <w:szCs w:val="22"/>
          <w:lang w:val="it-IT" w:eastAsia="en-US"/>
        </w:rPr>
      </w:pPr>
      <w:r>
        <w:rPr>
          <w:rFonts w:eastAsia="Calibri"/>
          <w:noProof/>
          <w:szCs w:val="22"/>
          <w:lang w:val="it-IT" w:eastAsia="en-US"/>
        </w:rPr>
        <w:t>La posologia raccomandata è di 162 mg per via sottocutanea una volta a</w:t>
      </w:r>
      <w:del w:id="6385" w:author="Author">
        <w:r>
          <w:rPr>
            <w:rFonts w:eastAsia="Calibri"/>
            <w:noProof/>
            <w:szCs w:val="22"/>
            <w:lang w:val="it-IT" w:eastAsia="en-US"/>
          </w:rPr>
          <w:delText>lla</w:delText>
        </w:r>
      </w:del>
      <w:r>
        <w:rPr>
          <w:rFonts w:eastAsia="Calibri"/>
          <w:noProof/>
          <w:szCs w:val="22"/>
          <w:lang w:val="it-IT" w:eastAsia="en-US"/>
        </w:rPr>
        <w:t xml:space="preserve"> settimana.</w:t>
      </w:r>
    </w:p>
    <w:p>
      <w:pPr>
        <w:keepNext/>
        <w:keepLines/>
        <w:autoSpaceDE w:val="0"/>
        <w:autoSpaceDN w:val="0"/>
        <w:adjustRightInd w:val="0"/>
        <w:rPr>
          <w:noProof/>
          <w:szCs w:val="22"/>
          <w:lang w:val="it-IT"/>
        </w:rPr>
      </w:pPr>
    </w:p>
    <w:p>
      <w:pPr>
        <w:autoSpaceDE w:val="0"/>
        <w:autoSpaceDN w:val="0"/>
        <w:adjustRightInd w:val="0"/>
        <w:rPr>
          <w:noProof/>
          <w:szCs w:val="22"/>
          <w:lang w:val="it-IT" w:eastAsia="en-US"/>
        </w:rPr>
      </w:pPr>
      <w:r>
        <w:rPr>
          <w:rFonts w:eastAsia="Calibri"/>
          <w:noProof/>
          <w:szCs w:val="22"/>
          <w:lang w:val="it-IT" w:eastAsia="en-US"/>
        </w:rPr>
        <w:t>Sono disponibili informazioni limitate sul passaggio di un paziente dalla terapia con tocili zumabformulazione endovenosa a tocilizumab formulazione sottocutanea a dose fissa. Deve essere rispettato l’intervallo di somministrazione di una volta a settimana.</w:t>
      </w:r>
    </w:p>
    <w:p>
      <w:pPr>
        <w:autoSpaceDE w:val="0"/>
        <w:autoSpaceDN w:val="0"/>
        <w:adjustRightInd w:val="0"/>
        <w:rPr>
          <w:noProof/>
          <w:szCs w:val="22"/>
          <w:lang w:val="it-IT"/>
        </w:rPr>
      </w:pPr>
    </w:p>
    <w:p>
      <w:pPr>
        <w:rPr>
          <w:bCs/>
          <w:noProof/>
          <w:szCs w:val="22"/>
          <w:lang w:val="it-IT" w:eastAsia="en-US"/>
        </w:rPr>
      </w:pPr>
      <w:r>
        <w:rPr>
          <w:rFonts w:eastAsia="Calibri"/>
          <w:bCs/>
          <w:noProof/>
          <w:szCs w:val="22"/>
          <w:lang w:val="it-IT" w:eastAsia="en-US"/>
        </w:rPr>
        <w:t>I pazienti che passano dalla formulazione endovenosa alla formulazione sottocutanea devono procedere alla somministrazione della prima dose sottocutanea al posto della successiva dose endovenosa programmata sotto la supervisione di un operatore sanitario qualificato.</w:t>
      </w:r>
    </w:p>
    <w:p>
      <w:pPr>
        <w:rPr>
          <w:bCs/>
          <w:noProof/>
          <w:szCs w:val="22"/>
          <w:lang w:val="it-IT"/>
        </w:rPr>
      </w:pPr>
    </w:p>
    <w:p>
      <w:pPr>
        <w:ind w:left="567" w:hanging="567"/>
        <w:rPr>
          <w:bCs/>
          <w:i/>
          <w:iCs/>
          <w:noProof/>
          <w:szCs w:val="22"/>
          <w:lang w:val="it-IT" w:eastAsia="en-US"/>
        </w:rPr>
      </w:pPr>
      <w:r>
        <w:rPr>
          <w:rFonts w:eastAsia="Calibri"/>
          <w:bCs/>
          <w:i/>
          <w:iCs/>
          <w:noProof/>
          <w:szCs w:val="22"/>
          <w:lang w:val="it-IT" w:eastAsia="en-US"/>
        </w:rPr>
        <w:t>Pazienti affetti da ACG</w:t>
      </w:r>
    </w:p>
    <w:p>
      <w:pPr>
        <w:autoSpaceDE w:val="0"/>
        <w:autoSpaceDN w:val="0"/>
        <w:adjustRightInd w:val="0"/>
        <w:rPr>
          <w:noProof/>
          <w:szCs w:val="22"/>
          <w:lang w:val="it-IT" w:eastAsia="en-US"/>
        </w:rPr>
      </w:pPr>
      <w:r>
        <w:rPr>
          <w:rFonts w:eastAsia="Calibri"/>
          <w:noProof/>
          <w:szCs w:val="22"/>
          <w:lang w:val="it-IT" w:eastAsia="en-US"/>
        </w:rPr>
        <w:t>La posologia raccomandata è di 162 mg per via sottocutanea una volta a</w:t>
      </w:r>
      <w:del w:id="6386" w:author="Author">
        <w:r>
          <w:rPr>
            <w:rFonts w:eastAsia="Calibri"/>
            <w:noProof/>
            <w:szCs w:val="22"/>
            <w:lang w:val="it-IT" w:eastAsia="en-US"/>
          </w:rPr>
          <w:delText>lla</w:delText>
        </w:r>
      </w:del>
      <w:r>
        <w:rPr>
          <w:rFonts w:eastAsia="Calibri"/>
          <w:noProof/>
          <w:szCs w:val="22"/>
          <w:lang w:val="it-IT" w:eastAsia="en-US"/>
        </w:rPr>
        <w:t xml:space="preserve"> settimana in associazione a un ciclo di glucocorticoidi</w:t>
      </w:r>
      <w:del w:id="6387" w:author="Author">
        <w:r>
          <w:rPr>
            <w:rFonts w:eastAsia="Calibri"/>
            <w:noProof/>
            <w:szCs w:val="22"/>
            <w:lang w:val="it-IT" w:eastAsia="en-US"/>
          </w:rPr>
          <w:delText xml:space="preserve"> </w:delText>
        </w:r>
      </w:del>
      <w:ins w:id="6388" w:author="Author">
        <w:r>
          <w:rPr>
            <w:rFonts w:eastAsia="Calibri"/>
            <w:noProof/>
            <w:szCs w:val="22"/>
            <w:lang w:val="it-IT" w:eastAsia="en-US"/>
          </w:rPr>
          <w:t xml:space="preserve"> a dose progressivamente ridotta</w:t>
        </w:r>
      </w:ins>
      <w:del w:id="6389" w:author="Author">
        <w:r>
          <w:rPr>
            <w:rFonts w:eastAsia="Calibri"/>
            <w:noProof/>
            <w:szCs w:val="22"/>
            <w:lang w:val="it-IT" w:eastAsia="en-US"/>
          </w:rPr>
          <w:delText>con dosaggio a scalare</w:delText>
        </w:r>
      </w:del>
      <w:r>
        <w:rPr>
          <w:rFonts w:eastAsia="Calibri"/>
          <w:noProof/>
          <w:szCs w:val="22"/>
          <w:lang w:val="it-IT" w:eastAsia="en-US"/>
        </w:rPr>
        <w:t>. Questo medicinale può essere usato da solo dopo l’interruzione della terapia con glucocorticoidi.</w:t>
      </w:r>
    </w:p>
    <w:p>
      <w:pPr>
        <w:autoSpaceDE w:val="0"/>
        <w:autoSpaceDN w:val="0"/>
        <w:adjustRightInd w:val="0"/>
        <w:rPr>
          <w:noProof/>
          <w:szCs w:val="22"/>
          <w:lang w:val="it-IT" w:eastAsia="en-US"/>
        </w:rPr>
      </w:pPr>
      <w:r>
        <w:rPr>
          <w:rFonts w:eastAsia="Calibri"/>
          <w:noProof/>
          <w:szCs w:val="22"/>
          <w:lang w:val="it-IT" w:eastAsia="en-US"/>
        </w:rPr>
        <w:t>Tocilizumab in monoterapia non deve essere utilizzato per il trattamento di recidive acute (vedere paragrafo 4.4).</w:t>
      </w:r>
    </w:p>
    <w:p>
      <w:pPr>
        <w:autoSpaceDE w:val="0"/>
        <w:autoSpaceDN w:val="0"/>
        <w:adjustRightInd w:val="0"/>
        <w:rPr>
          <w:noProof/>
          <w:szCs w:val="22"/>
          <w:lang w:val="it-IT"/>
        </w:rPr>
      </w:pPr>
    </w:p>
    <w:p>
      <w:pPr>
        <w:autoSpaceDE w:val="0"/>
        <w:autoSpaceDN w:val="0"/>
        <w:adjustRightInd w:val="0"/>
        <w:rPr>
          <w:noProof/>
          <w:lang w:val="it-IT" w:eastAsia="en-US"/>
        </w:rPr>
      </w:pPr>
      <w:r>
        <w:rPr>
          <w:rFonts w:eastAsia="Calibri"/>
          <w:noProof/>
          <w:szCs w:val="22"/>
          <w:lang w:val="it-IT" w:eastAsia="en-US"/>
        </w:rPr>
        <w:t xml:space="preserve">In considerazione della natura cronica della ACG, il trattamento oltre le 52 settimane deve essere guidato dall’attività della malattia, </w:t>
      </w:r>
      <w:del w:id="6390" w:author="Author">
        <w:r>
          <w:rPr>
            <w:rFonts w:eastAsia="Calibri"/>
            <w:noProof/>
            <w:szCs w:val="22"/>
            <w:shd w:val="clear" w:color="auto" w:fill="FFFFFF"/>
            <w:lang w:val="it-IT" w:eastAsia="en-US"/>
          </w:rPr>
          <w:delText>dalla discrezione</w:delText>
        </w:r>
      </w:del>
      <w:ins w:id="6391" w:author="Author">
        <w:r>
          <w:rPr>
            <w:rFonts w:eastAsia="Calibri"/>
            <w:noProof/>
            <w:szCs w:val="22"/>
            <w:shd w:val="clear" w:color="auto" w:fill="FFFFFF"/>
            <w:lang w:val="it-IT" w:eastAsia="en-US"/>
          </w:rPr>
          <w:t>dal giudizio</w:t>
        </w:r>
      </w:ins>
      <w:r>
        <w:rPr>
          <w:rFonts w:eastAsia="Calibri"/>
          <w:noProof/>
          <w:szCs w:val="22"/>
          <w:shd w:val="clear" w:color="auto" w:fill="FFFFFF"/>
          <w:lang w:val="it-IT" w:eastAsia="en-US"/>
        </w:rPr>
        <w:t xml:space="preserve"> </w:t>
      </w:r>
      <w:del w:id="6392" w:author="Author">
        <w:r>
          <w:rPr>
            <w:rFonts w:eastAsia="Calibri"/>
            <w:noProof/>
            <w:szCs w:val="22"/>
            <w:shd w:val="clear" w:color="auto" w:fill="FFFFFF"/>
            <w:lang w:val="it-IT" w:eastAsia="en-US"/>
          </w:rPr>
          <w:delText>dal parere</w:delText>
        </w:r>
        <w:r>
          <w:rPr>
            <w:rFonts w:eastAsia="Calibri"/>
            <w:noProof/>
            <w:szCs w:val="22"/>
            <w:lang w:val="it-IT" w:eastAsia="en-US"/>
          </w:rPr>
          <w:delText xml:space="preserve"> </w:delText>
        </w:r>
      </w:del>
      <w:r>
        <w:rPr>
          <w:rFonts w:eastAsia="Calibri"/>
          <w:noProof/>
          <w:szCs w:val="22"/>
          <w:lang w:val="it-IT" w:eastAsia="en-US"/>
        </w:rPr>
        <w:t xml:space="preserve">del medico e </w:t>
      </w:r>
      <w:ins w:id="6393" w:author="Author">
        <w:r>
          <w:rPr>
            <w:rFonts w:eastAsia="Calibri"/>
            <w:noProof/>
            <w:szCs w:val="22"/>
            <w:lang w:val="it-IT" w:eastAsia="en-US"/>
          </w:rPr>
          <w:t>dalla scelta</w:t>
        </w:r>
      </w:ins>
      <w:del w:id="6394" w:author="Author">
        <w:r>
          <w:rPr>
            <w:rFonts w:eastAsia="Calibri"/>
            <w:noProof/>
            <w:szCs w:val="22"/>
            <w:lang w:val="it-IT" w:eastAsia="en-US"/>
          </w:rPr>
          <w:delText>dall’opinione</w:delText>
        </w:r>
      </w:del>
      <w:r>
        <w:rPr>
          <w:rFonts w:eastAsia="Calibri"/>
          <w:noProof/>
          <w:szCs w:val="22"/>
          <w:lang w:val="it-IT" w:eastAsia="en-US"/>
        </w:rPr>
        <w:t xml:space="preserve"> del paziente.</w:t>
      </w:r>
    </w:p>
    <w:p>
      <w:pPr>
        <w:rPr>
          <w:noProof/>
          <w:szCs w:val="22"/>
          <w:lang w:val="it-IT"/>
        </w:rPr>
      </w:pPr>
    </w:p>
    <w:p>
      <w:pPr>
        <w:keepNext/>
        <w:autoSpaceDE w:val="0"/>
        <w:autoSpaceDN w:val="0"/>
        <w:adjustRightInd w:val="0"/>
        <w:rPr>
          <w:i/>
          <w:iCs/>
          <w:noProof/>
          <w:szCs w:val="22"/>
          <w:lang w:val="it-IT"/>
        </w:rPr>
      </w:pPr>
      <w:r>
        <w:rPr>
          <w:i/>
          <w:iCs/>
          <w:noProof/>
          <w:szCs w:val="22"/>
          <w:lang w:val="it-IT"/>
        </w:rPr>
        <w:t>Pazienti affetti da AR e ACG</w:t>
      </w:r>
    </w:p>
    <w:p>
      <w:pPr>
        <w:keepNext/>
        <w:autoSpaceDE w:val="0"/>
        <w:autoSpaceDN w:val="0"/>
        <w:adjustRightInd w:val="0"/>
        <w:rPr>
          <w:i/>
          <w:iCs/>
          <w:noProof/>
          <w:szCs w:val="22"/>
          <w:u w:val="single"/>
          <w:lang w:val="it-IT"/>
        </w:rPr>
      </w:pPr>
      <w:ins w:id="6395" w:author="Author">
        <w:r>
          <w:rPr>
            <w:i/>
            <w:iCs/>
            <w:noProof/>
            <w:szCs w:val="22"/>
            <w:u w:val="single"/>
            <w:lang w:val="it-IT"/>
          </w:rPr>
          <w:t>Aggiustamenti</w:t>
        </w:r>
      </w:ins>
      <w:del w:id="6396" w:author="Author">
        <w:r>
          <w:rPr>
            <w:i/>
            <w:iCs/>
            <w:noProof/>
            <w:szCs w:val="22"/>
            <w:u w:val="single"/>
            <w:lang w:val="it-IT"/>
          </w:rPr>
          <w:delText>Correzioni</w:delText>
        </w:r>
      </w:del>
      <w:r>
        <w:rPr>
          <w:i/>
          <w:iCs/>
          <w:noProof/>
          <w:szCs w:val="22"/>
          <w:u w:val="single"/>
          <w:lang w:val="it-IT"/>
        </w:rPr>
        <w:t xml:space="preserve"> della dose dovute ad </w:t>
      </w:r>
      <w:del w:id="6397" w:author="Author">
        <w:r>
          <w:rPr>
            <w:i/>
            <w:iCs/>
            <w:noProof/>
            <w:szCs w:val="22"/>
            <w:u w:val="single"/>
            <w:lang w:val="it-IT"/>
          </w:rPr>
          <w:delText xml:space="preserve">anormalità </w:delText>
        </w:r>
      </w:del>
      <w:ins w:id="6398" w:author="Author">
        <w:r>
          <w:rPr>
            <w:i/>
            <w:iCs/>
            <w:noProof/>
            <w:szCs w:val="22"/>
            <w:u w:val="single"/>
            <w:lang w:val="it-IT"/>
          </w:rPr>
          <w:t xml:space="preserve">anomalie dei parametri </w:t>
        </w:r>
      </w:ins>
      <w:r>
        <w:rPr>
          <w:i/>
          <w:iCs/>
          <w:noProof/>
          <w:szCs w:val="22"/>
          <w:u w:val="single"/>
          <w:lang w:val="it-IT"/>
        </w:rPr>
        <w:t>di laboratorio (vedere paragrafo 4.4).</w:t>
      </w:r>
    </w:p>
    <w:p>
      <w:pPr>
        <w:keepNext/>
        <w:autoSpaceDE w:val="0"/>
        <w:autoSpaceDN w:val="0"/>
        <w:adjustRightInd w:val="0"/>
        <w:rPr>
          <w:noProof/>
          <w:szCs w:val="22"/>
          <w:lang w:val="it-IT"/>
        </w:rPr>
      </w:pPr>
    </w:p>
    <w:p>
      <w:pPr>
        <w:keepNext/>
        <w:rPr>
          <w:noProof/>
          <w:szCs w:val="22"/>
          <w:lang w:val="it-IT" w:eastAsia="en-US"/>
        </w:rPr>
      </w:pPr>
      <w:r>
        <w:rPr>
          <w:rFonts w:eastAsia="Calibri"/>
          <w:noProof/>
          <w:szCs w:val="22"/>
          <w:lang w:val="it-IT" w:eastAsia="en-US"/>
        </w:rPr>
        <w:sym w:font="Symbol" w:char="F0B7"/>
      </w:r>
      <w:r>
        <w:rPr>
          <w:rFonts w:eastAsia="Calibri"/>
          <w:noProof/>
          <w:szCs w:val="22"/>
          <w:lang w:val="it-IT" w:eastAsia="en-US"/>
        </w:rPr>
        <w:tab/>
      </w:r>
      <w:del w:id="6399" w:author="Author">
        <w:r>
          <w:rPr>
            <w:rFonts w:eastAsia="Calibri"/>
            <w:noProof/>
            <w:szCs w:val="22"/>
            <w:lang w:val="it-IT" w:eastAsia="en-US"/>
          </w:rPr>
          <w:delText xml:space="preserve">Anormalità </w:delText>
        </w:r>
      </w:del>
      <w:ins w:id="6400" w:author="Author">
        <w:r>
          <w:rPr>
            <w:rFonts w:eastAsia="Calibri"/>
            <w:noProof/>
            <w:szCs w:val="22"/>
            <w:lang w:val="it-IT" w:eastAsia="en-US"/>
          </w:rPr>
          <w:t>Anomalie</w:t>
        </w:r>
        <w:del w:id="6401" w:author="Author">
          <w:r>
            <w:rPr>
              <w:rFonts w:eastAsia="Calibri"/>
              <w:noProof/>
              <w:szCs w:val="22"/>
              <w:lang w:val="it-IT" w:eastAsia="en-US"/>
            </w:rPr>
            <w:delText>a</w:delText>
          </w:r>
        </w:del>
        <w:r>
          <w:rPr>
            <w:rFonts w:eastAsia="Calibri"/>
            <w:noProof/>
            <w:szCs w:val="22"/>
            <w:lang w:val="it-IT" w:eastAsia="en-US"/>
          </w:rPr>
          <w:t xml:space="preserve"> </w:t>
        </w:r>
      </w:ins>
      <w:r>
        <w:rPr>
          <w:rFonts w:eastAsia="Calibri"/>
          <w:noProof/>
          <w:szCs w:val="22"/>
          <w:lang w:val="it-IT" w:eastAsia="en-US"/>
        </w:rPr>
        <w:t>degli enzimi epatici</w:t>
      </w:r>
    </w:p>
    <w:p>
      <w:pPr>
        <w:keepNext/>
        <w:autoSpaceDE w:val="0"/>
        <w:autoSpaceDN w:val="0"/>
        <w:adjustRightInd w:val="0"/>
        <w:rPr>
          <w:noProof/>
          <w:szCs w:val="22"/>
          <w:lang w:val="it-IT"/>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6402"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55"/>
        <w:gridCol w:w="6912"/>
        <w:tblGridChange w:id="6403">
          <w:tblGrid>
            <w:gridCol w:w="1915"/>
            <w:gridCol w:w="7146"/>
          </w:tblGrid>
        </w:tblGridChange>
      </w:tblGrid>
      <w:tr>
        <w:trPr>
          <w:cantSplit/>
        </w:trPr>
        <w:tc>
          <w:tcPr>
            <w:tcW w:w="2155" w:type="dxa"/>
            <w:tcPrChange w:id="6404" w:author="Author">
              <w:tcPr>
                <w:tcW w:w="2040" w:type="dxa"/>
              </w:tcPr>
            </w:tcPrChange>
          </w:tcPr>
          <w:p>
            <w:pPr>
              <w:keepNext/>
              <w:suppressAutoHyphens/>
              <w:jc w:val="center"/>
              <w:rPr>
                <w:rFonts w:eastAsia="MS Mincho"/>
                <w:noProof/>
                <w:szCs w:val="22"/>
                <w:lang w:val="it-IT" w:eastAsia="en-US"/>
              </w:rPr>
              <w:pPrChange w:id="6405" w:author="Author">
                <w:pPr>
                  <w:spacing w:after="170" w:line="280" w:lineRule="atLeast"/>
                  <w:jc w:val="center"/>
                </w:pPr>
              </w:pPrChange>
            </w:pPr>
            <w:r>
              <w:rPr>
                <w:rFonts w:eastAsia="Calibri"/>
                <w:noProof/>
                <w:szCs w:val="22"/>
                <w:lang w:val="it-IT" w:eastAsia="en-US"/>
              </w:rPr>
              <w:t>Valori di laboratorio</w:t>
            </w:r>
          </w:p>
        </w:tc>
        <w:tc>
          <w:tcPr>
            <w:tcW w:w="6912" w:type="dxa"/>
            <w:tcPrChange w:id="6406" w:author="Author">
              <w:tcPr>
                <w:tcW w:w="8040" w:type="dxa"/>
              </w:tcPr>
            </w:tcPrChange>
          </w:tcPr>
          <w:p>
            <w:pPr>
              <w:keepNext/>
              <w:suppressAutoHyphens/>
              <w:jc w:val="center"/>
              <w:rPr>
                <w:rFonts w:eastAsia="MS Mincho"/>
                <w:noProof/>
                <w:szCs w:val="22"/>
                <w:lang w:val="it-IT" w:eastAsia="en-US"/>
              </w:rPr>
              <w:pPrChange w:id="6407" w:author="Author">
                <w:pPr>
                  <w:spacing w:after="170" w:line="280" w:lineRule="atLeast"/>
                  <w:jc w:val="center"/>
                </w:pPr>
              </w:pPrChange>
            </w:pPr>
            <w:r>
              <w:rPr>
                <w:rFonts w:eastAsia="Calibri"/>
                <w:noProof/>
                <w:szCs w:val="22"/>
                <w:lang w:val="it-IT" w:eastAsia="en-US"/>
              </w:rPr>
              <w:t>Azione</w:t>
            </w:r>
          </w:p>
        </w:tc>
      </w:tr>
      <w:tr>
        <w:trPr>
          <w:cantSplit/>
        </w:trPr>
        <w:tc>
          <w:tcPr>
            <w:tcW w:w="2155" w:type="dxa"/>
            <w:tcPrChange w:id="6408" w:author="Author">
              <w:tcPr>
                <w:tcW w:w="2040" w:type="dxa"/>
              </w:tcPr>
            </w:tcPrChange>
          </w:tcPr>
          <w:p>
            <w:pPr>
              <w:keepNext/>
              <w:suppressAutoHyphens/>
              <w:rPr>
                <w:rFonts w:eastAsia="MS Mincho"/>
                <w:noProof/>
                <w:szCs w:val="22"/>
                <w:lang w:val="it-IT" w:eastAsia="en-US"/>
              </w:rPr>
              <w:pPrChange w:id="6409" w:author="Author">
                <w:pPr>
                  <w:spacing w:after="170" w:line="280" w:lineRule="atLeast"/>
                  <w:jc w:val="both"/>
                </w:pPr>
              </w:pPrChange>
            </w:pPr>
            <w:r>
              <w:rPr>
                <w:rFonts w:eastAsia="Calibri"/>
                <w:noProof/>
                <w:szCs w:val="22"/>
                <w:lang w:val="it-IT" w:eastAsia="en-US"/>
              </w:rPr>
              <w:t xml:space="preserve">Da </w:t>
            </w:r>
            <w:r>
              <w:rPr>
                <w:rFonts w:eastAsia="Calibri"/>
                <w:noProof/>
                <w:szCs w:val="22"/>
                <w:lang w:val="it-IT" w:eastAsia="en-US"/>
              </w:rPr>
              <w:sym w:font="Symbol" w:char="F03E"/>
            </w:r>
            <w:ins w:id="6410" w:author="Author">
              <w:r>
                <w:rPr>
                  <w:rFonts w:eastAsia="Calibri"/>
                  <w:noProof/>
                  <w:szCs w:val="22"/>
                  <w:lang w:val="it-IT" w:eastAsia="en-US"/>
                </w:rPr>
                <w:t xml:space="preserve"> </w:t>
              </w:r>
            </w:ins>
            <w:r>
              <w:rPr>
                <w:rFonts w:eastAsia="Calibri"/>
                <w:noProof/>
                <w:szCs w:val="22"/>
                <w:lang w:val="it-IT" w:eastAsia="en-US"/>
              </w:rPr>
              <w:t xml:space="preserve">1 a 3 volte </w:t>
            </w:r>
            <w:del w:id="6411" w:author="Author">
              <w:r>
                <w:rPr>
                  <w:rFonts w:eastAsia="Calibri"/>
                  <w:noProof/>
                  <w:szCs w:val="22"/>
                  <w:lang w:val="it-IT" w:eastAsia="en-US"/>
                </w:rPr>
                <w:delText xml:space="preserve">sopra </w:delText>
              </w:r>
            </w:del>
            <w:r>
              <w:rPr>
                <w:rFonts w:eastAsia="Calibri"/>
                <w:noProof/>
                <w:szCs w:val="22"/>
                <w:lang w:val="it-IT" w:eastAsia="en-US"/>
              </w:rPr>
              <w:t xml:space="preserve">il limite </w:t>
            </w:r>
            <w:ins w:id="6412" w:author="Author">
              <w:r>
                <w:rPr>
                  <w:rFonts w:eastAsia="Calibri"/>
                  <w:noProof/>
                  <w:szCs w:val="22"/>
                  <w:lang w:val="it-IT" w:eastAsia="en-US"/>
                </w:rPr>
                <w:t xml:space="preserve">superiore del valore </w:t>
              </w:r>
            </w:ins>
            <w:del w:id="6413" w:author="Author">
              <w:r>
                <w:rPr>
                  <w:rFonts w:eastAsia="Calibri"/>
                  <w:noProof/>
                  <w:szCs w:val="22"/>
                  <w:lang w:val="it-IT" w:eastAsia="en-US"/>
                </w:rPr>
                <w:delText xml:space="preserve">di </w:delText>
              </w:r>
            </w:del>
            <w:ins w:id="6414" w:author="Author">
              <w:del w:id="6415" w:author="Author">
                <w:r>
                  <w:rPr>
                    <w:rFonts w:eastAsia="Calibri"/>
                    <w:noProof/>
                    <w:szCs w:val="22"/>
                    <w:lang w:val="it-IT" w:eastAsia="en-US"/>
                  </w:rPr>
                  <w:delText xml:space="preserve">della </w:delText>
                </w:r>
              </w:del>
            </w:ins>
            <w:r>
              <w:rPr>
                <w:rFonts w:eastAsia="Calibri"/>
                <w:noProof/>
                <w:szCs w:val="22"/>
                <w:lang w:val="it-IT" w:eastAsia="en-US"/>
              </w:rPr>
              <w:t>norma</w:t>
            </w:r>
            <w:ins w:id="6416" w:author="Author">
              <w:r>
                <w:rPr>
                  <w:rFonts w:eastAsia="Calibri"/>
                  <w:noProof/>
                  <w:szCs w:val="22"/>
                  <w:lang w:val="it-IT" w:eastAsia="en-US"/>
                </w:rPr>
                <w:t>le</w:t>
              </w:r>
            </w:ins>
            <w:r>
              <w:rPr>
                <w:rFonts w:eastAsia="Calibri"/>
                <w:noProof/>
                <w:szCs w:val="22"/>
                <w:lang w:val="it-IT" w:eastAsia="en-US"/>
              </w:rPr>
              <w:t xml:space="preserve"> (Upper Limit of Normal, ULN)</w:t>
            </w:r>
          </w:p>
        </w:tc>
        <w:tc>
          <w:tcPr>
            <w:tcW w:w="6912" w:type="dxa"/>
            <w:tcPrChange w:id="6417" w:author="Author">
              <w:tcPr>
                <w:tcW w:w="8040" w:type="dxa"/>
              </w:tcPr>
            </w:tcPrChange>
          </w:tcPr>
          <w:p>
            <w:pPr>
              <w:keepNext/>
              <w:suppressAutoHyphens/>
              <w:rPr>
                <w:ins w:id="6418" w:author="Author"/>
                <w:rFonts w:eastAsia="Calibri"/>
                <w:noProof/>
                <w:szCs w:val="22"/>
                <w:lang w:val="it-IT" w:eastAsia="en-US"/>
              </w:rPr>
            </w:pPr>
            <w:r>
              <w:rPr>
                <w:rFonts w:eastAsia="Calibri"/>
                <w:noProof/>
                <w:szCs w:val="22"/>
                <w:lang w:val="it-IT" w:eastAsia="en-US"/>
              </w:rPr>
              <w:t>Modificare la dose di DMARD (AR) o di agenti immunomodulatori (ACG) concomitanti, se appropriato.</w:t>
            </w:r>
          </w:p>
          <w:p>
            <w:pPr>
              <w:keepNext/>
              <w:suppressAutoHyphens/>
              <w:rPr>
                <w:rFonts w:eastAsia="MS Mincho"/>
                <w:noProof/>
                <w:szCs w:val="22"/>
                <w:lang w:val="it-IT" w:eastAsia="en-US"/>
              </w:rPr>
              <w:pPrChange w:id="6419" w:author="Author">
                <w:pPr>
                  <w:spacing w:after="170" w:line="280" w:lineRule="atLeast"/>
                  <w:jc w:val="both"/>
                </w:pPr>
              </w:pPrChange>
            </w:pPr>
          </w:p>
          <w:p>
            <w:pPr>
              <w:keepNext/>
              <w:suppressAutoHyphens/>
              <w:rPr>
                <w:noProof/>
                <w:szCs w:val="22"/>
                <w:lang w:val="it-IT" w:eastAsia="en-US"/>
              </w:rPr>
              <w:pPrChange w:id="6420" w:author="Author">
                <w:pPr>
                  <w:spacing w:line="0" w:lineRule="atLeast"/>
                  <w:jc w:val="both"/>
                </w:pPr>
              </w:pPrChange>
            </w:pPr>
            <w:r>
              <w:rPr>
                <w:rFonts w:eastAsia="Calibri"/>
                <w:noProof/>
                <w:szCs w:val="22"/>
                <w:lang w:val="it-IT" w:eastAsia="en-US"/>
              </w:rPr>
              <w:t>Per aumenti persistenti entro questo intervallo, ridurre la frequenza del dosaggio di tocilizumab a un’iniezione ogni due settimane o interrompere il trattamentofino a che l’alanina aminotransferasi (ALT) o l’aspartato aminotransferasi (AST) non si siano normalizzate.</w:t>
            </w:r>
          </w:p>
          <w:p>
            <w:pPr>
              <w:keepNext/>
              <w:suppressAutoHyphens/>
              <w:rPr>
                <w:noProof/>
                <w:szCs w:val="22"/>
                <w:lang w:val="it-IT" w:eastAsia="de-DE"/>
              </w:rPr>
              <w:pPrChange w:id="6421" w:author="Author">
                <w:pPr>
                  <w:spacing w:line="0" w:lineRule="atLeast"/>
                  <w:jc w:val="both"/>
                </w:pPr>
              </w:pPrChange>
            </w:pPr>
          </w:p>
          <w:p>
            <w:pPr>
              <w:keepNext/>
              <w:suppressAutoHyphens/>
              <w:rPr>
                <w:rFonts w:eastAsia="MS Mincho"/>
                <w:noProof/>
                <w:szCs w:val="22"/>
                <w:lang w:val="it-IT" w:eastAsia="en-US"/>
              </w:rPr>
              <w:pPrChange w:id="6422" w:author="Author">
                <w:pPr>
                  <w:spacing w:after="170" w:line="280" w:lineRule="atLeast"/>
                  <w:jc w:val="both"/>
                </w:pPr>
              </w:pPrChange>
            </w:pPr>
            <w:r>
              <w:rPr>
                <w:rFonts w:eastAsia="Calibri"/>
                <w:noProof/>
                <w:szCs w:val="22"/>
                <w:lang w:val="it-IT" w:eastAsia="en-US"/>
              </w:rPr>
              <w:t>Riprendere con un’iniezione settimanale o ogni due settimane, secondo quanto clinicamente appropriato.</w:t>
            </w:r>
          </w:p>
        </w:tc>
      </w:tr>
      <w:tr>
        <w:trPr>
          <w:cantSplit/>
        </w:trPr>
        <w:tc>
          <w:tcPr>
            <w:tcW w:w="2155" w:type="dxa"/>
            <w:tcPrChange w:id="6423" w:author="Author">
              <w:tcPr>
                <w:tcW w:w="2040" w:type="dxa"/>
              </w:tcPr>
            </w:tcPrChange>
          </w:tcPr>
          <w:p>
            <w:pPr>
              <w:keepNext/>
              <w:suppressAutoHyphens/>
              <w:rPr>
                <w:rFonts w:eastAsia="MS Mincho"/>
                <w:noProof/>
                <w:szCs w:val="22"/>
                <w:lang w:val="it-IT" w:eastAsia="en-US"/>
              </w:rPr>
              <w:pPrChange w:id="6424" w:author="Author">
                <w:pPr>
                  <w:spacing w:after="170" w:line="280" w:lineRule="atLeast"/>
                  <w:jc w:val="both"/>
                </w:pPr>
              </w:pPrChange>
            </w:pPr>
            <w:r>
              <w:rPr>
                <w:rFonts w:eastAsia="Calibri"/>
                <w:noProof/>
                <w:szCs w:val="22"/>
                <w:lang w:val="it-IT" w:eastAsia="en-US"/>
              </w:rPr>
              <w:t xml:space="preserve">Da </w:t>
            </w:r>
            <w:r>
              <w:rPr>
                <w:rFonts w:eastAsia="Calibri"/>
                <w:noProof/>
                <w:szCs w:val="22"/>
                <w:lang w:val="it-IT" w:eastAsia="en-US"/>
              </w:rPr>
              <w:sym w:font="Symbol" w:char="F03E"/>
            </w:r>
            <w:ins w:id="6425" w:author="Author">
              <w:r>
                <w:rPr>
                  <w:rFonts w:eastAsia="Calibri"/>
                  <w:noProof/>
                  <w:szCs w:val="22"/>
                  <w:lang w:val="it-IT" w:eastAsia="en-US"/>
                </w:rPr>
                <w:t xml:space="preserve"> </w:t>
              </w:r>
            </w:ins>
            <w:r>
              <w:rPr>
                <w:rFonts w:eastAsia="Calibri"/>
                <w:noProof/>
                <w:szCs w:val="22"/>
                <w:lang w:val="it-IT" w:eastAsia="en-US"/>
              </w:rPr>
              <w:t>3 a 5 volte ULN</w:t>
            </w:r>
          </w:p>
        </w:tc>
        <w:tc>
          <w:tcPr>
            <w:tcW w:w="6912" w:type="dxa"/>
            <w:tcPrChange w:id="6426" w:author="Author">
              <w:tcPr>
                <w:tcW w:w="8040" w:type="dxa"/>
              </w:tcPr>
            </w:tcPrChange>
          </w:tcPr>
          <w:p>
            <w:pPr>
              <w:keepNext/>
              <w:suppressAutoHyphens/>
              <w:rPr>
                <w:ins w:id="6427" w:author="Author"/>
                <w:rFonts w:eastAsia="Calibri"/>
                <w:noProof/>
                <w:szCs w:val="22"/>
                <w:lang w:val="it-IT" w:eastAsia="en-US"/>
              </w:rPr>
            </w:pPr>
            <w:r>
              <w:rPr>
                <w:rFonts w:eastAsia="Calibri"/>
                <w:noProof/>
                <w:szCs w:val="22"/>
                <w:lang w:val="it-IT" w:eastAsia="en-US"/>
              </w:rPr>
              <w:t xml:space="preserve">Interrompere la somministrazione di tocilizumab fino a </w:t>
            </w:r>
            <w:r>
              <w:rPr>
                <w:rFonts w:eastAsia="Calibri"/>
                <w:noProof/>
                <w:szCs w:val="22"/>
                <w:lang w:val="it-IT" w:eastAsia="en-US"/>
              </w:rPr>
              <w:sym w:font="Symbol" w:char="F03C"/>
            </w:r>
            <w:ins w:id="6428" w:author="Author">
              <w:r>
                <w:rPr>
                  <w:rFonts w:eastAsia="Calibri"/>
                  <w:noProof/>
                  <w:szCs w:val="22"/>
                  <w:lang w:val="it-IT" w:eastAsia="en-US"/>
                </w:rPr>
                <w:t xml:space="preserve"> </w:t>
              </w:r>
            </w:ins>
            <w:r>
              <w:rPr>
                <w:rFonts w:eastAsia="Calibri"/>
                <w:noProof/>
                <w:szCs w:val="22"/>
                <w:lang w:val="it-IT" w:eastAsia="en-US"/>
              </w:rPr>
              <w:t xml:space="preserve">3 volte ULN e seguire le raccomandazioni descritte sopra (da </w:t>
            </w:r>
            <w:r>
              <w:rPr>
                <w:rFonts w:eastAsia="Calibri"/>
                <w:noProof/>
                <w:szCs w:val="22"/>
                <w:lang w:val="it-IT" w:eastAsia="en-US"/>
              </w:rPr>
              <w:sym w:font="Symbol" w:char="F03E"/>
            </w:r>
            <w:ins w:id="6429" w:author="Author">
              <w:r>
                <w:rPr>
                  <w:rFonts w:eastAsia="Calibri"/>
                  <w:noProof/>
                  <w:szCs w:val="22"/>
                  <w:lang w:val="it-IT" w:eastAsia="en-US"/>
                </w:rPr>
                <w:t xml:space="preserve"> </w:t>
              </w:r>
            </w:ins>
            <w:r>
              <w:rPr>
                <w:rFonts w:eastAsia="Calibri"/>
                <w:noProof/>
                <w:szCs w:val="22"/>
                <w:lang w:val="it-IT" w:eastAsia="en-US"/>
              </w:rPr>
              <w:t>1 a 3 volte ULN).</w:t>
            </w:r>
          </w:p>
          <w:p>
            <w:pPr>
              <w:keepNext/>
              <w:suppressAutoHyphens/>
              <w:rPr>
                <w:rFonts w:eastAsia="MS Mincho"/>
                <w:noProof/>
                <w:szCs w:val="22"/>
                <w:lang w:val="it-IT" w:eastAsia="en-US"/>
              </w:rPr>
              <w:pPrChange w:id="6430" w:author="Author">
                <w:pPr>
                  <w:spacing w:after="170" w:line="280" w:lineRule="atLeast"/>
                  <w:jc w:val="both"/>
                </w:pPr>
              </w:pPrChange>
            </w:pPr>
          </w:p>
          <w:p>
            <w:pPr>
              <w:keepNext/>
              <w:suppressAutoHyphens/>
              <w:rPr>
                <w:rFonts w:eastAsia="MS Mincho"/>
                <w:noProof/>
                <w:szCs w:val="22"/>
                <w:lang w:val="it-IT" w:eastAsia="en-US"/>
              </w:rPr>
              <w:pPrChange w:id="6431" w:author="Author">
                <w:pPr>
                  <w:spacing w:after="170" w:line="280" w:lineRule="atLeast"/>
                  <w:jc w:val="both"/>
                </w:pPr>
              </w:pPrChange>
            </w:pPr>
            <w:r>
              <w:rPr>
                <w:rFonts w:eastAsia="Calibri"/>
                <w:noProof/>
                <w:szCs w:val="22"/>
                <w:lang w:val="it-IT" w:eastAsia="en-US"/>
              </w:rPr>
              <w:t xml:space="preserve">Per incrementi persistenti </w:t>
            </w:r>
            <w:r>
              <w:rPr>
                <w:rFonts w:eastAsia="Calibri"/>
                <w:noProof/>
                <w:szCs w:val="22"/>
                <w:lang w:val="it-IT" w:eastAsia="en-US"/>
              </w:rPr>
              <w:sym w:font="Symbol" w:char="F03E"/>
            </w:r>
            <w:r>
              <w:rPr>
                <w:rFonts w:eastAsia="Calibri"/>
                <w:noProof/>
                <w:szCs w:val="22"/>
                <w:lang w:val="it-IT" w:eastAsia="en-US"/>
              </w:rPr>
              <w:t>3 volte ULN (confermati da un test ripetuto, vedere paragrafo 4.4), sospendere il trattamento.</w:t>
            </w:r>
          </w:p>
        </w:tc>
      </w:tr>
      <w:tr>
        <w:trPr>
          <w:cantSplit/>
        </w:trPr>
        <w:tc>
          <w:tcPr>
            <w:tcW w:w="2155" w:type="dxa"/>
            <w:tcPrChange w:id="6432" w:author="Author">
              <w:tcPr>
                <w:tcW w:w="2040" w:type="dxa"/>
              </w:tcPr>
            </w:tcPrChange>
          </w:tcPr>
          <w:p>
            <w:pPr>
              <w:suppressAutoHyphens/>
              <w:rPr>
                <w:rFonts w:eastAsia="MS Mincho"/>
                <w:noProof/>
                <w:szCs w:val="22"/>
                <w:lang w:val="it-IT" w:eastAsia="en-US"/>
              </w:rPr>
              <w:pPrChange w:id="6433" w:author="Author">
                <w:pPr>
                  <w:spacing w:after="170" w:line="280" w:lineRule="atLeast"/>
                  <w:jc w:val="both"/>
                </w:pPr>
              </w:pPrChange>
            </w:pPr>
            <w:r>
              <w:rPr>
                <w:rFonts w:eastAsia="Calibri"/>
                <w:noProof/>
                <w:szCs w:val="22"/>
                <w:lang w:val="it-IT" w:eastAsia="en-US"/>
              </w:rPr>
              <w:sym w:font="Symbol" w:char="F03E"/>
            </w:r>
            <w:ins w:id="6434" w:author="Author">
              <w:r>
                <w:rPr>
                  <w:rFonts w:eastAsia="Calibri"/>
                  <w:noProof/>
                  <w:szCs w:val="22"/>
                  <w:lang w:val="it-IT" w:eastAsia="en-US"/>
                </w:rPr>
                <w:t xml:space="preserve"> </w:t>
              </w:r>
            </w:ins>
            <w:r>
              <w:rPr>
                <w:rFonts w:eastAsia="Calibri"/>
                <w:noProof/>
                <w:szCs w:val="22"/>
                <w:lang w:val="it-IT" w:eastAsia="en-US"/>
              </w:rPr>
              <w:t>5 volte ULN</w:t>
            </w:r>
          </w:p>
        </w:tc>
        <w:tc>
          <w:tcPr>
            <w:tcW w:w="6912" w:type="dxa"/>
            <w:tcPrChange w:id="6435" w:author="Author">
              <w:tcPr>
                <w:tcW w:w="8040" w:type="dxa"/>
              </w:tcPr>
            </w:tcPrChange>
          </w:tcPr>
          <w:p>
            <w:pPr>
              <w:suppressAutoHyphens/>
              <w:rPr>
                <w:rFonts w:eastAsia="MS Mincho"/>
                <w:noProof/>
                <w:szCs w:val="22"/>
                <w:lang w:val="it-IT" w:eastAsia="en-US"/>
              </w:rPr>
              <w:pPrChange w:id="6436" w:author="Author">
                <w:pPr>
                  <w:spacing w:after="170" w:line="280" w:lineRule="atLeast"/>
                  <w:jc w:val="both"/>
                </w:pPr>
              </w:pPrChange>
            </w:pPr>
            <w:r>
              <w:rPr>
                <w:rFonts w:eastAsia="Calibri"/>
                <w:noProof/>
                <w:szCs w:val="22"/>
                <w:lang w:val="it-IT" w:eastAsia="en-US"/>
              </w:rPr>
              <w:t>Sospendere il trattamento.</w:t>
            </w:r>
          </w:p>
        </w:tc>
      </w:tr>
    </w:tbl>
    <w:p>
      <w:pPr>
        <w:rPr>
          <w:noProof/>
          <w:szCs w:val="22"/>
          <w:lang w:val="it-IT"/>
        </w:rPr>
      </w:pPr>
    </w:p>
    <w:p>
      <w:pPr>
        <w:keepNext/>
        <w:keepLines/>
        <w:rPr>
          <w:noProof/>
          <w:szCs w:val="22"/>
          <w:lang w:val="it-IT" w:eastAsia="en-US"/>
        </w:rPr>
      </w:pPr>
      <w:r>
        <w:rPr>
          <w:rFonts w:eastAsia="Calibri"/>
          <w:noProof/>
          <w:szCs w:val="22"/>
          <w:lang w:val="it-IT" w:eastAsia="en-US"/>
        </w:rPr>
        <w:sym w:font="Symbol" w:char="F0B7"/>
      </w:r>
      <w:r>
        <w:rPr>
          <w:rFonts w:eastAsia="Calibri"/>
          <w:noProof/>
          <w:szCs w:val="22"/>
          <w:lang w:val="it-IT" w:eastAsia="en-US"/>
        </w:rPr>
        <w:tab/>
        <w:t>Bassa conta assoluta dei neutrofili (ANC)</w:t>
      </w:r>
    </w:p>
    <w:p>
      <w:pPr>
        <w:keepNext/>
        <w:keepLines/>
        <w:rPr>
          <w:noProof/>
          <w:szCs w:val="22"/>
          <w:lang w:val="it-IT"/>
        </w:rPr>
      </w:pPr>
    </w:p>
    <w:p>
      <w:pPr>
        <w:keepNext/>
        <w:keepLines/>
        <w:rPr>
          <w:noProof/>
          <w:szCs w:val="22"/>
          <w:lang w:val="it-IT" w:eastAsia="en-US"/>
        </w:rPr>
      </w:pPr>
      <w:r>
        <w:rPr>
          <w:rFonts w:eastAsia="Calibri"/>
          <w:bCs/>
          <w:noProof/>
          <w:szCs w:val="22"/>
          <w:lang w:val="it-IT" w:eastAsia="en-US"/>
        </w:rPr>
        <w:t xml:space="preserve">Nei pazienti non precedentemente trattati con RoActemra, non è raccomandato l’inizio del trattamento se il paziente presenta una </w:t>
      </w:r>
      <w:del w:id="6437" w:author="Author">
        <w:r>
          <w:rPr>
            <w:rFonts w:eastAsia="Calibri"/>
            <w:bCs/>
            <w:noProof/>
            <w:szCs w:val="22"/>
            <w:lang w:val="it-IT" w:eastAsia="en-US"/>
          </w:rPr>
          <w:delText>conta assoluta dei neutrofili (</w:delText>
        </w:r>
      </w:del>
      <w:r>
        <w:rPr>
          <w:rFonts w:eastAsia="Calibri"/>
          <w:bCs/>
          <w:noProof/>
          <w:szCs w:val="22"/>
          <w:lang w:val="it-IT" w:eastAsia="en-US"/>
        </w:rPr>
        <w:t>ANC</w:t>
      </w:r>
      <w:del w:id="6438" w:author="Author">
        <w:r>
          <w:rPr>
            <w:rFonts w:eastAsia="Calibri"/>
            <w:bCs/>
            <w:noProof/>
            <w:szCs w:val="22"/>
            <w:lang w:val="it-IT" w:eastAsia="en-US"/>
          </w:rPr>
          <w:delText>)</w:delText>
        </w:r>
      </w:del>
      <w:r>
        <w:rPr>
          <w:rFonts w:eastAsia="Calibri"/>
          <w:bCs/>
          <w:noProof/>
          <w:szCs w:val="22"/>
          <w:lang w:val="it-IT" w:eastAsia="en-US"/>
        </w:rPr>
        <w:t xml:space="preserve"> inferiore a 2 </w:t>
      </w:r>
      <w:r>
        <w:rPr>
          <w:rFonts w:eastAsia="Calibri"/>
          <w:bCs/>
          <w:noProof/>
          <w:szCs w:val="22"/>
          <w:lang w:val="it-IT" w:eastAsia="en-US"/>
        </w:rPr>
        <w:sym w:font="Symbol" w:char="F0B4"/>
      </w:r>
      <w:r>
        <w:rPr>
          <w:rFonts w:eastAsia="Calibri"/>
          <w:bCs/>
          <w:noProof/>
          <w:szCs w:val="22"/>
          <w:lang w:val="it-IT" w:eastAsia="en-US"/>
        </w:rPr>
        <w:t xml:space="preserve"> 10</w:t>
      </w:r>
      <w:r>
        <w:rPr>
          <w:rFonts w:eastAsia="Calibri"/>
          <w:bCs/>
          <w:noProof/>
          <w:szCs w:val="22"/>
          <w:vertAlign w:val="superscript"/>
          <w:lang w:val="it-IT" w:eastAsia="en-US"/>
        </w:rPr>
        <w:t>9</w:t>
      </w:r>
      <w:r>
        <w:rPr>
          <w:rFonts w:eastAsia="Calibri"/>
          <w:bCs/>
          <w:noProof/>
          <w:szCs w:val="22"/>
          <w:lang w:val="it-IT" w:eastAsia="en-US"/>
        </w:rPr>
        <w:t>/l.</w:t>
      </w:r>
    </w:p>
    <w:p>
      <w:pPr>
        <w:keepNext/>
        <w:keepLines/>
        <w:rPr>
          <w:noProof/>
          <w:szCs w:val="22"/>
          <w:lang w:val="it-IT"/>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6439"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55"/>
        <w:gridCol w:w="6912"/>
        <w:tblGridChange w:id="6440">
          <w:tblGrid>
            <w:gridCol w:w="1917"/>
            <w:gridCol w:w="7144"/>
          </w:tblGrid>
        </w:tblGridChange>
      </w:tblGrid>
      <w:tr>
        <w:trPr>
          <w:cantSplit/>
        </w:trPr>
        <w:tc>
          <w:tcPr>
            <w:tcW w:w="2155" w:type="dxa"/>
            <w:tcPrChange w:id="6441" w:author="Author">
              <w:tcPr>
                <w:tcW w:w="2040" w:type="dxa"/>
              </w:tcPr>
            </w:tcPrChange>
          </w:tcPr>
          <w:p>
            <w:pPr>
              <w:keepNext/>
              <w:suppressAutoHyphens/>
              <w:jc w:val="center"/>
              <w:rPr>
                <w:rFonts w:eastAsia="MS Mincho"/>
                <w:noProof/>
                <w:szCs w:val="22"/>
                <w:lang w:val="it-IT" w:eastAsia="en-US"/>
              </w:rPr>
              <w:pPrChange w:id="6442" w:author="Author">
                <w:pPr>
                  <w:spacing w:after="170" w:line="280" w:lineRule="atLeast"/>
                  <w:jc w:val="center"/>
                </w:pPr>
              </w:pPrChange>
            </w:pPr>
            <w:r>
              <w:rPr>
                <w:rFonts w:eastAsia="Calibri"/>
                <w:noProof/>
                <w:szCs w:val="22"/>
                <w:lang w:val="it-IT" w:eastAsia="en-US"/>
              </w:rPr>
              <w:t>Valori di laboratorio</w:t>
            </w:r>
            <w:r>
              <w:rPr>
                <w:rFonts w:eastAsia="Calibri"/>
                <w:noProof/>
                <w:szCs w:val="22"/>
                <w:lang w:val="it-IT" w:eastAsia="en-US"/>
              </w:rPr>
              <w:br/>
              <w:t xml:space="preserve">(cellule </w:t>
            </w:r>
            <w:r>
              <w:rPr>
                <w:rFonts w:eastAsia="Calibri"/>
                <w:noProof/>
                <w:szCs w:val="22"/>
                <w:lang w:val="it-IT" w:eastAsia="en-US"/>
              </w:rPr>
              <w:sym w:font="Symbol" w:char="F0B4"/>
            </w:r>
            <w:r>
              <w:rPr>
                <w:rFonts w:eastAsia="Calibri"/>
                <w:noProof/>
                <w:szCs w:val="22"/>
                <w:lang w:val="it-IT" w:eastAsia="en-US"/>
              </w:rPr>
              <w:t xml:space="preserve"> 10</w:t>
            </w:r>
            <w:r>
              <w:rPr>
                <w:rFonts w:eastAsia="Calibri"/>
                <w:noProof/>
                <w:szCs w:val="22"/>
                <w:vertAlign w:val="superscript"/>
                <w:lang w:val="it-IT" w:eastAsia="en-US"/>
              </w:rPr>
              <w:t>9</w:t>
            </w:r>
            <w:r>
              <w:rPr>
                <w:rFonts w:eastAsia="Calibri"/>
                <w:noProof/>
                <w:szCs w:val="22"/>
                <w:lang w:val="it-IT" w:eastAsia="en-US"/>
              </w:rPr>
              <w:t>/l)</w:t>
            </w:r>
          </w:p>
        </w:tc>
        <w:tc>
          <w:tcPr>
            <w:tcW w:w="6912" w:type="dxa"/>
            <w:tcPrChange w:id="6443" w:author="Author">
              <w:tcPr>
                <w:tcW w:w="8040" w:type="dxa"/>
              </w:tcPr>
            </w:tcPrChange>
          </w:tcPr>
          <w:p>
            <w:pPr>
              <w:keepNext/>
              <w:suppressAutoHyphens/>
              <w:jc w:val="center"/>
              <w:rPr>
                <w:rFonts w:eastAsia="MS Mincho"/>
                <w:noProof/>
                <w:szCs w:val="22"/>
                <w:lang w:val="it-IT" w:eastAsia="en-US"/>
              </w:rPr>
              <w:pPrChange w:id="6444" w:author="Author">
                <w:pPr>
                  <w:spacing w:after="170" w:line="280" w:lineRule="atLeast"/>
                  <w:jc w:val="center"/>
                </w:pPr>
              </w:pPrChange>
            </w:pPr>
            <w:r>
              <w:rPr>
                <w:rFonts w:eastAsia="Calibri"/>
                <w:noProof/>
                <w:szCs w:val="22"/>
                <w:lang w:val="it-IT" w:eastAsia="en-US"/>
              </w:rPr>
              <w:t>Azione</w:t>
            </w:r>
          </w:p>
        </w:tc>
      </w:tr>
      <w:tr>
        <w:trPr>
          <w:cantSplit/>
        </w:trPr>
        <w:tc>
          <w:tcPr>
            <w:tcW w:w="2155" w:type="dxa"/>
            <w:tcPrChange w:id="6445" w:author="Author">
              <w:tcPr>
                <w:tcW w:w="2040" w:type="dxa"/>
              </w:tcPr>
            </w:tcPrChange>
          </w:tcPr>
          <w:p>
            <w:pPr>
              <w:keepNext/>
              <w:suppressAutoHyphens/>
              <w:rPr>
                <w:rFonts w:eastAsia="MS Mincho"/>
                <w:noProof/>
                <w:szCs w:val="22"/>
                <w:lang w:val="it-IT" w:eastAsia="en-US"/>
              </w:rPr>
              <w:pPrChange w:id="6446" w:author="Author">
                <w:pPr>
                  <w:spacing w:after="170" w:line="280" w:lineRule="atLeast"/>
                  <w:jc w:val="both"/>
                </w:pPr>
              </w:pPrChange>
            </w:pPr>
            <w:r>
              <w:rPr>
                <w:rFonts w:eastAsia="Calibri"/>
                <w:noProof/>
                <w:szCs w:val="22"/>
                <w:lang w:val="it-IT" w:eastAsia="en-US"/>
              </w:rPr>
              <w:t xml:space="preserve">ANC </w:t>
            </w:r>
            <w:r>
              <w:rPr>
                <w:rFonts w:eastAsia="Calibri"/>
                <w:noProof/>
                <w:szCs w:val="22"/>
                <w:lang w:val="it-IT" w:eastAsia="en-US"/>
              </w:rPr>
              <w:sym w:font="Symbol" w:char="F03E"/>
            </w:r>
            <w:r>
              <w:rPr>
                <w:rFonts w:eastAsia="Calibri"/>
                <w:noProof/>
                <w:szCs w:val="22"/>
                <w:lang w:val="it-IT" w:eastAsia="en-US"/>
              </w:rPr>
              <w:t xml:space="preserve"> 1 </w:t>
            </w:r>
          </w:p>
        </w:tc>
        <w:tc>
          <w:tcPr>
            <w:tcW w:w="6912" w:type="dxa"/>
            <w:tcPrChange w:id="6447" w:author="Author">
              <w:tcPr>
                <w:tcW w:w="8040" w:type="dxa"/>
              </w:tcPr>
            </w:tcPrChange>
          </w:tcPr>
          <w:p>
            <w:pPr>
              <w:keepNext/>
              <w:suppressAutoHyphens/>
              <w:rPr>
                <w:rFonts w:eastAsia="MS Mincho"/>
                <w:noProof/>
                <w:szCs w:val="22"/>
                <w:lang w:val="it-IT" w:eastAsia="en-US"/>
              </w:rPr>
              <w:pPrChange w:id="6448" w:author="Author">
                <w:pPr>
                  <w:spacing w:after="170" w:line="280" w:lineRule="atLeast"/>
                  <w:jc w:val="both"/>
                </w:pPr>
              </w:pPrChange>
            </w:pPr>
            <w:r>
              <w:rPr>
                <w:rFonts w:eastAsia="Calibri"/>
                <w:noProof/>
                <w:szCs w:val="22"/>
                <w:lang w:val="it-IT" w:eastAsia="en-US"/>
              </w:rPr>
              <w:t>Mantenere la dose.</w:t>
            </w:r>
          </w:p>
        </w:tc>
      </w:tr>
      <w:tr>
        <w:trPr>
          <w:cantSplit/>
        </w:trPr>
        <w:tc>
          <w:tcPr>
            <w:tcW w:w="2155" w:type="dxa"/>
            <w:tcPrChange w:id="6449" w:author="Author">
              <w:tcPr>
                <w:tcW w:w="2040" w:type="dxa"/>
              </w:tcPr>
            </w:tcPrChange>
          </w:tcPr>
          <w:p>
            <w:pPr>
              <w:keepNext/>
              <w:suppressAutoHyphens/>
              <w:rPr>
                <w:rFonts w:eastAsia="MS Mincho"/>
                <w:noProof/>
                <w:szCs w:val="22"/>
                <w:lang w:val="it-IT" w:eastAsia="en-US"/>
              </w:rPr>
              <w:pPrChange w:id="6450" w:author="Author">
                <w:pPr>
                  <w:spacing w:after="170" w:line="280" w:lineRule="atLeast"/>
                  <w:jc w:val="both"/>
                </w:pPr>
              </w:pPrChange>
            </w:pPr>
            <w:r>
              <w:rPr>
                <w:rFonts w:eastAsia="Calibri"/>
                <w:noProof/>
                <w:szCs w:val="22"/>
                <w:lang w:val="it-IT" w:eastAsia="en-US"/>
              </w:rPr>
              <w:t>ANC da 0,5 a 1</w:t>
            </w:r>
          </w:p>
        </w:tc>
        <w:tc>
          <w:tcPr>
            <w:tcW w:w="6912" w:type="dxa"/>
            <w:tcPrChange w:id="6451" w:author="Author">
              <w:tcPr>
                <w:tcW w:w="8040" w:type="dxa"/>
              </w:tcPr>
            </w:tcPrChange>
          </w:tcPr>
          <w:p>
            <w:pPr>
              <w:keepNext/>
              <w:suppressAutoHyphens/>
              <w:rPr>
                <w:ins w:id="6452" w:author="Author"/>
                <w:rFonts w:eastAsia="Calibri"/>
                <w:noProof/>
                <w:szCs w:val="22"/>
                <w:lang w:val="it-IT" w:eastAsia="en-US"/>
              </w:rPr>
            </w:pPr>
            <w:r>
              <w:rPr>
                <w:rFonts w:eastAsia="Calibri"/>
                <w:noProof/>
                <w:szCs w:val="22"/>
                <w:lang w:val="it-IT" w:eastAsia="en-US"/>
              </w:rPr>
              <w:t>Interrompere la somministrazione di tocilizumab.</w:t>
            </w:r>
          </w:p>
          <w:p>
            <w:pPr>
              <w:keepNext/>
              <w:suppressAutoHyphens/>
              <w:rPr>
                <w:rFonts w:eastAsia="MS Mincho"/>
                <w:noProof/>
                <w:szCs w:val="22"/>
                <w:lang w:val="it-IT" w:eastAsia="en-US"/>
              </w:rPr>
              <w:pPrChange w:id="6453" w:author="Author">
                <w:pPr>
                  <w:spacing w:after="170" w:line="280" w:lineRule="atLeast"/>
                  <w:jc w:val="both"/>
                </w:pPr>
              </w:pPrChange>
            </w:pPr>
          </w:p>
          <w:p>
            <w:pPr>
              <w:keepNext/>
              <w:suppressAutoHyphens/>
              <w:rPr>
                <w:rFonts w:eastAsia="MS Mincho"/>
                <w:noProof/>
                <w:szCs w:val="22"/>
                <w:lang w:val="it-IT" w:eastAsia="en-US"/>
              </w:rPr>
              <w:pPrChange w:id="6454" w:author="Author">
                <w:pPr>
                  <w:spacing w:after="170" w:line="280" w:lineRule="atLeast"/>
                  <w:jc w:val="both"/>
                </w:pPr>
              </w:pPrChange>
            </w:pPr>
            <w:r>
              <w:rPr>
                <w:rFonts w:eastAsia="Calibri"/>
                <w:noProof/>
                <w:szCs w:val="22"/>
                <w:lang w:val="it-IT" w:eastAsia="en-US"/>
              </w:rPr>
              <w:t xml:space="preserve">Quando la ANC aumenta sopra 1 </w:t>
            </w:r>
            <w:r>
              <w:rPr>
                <w:rFonts w:eastAsia="Calibri"/>
                <w:noProof/>
                <w:szCs w:val="22"/>
                <w:lang w:val="it-IT" w:eastAsia="en-US"/>
              </w:rPr>
              <w:sym w:font="Symbol" w:char="F0B4"/>
            </w:r>
            <w:r>
              <w:rPr>
                <w:rFonts w:eastAsia="Calibri"/>
                <w:noProof/>
                <w:szCs w:val="22"/>
                <w:lang w:val="it-IT" w:eastAsia="en-US"/>
              </w:rPr>
              <w:t xml:space="preserve"> 10</w:t>
            </w:r>
            <w:r>
              <w:rPr>
                <w:rFonts w:eastAsia="Calibri"/>
                <w:noProof/>
                <w:szCs w:val="22"/>
                <w:vertAlign w:val="superscript"/>
                <w:lang w:val="it-IT" w:eastAsia="en-US"/>
              </w:rPr>
              <w:t>9</w:t>
            </w:r>
            <w:r>
              <w:rPr>
                <w:rFonts w:eastAsia="Calibri"/>
                <w:noProof/>
                <w:szCs w:val="22"/>
                <w:lang w:val="it-IT" w:eastAsia="en-US"/>
              </w:rPr>
              <w:t>/l riprendere il trattamento alla dose di una volta ogni due settimane e aumentarla a una volta a settimana secondo quanto clinicamente appropriato.</w:t>
            </w:r>
          </w:p>
        </w:tc>
      </w:tr>
      <w:tr>
        <w:trPr>
          <w:cantSplit/>
        </w:trPr>
        <w:tc>
          <w:tcPr>
            <w:tcW w:w="2155" w:type="dxa"/>
            <w:tcPrChange w:id="6455" w:author="Author">
              <w:tcPr>
                <w:tcW w:w="2040" w:type="dxa"/>
              </w:tcPr>
            </w:tcPrChange>
          </w:tcPr>
          <w:p>
            <w:pPr>
              <w:suppressAutoHyphens/>
              <w:rPr>
                <w:rFonts w:eastAsia="MS Mincho"/>
                <w:noProof/>
                <w:szCs w:val="22"/>
                <w:lang w:val="it-IT" w:eastAsia="en-US"/>
              </w:rPr>
              <w:pPrChange w:id="6456" w:author="Author">
                <w:pPr>
                  <w:spacing w:after="170" w:line="280" w:lineRule="atLeast"/>
                  <w:jc w:val="both"/>
                </w:pPr>
              </w:pPrChange>
            </w:pPr>
            <w:r>
              <w:rPr>
                <w:rFonts w:eastAsia="Calibri"/>
                <w:noProof/>
                <w:szCs w:val="22"/>
                <w:lang w:val="it-IT" w:eastAsia="en-US"/>
              </w:rPr>
              <w:t xml:space="preserve">ANC </w:t>
            </w:r>
            <w:r>
              <w:rPr>
                <w:rFonts w:eastAsia="Calibri"/>
                <w:noProof/>
                <w:szCs w:val="22"/>
                <w:lang w:val="it-IT" w:eastAsia="en-US"/>
              </w:rPr>
              <w:sym w:font="Symbol" w:char="F03C"/>
            </w:r>
            <w:r>
              <w:rPr>
                <w:rFonts w:eastAsia="Calibri"/>
                <w:noProof/>
                <w:szCs w:val="22"/>
                <w:lang w:val="it-IT" w:eastAsia="en-US"/>
              </w:rPr>
              <w:t> 0,5</w:t>
            </w:r>
          </w:p>
        </w:tc>
        <w:tc>
          <w:tcPr>
            <w:tcW w:w="6912" w:type="dxa"/>
            <w:tcPrChange w:id="6457" w:author="Author">
              <w:tcPr>
                <w:tcW w:w="8040" w:type="dxa"/>
              </w:tcPr>
            </w:tcPrChange>
          </w:tcPr>
          <w:p>
            <w:pPr>
              <w:suppressAutoHyphens/>
              <w:rPr>
                <w:rFonts w:eastAsia="MS Mincho"/>
                <w:noProof/>
                <w:szCs w:val="22"/>
                <w:lang w:val="it-IT" w:eastAsia="en-US"/>
              </w:rPr>
              <w:pPrChange w:id="6458" w:author="Author">
                <w:pPr>
                  <w:spacing w:after="170" w:line="280" w:lineRule="atLeast"/>
                  <w:jc w:val="both"/>
                </w:pPr>
              </w:pPrChange>
            </w:pPr>
            <w:r>
              <w:rPr>
                <w:rFonts w:eastAsia="Calibri"/>
                <w:noProof/>
                <w:szCs w:val="22"/>
                <w:lang w:val="it-IT" w:eastAsia="en-US"/>
              </w:rPr>
              <w:t>Sospendere il trattamento.</w:t>
            </w:r>
          </w:p>
        </w:tc>
      </w:tr>
    </w:tbl>
    <w:p>
      <w:pPr>
        <w:rPr>
          <w:noProof/>
          <w:szCs w:val="22"/>
          <w:lang w:val="it-IT"/>
        </w:rPr>
      </w:pPr>
    </w:p>
    <w:p>
      <w:pPr>
        <w:keepNext/>
        <w:keepLines/>
        <w:rPr>
          <w:noProof/>
          <w:szCs w:val="22"/>
          <w:lang w:val="it-IT" w:eastAsia="en-US"/>
        </w:rPr>
      </w:pPr>
      <w:r>
        <w:rPr>
          <w:rFonts w:eastAsia="Calibri"/>
          <w:noProof/>
          <w:szCs w:val="22"/>
          <w:lang w:val="it-IT" w:eastAsia="en-US"/>
        </w:rPr>
        <w:sym w:font="Symbol" w:char="F0B7"/>
      </w:r>
      <w:r>
        <w:rPr>
          <w:rFonts w:eastAsia="Calibri"/>
          <w:noProof/>
          <w:szCs w:val="22"/>
          <w:lang w:val="it-IT" w:eastAsia="en-US"/>
        </w:rPr>
        <w:tab/>
        <w:t>Bassa conta piastrinica</w:t>
      </w:r>
    </w:p>
    <w:p>
      <w:pPr>
        <w:keepNext/>
        <w:keepLines/>
        <w:rPr>
          <w:noProof/>
          <w:szCs w:val="22"/>
          <w:lang w:val="it-IT"/>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6459"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55"/>
        <w:gridCol w:w="6912"/>
        <w:tblGridChange w:id="6460">
          <w:tblGrid>
            <w:gridCol w:w="1917"/>
            <w:gridCol w:w="7144"/>
          </w:tblGrid>
        </w:tblGridChange>
      </w:tblGrid>
      <w:tr>
        <w:trPr>
          <w:cantSplit/>
        </w:trPr>
        <w:tc>
          <w:tcPr>
            <w:tcW w:w="2155" w:type="dxa"/>
            <w:tcPrChange w:id="6461" w:author="Author">
              <w:tcPr>
                <w:tcW w:w="2040" w:type="dxa"/>
              </w:tcPr>
            </w:tcPrChange>
          </w:tcPr>
          <w:p>
            <w:pPr>
              <w:keepNext/>
              <w:suppressAutoHyphens/>
              <w:jc w:val="center"/>
              <w:rPr>
                <w:rFonts w:eastAsia="MS Mincho"/>
                <w:noProof/>
                <w:szCs w:val="22"/>
                <w:lang w:val="it-IT" w:eastAsia="en-US"/>
              </w:rPr>
              <w:pPrChange w:id="6462" w:author="Author">
                <w:pPr>
                  <w:keepNext/>
                  <w:keepLines/>
                  <w:spacing w:after="170" w:line="280" w:lineRule="atLeast"/>
                  <w:jc w:val="center"/>
                </w:pPr>
              </w:pPrChange>
            </w:pPr>
            <w:r>
              <w:rPr>
                <w:rFonts w:eastAsia="Calibri"/>
                <w:noProof/>
                <w:szCs w:val="22"/>
                <w:lang w:val="it-IT" w:eastAsia="en-US"/>
              </w:rPr>
              <w:t>Valori di laboratorio</w:t>
            </w:r>
            <w:r>
              <w:rPr>
                <w:rFonts w:eastAsia="Calibri"/>
                <w:noProof/>
                <w:szCs w:val="22"/>
                <w:lang w:val="it-IT" w:eastAsia="en-US"/>
              </w:rPr>
              <w:br/>
              <w:t xml:space="preserve">(cellule </w:t>
            </w:r>
            <w:r>
              <w:rPr>
                <w:rFonts w:eastAsia="Calibri"/>
                <w:noProof/>
                <w:szCs w:val="22"/>
                <w:lang w:val="it-IT" w:eastAsia="en-US"/>
              </w:rPr>
              <w:sym w:font="Symbol" w:char="F0B4"/>
            </w:r>
            <w:del w:id="6463" w:author="Author">
              <w:r>
                <w:rPr>
                  <w:rFonts w:eastAsia="Calibri"/>
                  <w:noProof/>
                  <w:szCs w:val="22"/>
                  <w:lang w:val="it-IT" w:eastAsia="en-US"/>
                </w:rPr>
                <w:delText xml:space="preserve"> </w:delText>
              </w:r>
            </w:del>
            <w:ins w:id="6464" w:author="Author">
              <w:r>
                <w:rPr>
                  <w:rFonts w:eastAsia="Calibri"/>
                  <w:noProof/>
                  <w:szCs w:val="22"/>
                  <w:lang w:val="it-IT" w:eastAsia="en-US"/>
                </w:rPr>
                <w:t> </w:t>
              </w:r>
            </w:ins>
            <w:r>
              <w:rPr>
                <w:rFonts w:eastAsia="Calibri"/>
                <w:noProof/>
                <w:szCs w:val="22"/>
                <w:lang w:val="it-IT" w:eastAsia="en-US"/>
              </w:rPr>
              <w:t>10</w:t>
            </w:r>
            <w:r>
              <w:rPr>
                <w:rFonts w:eastAsia="Calibri"/>
                <w:noProof/>
                <w:szCs w:val="22"/>
                <w:vertAlign w:val="superscript"/>
                <w:lang w:val="it-IT" w:eastAsia="en-US"/>
              </w:rPr>
              <w:t>3</w:t>
            </w:r>
            <w:r>
              <w:rPr>
                <w:rFonts w:eastAsia="Calibri"/>
                <w:noProof/>
                <w:szCs w:val="22"/>
                <w:lang w:val="it-IT" w:eastAsia="en-US"/>
              </w:rPr>
              <w:t>/μl)</w:t>
            </w:r>
          </w:p>
        </w:tc>
        <w:tc>
          <w:tcPr>
            <w:tcW w:w="6912" w:type="dxa"/>
            <w:tcPrChange w:id="6465" w:author="Author">
              <w:tcPr>
                <w:tcW w:w="8040" w:type="dxa"/>
              </w:tcPr>
            </w:tcPrChange>
          </w:tcPr>
          <w:p>
            <w:pPr>
              <w:keepNext/>
              <w:suppressAutoHyphens/>
              <w:jc w:val="center"/>
              <w:rPr>
                <w:rFonts w:eastAsia="MS Mincho"/>
                <w:noProof/>
                <w:szCs w:val="22"/>
                <w:lang w:val="it-IT" w:eastAsia="en-US"/>
              </w:rPr>
              <w:pPrChange w:id="6466" w:author="Author">
                <w:pPr>
                  <w:keepNext/>
                  <w:keepLines/>
                  <w:spacing w:after="170" w:line="280" w:lineRule="atLeast"/>
                  <w:jc w:val="center"/>
                </w:pPr>
              </w:pPrChange>
            </w:pPr>
            <w:r>
              <w:rPr>
                <w:rFonts w:eastAsia="Calibri"/>
                <w:noProof/>
                <w:szCs w:val="22"/>
                <w:lang w:val="it-IT" w:eastAsia="en-US"/>
              </w:rPr>
              <w:t>Azione</w:t>
            </w:r>
          </w:p>
        </w:tc>
      </w:tr>
      <w:tr>
        <w:trPr>
          <w:cantSplit/>
        </w:trPr>
        <w:tc>
          <w:tcPr>
            <w:tcW w:w="2155" w:type="dxa"/>
            <w:tcPrChange w:id="6467" w:author="Author">
              <w:tcPr>
                <w:tcW w:w="2040" w:type="dxa"/>
              </w:tcPr>
            </w:tcPrChange>
          </w:tcPr>
          <w:p>
            <w:pPr>
              <w:keepNext/>
              <w:suppressAutoHyphens/>
              <w:rPr>
                <w:rFonts w:eastAsia="MS Mincho"/>
                <w:noProof/>
                <w:szCs w:val="22"/>
                <w:lang w:val="it-IT" w:eastAsia="en-US"/>
              </w:rPr>
              <w:pPrChange w:id="6468" w:author="Author">
                <w:pPr>
                  <w:keepNext/>
                  <w:keepLines/>
                  <w:spacing w:after="170" w:line="280" w:lineRule="atLeast"/>
                  <w:jc w:val="both"/>
                </w:pPr>
              </w:pPrChange>
            </w:pPr>
            <w:r>
              <w:rPr>
                <w:rFonts w:eastAsia="Calibri"/>
                <w:noProof/>
                <w:szCs w:val="22"/>
                <w:lang w:val="it-IT" w:eastAsia="en-US"/>
              </w:rPr>
              <w:t>Da 50 a 100</w:t>
            </w:r>
          </w:p>
        </w:tc>
        <w:tc>
          <w:tcPr>
            <w:tcW w:w="6912" w:type="dxa"/>
            <w:tcPrChange w:id="6469" w:author="Author">
              <w:tcPr>
                <w:tcW w:w="8040" w:type="dxa"/>
              </w:tcPr>
            </w:tcPrChange>
          </w:tcPr>
          <w:p>
            <w:pPr>
              <w:keepNext/>
              <w:suppressAutoHyphens/>
              <w:rPr>
                <w:ins w:id="6470" w:author="Author"/>
                <w:rFonts w:eastAsia="Calibri"/>
                <w:noProof/>
                <w:szCs w:val="22"/>
                <w:lang w:val="it-IT" w:eastAsia="en-US"/>
              </w:rPr>
            </w:pPr>
            <w:r>
              <w:rPr>
                <w:rFonts w:eastAsia="Calibri"/>
                <w:noProof/>
                <w:szCs w:val="22"/>
                <w:lang w:val="it-IT" w:eastAsia="en-US"/>
              </w:rPr>
              <w:t>Interrompere la somministrazione di tocilizumab.</w:t>
            </w:r>
          </w:p>
          <w:p>
            <w:pPr>
              <w:keepNext/>
              <w:suppressAutoHyphens/>
              <w:rPr>
                <w:rFonts w:eastAsia="MS Mincho"/>
                <w:noProof/>
                <w:szCs w:val="22"/>
                <w:lang w:val="it-IT" w:eastAsia="en-US"/>
              </w:rPr>
              <w:pPrChange w:id="6471" w:author="Author">
                <w:pPr>
                  <w:keepNext/>
                  <w:keepLines/>
                  <w:spacing w:after="170" w:line="280" w:lineRule="atLeast"/>
                  <w:jc w:val="both"/>
                </w:pPr>
              </w:pPrChange>
            </w:pPr>
          </w:p>
          <w:p>
            <w:pPr>
              <w:keepNext/>
              <w:suppressAutoHyphens/>
              <w:rPr>
                <w:rFonts w:eastAsia="MS Mincho"/>
                <w:noProof/>
                <w:szCs w:val="22"/>
                <w:lang w:val="it-IT" w:eastAsia="en-US"/>
              </w:rPr>
              <w:pPrChange w:id="6472" w:author="Author">
                <w:pPr>
                  <w:keepNext/>
                  <w:keepLines/>
                  <w:spacing w:after="170" w:line="280" w:lineRule="atLeast"/>
                  <w:jc w:val="both"/>
                </w:pPr>
              </w:pPrChange>
            </w:pPr>
            <w:r>
              <w:rPr>
                <w:rFonts w:eastAsia="Calibri"/>
                <w:noProof/>
                <w:szCs w:val="22"/>
                <w:lang w:val="it-IT" w:eastAsia="en-US"/>
              </w:rPr>
              <w:t xml:space="preserve">Quando la conta piastrinica è </w:t>
            </w:r>
            <w:r>
              <w:rPr>
                <w:rFonts w:eastAsia="Calibri"/>
                <w:noProof/>
                <w:szCs w:val="22"/>
                <w:lang w:val="it-IT" w:eastAsia="en-US"/>
              </w:rPr>
              <w:sym w:font="Symbol" w:char="F03E"/>
            </w:r>
            <w:ins w:id="6473" w:author="Author">
              <w:r>
                <w:rPr>
                  <w:rFonts w:eastAsia="Calibri"/>
                  <w:noProof/>
                  <w:szCs w:val="22"/>
                  <w:lang w:val="it-IT" w:eastAsia="en-US"/>
                </w:rPr>
                <w:t xml:space="preserve"> </w:t>
              </w:r>
            </w:ins>
            <w:r>
              <w:rPr>
                <w:rFonts w:eastAsia="Calibri"/>
                <w:noProof/>
                <w:szCs w:val="22"/>
                <w:lang w:val="it-IT" w:eastAsia="en-US"/>
              </w:rPr>
              <w:t xml:space="preserve">100 </w:t>
            </w:r>
            <w:r>
              <w:rPr>
                <w:rFonts w:eastAsia="Calibri"/>
                <w:noProof/>
                <w:szCs w:val="22"/>
                <w:lang w:val="it-IT" w:eastAsia="en-US"/>
              </w:rPr>
              <w:sym w:font="Symbol" w:char="F0B4"/>
            </w:r>
            <w:r>
              <w:rPr>
                <w:rFonts w:eastAsia="Calibri"/>
                <w:noProof/>
                <w:szCs w:val="22"/>
                <w:lang w:val="it-IT" w:eastAsia="en-US"/>
              </w:rPr>
              <w:t xml:space="preserve"> 10</w:t>
            </w:r>
            <w:r>
              <w:rPr>
                <w:rFonts w:eastAsia="Calibri"/>
                <w:noProof/>
                <w:szCs w:val="22"/>
                <w:vertAlign w:val="superscript"/>
                <w:lang w:val="it-IT" w:eastAsia="en-US"/>
              </w:rPr>
              <w:t>3</w:t>
            </w:r>
            <w:r>
              <w:rPr>
                <w:rFonts w:eastAsia="Calibri"/>
                <w:noProof/>
                <w:szCs w:val="22"/>
                <w:lang w:val="it-IT" w:eastAsia="en-US"/>
              </w:rPr>
              <w:t>/μl riprendere il trattamento alla dose di una volta ogni due settimane e aumentarla a una volta a settimana secondo quanto clinicamente appropriato.</w:t>
            </w:r>
          </w:p>
        </w:tc>
      </w:tr>
      <w:tr>
        <w:trPr>
          <w:cantSplit/>
        </w:trPr>
        <w:tc>
          <w:tcPr>
            <w:tcW w:w="2155" w:type="dxa"/>
            <w:tcPrChange w:id="6474" w:author="Author">
              <w:tcPr>
                <w:tcW w:w="2040" w:type="dxa"/>
              </w:tcPr>
            </w:tcPrChange>
          </w:tcPr>
          <w:p>
            <w:pPr>
              <w:suppressAutoHyphens/>
              <w:rPr>
                <w:rFonts w:eastAsia="MS Mincho"/>
                <w:noProof/>
                <w:szCs w:val="22"/>
                <w:lang w:val="it-IT" w:eastAsia="en-US"/>
              </w:rPr>
              <w:pPrChange w:id="6475" w:author="Author">
                <w:pPr>
                  <w:spacing w:after="170" w:line="280" w:lineRule="atLeast"/>
                  <w:jc w:val="both"/>
                </w:pPr>
              </w:pPrChange>
            </w:pPr>
            <w:r>
              <w:rPr>
                <w:rFonts w:eastAsia="Calibri"/>
                <w:noProof/>
                <w:szCs w:val="22"/>
                <w:lang w:val="it-IT" w:eastAsia="en-US"/>
              </w:rPr>
              <w:sym w:font="Symbol" w:char="F03C"/>
            </w:r>
            <w:ins w:id="6476" w:author="Author">
              <w:r>
                <w:rPr>
                  <w:rFonts w:eastAsia="Calibri"/>
                  <w:noProof/>
                  <w:szCs w:val="22"/>
                  <w:lang w:val="it-IT" w:eastAsia="en-US"/>
                </w:rPr>
                <w:t xml:space="preserve"> </w:t>
              </w:r>
            </w:ins>
            <w:r>
              <w:rPr>
                <w:rFonts w:eastAsia="Calibri"/>
                <w:noProof/>
                <w:szCs w:val="22"/>
                <w:lang w:val="it-IT" w:eastAsia="en-US"/>
              </w:rPr>
              <w:t>50</w:t>
            </w:r>
          </w:p>
        </w:tc>
        <w:tc>
          <w:tcPr>
            <w:tcW w:w="6912" w:type="dxa"/>
            <w:tcPrChange w:id="6477" w:author="Author">
              <w:tcPr>
                <w:tcW w:w="8040" w:type="dxa"/>
              </w:tcPr>
            </w:tcPrChange>
          </w:tcPr>
          <w:p>
            <w:pPr>
              <w:suppressAutoHyphens/>
              <w:rPr>
                <w:rFonts w:eastAsia="MS Mincho"/>
                <w:noProof/>
                <w:szCs w:val="22"/>
                <w:lang w:val="it-IT" w:eastAsia="en-US"/>
              </w:rPr>
              <w:pPrChange w:id="6478" w:author="Author">
                <w:pPr>
                  <w:spacing w:after="170" w:line="280" w:lineRule="atLeast"/>
                  <w:jc w:val="both"/>
                </w:pPr>
              </w:pPrChange>
            </w:pPr>
            <w:r>
              <w:rPr>
                <w:rFonts w:eastAsia="Calibri"/>
                <w:noProof/>
                <w:szCs w:val="22"/>
                <w:lang w:val="it-IT" w:eastAsia="en-US"/>
              </w:rPr>
              <w:t>Sospendere il trattamento.</w:t>
            </w:r>
          </w:p>
        </w:tc>
      </w:tr>
    </w:tbl>
    <w:p>
      <w:pPr>
        <w:ind w:left="567" w:hanging="567"/>
        <w:rPr>
          <w:bCs/>
          <w:noProof/>
          <w:szCs w:val="22"/>
          <w:u w:val="single"/>
          <w:lang w:val="it-IT"/>
        </w:rPr>
      </w:pPr>
    </w:p>
    <w:p>
      <w:pPr>
        <w:keepNext/>
        <w:keepLines/>
        <w:ind w:left="567" w:hanging="567"/>
        <w:rPr>
          <w:rFonts w:eastAsia="Calibri"/>
          <w:bCs/>
          <w:i/>
          <w:iCs/>
          <w:noProof/>
          <w:szCs w:val="22"/>
          <w:lang w:val="it-IT" w:eastAsia="en-US"/>
        </w:rPr>
        <w:pPrChange w:id="6479" w:author="Author">
          <w:pPr>
            <w:ind w:left="567" w:hanging="567"/>
          </w:pPr>
        </w:pPrChange>
      </w:pPr>
      <w:r>
        <w:rPr>
          <w:bCs/>
          <w:i/>
          <w:iCs/>
          <w:noProof/>
          <w:lang w:val="it-IT"/>
        </w:rPr>
        <w:lastRenderedPageBreak/>
        <w:t>Pazienti affetti da AR e ACG</w:t>
      </w:r>
    </w:p>
    <w:p>
      <w:pPr>
        <w:keepNext/>
        <w:keepLines/>
        <w:ind w:left="567" w:hanging="567"/>
        <w:rPr>
          <w:bCs/>
          <w:i/>
          <w:iCs/>
          <w:noProof/>
          <w:szCs w:val="22"/>
          <w:u w:val="single"/>
          <w:lang w:val="it-IT" w:eastAsia="en-US"/>
        </w:rPr>
        <w:pPrChange w:id="6480" w:author="Author">
          <w:pPr>
            <w:ind w:left="567" w:hanging="567"/>
          </w:pPr>
        </w:pPrChange>
      </w:pPr>
      <w:r>
        <w:rPr>
          <w:rFonts w:eastAsia="Calibri"/>
          <w:bCs/>
          <w:i/>
          <w:iCs/>
          <w:noProof/>
          <w:szCs w:val="22"/>
          <w:u w:val="single"/>
          <w:lang w:val="it-IT" w:eastAsia="en-US"/>
        </w:rPr>
        <w:t>Dose dimenticata</w:t>
      </w:r>
    </w:p>
    <w:p>
      <w:pPr>
        <w:rPr>
          <w:noProof/>
          <w:szCs w:val="22"/>
          <w:lang w:val="it-IT" w:eastAsia="en-US"/>
        </w:rPr>
      </w:pPr>
      <w:r>
        <w:rPr>
          <w:rFonts w:eastAsia="Calibri"/>
          <w:noProof/>
          <w:szCs w:val="22"/>
          <w:lang w:val="it-IT" w:eastAsia="en-US"/>
        </w:rPr>
        <w:t xml:space="preserve">Se un paziente che sta assumendo </w:t>
      </w:r>
      <w:del w:id="6481" w:author="Author">
        <w:r>
          <w:rPr>
            <w:rFonts w:eastAsia="Calibri"/>
            <w:noProof/>
            <w:szCs w:val="22"/>
            <w:lang w:val="it-IT" w:eastAsia="en-US"/>
          </w:rPr>
          <w:delText xml:space="preserve">settimanalmente </w:delText>
        </w:r>
      </w:del>
      <w:r>
        <w:rPr>
          <w:rFonts w:eastAsia="Calibri"/>
          <w:noProof/>
          <w:szCs w:val="22"/>
          <w:lang w:val="it-IT" w:eastAsia="en-US"/>
        </w:rPr>
        <w:t>tocilizumab</w:t>
      </w:r>
      <w:ins w:id="6482" w:author="Author">
        <w:r>
          <w:rPr>
            <w:rFonts w:eastAsia="Calibri"/>
            <w:noProof/>
            <w:szCs w:val="22"/>
            <w:lang w:val="it-IT" w:eastAsia="en-US"/>
          </w:rPr>
          <w:t xml:space="preserve"> una volta a settimana</w:t>
        </w:r>
      </w:ins>
      <w:r>
        <w:rPr>
          <w:rFonts w:eastAsia="Calibri"/>
          <w:noProof/>
          <w:szCs w:val="22"/>
          <w:lang w:val="it-IT" w:eastAsia="en-US"/>
        </w:rPr>
        <w:t xml:space="preserve"> salta un</w:t>
      </w:r>
      <w:ins w:id="6483" w:author="Author">
        <w:r>
          <w:rPr>
            <w:rFonts w:eastAsia="Calibri"/>
            <w:noProof/>
            <w:szCs w:val="22"/>
            <w:lang w:val="it-IT" w:eastAsia="en-US"/>
          </w:rPr>
          <w:t>’</w:t>
        </w:r>
      </w:ins>
      <w:del w:id="6484" w:author="Author">
        <w:r>
          <w:rPr>
            <w:rFonts w:eastAsia="Calibri"/>
            <w:noProof/>
            <w:szCs w:val="22"/>
            <w:lang w:val="it-IT" w:eastAsia="en-US"/>
          </w:rPr>
          <w:delText>a</w:delText>
        </w:r>
      </w:del>
      <w:r>
        <w:rPr>
          <w:rFonts w:eastAsia="Calibri"/>
          <w:noProof/>
          <w:szCs w:val="22"/>
          <w:lang w:val="it-IT" w:eastAsia="en-US"/>
        </w:rPr>
        <w:t xml:space="preserve"> iniezione sottocutanea </w:t>
      </w:r>
      <w:ins w:id="6485" w:author="Author">
        <w:r>
          <w:rPr>
            <w:rFonts w:eastAsia="Calibri"/>
            <w:noProof/>
            <w:szCs w:val="22"/>
            <w:lang w:val="it-IT" w:eastAsia="en-US"/>
          </w:rPr>
          <w:t xml:space="preserve">e sono trascorsi meno di 7 giorni dalla dose </w:t>
        </w:r>
      </w:ins>
      <w:del w:id="6486" w:author="Author">
        <w:r>
          <w:rPr>
            <w:rFonts w:eastAsia="Calibri"/>
            <w:noProof/>
            <w:szCs w:val="22"/>
            <w:lang w:val="it-IT" w:eastAsia="en-US"/>
          </w:rPr>
          <w:delText xml:space="preserve">entro 7 </w:delText>
        </w:r>
      </w:del>
      <w:ins w:id="6487" w:author="Author">
        <w:del w:id="6488" w:author="Author">
          <w:r>
            <w:rPr>
              <w:rFonts w:eastAsia="Calibri"/>
              <w:noProof/>
              <w:szCs w:val="22"/>
              <w:lang w:val="it-IT" w:eastAsia="en-US"/>
            </w:rPr>
            <w:delText> </w:delText>
          </w:r>
        </w:del>
      </w:ins>
      <w:del w:id="6489" w:author="Author">
        <w:r>
          <w:rPr>
            <w:rFonts w:eastAsia="Calibri"/>
            <w:noProof/>
            <w:szCs w:val="22"/>
            <w:lang w:val="it-IT" w:eastAsia="en-US"/>
          </w:rPr>
          <w:delText xml:space="preserve">giorni dalla somministrazione </w:delText>
        </w:r>
      </w:del>
      <w:r>
        <w:rPr>
          <w:rFonts w:eastAsia="Calibri"/>
          <w:noProof/>
          <w:szCs w:val="22"/>
          <w:lang w:val="it-IT" w:eastAsia="en-US"/>
        </w:rPr>
        <w:t xml:space="preserve">prevista, </w:t>
      </w:r>
      <w:del w:id="6490" w:author="Author">
        <w:r>
          <w:rPr>
            <w:rFonts w:eastAsia="Calibri"/>
            <w:noProof/>
            <w:szCs w:val="22"/>
            <w:lang w:val="it-IT" w:eastAsia="en-US"/>
          </w:rPr>
          <w:delText xml:space="preserve">questi </w:delText>
        </w:r>
      </w:del>
      <w:ins w:id="6491" w:author="Author">
        <w:r>
          <w:rPr>
            <w:rFonts w:eastAsia="Calibri"/>
            <w:noProof/>
            <w:szCs w:val="22"/>
            <w:lang w:val="it-IT" w:eastAsia="en-US"/>
          </w:rPr>
          <w:t xml:space="preserve">il paziente </w:t>
        </w:r>
      </w:ins>
      <w:r>
        <w:rPr>
          <w:rFonts w:eastAsia="Calibri"/>
          <w:noProof/>
          <w:szCs w:val="22"/>
          <w:lang w:val="it-IT" w:eastAsia="en-US"/>
        </w:rPr>
        <w:t xml:space="preserve">deve essere istruito ad assumere direttamente la dose programmata successiva. Se un paziente che sta assumendo tocilizumab </w:t>
      </w:r>
      <w:ins w:id="6492" w:author="Author">
        <w:r>
          <w:rPr>
            <w:rFonts w:eastAsia="Calibri"/>
            <w:noProof/>
            <w:szCs w:val="22"/>
            <w:lang w:val="it-IT" w:eastAsia="en-US"/>
          </w:rPr>
          <w:t>ogni due</w:t>
        </w:r>
      </w:ins>
      <w:del w:id="6493" w:author="Author">
        <w:r>
          <w:rPr>
            <w:rFonts w:eastAsia="Calibri"/>
            <w:noProof/>
            <w:szCs w:val="22"/>
            <w:lang w:val="it-IT" w:eastAsia="en-US"/>
          </w:rPr>
          <w:delText>a</w:delText>
        </w:r>
      </w:del>
      <w:r>
        <w:rPr>
          <w:rFonts w:eastAsia="Calibri"/>
          <w:noProof/>
          <w:szCs w:val="22"/>
          <w:lang w:val="it-IT" w:eastAsia="en-US"/>
        </w:rPr>
        <w:t xml:space="preserve"> settimane </w:t>
      </w:r>
      <w:del w:id="6494" w:author="Author">
        <w:r>
          <w:rPr>
            <w:rFonts w:eastAsia="Calibri"/>
            <w:noProof/>
            <w:szCs w:val="22"/>
            <w:lang w:val="it-IT" w:eastAsia="en-US"/>
          </w:rPr>
          <w:delText xml:space="preserve">alterne </w:delText>
        </w:r>
      </w:del>
      <w:r>
        <w:rPr>
          <w:rFonts w:eastAsia="Calibri"/>
          <w:noProof/>
          <w:szCs w:val="22"/>
          <w:lang w:val="it-IT" w:eastAsia="en-US"/>
        </w:rPr>
        <w:t>dimentica un</w:t>
      </w:r>
      <w:ins w:id="6495" w:author="Author">
        <w:r>
          <w:rPr>
            <w:rFonts w:eastAsia="Calibri"/>
            <w:noProof/>
            <w:szCs w:val="22"/>
            <w:lang w:val="it-IT" w:eastAsia="en-US"/>
          </w:rPr>
          <w:t xml:space="preserve">’ </w:t>
        </w:r>
      </w:ins>
      <w:del w:id="6496" w:author="Author">
        <w:r>
          <w:rPr>
            <w:rFonts w:eastAsia="Calibri"/>
            <w:noProof/>
            <w:szCs w:val="22"/>
            <w:lang w:val="it-IT" w:eastAsia="en-US"/>
          </w:rPr>
          <w:delText xml:space="preserve">a </w:delText>
        </w:r>
      </w:del>
      <w:r>
        <w:rPr>
          <w:rFonts w:eastAsia="Calibri"/>
          <w:noProof/>
          <w:szCs w:val="22"/>
          <w:lang w:val="it-IT" w:eastAsia="en-US"/>
        </w:rPr>
        <w:t xml:space="preserve">iniezione sottocutanea </w:t>
      </w:r>
      <w:ins w:id="6497" w:author="Author">
        <w:r>
          <w:rPr>
            <w:rFonts w:eastAsia="Calibri"/>
            <w:noProof/>
            <w:szCs w:val="22"/>
            <w:lang w:val="it-IT" w:eastAsia="en-US"/>
          </w:rPr>
          <w:t xml:space="preserve">e sono trascorsi meno di 7 giorni dalla dose </w:t>
        </w:r>
      </w:ins>
      <w:del w:id="6498" w:author="Author">
        <w:r>
          <w:rPr>
            <w:rFonts w:eastAsia="Calibri"/>
            <w:noProof/>
            <w:szCs w:val="22"/>
            <w:lang w:val="it-IT" w:eastAsia="en-US"/>
          </w:rPr>
          <w:delText xml:space="preserve">entro 7 giorni dalla somministrazione </w:delText>
        </w:r>
      </w:del>
      <w:r>
        <w:rPr>
          <w:rFonts w:eastAsia="Calibri"/>
          <w:noProof/>
          <w:szCs w:val="22"/>
          <w:lang w:val="it-IT" w:eastAsia="en-US"/>
        </w:rPr>
        <w:t xml:space="preserve">prevista, </w:t>
      </w:r>
      <w:del w:id="6499" w:author="Author">
        <w:r>
          <w:rPr>
            <w:rFonts w:eastAsia="Calibri"/>
            <w:noProof/>
            <w:szCs w:val="22"/>
            <w:lang w:val="it-IT" w:eastAsia="en-US"/>
          </w:rPr>
          <w:delText xml:space="preserve">questi </w:delText>
        </w:r>
      </w:del>
      <w:ins w:id="6500" w:author="Author">
        <w:r>
          <w:rPr>
            <w:rFonts w:eastAsia="Calibri"/>
            <w:noProof/>
            <w:szCs w:val="22"/>
            <w:lang w:val="it-IT" w:eastAsia="en-US"/>
          </w:rPr>
          <w:t xml:space="preserve">il paziente </w:t>
        </w:r>
      </w:ins>
      <w:r>
        <w:rPr>
          <w:rFonts w:eastAsia="Calibri"/>
          <w:noProof/>
          <w:szCs w:val="22"/>
          <w:lang w:val="it-IT" w:eastAsia="en-US"/>
        </w:rPr>
        <w:t>deve essere istruito ad assumere la dose dimenticata immediatamente e quelle successive come programmato.</w:t>
      </w:r>
    </w:p>
    <w:p>
      <w:pPr>
        <w:rPr>
          <w:rFonts w:eastAsia="Calibri"/>
          <w:noProof/>
          <w:szCs w:val="22"/>
          <w:lang w:val="it-IT" w:eastAsia="en-US"/>
        </w:rPr>
      </w:pPr>
    </w:p>
    <w:p>
      <w:pPr>
        <w:ind w:left="567" w:hanging="567"/>
        <w:rPr>
          <w:del w:id="6501" w:author="Author"/>
          <w:bCs/>
          <w:noProof/>
          <w:szCs w:val="22"/>
          <w:u w:val="single"/>
          <w:lang w:val="it-IT" w:eastAsia="en-US"/>
        </w:rPr>
      </w:pPr>
      <w:r>
        <w:rPr>
          <w:rFonts w:eastAsia="Calibri"/>
          <w:bCs/>
          <w:noProof/>
          <w:szCs w:val="22"/>
          <w:u w:val="single"/>
          <w:lang w:val="it-IT" w:eastAsia="en-US"/>
        </w:rPr>
        <w:t xml:space="preserve">Popolazioni </w:t>
      </w:r>
      <w:del w:id="6502" w:author="Author">
        <w:r>
          <w:rPr>
            <w:rFonts w:eastAsia="Calibri"/>
            <w:bCs/>
            <w:noProof/>
            <w:szCs w:val="22"/>
            <w:u w:val="single"/>
            <w:lang w:val="it-IT" w:eastAsia="en-US"/>
          </w:rPr>
          <w:delText>particolari</w:delText>
        </w:r>
      </w:del>
      <w:ins w:id="6503" w:author="Author">
        <w:r>
          <w:rPr>
            <w:rFonts w:eastAsia="Calibri"/>
            <w:bCs/>
            <w:noProof/>
            <w:szCs w:val="22"/>
            <w:u w:val="single"/>
            <w:lang w:val="it-IT" w:eastAsia="en-US"/>
          </w:rPr>
          <w:t>speciali</w:t>
        </w:r>
      </w:ins>
    </w:p>
    <w:p>
      <w:pPr>
        <w:ind w:left="567" w:hanging="567"/>
        <w:rPr>
          <w:noProof/>
          <w:szCs w:val="22"/>
          <w:lang w:val="it-IT"/>
        </w:rPr>
      </w:pPr>
    </w:p>
    <w:p>
      <w:pPr>
        <w:ind w:left="567" w:hanging="567"/>
        <w:rPr>
          <w:i/>
          <w:noProof/>
          <w:szCs w:val="22"/>
          <w:lang w:val="it-IT" w:eastAsia="en-US"/>
        </w:rPr>
      </w:pPr>
      <w:r>
        <w:rPr>
          <w:rFonts w:eastAsia="Calibri"/>
          <w:i/>
          <w:noProof/>
          <w:szCs w:val="22"/>
          <w:lang w:val="it-IT" w:eastAsia="en-US"/>
        </w:rPr>
        <w:t>Anziani</w:t>
      </w:r>
    </w:p>
    <w:p>
      <w:pPr>
        <w:ind w:left="567" w:hanging="567"/>
        <w:rPr>
          <w:noProof/>
          <w:szCs w:val="22"/>
          <w:lang w:val="it-IT" w:eastAsia="en-US"/>
        </w:rPr>
      </w:pPr>
      <w:r>
        <w:rPr>
          <w:rFonts w:eastAsia="Calibri"/>
          <w:noProof/>
          <w:szCs w:val="22"/>
          <w:lang w:val="it-IT" w:eastAsia="en-US"/>
        </w:rPr>
        <w:t>Non è necessario effettuare alcun</w:t>
      </w:r>
      <w:ins w:id="6504" w:author="Author">
        <w:r>
          <w:rPr>
            <w:rFonts w:eastAsia="Calibri"/>
            <w:noProof/>
            <w:szCs w:val="22"/>
            <w:lang w:val="it-IT" w:eastAsia="en-US"/>
          </w:rPr>
          <w:t xml:space="preserve"> </w:t>
        </w:r>
      </w:ins>
      <w:del w:id="6505" w:author="Author">
        <w:r>
          <w:rPr>
            <w:rFonts w:eastAsia="Calibri"/>
            <w:noProof/>
            <w:szCs w:val="22"/>
            <w:lang w:val="it-IT" w:eastAsia="en-US"/>
          </w:rPr>
          <w:delText xml:space="preserve">a </w:delText>
        </w:r>
      </w:del>
      <w:ins w:id="6506" w:author="Author">
        <w:r>
          <w:rPr>
            <w:rFonts w:eastAsia="Calibri"/>
            <w:noProof/>
            <w:szCs w:val="22"/>
            <w:lang w:val="it-IT" w:eastAsia="en-US"/>
          </w:rPr>
          <w:t xml:space="preserve">aggiustamento </w:t>
        </w:r>
      </w:ins>
      <w:del w:id="6507" w:author="Author">
        <w:r>
          <w:rPr>
            <w:rFonts w:eastAsia="Calibri"/>
            <w:noProof/>
            <w:szCs w:val="22"/>
            <w:lang w:val="it-IT" w:eastAsia="en-US"/>
          </w:rPr>
          <w:delText xml:space="preserve">correzione </w:delText>
        </w:r>
      </w:del>
      <w:r>
        <w:rPr>
          <w:rFonts w:eastAsia="Calibri"/>
          <w:noProof/>
          <w:szCs w:val="22"/>
          <w:lang w:val="it-IT" w:eastAsia="en-US"/>
        </w:rPr>
        <w:t>del dosaggio in pazienti anziani di età &gt; 65 anni.</w:t>
      </w:r>
    </w:p>
    <w:p>
      <w:pPr>
        <w:ind w:left="567" w:hanging="567"/>
        <w:rPr>
          <w:noProof/>
          <w:szCs w:val="22"/>
          <w:lang w:val="it-IT"/>
        </w:rPr>
      </w:pPr>
    </w:p>
    <w:p>
      <w:pPr>
        <w:ind w:left="567" w:hanging="567"/>
        <w:rPr>
          <w:i/>
          <w:noProof/>
          <w:szCs w:val="22"/>
          <w:lang w:val="it-IT" w:eastAsia="en-US"/>
        </w:rPr>
      </w:pPr>
      <w:r>
        <w:rPr>
          <w:rFonts w:eastAsia="Calibri"/>
          <w:i/>
          <w:noProof/>
          <w:szCs w:val="22"/>
          <w:lang w:val="it-IT" w:eastAsia="en-US"/>
        </w:rPr>
        <w:t>Compromissione renale</w:t>
      </w:r>
    </w:p>
    <w:p>
      <w:pPr>
        <w:rPr>
          <w:noProof/>
          <w:szCs w:val="22"/>
          <w:lang w:val="it-IT" w:eastAsia="en-US"/>
        </w:rPr>
      </w:pPr>
      <w:r>
        <w:rPr>
          <w:rFonts w:eastAsia="Calibri"/>
          <w:noProof/>
          <w:szCs w:val="22"/>
          <w:lang w:val="it-IT" w:eastAsia="en-US"/>
        </w:rPr>
        <w:t>Non è necessario effettuare alcun</w:t>
      </w:r>
      <w:del w:id="6508" w:author="Author">
        <w:r>
          <w:rPr>
            <w:rFonts w:eastAsia="Calibri"/>
            <w:noProof/>
            <w:szCs w:val="22"/>
            <w:lang w:val="it-IT" w:eastAsia="en-US"/>
          </w:rPr>
          <w:delText>a</w:delText>
        </w:r>
      </w:del>
      <w:r>
        <w:rPr>
          <w:rFonts w:eastAsia="Calibri"/>
          <w:noProof/>
          <w:szCs w:val="22"/>
          <w:lang w:val="it-IT" w:eastAsia="en-US"/>
        </w:rPr>
        <w:t xml:space="preserve"> </w:t>
      </w:r>
      <w:del w:id="6509" w:author="Author">
        <w:r>
          <w:rPr>
            <w:rFonts w:eastAsia="Calibri"/>
            <w:noProof/>
            <w:szCs w:val="22"/>
            <w:lang w:val="it-IT" w:eastAsia="en-US"/>
          </w:rPr>
          <w:delText xml:space="preserve">correzione </w:delText>
        </w:r>
      </w:del>
      <w:ins w:id="6510" w:author="Author">
        <w:r>
          <w:rPr>
            <w:rFonts w:eastAsia="Calibri"/>
            <w:noProof/>
            <w:szCs w:val="22"/>
            <w:lang w:val="it-IT" w:eastAsia="en-US"/>
          </w:rPr>
          <w:t xml:space="preserve">aggiustamento </w:t>
        </w:r>
      </w:ins>
      <w:r>
        <w:rPr>
          <w:rFonts w:eastAsia="Calibri"/>
          <w:noProof/>
          <w:szCs w:val="22"/>
          <w:lang w:val="it-IT" w:eastAsia="en-US"/>
        </w:rPr>
        <w:t>del dosaggio nei pazienti con compromissione renale lieve o moderata. Tocilizumab non è stato studiato in pazienti con compromissione renale severa (vedere paragrafo 5.2). La funzionalità renale deve essere attentamente monitorata in questi pazienti.</w:t>
      </w:r>
    </w:p>
    <w:p>
      <w:pPr>
        <w:rPr>
          <w:noProof/>
          <w:szCs w:val="22"/>
          <w:lang w:val="it-IT"/>
        </w:rPr>
      </w:pPr>
    </w:p>
    <w:p>
      <w:pPr>
        <w:rPr>
          <w:noProof/>
          <w:szCs w:val="22"/>
          <w:lang w:val="it-IT" w:eastAsia="en-US"/>
        </w:rPr>
      </w:pPr>
      <w:r>
        <w:rPr>
          <w:rFonts w:eastAsia="Calibri"/>
          <w:i/>
          <w:noProof/>
          <w:szCs w:val="22"/>
          <w:lang w:val="it-IT" w:eastAsia="en-US"/>
        </w:rPr>
        <w:t>Compromissione epatica</w:t>
      </w:r>
    </w:p>
    <w:p>
      <w:pPr>
        <w:rPr>
          <w:noProof/>
          <w:szCs w:val="22"/>
          <w:lang w:val="it-IT" w:eastAsia="en-US"/>
        </w:rPr>
      </w:pPr>
      <w:r>
        <w:rPr>
          <w:rFonts w:eastAsia="Calibri"/>
          <w:noProof/>
          <w:szCs w:val="22"/>
          <w:lang w:val="it-IT" w:eastAsia="en-US"/>
        </w:rPr>
        <w:t>Tocilizumab non è stato studiato in pazienti con compromissione epatica. Non si possono quindi fare raccomandazioni sul dosaggio.</w:t>
      </w:r>
    </w:p>
    <w:p>
      <w:pPr>
        <w:rPr>
          <w:noProof/>
          <w:szCs w:val="22"/>
          <w:lang w:val="it-IT"/>
        </w:rPr>
      </w:pPr>
    </w:p>
    <w:p>
      <w:pPr>
        <w:keepNext/>
        <w:keepLines/>
        <w:ind w:left="567" w:hanging="567"/>
        <w:rPr>
          <w:rFonts w:eastAsia="Calibri"/>
          <w:i/>
          <w:noProof/>
          <w:szCs w:val="22"/>
          <w:lang w:val="it-IT" w:eastAsia="en-US"/>
        </w:rPr>
      </w:pPr>
      <w:r>
        <w:rPr>
          <w:rFonts w:eastAsia="Calibri"/>
          <w:i/>
          <w:noProof/>
          <w:szCs w:val="22"/>
          <w:lang w:val="it-IT" w:eastAsia="en-US"/>
        </w:rPr>
        <w:t>Popolazione</w:t>
      </w:r>
      <w:del w:id="6511" w:author="Author">
        <w:r>
          <w:rPr>
            <w:rFonts w:eastAsia="Calibri"/>
            <w:i/>
            <w:noProof/>
            <w:szCs w:val="22"/>
            <w:lang w:val="it-IT" w:eastAsia="en-US"/>
          </w:rPr>
          <w:delText xml:space="preserve"> </w:delText>
        </w:r>
      </w:del>
      <w:r>
        <w:rPr>
          <w:rFonts w:eastAsia="Calibri"/>
          <w:i/>
          <w:noProof/>
          <w:szCs w:val="22"/>
          <w:lang w:val="it-IT" w:eastAsia="en-US"/>
        </w:rPr>
        <w:t xml:space="preserve"> pediatrica</w:t>
      </w:r>
    </w:p>
    <w:p>
      <w:pPr>
        <w:keepNext/>
        <w:keepLines/>
        <w:rPr>
          <w:rFonts w:eastAsia="Calibri"/>
          <w:noProof/>
          <w:szCs w:val="22"/>
          <w:lang w:val="it-IT" w:eastAsia="en-US"/>
        </w:rPr>
      </w:pPr>
      <w:r>
        <w:rPr>
          <w:rFonts w:eastAsia="Calibri"/>
          <w:noProof/>
          <w:szCs w:val="22"/>
          <w:lang w:val="it-IT" w:eastAsia="en-US"/>
        </w:rPr>
        <w:t>La sicurezza e l’efficacia della formulazione sottocutanea di tocilizumab nei bambini da zero a meno di 1 anno non sono state stabilite. Non ci sono dati disponibili.</w:t>
      </w:r>
    </w:p>
    <w:p>
      <w:pPr>
        <w:keepNext/>
        <w:keepLines/>
        <w:rPr>
          <w:rFonts w:eastAsia="Calibri"/>
          <w:noProof/>
          <w:szCs w:val="22"/>
          <w:lang w:val="it-IT" w:eastAsia="en-US"/>
        </w:rPr>
      </w:pPr>
    </w:p>
    <w:p>
      <w:pPr>
        <w:tabs>
          <w:tab w:val="left" w:pos="180"/>
        </w:tabs>
        <w:rPr>
          <w:noProof/>
          <w:lang w:val="it-IT"/>
        </w:rPr>
      </w:pPr>
      <w:r>
        <w:rPr>
          <w:noProof/>
          <w:lang w:val="it-IT"/>
        </w:rPr>
        <w:t xml:space="preserve">La modifica della dose deve avvenire esclusivamente sulla base di una variazione regolare del peso corporeo del paziente valutata nel tempo. </w:t>
      </w:r>
      <w:r>
        <w:rPr>
          <w:rFonts w:eastAsia="Calibri"/>
          <w:noProof/>
          <w:szCs w:val="22"/>
          <w:lang w:val="it-IT" w:eastAsia="en-US"/>
        </w:rPr>
        <w:t xml:space="preserve">Tocilizumab </w:t>
      </w:r>
      <w:r>
        <w:rPr>
          <w:noProof/>
          <w:lang w:val="it-IT"/>
        </w:rPr>
        <w:t>può essere usato in monoterapia o in associazione con MTX.</w:t>
      </w:r>
    </w:p>
    <w:p>
      <w:pPr>
        <w:keepNext/>
        <w:keepLines/>
        <w:rPr>
          <w:rFonts w:eastAsia="Calibri"/>
          <w:noProof/>
          <w:szCs w:val="22"/>
          <w:lang w:val="it-IT" w:eastAsia="en-US"/>
        </w:rPr>
      </w:pPr>
    </w:p>
    <w:p>
      <w:pPr>
        <w:tabs>
          <w:tab w:val="left" w:pos="180"/>
        </w:tabs>
        <w:rPr>
          <w:i/>
          <w:noProof/>
          <w:u w:val="single"/>
          <w:lang w:val="it-IT"/>
          <w:rPrChange w:id="6512" w:author="Author">
            <w:rPr>
              <w:i/>
              <w:lang w:val="it-IT"/>
            </w:rPr>
          </w:rPrChange>
        </w:rPr>
      </w:pPr>
      <w:r>
        <w:rPr>
          <w:i/>
          <w:noProof/>
          <w:u w:val="single"/>
          <w:lang w:val="it-IT"/>
          <w:rPrChange w:id="6513" w:author="Author">
            <w:rPr>
              <w:i/>
              <w:lang w:val="it-IT"/>
            </w:rPr>
          </w:rPrChange>
        </w:rPr>
        <w:t>Pazienti affetti da AIGs</w:t>
      </w:r>
    </w:p>
    <w:p>
      <w:pPr>
        <w:tabs>
          <w:tab w:val="left" w:pos="180"/>
        </w:tabs>
        <w:rPr>
          <w:noProof/>
          <w:lang w:val="it-IT"/>
        </w:rPr>
      </w:pPr>
      <w:r>
        <w:rPr>
          <w:noProof/>
          <w:lang w:val="it-IT"/>
        </w:rPr>
        <w:t>La posologia raccomandata nei pazienti di età superiore a 12 anni è di 162 mg per via sottocutanea una volta a settimana nei pazienti di peso uguale o superiore a 30 kg o di 162 mg per via sottocutanea una volta ogni 2 settimane nei pazienti di peso inferiore a 30 kg.</w:t>
      </w:r>
    </w:p>
    <w:p>
      <w:pPr>
        <w:tabs>
          <w:tab w:val="left" w:pos="180"/>
        </w:tabs>
        <w:rPr>
          <w:noProof/>
          <w:lang w:val="it-IT"/>
        </w:rPr>
      </w:pPr>
    </w:p>
    <w:p>
      <w:pPr>
        <w:tabs>
          <w:tab w:val="left" w:pos="180"/>
        </w:tabs>
        <w:rPr>
          <w:noProof/>
          <w:lang w:val="it-IT"/>
        </w:rPr>
      </w:pPr>
      <w:r>
        <w:rPr>
          <w:noProof/>
          <w:lang w:val="it-IT"/>
        </w:rPr>
        <w:t>La penna preriempita non deve essere usata per trattare pazienti pediatrici di età &lt; 12 anni.</w:t>
      </w:r>
    </w:p>
    <w:p>
      <w:pPr>
        <w:tabs>
          <w:tab w:val="left" w:pos="180"/>
        </w:tabs>
        <w:rPr>
          <w:noProof/>
          <w:lang w:val="it-IT"/>
        </w:rPr>
      </w:pPr>
    </w:p>
    <w:p>
      <w:pPr>
        <w:tabs>
          <w:tab w:val="left" w:pos="180"/>
        </w:tabs>
        <w:rPr>
          <w:noProof/>
          <w:lang w:val="it-IT"/>
        </w:rPr>
      </w:pPr>
      <w:r>
        <w:rPr>
          <w:noProof/>
          <w:lang w:val="it-IT"/>
        </w:rPr>
        <w:t xml:space="preserve">I pazienti devono pesare almeno 10 kg durante il trattamento con </w:t>
      </w:r>
      <w:r>
        <w:rPr>
          <w:rFonts w:eastAsia="Calibri"/>
          <w:noProof/>
          <w:szCs w:val="22"/>
          <w:lang w:val="it-IT" w:eastAsia="en-US"/>
        </w:rPr>
        <w:t xml:space="preserve">tocilizumab </w:t>
      </w:r>
      <w:r>
        <w:rPr>
          <w:noProof/>
          <w:lang w:val="it-IT"/>
        </w:rPr>
        <w:t>per via sottocutanea.</w:t>
      </w:r>
    </w:p>
    <w:p>
      <w:pPr>
        <w:tabs>
          <w:tab w:val="left" w:pos="180"/>
        </w:tabs>
        <w:rPr>
          <w:noProof/>
          <w:lang w:val="it-IT"/>
        </w:rPr>
      </w:pPr>
    </w:p>
    <w:p>
      <w:pPr>
        <w:keepNext/>
        <w:keepLines/>
        <w:tabs>
          <w:tab w:val="left" w:pos="180"/>
        </w:tabs>
        <w:rPr>
          <w:i/>
          <w:noProof/>
          <w:u w:val="single"/>
          <w:lang w:val="it-IT"/>
          <w:rPrChange w:id="6514" w:author="Author">
            <w:rPr>
              <w:i/>
              <w:lang w:val="it-IT"/>
            </w:rPr>
          </w:rPrChange>
        </w:rPr>
      </w:pPr>
      <w:r>
        <w:rPr>
          <w:i/>
          <w:noProof/>
          <w:u w:val="single"/>
          <w:lang w:val="it-IT"/>
          <w:rPrChange w:id="6515" w:author="Author">
            <w:rPr>
              <w:i/>
              <w:lang w:val="it-IT"/>
            </w:rPr>
          </w:rPrChange>
        </w:rPr>
        <w:t>Pazienti affetti da AIGp</w:t>
      </w:r>
    </w:p>
    <w:p>
      <w:pPr>
        <w:keepNext/>
        <w:keepLines/>
        <w:tabs>
          <w:tab w:val="left" w:pos="180"/>
        </w:tabs>
        <w:rPr>
          <w:noProof/>
          <w:lang w:val="it-IT"/>
        </w:rPr>
      </w:pPr>
      <w:r>
        <w:rPr>
          <w:noProof/>
          <w:lang w:val="it-IT"/>
        </w:rPr>
        <w:t>La posologia raccomandata nei pazienti di età superiore a 12 anni è di 162 mg per via sottocutanea una volta ogni 2 settimane nei pazienti di peso uguale o superiore a 30 kg o di 162 mg per via sottocutanea una volta ogni 3 settimane nei pazienti di peso inferiore a 30 kg.</w:t>
      </w:r>
    </w:p>
    <w:p>
      <w:pPr>
        <w:keepNext/>
        <w:keepLines/>
        <w:tabs>
          <w:tab w:val="left" w:pos="180"/>
        </w:tabs>
        <w:rPr>
          <w:noProof/>
          <w:lang w:val="it-IT"/>
        </w:rPr>
      </w:pPr>
    </w:p>
    <w:p>
      <w:pPr>
        <w:tabs>
          <w:tab w:val="left" w:pos="180"/>
        </w:tabs>
        <w:rPr>
          <w:noProof/>
          <w:lang w:val="it-IT"/>
        </w:rPr>
      </w:pPr>
      <w:r>
        <w:rPr>
          <w:noProof/>
          <w:lang w:val="it-IT"/>
        </w:rPr>
        <w:t>La penna preriempita non deve essere usata per trattare pazienti pediatrici di età &lt; 12 anni.</w:t>
      </w:r>
    </w:p>
    <w:p>
      <w:pPr>
        <w:tabs>
          <w:tab w:val="left" w:pos="180"/>
        </w:tabs>
        <w:rPr>
          <w:noProof/>
          <w:lang w:val="it-IT"/>
        </w:rPr>
        <w:pPrChange w:id="6516" w:author="Author">
          <w:pPr>
            <w:keepNext/>
            <w:keepLines/>
            <w:tabs>
              <w:tab w:val="left" w:pos="180"/>
            </w:tabs>
          </w:pPr>
        </w:pPrChange>
      </w:pPr>
    </w:p>
    <w:p>
      <w:pPr>
        <w:keepNext/>
        <w:keepLines/>
        <w:tabs>
          <w:tab w:val="left" w:pos="180"/>
        </w:tabs>
        <w:rPr>
          <w:i/>
          <w:iCs/>
          <w:noProof/>
          <w:u w:val="single"/>
          <w:lang w:val="it-IT"/>
        </w:rPr>
      </w:pPr>
      <w:r>
        <w:rPr>
          <w:i/>
          <w:iCs/>
          <w:noProof/>
          <w:u w:val="single"/>
          <w:lang w:val="it-IT"/>
        </w:rPr>
        <w:t>Pazienti affetti da AIGs e AIGp</w:t>
      </w:r>
    </w:p>
    <w:p>
      <w:pPr>
        <w:keepNext/>
        <w:keepLines/>
        <w:tabs>
          <w:tab w:val="left" w:pos="180"/>
        </w:tabs>
        <w:rPr>
          <w:del w:id="6517" w:author="Author"/>
          <w:noProof/>
          <w:lang w:val="it-IT"/>
        </w:rPr>
      </w:pPr>
      <w:r>
        <w:rPr>
          <w:noProof/>
          <w:lang w:val="it-IT"/>
        </w:rPr>
        <w:t xml:space="preserve">Aggiustamenti della dose dovuti ad anomalie di laboratorio </w:t>
      </w:r>
    </w:p>
    <w:p>
      <w:pPr>
        <w:keepNext/>
        <w:keepLines/>
        <w:tabs>
          <w:tab w:val="left" w:pos="180"/>
        </w:tabs>
        <w:rPr>
          <w:noProof/>
          <w:lang w:val="it-IT"/>
        </w:rPr>
      </w:pPr>
    </w:p>
    <w:p>
      <w:pPr>
        <w:keepNext/>
        <w:keepLines/>
        <w:tabs>
          <w:tab w:val="left" w:pos="180"/>
        </w:tabs>
        <w:rPr>
          <w:noProof/>
          <w:lang w:val="it-IT"/>
        </w:rPr>
      </w:pPr>
      <w:r>
        <w:rPr>
          <w:noProof/>
          <w:lang w:val="it-IT"/>
        </w:rPr>
        <w:t>Se appropriato, è necessario modificare la dose o interrompere la somministrazione della terapia concomitante con MTX e/o con altri medicinali e sospendere il trattamento con tocilizumab finché non sia stata valutata la situazione clinica. Poiché l’AIGs e l’AIGp si associano a molte comorbilità che possono alterare i valori di laboratorio, la decisione di interrompere il trattamento con tocilizumab per un’anomalia di laboratorio deve basarsi sulla valutazione medica del singolo paziente.</w:t>
      </w:r>
    </w:p>
    <w:p>
      <w:pPr>
        <w:ind w:left="567" w:hanging="567"/>
        <w:rPr>
          <w:noProof/>
          <w:szCs w:val="22"/>
          <w:lang w:val="it-IT"/>
        </w:rPr>
      </w:pPr>
    </w:p>
    <w:p>
      <w:pPr>
        <w:pStyle w:val="Standard"/>
        <w:keepNext/>
        <w:ind w:left="11"/>
        <w:rPr>
          <w:noProof/>
          <w:lang w:val="it-IT"/>
        </w:rPr>
      </w:pPr>
      <w:r>
        <w:rPr>
          <w:noProof/>
          <w:lang w:val="it-IT"/>
        </w:rPr>
        <w:lastRenderedPageBreak/>
        <w:sym w:font="Symbol" w:char="F0B7"/>
      </w:r>
      <w:r>
        <w:rPr>
          <w:noProof/>
          <w:lang w:val="it-IT"/>
        </w:rPr>
        <w:tab/>
        <w:t>Anomalie negli enzimi epatici</w:t>
      </w:r>
    </w:p>
    <w:p>
      <w:pPr>
        <w:pStyle w:val="Standard"/>
        <w:keepNext/>
        <w:ind w:left="11"/>
        <w:rPr>
          <w:noProof/>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1E0" w:firstRow="1" w:lastRow="1" w:firstColumn="1" w:lastColumn="1" w:noHBand="0" w:noVBand="0"/>
        <w:tblPrChange w:id="6518"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55"/>
        <w:gridCol w:w="6906"/>
        <w:tblGridChange w:id="6519">
          <w:tblGrid>
            <w:gridCol w:w="2086"/>
            <w:gridCol w:w="6975"/>
          </w:tblGrid>
        </w:tblGridChange>
      </w:tblGrid>
      <w:tr>
        <w:tc>
          <w:tcPr>
            <w:tcW w:w="1189" w:type="pct"/>
            <w:tcBorders>
              <w:top w:val="single" w:sz="4" w:space="0" w:color="auto"/>
              <w:left w:val="single" w:sz="4" w:space="0" w:color="auto"/>
              <w:bottom w:val="single" w:sz="4" w:space="0" w:color="auto"/>
              <w:right w:val="single" w:sz="4" w:space="0" w:color="auto"/>
            </w:tcBorders>
            <w:hideMark/>
            <w:tcPrChange w:id="6520" w:author="Author">
              <w:tcPr>
                <w:tcW w:w="1151" w:type="pct"/>
                <w:tcBorders>
                  <w:top w:val="single" w:sz="4" w:space="0" w:color="auto"/>
                  <w:left w:val="single" w:sz="4" w:space="0" w:color="auto"/>
                  <w:bottom w:val="single" w:sz="4" w:space="0" w:color="auto"/>
                  <w:right w:val="single" w:sz="4" w:space="0" w:color="auto"/>
                </w:tcBorders>
                <w:hideMark/>
              </w:tcPr>
            </w:tcPrChange>
          </w:tcPr>
          <w:p>
            <w:pPr>
              <w:pStyle w:val="Standard"/>
              <w:keepNext/>
              <w:ind w:left="11"/>
              <w:rPr>
                <w:bCs/>
                <w:noProof/>
                <w:lang w:val="it-IT"/>
                <w:rPrChange w:id="6521" w:author="Author">
                  <w:rPr>
                    <w:b/>
                    <w:lang w:val="it-IT"/>
                  </w:rPr>
                </w:rPrChange>
              </w:rPr>
            </w:pPr>
            <w:r>
              <w:rPr>
                <w:bCs/>
                <w:noProof/>
                <w:lang w:val="it-IT"/>
                <w:rPrChange w:id="6522" w:author="Author">
                  <w:rPr>
                    <w:b/>
                    <w:lang w:val="it-IT"/>
                  </w:rPr>
                </w:rPrChange>
              </w:rPr>
              <w:t>Valore di laboratorio</w:t>
            </w:r>
          </w:p>
        </w:tc>
        <w:tc>
          <w:tcPr>
            <w:tcW w:w="3811" w:type="pct"/>
            <w:tcBorders>
              <w:top w:val="single" w:sz="4" w:space="0" w:color="auto"/>
              <w:left w:val="single" w:sz="4" w:space="0" w:color="auto"/>
              <w:bottom w:val="single" w:sz="4" w:space="0" w:color="auto"/>
              <w:right w:val="single" w:sz="4" w:space="0" w:color="auto"/>
            </w:tcBorders>
            <w:hideMark/>
            <w:tcPrChange w:id="6523" w:author="Author">
              <w:tcPr>
                <w:tcW w:w="3849" w:type="pct"/>
                <w:tcBorders>
                  <w:top w:val="single" w:sz="4" w:space="0" w:color="auto"/>
                  <w:left w:val="single" w:sz="4" w:space="0" w:color="auto"/>
                  <w:bottom w:val="single" w:sz="4" w:space="0" w:color="auto"/>
                  <w:right w:val="single" w:sz="4" w:space="0" w:color="auto"/>
                </w:tcBorders>
                <w:hideMark/>
              </w:tcPr>
            </w:tcPrChange>
          </w:tcPr>
          <w:p>
            <w:pPr>
              <w:pStyle w:val="Standard"/>
              <w:keepNext/>
              <w:ind w:left="11"/>
              <w:rPr>
                <w:bCs/>
                <w:noProof/>
                <w:lang w:val="it-IT"/>
                <w:rPrChange w:id="6524" w:author="Author">
                  <w:rPr>
                    <w:b/>
                    <w:lang w:val="it-IT"/>
                  </w:rPr>
                </w:rPrChange>
              </w:rPr>
            </w:pPr>
            <w:r>
              <w:rPr>
                <w:bCs/>
                <w:noProof/>
                <w:lang w:val="it-IT"/>
                <w:rPrChange w:id="6525" w:author="Author">
                  <w:rPr>
                    <w:b/>
                    <w:lang w:val="it-IT"/>
                  </w:rPr>
                </w:rPrChange>
              </w:rPr>
              <w:t>Azione</w:t>
            </w:r>
          </w:p>
        </w:tc>
      </w:tr>
      <w:tr>
        <w:tc>
          <w:tcPr>
            <w:tcW w:w="1189" w:type="pct"/>
            <w:tcBorders>
              <w:top w:val="single" w:sz="4" w:space="0" w:color="auto"/>
              <w:left w:val="single" w:sz="4" w:space="0" w:color="auto"/>
              <w:bottom w:val="single" w:sz="4" w:space="0" w:color="auto"/>
              <w:right w:val="single" w:sz="4" w:space="0" w:color="auto"/>
            </w:tcBorders>
            <w:hideMark/>
            <w:tcPrChange w:id="6526" w:author="Author">
              <w:tcPr>
                <w:tcW w:w="1151" w:type="pct"/>
                <w:tcBorders>
                  <w:top w:val="single" w:sz="4" w:space="0" w:color="auto"/>
                  <w:left w:val="single" w:sz="4" w:space="0" w:color="auto"/>
                  <w:bottom w:val="single" w:sz="4" w:space="0" w:color="auto"/>
                  <w:right w:val="single" w:sz="4" w:space="0" w:color="auto"/>
                </w:tcBorders>
                <w:hideMark/>
              </w:tcPr>
            </w:tcPrChange>
          </w:tcPr>
          <w:p>
            <w:pPr>
              <w:pStyle w:val="Standard"/>
              <w:keepNext/>
              <w:ind w:left="11"/>
              <w:rPr>
                <w:noProof/>
                <w:lang w:val="it-IT"/>
              </w:rPr>
            </w:pPr>
            <w:r>
              <w:rPr>
                <w:noProof/>
                <w:lang w:val="it-IT"/>
              </w:rPr>
              <w:t xml:space="preserve">Da </w:t>
            </w:r>
            <w:r>
              <w:rPr>
                <w:noProof/>
                <w:lang w:val="it-IT"/>
              </w:rPr>
              <w:sym w:font="Symbol" w:char="F03E"/>
            </w:r>
            <w:r>
              <w:rPr>
                <w:noProof/>
                <w:lang w:val="it-IT"/>
              </w:rPr>
              <w:t xml:space="preserve"> 1 a 3 volte ULN</w:t>
            </w:r>
          </w:p>
        </w:tc>
        <w:tc>
          <w:tcPr>
            <w:tcW w:w="3811" w:type="pct"/>
            <w:tcBorders>
              <w:top w:val="single" w:sz="4" w:space="0" w:color="auto"/>
              <w:left w:val="single" w:sz="4" w:space="0" w:color="auto"/>
              <w:bottom w:val="single" w:sz="4" w:space="0" w:color="auto"/>
              <w:right w:val="single" w:sz="4" w:space="0" w:color="auto"/>
            </w:tcBorders>
            <w:hideMark/>
            <w:tcPrChange w:id="6527" w:author="Author">
              <w:tcPr>
                <w:tcW w:w="3849" w:type="pct"/>
                <w:tcBorders>
                  <w:top w:val="single" w:sz="4" w:space="0" w:color="auto"/>
                  <w:left w:val="single" w:sz="4" w:space="0" w:color="auto"/>
                  <w:bottom w:val="single" w:sz="4" w:space="0" w:color="auto"/>
                  <w:right w:val="single" w:sz="4" w:space="0" w:color="auto"/>
                </w:tcBorders>
                <w:hideMark/>
              </w:tcPr>
            </w:tcPrChange>
          </w:tcPr>
          <w:p>
            <w:pPr>
              <w:pStyle w:val="Standard"/>
              <w:keepNext/>
              <w:ind w:left="11"/>
              <w:rPr>
                <w:noProof/>
                <w:lang w:val="it-IT"/>
              </w:rPr>
            </w:pPr>
            <w:r>
              <w:rPr>
                <w:noProof/>
                <w:lang w:val="it-IT"/>
              </w:rPr>
              <w:t>Se appropriato, modificare la dose della terapia concomitante con MTX.</w:t>
            </w:r>
          </w:p>
          <w:p>
            <w:pPr>
              <w:pStyle w:val="Standard"/>
              <w:keepNext/>
              <w:ind w:left="11"/>
              <w:rPr>
                <w:noProof/>
                <w:lang w:val="it-IT"/>
              </w:rPr>
            </w:pPr>
          </w:p>
          <w:p>
            <w:pPr>
              <w:pStyle w:val="Standard"/>
              <w:keepNext/>
              <w:ind w:left="11"/>
              <w:rPr>
                <w:noProof/>
                <w:lang w:val="it-IT"/>
              </w:rPr>
            </w:pPr>
            <w:r>
              <w:rPr>
                <w:noProof/>
                <w:lang w:val="it-IT"/>
              </w:rPr>
              <w:t>In caso di aumenti persistenti entro questo intervallo, interrompere il trattamento con tocilizumab fino alla normalizzazione dei livelli di ALT/AST.</w:t>
            </w:r>
          </w:p>
        </w:tc>
      </w:tr>
      <w:tr>
        <w:tc>
          <w:tcPr>
            <w:tcW w:w="1189" w:type="pct"/>
            <w:tcBorders>
              <w:top w:val="single" w:sz="4" w:space="0" w:color="auto"/>
              <w:left w:val="single" w:sz="4" w:space="0" w:color="auto"/>
              <w:bottom w:val="single" w:sz="4" w:space="0" w:color="auto"/>
              <w:right w:val="single" w:sz="4" w:space="0" w:color="auto"/>
            </w:tcBorders>
            <w:tcPrChange w:id="6528" w:author="Author">
              <w:tcPr>
                <w:tcW w:w="1151" w:type="pct"/>
                <w:tcBorders>
                  <w:top w:val="single" w:sz="4" w:space="0" w:color="auto"/>
                  <w:left w:val="single" w:sz="4" w:space="0" w:color="auto"/>
                  <w:bottom w:val="single" w:sz="4" w:space="0" w:color="auto"/>
                  <w:right w:val="single" w:sz="4" w:space="0" w:color="auto"/>
                </w:tcBorders>
              </w:tcPr>
            </w:tcPrChange>
          </w:tcPr>
          <w:p>
            <w:pPr>
              <w:pStyle w:val="Standard"/>
              <w:keepNext/>
              <w:ind w:left="9"/>
              <w:rPr>
                <w:noProof/>
                <w:lang w:val="it-IT"/>
              </w:rPr>
              <w:pPrChange w:id="6529" w:author="Author">
                <w:pPr>
                  <w:pStyle w:val="Standard"/>
                  <w:ind w:left="9"/>
                </w:pPr>
              </w:pPrChange>
            </w:pPr>
            <w:r>
              <w:rPr>
                <w:noProof/>
                <w:lang w:val="it-IT"/>
              </w:rPr>
              <w:t xml:space="preserve">Da </w:t>
            </w:r>
            <w:r>
              <w:rPr>
                <w:noProof/>
                <w:lang w:val="it-IT"/>
              </w:rPr>
              <w:sym w:font="Symbol" w:char="F03E"/>
            </w:r>
            <w:r>
              <w:rPr>
                <w:noProof/>
                <w:lang w:val="it-IT"/>
              </w:rPr>
              <w:t xml:space="preserve"> 3 a 5 volte ULN</w:t>
            </w:r>
          </w:p>
        </w:tc>
        <w:tc>
          <w:tcPr>
            <w:tcW w:w="3811" w:type="pct"/>
            <w:tcBorders>
              <w:top w:val="single" w:sz="4" w:space="0" w:color="auto"/>
              <w:left w:val="single" w:sz="4" w:space="0" w:color="auto"/>
              <w:bottom w:val="single" w:sz="4" w:space="0" w:color="auto"/>
              <w:right w:val="single" w:sz="4" w:space="0" w:color="auto"/>
            </w:tcBorders>
            <w:tcPrChange w:id="6530" w:author="Author">
              <w:tcPr>
                <w:tcW w:w="3849" w:type="pct"/>
                <w:tcBorders>
                  <w:top w:val="single" w:sz="4" w:space="0" w:color="auto"/>
                  <w:left w:val="single" w:sz="4" w:space="0" w:color="auto"/>
                  <w:bottom w:val="single" w:sz="4" w:space="0" w:color="auto"/>
                  <w:right w:val="single" w:sz="4" w:space="0" w:color="auto"/>
                </w:tcBorders>
              </w:tcPr>
            </w:tcPrChange>
          </w:tcPr>
          <w:p>
            <w:pPr>
              <w:pStyle w:val="Standard"/>
              <w:keepNext/>
              <w:ind w:left="9"/>
              <w:rPr>
                <w:noProof/>
                <w:lang w:val="it-IT"/>
              </w:rPr>
              <w:pPrChange w:id="6531" w:author="Author">
                <w:pPr>
                  <w:pStyle w:val="Standard"/>
                  <w:ind w:left="9"/>
                </w:pPr>
              </w:pPrChange>
            </w:pPr>
            <w:r>
              <w:rPr>
                <w:noProof/>
                <w:lang w:val="it-IT"/>
              </w:rPr>
              <w:t>Se appropriato, modificare la dose della terapia concomitante con MTX.</w:t>
            </w:r>
          </w:p>
          <w:p>
            <w:pPr>
              <w:pStyle w:val="Standard"/>
              <w:keepNext/>
              <w:ind w:left="9"/>
              <w:rPr>
                <w:noProof/>
                <w:lang w:val="it-IT"/>
              </w:rPr>
              <w:pPrChange w:id="6532" w:author="Author">
                <w:pPr>
                  <w:pStyle w:val="Standard"/>
                  <w:ind w:left="9"/>
                </w:pPr>
              </w:pPrChange>
            </w:pPr>
          </w:p>
          <w:p>
            <w:pPr>
              <w:pStyle w:val="Standard"/>
              <w:keepNext/>
              <w:ind w:left="9"/>
              <w:rPr>
                <w:del w:id="6533" w:author="Author"/>
                <w:noProof/>
                <w:lang w:val="it-IT"/>
              </w:rPr>
              <w:pPrChange w:id="6534" w:author="Author">
                <w:pPr>
                  <w:pStyle w:val="Standard"/>
                  <w:ind w:left="9"/>
                </w:pPr>
              </w:pPrChange>
            </w:pPr>
            <w:r>
              <w:rPr>
                <w:noProof/>
                <w:lang w:val="it-IT"/>
              </w:rPr>
              <w:t xml:space="preserve">Interrompere la somministrazione di tocilizumab fino a </w:t>
            </w:r>
            <w:r>
              <w:rPr>
                <w:noProof/>
                <w:lang w:val="it-IT"/>
              </w:rPr>
              <w:sym w:font="Symbol" w:char="F03C"/>
            </w:r>
            <w:r>
              <w:rPr>
                <w:noProof/>
                <w:lang w:val="it-IT"/>
              </w:rPr>
              <w:t xml:space="preserve"> 3 volte ULN e seguire le raccomandazioni di cui sopra da </w:t>
            </w:r>
            <w:r>
              <w:rPr>
                <w:noProof/>
                <w:lang w:val="it-IT"/>
              </w:rPr>
              <w:sym w:font="Symbol" w:char="F03E"/>
            </w:r>
            <w:r>
              <w:rPr>
                <w:noProof/>
                <w:lang w:val="it-IT"/>
              </w:rPr>
              <w:t xml:space="preserve"> 1 a 3 volte ULN.</w:t>
            </w:r>
          </w:p>
          <w:p>
            <w:pPr>
              <w:pStyle w:val="Standard"/>
              <w:keepNext/>
              <w:ind w:left="9"/>
              <w:rPr>
                <w:noProof/>
                <w:lang w:val="it-IT"/>
              </w:rPr>
              <w:pPrChange w:id="6535" w:author="Author">
                <w:pPr>
                  <w:pStyle w:val="Standard"/>
                  <w:ind w:left="9"/>
                </w:pPr>
              </w:pPrChange>
            </w:pPr>
          </w:p>
        </w:tc>
      </w:tr>
      <w:tr>
        <w:tc>
          <w:tcPr>
            <w:tcW w:w="1189" w:type="pct"/>
            <w:tcBorders>
              <w:top w:val="single" w:sz="4" w:space="0" w:color="auto"/>
              <w:left w:val="single" w:sz="4" w:space="0" w:color="auto"/>
              <w:bottom w:val="single" w:sz="4" w:space="0" w:color="auto"/>
              <w:right w:val="single" w:sz="4" w:space="0" w:color="auto"/>
            </w:tcBorders>
            <w:hideMark/>
            <w:tcPrChange w:id="6536" w:author="Author">
              <w:tcPr>
                <w:tcW w:w="1151" w:type="pct"/>
                <w:tcBorders>
                  <w:top w:val="single" w:sz="4" w:space="0" w:color="auto"/>
                  <w:left w:val="single" w:sz="4" w:space="0" w:color="auto"/>
                  <w:bottom w:val="single" w:sz="4" w:space="0" w:color="auto"/>
                  <w:right w:val="single" w:sz="4" w:space="0" w:color="auto"/>
                </w:tcBorders>
                <w:hideMark/>
              </w:tcPr>
            </w:tcPrChange>
          </w:tcPr>
          <w:p>
            <w:pPr>
              <w:pStyle w:val="Standard"/>
              <w:ind w:left="9"/>
              <w:rPr>
                <w:noProof/>
                <w:lang w:val="it-IT"/>
              </w:rPr>
            </w:pPr>
            <w:r>
              <w:rPr>
                <w:noProof/>
                <w:lang w:val="it-IT"/>
              </w:rPr>
              <w:sym w:font="Symbol" w:char="F03E"/>
            </w:r>
            <w:r>
              <w:rPr>
                <w:noProof/>
                <w:lang w:val="it-IT"/>
              </w:rPr>
              <w:t xml:space="preserve"> 5 volte ULN</w:t>
            </w:r>
          </w:p>
        </w:tc>
        <w:tc>
          <w:tcPr>
            <w:tcW w:w="3811" w:type="pct"/>
            <w:tcBorders>
              <w:top w:val="single" w:sz="4" w:space="0" w:color="auto"/>
              <w:left w:val="single" w:sz="4" w:space="0" w:color="auto"/>
              <w:bottom w:val="single" w:sz="4" w:space="0" w:color="auto"/>
              <w:right w:val="single" w:sz="4" w:space="0" w:color="auto"/>
            </w:tcBorders>
            <w:hideMark/>
            <w:tcPrChange w:id="6537" w:author="Author">
              <w:tcPr>
                <w:tcW w:w="3849" w:type="pct"/>
                <w:tcBorders>
                  <w:top w:val="single" w:sz="4" w:space="0" w:color="auto"/>
                  <w:left w:val="single" w:sz="4" w:space="0" w:color="auto"/>
                  <w:bottom w:val="single" w:sz="4" w:space="0" w:color="auto"/>
                  <w:right w:val="single" w:sz="4" w:space="0" w:color="auto"/>
                </w:tcBorders>
                <w:hideMark/>
              </w:tcPr>
            </w:tcPrChange>
          </w:tcPr>
          <w:p>
            <w:pPr>
              <w:pStyle w:val="Standard"/>
              <w:ind w:left="9"/>
              <w:rPr>
                <w:noProof/>
                <w:lang w:val="it-IT"/>
              </w:rPr>
            </w:pPr>
            <w:r>
              <w:rPr>
                <w:noProof/>
                <w:lang w:val="it-IT"/>
              </w:rPr>
              <w:t>Interrompere il trattamento con tocilizumab.</w:t>
            </w:r>
          </w:p>
          <w:p>
            <w:pPr>
              <w:pStyle w:val="Standard"/>
              <w:ind w:left="9"/>
              <w:rPr>
                <w:noProof/>
                <w:lang w:val="it-IT"/>
              </w:rPr>
            </w:pPr>
          </w:p>
          <w:p>
            <w:pPr>
              <w:pStyle w:val="Standard"/>
              <w:ind w:left="9"/>
              <w:rPr>
                <w:noProof/>
                <w:lang w:val="it-IT"/>
              </w:rPr>
            </w:pPr>
            <w:r>
              <w:rPr>
                <w:noProof/>
                <w:lang w:val="it-IT"/>
              </w:rPr>
              <w:t>La decisione di interrompere il trattamento nell’AIGs o nell’AIGp per un’anomalia di laboratorio deve basarsi sulla valutazione medica del singolo paziente.</w:t>
            </w:r>
          </w:p>
        </w:tc>
      </w:tr>
    </w:tbl>
    <w:p>
      <w:pPr>
        <w:rPr>
          <w:noProof/>
          <w:lang w:val="it-IT"/>
        </w:rPr>
      </w:pPr>
    </w:p>
    <w:p>
      <w:pPr>
        <w:pStyle w:val="Standard"/>
        <w:ind w:left="9"/>
        <w:rPr>
          <w:ins w:id="6538" w:author="Author"/>
          <w:noProof/>
          <w:lang w:val="it-IT"/>
        </w:rPr>
      </w:pPr>
      <w:r>
        <w:rPr>
          <w:noProof/>
          <w:lang w:val="it-IT"/>
        </w:rPr>
        <w:sym w:font="Symbol" w:char="F0B7"/>
      </w:r>
      <w:r>
        <w:rPr>
          <w:noProof/>
          <w:lang w:val="it-IT"/>
        </w:rPr>
        <w:tab/>
        <w:t>Bassa conta assoluta dei neutrofili (ANC)</w:t>
      </w:r>
    </w:p>
    <w:p>
      <w:pPr>
        <w:pStyle w:val="Standard"/>
        <w:ind w:left="9"/>
        <w:rPr>
          <w:noProof/>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6539"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55"/>
        <w:gridCol w:w="6906"/>
        <w:tblGridChange w:id="6540">
          <w:tblGrid>
            <w:gridCol w:w="1470"/>
            <w:gridCol w:w="7591"/>
          </w:tblGrid>
        </w:tblGridChange>
      </w:tblGrid>
      <w:tr>
        <w:trPr>
          <w:cantSplit/>
        </w:trPr>
        <w:tc>
          <w:tcPr>
            <w:tcW w:w="1189" w:type="pct"/>
            <w:tcBorders>
              <w:top w:val="single" w:sz="4" w:space="0" w:color="auto"/>
              <w:left w:val="single" w:sz="4" w:space="0" w:color="auto"/>
              <w:bottom w:val="single" w:sz="4" w:space="0" w:color="auto"/>
              <w:right w:val="single" w:sz="4" w:space="0" w:color="auto"/>
            </w:tcBorders>
            <w:hideMark/>
            <w:tcPrChange w:id="6541" w:author="Author">
              <w:tcPr>
                <w:tcW w:w="811" w:type="pct"/>
                <w:tcBorders>
                  <w:top w:val="single" w:sz="4" w:space="0" w:color="auto"/>
                  <w:left w:val="single" w:sz="4" w:space="0" w:color="auto"/>
                  <w:bottom w:val="single" w:sz="4" w:space="0" w:color="auto"/>
                  <w:right w:val="single" w:sz="4" w:space="0" w:color="auto"/>
                </w:tcBorders>
                <w:hideMark/>
              </w:tcPr>
            </w:tcPrChange>
          </w:tcPr>
          <w:p>
            <w:pPr>
              <w:pStyle w:val="Standard"/>
              <w:keepNext/>
              <w:suppressAutoHyphens/>
              <w:ind w:left="9"/>
              <w:jc w:val="center"/>
              <w:rPr>
                <w:del w:id="6542" w:author="Author"/>
                <w:bCs/>
                <w:noProof/>
                <w:lang w:val="it-IT"/>
                <w:rPrChange w:id="6543" w:author="Author">
                  <w:rPr>
                    <w:del w:id="6544" w:author="Author"/>
                    <w:b/>
                    <w:lang w:val="it-IT"/>
                  </w:rPr>
                </w:rPrChange>
              </w:rPr>
              <w:pPrChange w:id="6545" w:author="Author">
                <w:pPr>
                  <w:pStyle w:val="Standard"/>
                  <w:ind w:left="9"/>
                </w:pPr>
              </w:pPrChange>
            </w:pPr>
            <w:r>
              <w:rPr>
                <w:bCs/>
                <w:noProof/>
                <w:lang w:val="it-IT"/>
                <w:rPrChange w:id="6546" w:author="Author">
                  <w:rPr>
                    <w:b/>
                    <w:lang w:val="it-IT"/>
                  </w:rPr>
                </w:rPrChange>
              </w:rPr>
              <w:t>Valore di laboratorio</w:t>
            </w:r>
            <w:r>
              <w:rPr>
                <w:bCs/>
                <w:noProof/>
                <w:lang w:val="it-IT"/>
                <w:rPrChange w:id="6547" w:author="Author">
                  <w:rPr>
                    <w:b/>
                    <w:lang w:val="it-IT"/>
                  </w:rPr>
                </w:rPrChange>
              </w:rPr>
              <w:br/>
              <w:t xml:space="preserve">(cellule </w:t>
            </w:r>
            <w:r>
              <w:rPr>
                <w:bCs/>
                <w:noProof/>
                <w:lang w:val="it-IT"/>
                <w:rPrChange w:id="6548" w:author="Author">
                  <w:rPr>
                    <w:b/>
                    <w:lang w:val="it-IT"/>
                  </w:rPr>
                </w:rPrChange>
              </w:rPr>
              <w:sym w:font="Symbol" w:char="F0B4"/>
            </w:r>
            <w:r>
              <w:rPr>
                <w:bCs/>
                <w:noProof/>
                <w:lang w:val="it-IT"/>
                <w:rPrChange w:id="6549" w:author="Author">
                  <w:rPr>
                    <w:b/>
                    <w:lang w:val="it-IT"/>
                  </w:rPr>
                </w:rPrChange>
              </w:rPr>
              <w:t xml:space="preserve"> 10</w:t>
            </w:r>
            <w:r>
              <w:rPr>
                <w:bCs/>
                <w:noProof/>
                <w:vertAlign w:val="superscript"/>
                <w:lang w:val="it-IT"/>
                <w:rPrChange w:id="6550" w:author="Author">
                  <w:rPr>
                    <w:b/>
                    <w:vertAlign w:val="superscript"/>
                    <w:lang w:val="it-IT"/>
                  </w:rPr>
                </w:rPrChange>
              </w:rPr>
              <w:t>9</w:t>
            </w:r>
            <w:r>
              <w:rPr>
                <w:bCs/>
                <w:noProof/>
                <w:lang w:val="it-IT"/>
                <w:rPrChange w:id="6551" w:author="Author">
                  <w:rPr>
                    <w:b/>
                    <w:lang w:val="it-IT"/>
                  </w:rPr>
                </w:rPrChange>
              </w:rPr>
              <w:t>/L)</w:t>
            </w:r>
          </w:p>
          <w:p>
            <w:pPr>
              <w:pStyle w:val="Standard"/>
              <w:keepNext/>
              <w:suppressAutoHyphens/>
              <w:ind w:left="9"/>
              <w:jc w:val="center"/>
              <w:rPr>
                <w:b/>
                <w:noProof/>
                <w:lang w:val="it-IT"/>
              </w:rPr>
              <w:pPrChange w:id="6552" w:author="Author">
                <w:pPr>
                  <w:pStyle w:val="Standard"/>
                  <w:ind w:left="9"/>
                </w:pPr>
              </w:pPrChange>
            </w:pPr>
          </w:p>
        </w:tc>
        <w:tc>
          <w:tcPr>
            <w:tcW w:w="3811" w:type="pct"/>
            <w:tcBorders>
              <w:top w:val="single" w:sz="4" w:space="0" w:color="auto"/>
              <w:left w:val="single" w:sz="4" w:space="0" w:color="auto"/>
              <w:bottom w:val="single" w:sz="4" w:space="0" w:color="auto"/>
              <w:right w:val="single" w:sz="4" w:space="0" w:color="auto"/>
            </w:tcBorders>
            <w:hideMark/>
            <w:tcPrChange w:id="6553" w:author="Author">
              <w:tcPr>
                <w:tcW w:w="4189" w:type="pct"/>
                <w:tcBorders>
                  <w:top w:val="single" w:sz="4" w:space="0" w:color="auto"/>
                  <w:left w:val="single" w:sz="4" w:space="0" w:color="auto"/>
                  <w:bottom w:val="single" w:sz="4" w:space="0" w:color="auto"/>
                  <w:right w:val="single" w:sz="4" w:space="0" w:color="auto"/>
                </w:tcBorders>
                <w:hideMark/>
              </w:tcPr>
            </w:tcPrChange>
          </w:tcPr>
          <w:p>
            <w:pPr>
              <w:pStyle w:val="Standard"/>
              <w:keepNext/>
              <w:suppressAutoHyphens/>
              <w:ind w:left="9"/>
              <w:rPr>
                <w:bCs/>
                <w:noProof/>
                <w:lang w:val="it-IT"/>
                <w:rPrChange w:id="6554" w:author="Author">
                  <w:rPr>
                    <w:b/>
                    <w:lang w:val="it-IT"/>
                  </w:rPr>
                </w:rPrChange>
              </w:rPr>
              <w:pPrChange w:id="6555" w:author="Author">
                <w:pPr>
                  <w:pStyle w:val="Standard"/>
                  <w:ind w:left="9"/>
                </w:pPr>
              </w:pPrChange>
            </w:pPr>
            <w:r>
              <w:rPr>
                <w:bCs/>
                <w:noProof/>
                <w:lang w:val="it-IT"/>
                <w:rPrChange w:id="6556" w:author="Author">
                  <w:rPr>
                    <w:b/>
                    <w:lang w:val="it-IT"/>
                  </w:rPr>
                </w:rPrChange>
              </w:rPr>
              <w:t>Azione</w:t>
            </w:r>
          </w:p>
        </w:tc>
      </w:tr>
      <w:tr>
        <w:trPr>
          <w:cantSplit/>
        </w:trPr>
        <w:tc>
          <w:tcPr>
            <w:tcW w:w="1189" w:type="pct"/>
            <w:tcBorders>
              <w:top w:val="single" w:sz="4" w:space="0" w:color="auto"/>
              <w:left w:val="single" w:sz="4" w:space="0" w:color="auto"/>
              <w:bottom w:val="single" w:sz="4" w:space="0" w:color="auto"/>
              <w:right w:val="single" w:sz="4" w:space="0" w:color="auto"/>
            </w:tcBorders>
            <w:hideMark/>
            <w:tcPrChange w:id="6557" w:author="Author">
              <w:tcPr>
                <w:tcW w:w="811" w:type="pct"/>
                <w:tcBorders>
                  <w:top w:val="single" w:sz="4" w:space="0" w:color="auto"/>
                  <w:left w:val="single" w:sz="4" w:space="0" w:color="auto"/>
                  <w:bottom w:val="single" w:sz="4" w:space="0" w:color="auto"/>
                  <w:right w:val="single" w:sz="4" w:space="0" w:color="auto"/>
                </w:tcBorders>
                <w:hideMark/>
              </w:tcPr>
            </w:tcPrChange>
          </w:tcPr>
          <w:p>
            <w:pPr>
              <w:pStyle w:val="Standard"/>
              <w:keepNext/>
              <w:suppressAutoHyphens/>
              <w:ind w:left="9"/>
              <w:rPr>
                <w:noProof/>
                <w:lang w:val="it-IT"/>
              </w:rPr>
              <w:pPrChange w:id="6558" w:author="Author">
                <w:pPr>
                  <w:pStyle w:val="Standard"/>
                  <w:ind w:left="9"/>
                </w:pPr>
              </w:pPrChange>
            </w:pPr>
            <w:r>
              <w:rPr>
                <w:noProof/>
                <w:lang w:val="it-IT"/>
              </w:rPr>
              <w:t xml:space="preserve">ANC </w:t>
            </w:r>
            <w:r>
              <w:rPr>
                <w:noProof/>
                <w:lang w:val="it-IT"/>
              </w:rPr>
              <w:sym w:font="Symbol" w:char="F03E"/>
            </w:r>
            <w:r>
              <w:rPr>
                <w:noProof/>
                <w:lang w:val="it-IT"/>
              </w:rPr>
              <w:t xml:space="preserve"> 1 </w:t>
            </w:r>
          </w:p>
        </w:tc>
        <w:tc>
          <w:tcPr>
            <w:tcW w:w="3811" w:type="pct"/>
            <w:tcBorders>
              <w:top w:val="single" w:sz="4" w:space="0" w:color="auto"/>
              <w:left w:val="single" w:sz="4" w:space="0" w:color="auto"/>
              <w:bottom w:val="single" w:sz="4" w:space="0" w:color="auto"/>
              <w:right w:val="single" w:sz="4" w:space="0" w:color="auto"/>
            </w:tcBorders>
            <w:hideMark/>
            <w:tcPrChange w:id="6559" w:author="Author">
              <w:tcPr>
                <w:tcW w:w="4189" w:type="pct"/>
                <w:tcBorders>
                  <w:top w:val="single" w:sz="4" w:space="0" w:color="auto"/>
                  <w:left w:val="single" w:sz="4" w:space="0" w:color="auto"/>
                  <w:bottom w:val="single" w:sz="4" w:space="0" w:color="auto"/>
                  <w:right w:val="single" w:sz="4" w:space="0" w:color="auto"/>
                </w:tcBorders>
                <w:hideMark/>
              </w:tcPr>
            </w:tcPrChange>
          </w:tcPr>
          <w:p>
            <w:pPr>
              <w:pStyle w:val="Standard"/>
              <w:keepNext/>
              <w:suppressAutoHyphens/>
              <w:ind w:left="9"/>
              <w:rPr>
                <w:noProof/>
                <w:lang w:val="it-IT"/>
              </w:rPr>
              <w:pPrChange w:id="6560" w:author="Author">
                <w:pPr>
                  <w:pStyle w:val="Standard"/>
                  <w:ind w:left="9"/>
                </w:pPr>
              </w:pPrChange>
            </w:pPr>
            <w:r>
              <w:rPr>
                <w:noProof/>
                <w:lang w:val="it-IT"/>
              </w:rPr>
              <w:t>Mantenere la dose.</w:t>
            </w:r>
          </w:p>
          <w:p>
            <w:pPr>
              <w:pStyle w:val="Standard"/>
              <w:keepNext/>
              <w:suppressAutoHyphens/>
              <w:ind w:left="9"/>
              <w:rPr>
                <w:noProof/>
                <w:lang w:val="it-IT"/>
              </w:rPr>
              <w:pPrChange w:id="6561" w:author="Author">
                <w:pPr>
                  <w:pStyle w:val="Standard"/>
                  <w:ind w:left="9"/>
                </w:pPr>
              </w:pPrChange>
            </w:pPr>
          </w:p>
        </w:tc>
      </w:tr>
      <w:tr>
        <w:trPr>
          <w:cantSplit/>
        </w:trPr>
        <w:tc>
          <w:tcPr>
            <w:tcW w:w="1189" w:type="pct"/>
            <w:tcBorders>
              <w:top w:val="single" w:sz="4" w:space="0" w:color="auto"/>
              <w:left w:val="single" w:sz="4" w:space="0" w:color="auto"/>
              <w:bottom w:val="single" w:sz="4" w:space="0" w:color="auto"/>
              <w:right w:val="single" w:sz="4" w:space="0" w:color="auto"/>
            </w:tcBorders>
            <w:hideMark/>
            <w:tcPrChange w:id="6562" w:author="Author">
              <w:tcPr>
                <w:tcW w:w="811" w:type="pct"/>
                <w:tcBorders>
                  <w:top w:val="single" w:sz="4" w:space="0" w:color="auto"/>
                  <w:left w:val="single" w:sz="4" w:space="0" w:color="auto"/>
                  <w:bottom w:val="single" w:sz="4" w:space="0" w:color="auto"/>
                  <w:right w:val="single" w:sz="4" w:space="0" w:color="auto"/>
                </w:tcBorders>
                <w:hideMark/>
              </w:tcPr>
            </w:tcPrChange>
          </w:tcPr>
          <w:p>
            <w:pPr>
              <w:pStyle w:val="Standard"/>
              <w:keepNext/>
              <w:suppressAutoHyphens/>
              <w:ind w:left="9"/>
              <w:rPr>
                <w:noProof/>
                <w:lang w:val="it-IT"/>
              </w:rPr>
              <w:pPrChange w:id="6563" w:author="Author">
                <w:pPr>
                  <w:pStyle w:val="Standard"/>
                  <w:ind w:left="9"/>
                </w:pPr>
              </w:pPrChange>
            </w:pPr>
            <w:r>
              <w:rPr>
                <w:noProof/>
                <w:lang w:val="it-IT"/>
              </w:rPr>
              <w:t>ANC da 0,5 a 1</w:t>
            </w:r>
          </w:p>
        </w:tc>
        <w:tc>
          <w:tcPr>
            <w:tcW w:w="3811" w:type="pct"/>
            <w:tcBorders>
              <w:top w:val="single" w:sz="4" w:space="0" w:color="auto"/>
              <w:left w:val="single" w:sz="4" w:space="0" w:color="auto"/>
              <w:bottom w:val="single" w:sz="4" w:space="0" w:color="auto"/>
              <w:right w:val="single" w:sz="4" w:space="0" w:color="auto"/>
            </w:tcBorders>
            <w:hideMark/>
            <w:tcPrChange w:id="6564" w:author="Author">
              <w:tcPr>
                <w:tcW w:w="4189" w:type="pct"/>
                <w:tcBorders>
                  <w:top w:val="single" w:sz="4" w:space="0" w:color="auto"/>
                  <w:left w:val="single" w:sz="4" w:space="0" w:color="auto"/>
                  <w:bottom w:val="single" w:sz="4" w:space="0" w:color="auto"/>
                  <w:right w:val="single" w:sz="4" w:space="0" w:color="auto"/>
                </w:tcBorders>
                <w:hideMark/>
              </w:tcPr>
            </w:tcPrChange>
          </w:tcPr>
          <w:p>
            <w:pPr>
              <w:pStyle w:val="Standard"/>
              <w:keepNext/>
              <w:suppressAutoHyphens/>
              <w:ind w:left="9"/>
              <w:rPr>
                <w:noProof/>
                <w:lang w:val="it-IT"/>
              </w:rPr>
              <w:pPrChange w:id="6565" w:author="Author">
                <w:pPr>
                  <w:pStyle w:val="Standard"/>
                  <w:ind w:left="9"/>
                </w:pPr>
              </w:pPrChange>
            </w:pPr>
            <w:r>
              <w:rPr>
                <w:noProof/>
                <w:lang w:val="it-IT"/>
              </w:rPr>
              <w:t>Sospendere la somministrazione di tocilizumab.</w:t>
            </w:r>
          </w:p>
          <w:p>
            <w:pPr>
              <w:pStyle w:val="Standard"/>
              <w:keepNext/>
              <w:suppressAutoHyphens/>
              <w:ind w:left="9"/>
              <w:rPr>
                <w:noProof/>
                <w:lang w:val="it-IT"/>
              </w:rPr>
              <w:pPrChange w:id="6566" w:author="Author">
                <w:pPr>
                  <w:pStyle w:val="Standard"/>
                  <w:ind w:left="9"/>
                </w:pPr>
              </w:pPrChange>
            </w:pPr>
          </w:p>
          <w:p>
            <w:pPr>
              <w:pStyle w:val="Standard"/>
              <w:keepNext/>
              <w:suppressAutoHyphens/>
              <w:ind w:left="9"/>
              <w:rPr>
                <w:del w:id="6567" w:author="Author"/>
                <w:noProof/>
                <w:lang w:val="it-IT"/>
              </w:rPr>
              <w:pPrChange w:id="6568" w:author="Author">
                <w:pPr>
                  <w:pStyle w:val="Standard"/>
                  <w:ind w:left="9"/>
                </w:pPr>
              </w:pPrChange>
            </w:pPr>
            <w:r>
              <w:rPr>
                <w:noProof/>
                <w:lang w:val="it-IT"/>
              </w:rPr>
              <w:t xml:space="preserve">Quando la ANC si innalza a </w:t>
            </w:r>
            <w:r>
              <w:rPr>
                <w:noProof/>
                <w:lang w:val="it-IT"/>
              </w:rPr>
              <w:sym w:font="Symbol" w:char="F03E"/>
            </w:r>
            <w:r>
              <w:rPr>
                <w:noProof/>
                <w:lang w:val="it-IT"/>
              </w:rPr>
              <w:t xml:space="preserve"> 1 </w:t>
            </w:r>
            <w:r>
              <w:rPr>
                <w:noProof/>
                <w:lang w:val="it-IT"/>
              </w:rPr>
              <w:sym w:font="Symbol" w:char="F0B4"/>
            </w:r>
            <w:r>
              <w:rPr>
                <w:noProof/>
                <w:lang w:val="it-IT"/>
              </w:rPr>
              <w:t xml:space="preserve"> 10</w:t>
            </w:r>
            <w:r>
              <w:rPr>
                <w:noProof/>
                <w:vertAlign w:val="superscript"/>
                <w:lang w:val="it-IT"/>
              </w:rPr>
              <w:t>9</w:t>
            </w:r>
            <w:r>
              <w:rPr>
                <w:noProof/>
                <w:lang w:val="it-IT"/>
              </w:rPr>
              <w:t>/L, riprendere il trattamento con tocilizumab.</w:t>
            </w:r>
          </w:p>
          <w:p>
            <w:pPr>
              <w:pStyle w:val="Standard"/>
              <w:keepNext/>
              <w:suppressAutoHyphens/>
              <w:ind w:left="9"/>
              <w:rPr>
                <w:noProof/>
                <w:lang w:val="it-IT"/>
              </w:rPr>
              <w:pPrChange w:id="6569" w:author="Author">
                <w:pPr>
                  <w:pStyle w:val="Standard"/>
                  <w:ind w:left="9"/>
                </w:pPr>
              </w:pPrChange>
            </w:pPr>
          </w:p>
        </w:tc>
      </w:tr>
      <w:tr>
        <w:trPr>
          <w:cantSplit/>
        </w:trPr>
        <w:tc>
          <w:tcPr>
            <w:tcW w:w="1189" w:type="pct"/>
            <w:tcBorders>
              <w:top w:val="single" w:sz="4" w:space="0" w:color="auto"/>
              <w:left w:val="single" w:sz="4" w:space="0" w:color="auto"/>
              <w:bottom w:val="single" w:sz="4" w:space="0" w:color="auto"/>
              <w:right w:val="single" w:sz="4" w:space="0" w:color="auto"/>
            </w:tcBorders>
            <w:hideMark/>
            <w:tcPrChange w:id="6570" w:author="Author">
              <w:tcPr>
                <w:tcW w:w="811" w:type="pct"/>
                <w:tcBorders>
                  <w:top w:val="single" w:sz="4" w:space="0" w:color="auto"/>
                  <w:left w:val="single" w:sz="4" w:space="0" w:color="auto"/>
                  <w:bottom w:val="single" w:sz="4" w:space="0" w:color="auto"/>
                  <w:right w:val="single" w:sz="4" w:space="0" w:color="auto"/>
                </w:tcBorders>
                <w:hideMark/>
              </w:tcPr>
            </w:tcPrChange>
          </w:tcPr>
          <w:p>
            <w:pPr>
              <w:pStyle w:val="Standard"/>
              <w:suppressAutoHyphens/>
              <w:ind w:left="9"/>
              <w:rPr>
                <w:noProof/>
                <w:lang w:val="it-IT"/>
              </w:rPr>
              <w:pPrChange w:id="6571" w:author="Author">
                <w:pPr>
                  <w:pStyle w:val="Standard"/>
                  <w:ind w:left="9"/>
                </w:pPr>
              </w:pPrChange>
            </w:pPr>
            <w:r>
              <w:rPr>
                <w:noProof/>
                <w:lang w:val="it-IT"/>
              </w:rPr>
              <w:t>ANC &lt; 0,5</w:t>
            </w:r>
          </w:p>
        </w:tc>
        <w:tc>
          <w:tcPr>
            <w:tcW w:w="3811" w:type="pct"/>
            <w:tcBorders>
              <w:top w:val="single" w:sz="4" w:space="0" w:color="auto"/>
              <w:left w:val="single" w:sz="4" w:space="0" w:color="auto"/>
              <w:bottom w:val="single" w:sz="4" w:space="0" w:color="auto"/>
              <w:right w:val="single" w:sz="4" w:space="0" w:color="auto"/>
            </w:tcBorders>
            <w:hideMark/>
            <w:tcPrChange w:id="6572" w:author="Author">
              <w:tcPr>
                <w:tcW w:w="4189" w:type="pct"/>
                <w:tcBorders>
                  <w:top w:val="single" w:sz="4" w:space="0" w:color="auto"/>
                  <w:left w:val="single" w:sz="4" w:space="0" w:color="auto"/>
                  <w:bottom w:val="single" w:sz="4" w:space="0" w:color="auto"/>
                  <w:right w:val="single" w:sz="4" w:space="0" w:color="auto"/>
                </w:tcBorders>
                <w:hideMark/>
              </w:tcPr>
            </w:tcPrChange>
          </w:tcPr>
          <w:p>
            <w:pPr>
              <w:pStyle w:val="Standard"/>
              <w:suppressAutoHyphens/>
              <w:ind w:left="9"/>
              <w:rPr>
                <w:noProof/>
                <w:lang w:val="it-IT"/>
              </w:rPr>
              <w:pPrChange w:id="6573" w:author="Author">
                <w:pPr>
                  <w:pStyle w:val="Standard"/>
                  <w:ind w:left="9"/>
                </w:pPr>
              </w:pPrChange>
            </w:pPr>
            <w:r>
              <w:rPr>
                <w:noProof/>
                <w:lang w:val="it-IT"/>
              </w:rPr>
              <w:t>Interrompere il trattamento con tocilizumab.</w:t>
            </w:r>
          </w:p>
          <w:p>
            <w:pPr>
              <w:pStyle w:val="Standard"/>
              <w:suppressAutoHyphens/>
              <w:ind w:left="9"/>
              <w:rPr>
                <w:noProof/>
                <w:lang w:val="it-IT"/>
              </w:rPr>
              <w:pPrChange w:id="6574" w:author="Author">
                <w:pPr>
                  <w:pStyle w:val="Standard"/>
                  <w:ind w:left="9"/>
                </w:pPr>
              </w:pPrChange>
            </w:pPr>
          </w:p>
          <w:p>
            <w:pPr>
              <w:pStyle w:val="Standard"/>
              <w:suppressAutoHyphens/>
              <w:ind w:left="9"/>
              <w:rPr>
                <w:del w:id="6575" w:author="Author"/>
                <w:noProof/>
                <w:lang w:val="it-IT"/>
              </w:rPr>
              <w:pPrChange w:id="6576" w:author="Author">
                <w:pPr>
                  <w:pStyle w:val="Standard"/>
                  <w:ind w:left="9"/>
                </w:pPr>
              </w:pPrChange>
            </w:pPr>
            <w:r>
              <w:rPr>
                <w:noProof/>
                <w:lang w:val="it-IT"/>
              </w:rPr>
              <w:t>La decisione di interrompere il trattamento nell’AIGs o nell’AIGp per un’anomalia di laboratorio deve basarsi sulla valutazione medica del singolo paziente.</w:t>
            </w:r>
          </w:p>
          <w:p>
            <w:pPr>
              <w:pStyle w:val="Standard"/>
              <w:suppressAutoHyphens/>
              <w:ind w:left="9"/>
              <w:rPr>
                <w:noProof/>
                <w:lang w:val="it-IT"/>
              </w:rPr>
              <w:pPrChange w:id="6577" w:author="Author">
                <w:pPr>
                  <w:pStyle w:val="Standard"/>
                  <w:ind w:left="9"/>
                </w:pPr>
              </w:pPrChange>
            </w:pPr>
          </w:p>
        </w:tc>
      </w:tr>
    </w:tbl>
    <w:p>
      <w:pPr>
        <w:rPr>
          <w:noProof/>
          <w:lang w:val="it-IT"/>
        </w:rPr>
      </w:pPr>
    </w:p>
    <w:p>
      <w:pPr>
        <w:pStyle w:val="Standard"/>
        <w:keepNext/>
        <w:keepLines/>
        <w:ind w:left="14"/>
        <w:rPr>
          <w:noProof/>
          <w:lang w:val="it-IT"/>
        </w:rPr>
      </w:pPr>
      <w:r>
        <w:rPr>
          <w:noProof/>
          <w:lang w:val="it-IT"/>
        </w:rPr>
        <w:sym w:font="Symbol" w:char="F0B7"/>
      </w:r>
      <w:r>
        <w:rPr>
          <w:noProof/>
          <w:lang w:val="it-IT"/>
        </w:rPr>
        <w:tab/>
        <w:t>Bassa conta piastrinica</w:t>
      </w:r>
    </w:p>
    <w:p>
      <w:pPr>
        <w:pStyle w:val="Standard"/>
        <w:keepNext/>
        <w:keepLines/>
        <w:ind w:left="14"/>
        <w:rPr>
          <w:noProof/>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6578" w:author="Author">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55"/>
        <w:gridCol w:w="6906"/>
        <w:tblGridChange w:id="6579">
          <w:tblGrid>
            <w:gridCol w:w="1999"/>
            <w:gridCol w:w="7062"/>
          </w:tblGrid>
        </w:tblGridChange>
      </w:tblGrid>
      <w:tr>
        <w:trPr>
          <w:cantSplit/>
        </w:trPr>
        <w:tc>
          <w:tcPr>
            <w:tcW w:w="1189" w:type="pct"/>
            <w:tcBorders>
              <w:top w:val="single" w:sz="4" w:space="0" w:color="auto"/>
              <w:left w:val="single" w:sz="4" w:space="0" w:color="auto"/>
              <w:bottom w:val="single" w:sz="4" w:space="0" w:color="auto"/>
              <w:right w:val="single" w:sz="4" w:space="0" w:color="auto"/>
            </w:tcBorders>
            <w:hideMark/>
            <w:tcPrChange w:id="6580" w:author="Author">
              <w:tcPr>
                <w:tcW w:w="1103" w:type="pct"/>
                <w:tcBorders>
                  <w:top w:val="single" w:sz="4" w:space="0" w:color="auto"/>
                  <w:left w:val="single" w:sz="4" w:space="0" w:color="auto"/>
                  <w:bottom w:val="single" w:sz="4" w:space="0" w:color="auto"/>
                  <w:right w:val="single" w:sz="4" w:space="0" w:color="auto"/>
                </w:tcBorders>
                <w:hideMark/>
              </w:tcPr>
            </w:tcPrChange>
          </w:tcPr>
          <w:p>
            <w:pPr>
              <w:pStyle w:val="Standard"/>
              <w:keepNext/>
              <w:suppressAutoHyphens/>
              <w:ind w:left="14"/>
              <w:jc w:val="center"/>
              <w:rPr>
                <w:bCs/>
                <w:noProof/>
                <w:lang w:val="it-IT"/>
                <w:rPrChange w:id="6581" w:author="Author">
                  <w:rPr>
                    <w:b/>
                    <w:lang w:val="it-IT"/>
                  </w:rPr>
                </w:rPrChange>
              </w:rPr>
              <w:pPrChange w:id="6582" w:author="Author">
                <w:pPr>
                  <w:pStyle w:val="Standard"/>
                  <w:keepNext/>
                  <w:keepLines/>
                  <w:ind w:left="14"/>
                </w:pPr>
              </w:pPrChange>
            </w:pPr>
            <w:r>
              <w:rPr>
                <w:bCs/>
                <w:noProof/>
                <w:lang w:val="it-IT"/>
                <w:rPrChange w:id="6583" w:author="Author">
                  <w:rPr>
                    <w:b/>
                    <w:lang w:val="it-IT"/>
                  </w:rPr>
                </w:rPrChange>
              </w:rPr>
              <w:t>Valore di laboratorio</w:t>
            </w:r>
            <w:r>
              <w:rPr>
                <w:bCs/>
                <w:noProof/>
                <w:lang w:val="it-IT"/>
                <w:rPrChange w:id="6584" w:author="Author">
                  <w:rPr>
                    <w:b/>
                    <w:lang w:val="it-IT"/>
                  </w:rPr>
                </w:rPrChange>
              </w:rPr>
              <w:br/>
              <w:t xml:space="preserve">(cellule </w:t>
            </w:r>
            <w:r>
              <w:rPr>
                <w:bCs/>
                <w:noProof/>
                <w:lang w:val="it-IT"/>
                <w:rPrChange w:id="6585" w:author="Author">
                  <w:rPr>
                    <w:b/>
                    <w:lang w:val="it-IT"/>
                  </w:rPr>
                </w:rPrChange>
              </w:rPr>
              <w:sym w:font="Symbol" w:char="F0B4"/>
            </w:r>
            <w:r>
              <w:rPr>
                <w:bCs/>
                <w:noProof/>
                <w:lang w:val="it-IT"/>
                <w:rPrChange w:id="6586" w:author="Author">
                  <w:rPr>
                    <w:b/>
                    <w:lang w:val="it-IT"/>
                  </w:rPr>
                </w:rPrChange>
              </w:rPr>
              <w:t xml:space="preserve"> </w:t>
            </w:r>
            <w:r>
              <w:rPr>
                <w:rFonts w:eastAsia="MS Mincho"/>
                <w:bCs/>
                <w:noProof/>
                <w:szCs w:val="22"/>
                <w:lang w:val="it-IT"/>
                <w:rPrChange w:id="6587" w:author="Author">
                  <w:rPr>
                    <w:rFonts w:eastAsia="MS Mincho"/>
                    <w:b/>
                    <w:szCs w:val="22"/>
                    <w:lang w:val="it-IT"/>
                  </w:rPr>
                </w:rPrChange>
              </w:rPr>
              <w:t>10</w:t>
            </w:r>
            <w:r>
              <w:rPr>
                <w:rFonts w:eastAsia="MS Mincho"/>
                <w:bCs/>
                <w:noProof/>
                <w:szCs w:val="22"/>
                <w:vertAlign w:val="superscript"/>
                <w:lang w:val="it-IT"/>
                <w:rPrChange w:id="6588" w:author="Author">
                  <w:rPr>
                    <w:rFonts w:eastAsia="MS Mincho"/>
                    <w:b/>
                    <w:szCs w:val="22"/>
                    <w:vertAlign w:val="superscript"/>
                    <w:lang w:val="it-IT"/>
                  </w:rPr>
                </w:rPrChange>
              </w:rPr>
              <w:t>3</w:t>
            </w:r>
            <w:r>
              <w:rPr>
                <w:rFonts w:eastAsia="MS Mincho"/>
                <w:bCs/>
                <w:noProof/>
                <w:szCs w:val="22"/>
                <w:lang w:val="it-IT"/>
                <w:rPrChange w:id="6589" w:author="Author">
                  <w:rPr>
                    <w:rFonts w:eastAsia="MS Mincho"/>
                    <w:b/>
                    <w:szCs w:val="22"/>
                    <w:lang w:val="it-IT"/>
                  </w:rPr>
                </w:rPrChange>
              </w:rPr>
              <w:t>/</w:t>
            </w:r>
            <w:r>
              <w:rPr>
                <w:bCs/>
                <w:noProof/>
                <w:szCs w:val="22"/>
                <w:lang w:val="it-IT"/>
              </w:rPr>
              <w:t>µ</w:t>
            </w:r>
            <w:r>
              <w:rPr>
                <w:rFonts w:eastAsia="MS Mincho"/>
                <w:bCs/>
                <w:noProof/>
                <w:szCs w:val="22"/>
                <w:lang w:val="it-IT"/>
                <w:rPrChange w:id="6590" w:author="Author">
                  <w:rPr>
                    <w:rFonts w:eastAsia="MS Mincho"/>
                    <w:b/>
                    <w:szCs w:val="22"/>
                    <w:lang w:val="it-IT"/>
                  </w:rPr>
                </w:rPrChange>
              </w:rPr>
              <w:t>L</w:t>
            </w:r>
            <w:r>
              <w:rPr>
                <w:bCs/>
                <w:noProof/>
                <w:lang w:val="it-IT"/>
                <w:rPrChange w:id="6591" w:author="Author">
                  <w:rPr>
                    <w:b/>
                    <w:lang w:val="it-IT"/>
                  </w:rPr>
                </w:rPrChange>
              </w:rPr>
              <w:t>)</w:t>
            </w:r>
          </w:p>
          <w:p>
            <w:pPr>
              <w:pStyle w:val="Standard"/>
              <w:keepNext/>
              <w:suppressAutoHyphens/>
              <w:ind w:left="14"/>
              <w:rPr>
                <w:noProof/>
                <w:lang w:val="it-IT"/>
              </w:rPr>
              <w:pPrChange w:id="6592" w:author="Author">
                <w:pPr>
                  <w:pStyle w:val="Standard"/>
                  <w:keepNext/>
                  <w:keepLines/>
                  <w:ind w:left="14"/>
                </w:pPr>
              </w:pPrChange>
            </w:pPr>
          </w:p>
        </w:tc>
        <w:tc>
          <w:tcPr>
            <w:tcW w:w="3811" w:type="pct"/>
            <w:tcBorders>
              <w:top w:val="single" w:sz="4" w:space="0" w:color="auto"/>
              <w:left w:val="single" w:sz="4" w:space="0" w:color="auto"/>
              <w:bottom w:val="single" w:sz="4" w:space="0" w:color="auto"/>
              <w:right w:val="single" w:sz="4" w:space="0" w:color="auto"/>
            </w:tcBorders>
            <w:hideMark/>
            <w:tcPrChange w:id="6593" w:author="Author">
              <w:tcPr>
                <w:tcW w:w="3897" w:type="pct"/>
                <w:tcBorders>
                  <w:top w:val="single" w:sz="4" w:space="0" w:color="auto"/>
                  <w:left w:val="single" w:sz="4" w:space="0" w:color="auto"/>
                  <w:bottom w:val="single" w:sz="4" w:space="0" w:color="auto"/>
                  <w:right w:val="single" w:sz="4" w:space="0" w:color="auto"/>
                </w:tcBorders>
                <w:hideMark/>
              </w:tcPr>
            </w:tcPrChange>
          </w:tcPr>
          <w:p>
            <w:pPr>
              <w:pStyle w:val="Standard"/>
              <w:keepNext/>
              <w:suppressAutoHyphens/>
              <w:ind w:left="14"/>
              <w:rPr>
                <w:bCs/>
                <w:noProof/>
                <w:lang w:val="it-IT"/>
              </w:rPr>
              <w:pPrChange w:id="6594" w:author="Author">
                <w:pPr>
                  <w:pStyle w:val="Standard"/>
                  <w:keepNext/>
                  <w:keepLines/>
                  <w:ind w:left="14"/>
                </w:pPr>
              </w:pPrChange>
            </w:pPr>
            <w:r>
              <w:rPr>
                <w:bCs/>
                <w:noProof/>
                <w:lang w:val="it-IT"/>
                <w:rPrChange w:id="6595" w:author="Author">
                  <w:rPr>
                    <w:b/>
                    <w:lang w:val="it-IT"/>
                  </w:rPr>
                </w:rPrChange>
              </w:rPr>
              <w:t>Azione</w:t>
            </w:r>
          </w:p>
        </w:tc>
      </w:tr>
      <w:tr>
        <w:trPr>
          <w:cantSplit/>
        </w:trPr>
        <w:tc>
          <w:tcPr>
            <w:tcW w:w="1189" w:type="pct"/>
            <w:tcBorders>
              <w:top w:val="single" w:sz="4" w:space="0" w:color="auto"/>
              <w:left w:val="single" w:sz="4" w:space="0" w:color="auto"/>
              <w:bottom w:val="single" w:sz="4" w:space="0" w:color="auto"/>
              <w:right w:val="single" w:sz="4" w:space="0" w:color="auto"/>
            </w:tcBorders>
            <w:hideMark/>
            <w:tcPrChange w:id="6596" w:author="Author">
              <w:tcPr>
                <w:tcW w:w="1103" w:type="pct"/>
                <w:tcBorders>
                  <w:top w:val="single" w:sz="4" w:space="0" w:color="auto"/>
                  <w:left w:val="single" w:sz="4" w:space="0" w:color="auto"/>
                  <w:bottom w:val="single" w:sz="4" w:space="0" w:color="auto"/>
                  <w:right w:val="single" w:sz="4" w:space="0" w:color="auto"/>
                </w:tcBorders>
                <w:hideMark/>
              </w:tcPr>
            </w:tcPrChange>
          </w:tcPr>
          <w:p>
            <w:pPr>
              <w:pStyle w:val="Standard"/>
              <w:keepNext/>
              <w:suppressAutoHyphens/>
              <w:ind w:left="14"/>
              <w:rPr>
                <w:noProof/>
                <w:lang w:val="it-IT"/>
              </w:rPr>
              <w:pPrChange w:id="6597" w:author="Author">
                <w:pPr>
                  <w:pStyle w:val="Standard"/>
                  <w:keepNext/>
                  <w:keepLines/>
                  <w:ind w:left="14"/>
                </w:pPr>
              </w:pPrChange>
            </w:pPr>
            <w:r>
              <w:rPr>
                <w:noProof/>
                <w:lang w:val="it-IT"/>
              </w:rPr>
              <w:t>Da 50 a 100</w:t>
            </w:r>
          </w:p>
        </w:tc>
        <w:tc>
          <w:tcPr>
            <w:tcW w:w="3811" w:type="pct"/>
            <w:tcBorders>
              <w:top w:val="single" w:sz="4" w:space="0" w:color="auto"/>
              <w:left w:val="single" w:sz="4" w:space="0" w:color="auto"/>
              <w:bottom w:val="single" w:sz="4" w:space="0" w:color="auto"/>
              <w:right w:val="single" w:sz="4" w:space="0" w:color="auto"/>
            </w:tcBorders>
            <w:tcPrChange w:id="6598" w:author="Author">
              <w:tcPr>
                <w:tcW w:w="3897" w:type="pct"/>
                <w:tcBorders>
                  <w:top w:val="single" w:sz="4" w:space="0" w:color="auto"/>
                  <w:left w:val="single" w:sz="4" w:space="0" w:color="auto"/>
                  <w:bottom w:val="single" w:sz="4" w:space="0" w:color="auto"/>
                  <w:right w:val="single" w:sz="4" w:space="0" w:color="auto"/>
                </w:tcBorders>
              </w:tcPr>
            </w:tcPrChange>
          </w:tcPr>
          <w:p>
            <w:pPr>
              <w:pStyle w:val="Standard"/>
              <w:keepNext/>
              <w:suppressAutoHyphens/>
              <w:ind w:left="14"/>
              <w:rPr>
                <w:noProof/>
                <w:lang w:val="it-IT"/>
              </w:rPr>
              <w:pPrChange w:id="6599" w:author="Author">
                <w:pPr>
                  <w:pStyle w:val="Standard"/>
                  <w:keepNext/>
                  <w:keepLines/>
                  <w:ind w:left="14"/>
                </w:pPr>
              </w:pPrChange>
            </w:pPr>
            <w:r>
              <w:rPr>
                <w:noProof/>
                <w:lang w:val="it-IT"/>
              </w:rPr>
              <w:t>Se appropriato, modificare la dose della terapia concomitante con MTX.</w:t>
            </w:r>
          </w:p>
          <w:p>
            <w:pPr>
              <w:pStyle w:val="Standard"/>
              <w:keepNext/>
              <w:suppressAutoHyphens/>
              <w:ind w:left="14"/>
              <w:rPr>
                <w:noProof/>
                <w:lang w:val="it-IT"/>
              </w:rPr>
              <w:pPrChange w:id="6600" w:author="Author">
                <w:pPr>
                  <w:pStyle w:val="Standard"/>
                  <w:keepNext/>
                  <w:keepLines/>
                  <w:ind w:left="14"/>
                </w:pPr>
              </w:pPrChange>
            </w:pPr>
          </w:p>
          <w:p>
            <w:pPr>
              <w:pStyle w:val="Standard"/>
              <w:keepNext/>
              <w:suppressAutoHyphens/>
              <w:ind w:left="14"/>
              <w:rPr>
                <w:noProof/>
                <w:lang w:val="it-IT"/>
              </w:rPr>
              <w:pPrChange w:id="6601" w:author="Author">
                <w:pPr>
                  <w:pStyle w:val="Standard"/>
                  <w:keepNext/>
                  <w:keepLines/>
                  <w:ind w:left="14"/>
                </w:pPr>
              </w:pPrChange>
            </w:pPr>
            <w:r>
              <w:rPr>
                <w:noProof/>
                <w:lang w:val="it-IT"/>
              </w:rPr>
              <w:t>Sospendere la somministrazione di tocilizumab.</w:t>
            </w:r>
          </w:p>
          <w:p>
            <w:pPr>
              <w:pStyle w:val="Standard"/>
              <w:keepNext/>
              <w:suppressAutoHyphens/>
              <w:ind w:left="14"/>
              <w:rPr>
                <w:noProof/>
                <w:lang w:val="it-IT"/>
              </w:rPr>
              <w:pPrChange w:id="6602" w:author="Author">
                <w:pPr>
                  <w:pStyle w:val="Standard"/>
                  <w:keepNext/>
                  <w:keepLines/>
                  <w:ind w:left="14"/>
                </w:pPr>
              </w:pPrChange>
            </w:pPr>
          </w:p>
          <w:p>
            <w:pPr>
              <w:pStyle w:val="Standard"/>
              <w:keepNext/>
              <w:suppressAutoHyphens/>
              <w:ind w:left="14"/>
              <w:rPr>
                <w:del w:id="6603" w:author="Author"/>
                <w:noProof/>
                <w:lang w:val="it-IT"/>
              </w:rPr>
              <w:pPrChange w:id="6604" w:author="Author">
                <w:pPr>
                  <w:pStyle w:val="Standard"/>
                  <w:keepNext/>
                  <w:keepLines/>
                  <w:ind w:left="14"/>
                </w:pPr>
              </w:pPrChange>
            </w:pPr>
            <w:r>
              <w:rPr>
                <w:noProof/>
                <w:lang w:val="it-IT"/>
              </w:rPr>
              <w:t xml:space="preserve">Quando la conta piastrinica è </w:t>
            </w:r>
            <w:r>
              <w:rPr>
                <w:noProof/>
                <w:lang w:val="it-IT"/>
              </w:rPr>
              <w:sym w:font="Symbol" w:char="F03E"/>
            </w:r>
            <w:r>
              <w:rPr>
                <w:noProof/>
                <w:lang w:val="it-IT"/>
              </w:rPr>
              <w:t xml:space="preserve"> 100 </w:t>
            </w:r>
            <w:r>
              <w:rPr>
                <w:noProof/>
                <w:lang w:val="it-IT"/>
              </w:rPr>
              <w:sym w:font="Symbol" w:char="F0B4"/>
            </w:r>
            <w:r>
              <w:rPr>
                <w:noProof/>
                <w:lang w:val="it-IT"/>
              </w:rPr>
              <w:t xml:space="preserve"> </w:t>
            </w:r>
            <w:r>
              <w:rPr>
                <w:rFonts w:eastAsia="MS Mincho"/>
                <w:noProof/>
                <w:szCs w:val="22"/>
                <w:lang w:val="it-IT"/>
              </w:rPr>
              <w:t>10</w:t>
            </w:r>
            <w:r>
              <w:rPr>
                <w:rFonts w:eastAsia="MS Mincho"/>
                <w:noProof/>
                <w:szCs w:val="22"/>
                <w:vertAlign w:val="superscript"/>
                <w:lang w:val="it-IT"/>
              </w:rPr>
              <w:t>3</w:t>
            </w:r>
            <w:r>
              <w:rPr>
                <w:rFonts w:eastAsia="MS Mincho"/>
                <w:noProof/>
                <w:szCs w:val="22"/>
                <w:lang w:val="it-IT"/>
              </w:rPr>
              <w:t>/</w:t>
            </w:r>
            <w:r>
              <w:rPr>
                <w:rFonts w:eastAsia="MS Mincho"/>
                <w:noProof/>
                <w:szCs w:val="22"/>
                <w:lang w:val="it-IT"/>
              </w:rPr>
              <w:sym w:font="Symbol" w:char="F06D"/>
            </w:r>
            <w:r>
              <w:rPr>
                <w:rFonts w:eastAsia="MS Mincho"/>
                <w:noProof/>
                <w:szCs w:val="22"/>
                <w:lang w:val="it-IT"/>
              </w:rPr>
              <w:t>L</w:t>
            </w:r>
            <w:r>
              <w:rPr>
                <w:noProof/>
                <w:lang w:val="it-IT"/>
              </w:rPr>
              <w:t>, riprendere il trattamento con tocilizumab.</w:t>
            </w:r>
          </w:p>
          <w:p>
            <w:pPr>
              <w:pStyle w:val="Standard"/>
              <w:keepNext/>
              <w:suppressAutoHyphens/>
              <w:ind w:left="14"/>
              <w:rPr>
                <w:noProof/>
                <w:lang w:val="it-IT"/>
              </w:rPr>
              <w:pPrChange w:id="6605" w:author="Author">
                <w:pPr>
                  <w:pStyle w:val="Standard"/>
                  <w:keepNext/>
                  <w:keepLines/>
                  <w:ind w:left="14"/>
                </w:pPr>
              </w:pPrChange>
            </w:pPr>
          </w:p>
        </w:tc>
      </w:tr>
      <w:tr>
        <w:trPr>
          <w:cantSplit/>
        </w:trPr>
        <w:tc>
          <w:tcPr>
            <w:tcW w:w="1189" w:type="pct"/>
            <w:tcBorders>
              <w:top w:val="single" w:sz="4" w:space="0" w:color="auto"/>
              <w:left w:val="single" w:sz="4" w:space="0" w:color="auto"/>
              <w:bottom w:val="single" w:sz="4" w:space="0" w:color="auto"/>
              <w:right w:val="single" w:sz="4" w:space="0" w:color="auto"/>
            </w:tcBorders>
            <w:hideMark/>
            <w:tcPrChange w:id="6606" w:author="Author">
              <w:tcPr>
                <w:tcW w:w="1103" w:type="pct"/>
                <w:tcBorders>
                  <w:top w:val="single" w:sz="4" w:space="0" w:color="auto"/>
                  <w:left w:val="single" w:sz="4" w:space="0" w:color="auto"/>
                  <w:bottom w:val="single" w:sz="4" w:space="0" w:color="auto"/>
                  <w:right w:val="single" w:sz="4" w:space="0" w:color="auto"/>
                </w:tcBorders>
                <w:hideMark/>
              </w:tcPr>
            </w:tcPrChange>
          </w:tcPr>
          <w:p>
            <w:pPr>
              <w:pStyle w:val="Standard"/>
              <w:suppressAutoHyphens/>
              <w:ind w:left="14"/>
              <w:rPr>
                <w:noProof/>
                <w:lang w:val="it-IT"/>
              </w:rPr>
              <w:pPrChange w:id="6607" w:author="Author">
                <w:pPr>
                  <w:pStyle w:val="Standard"/>
                  <w:keepNext/>
                  <w:keepLines/>
                  <w:ind w:left="14"/>
                </w:pPr>
              </w:pPrChange>
            </w:pPr>
            <w:r>
              <w:rPr>
                <w:noProof/>
                <w:lang w:val="it-IT"/>
              </w:rPr>
              <w:sym w:font="Symbol" w:char="F03C"/>
            </w:r>
            <w:r>
              <w:rPr>
                <w:noProof/>
                <w:lang w:val="it-IT"/>
              </w:rPr>
              <w:t xml:space="preserve"> 50 </w:t>
            </w:r>
          </w:p>
        </w:tc>
        <w:tc>
          <w:tcPr>
            <w:tcW w:w="3811" w:type="pct"/>
            <w:tcBorders>
              <w:top w:val="single" w:sz="4" w:space="0" w:color="auto"/>
              <w:left w:val="single" w:sz="4" w:space="0" w:color="auto"/>
              <w:bottom w:val="single" w:sz="4" w:space="0" w:color="auto"/>
              <w:right w:val="single" w:sz="4" w:space="0" w:color="auto"/>
            </w:tcBorders>
            <w:hideMark/>
            <w:tcPrChange w:id="6608" w:author="Author">
              <w:tcPr>
                <w:tcW w:w="3897" w:type="pct"/>
                <w:tcBorders>
                  <w:top w:val="single" w:sz="4" w:space="0" w:color="auto"/>
                  <w:left w:val="single" w:sz="4" w:space="0" w:color="auto"/>
                  <w:bottom w:val="single" w:sz="4" w:space="0" w:color="auto"/>
                  <w:right w:val="single" w:sz="4" w:space="0" w:color="auto"/>
                </w:tcBorders>
                <w:hideMark/>
              </w:tcPr>
            </w:tcPrChange>
          </w:tcPr>
          <w:p>
            <w:pPr>
              <w:pStyle w:val="Standard"/>
              <w:suppressAutoHyphens/>
              <w:ind w:left="14"/>
              <w:rPr>
                <w:noProof/>
                <w:lang w:val="it-IT"/>
              </w:rPr>
              <w:pPrChange w:id="6609" w:author="Author">
                <w:pPr>
                  <w:pStyle w:val="Standard"/>
                  <w:keepNext/>
                  <w:keepLines/>
                  <w:ind w:left="14"/>
                </w:pPr>
              </w:pPrChange>
            </w:pPr>
            <w:r>
              <w:rPr>
                <w:noProof/>
                <w:lang w:val="it-IT"/>
              </w:rPr>
              <w:t>Interrompere il trattamento con tocilizumab.</w:t>
            </w:r>
          </w:p>
          <w:p>
            <w:pPr>
              <w:pStyle w:val="Standard"/>
              <w:suppressAutoHyphens/>
              <w:ind w:left="14"/>
              <w:rPr>
                <w:noProof/>
                <w:lang w:val="it-IT"/>
              </w:rPr>
              <w:pPrChange w:id="6610" w:author="Author">
                <w:pPr>
                  <w:pStyle w:val="Standard"/>
                  <w:keepNext/>
                  <w:keepLines/>
                  <w:ind w:left="14"/>
                </w:pPr>
              </w:pPrChange>
            </w:pPr>
          </w:p>
          <w:p>
            <w:pPr>
              <w:pStyle w:val="Standard"/>
              <w:suppressAutoHyphens/>
              <w:ind w:left="14"/>
              <w:rPr>
                <w:del w:id="6611" w:author="Author"/>
                <w:noProof/>
                <w:lang w:val="it-IT"/>
              </w:rPr>
              <w:pPrChange w:id="6612" w:author="Author">
                <w:pPr>
                  <w:pStyle w:val="Standard"/>
                  <w:keepNext/>
                  <w:keepLines/>
                  <w:ind w:left="14"/>
                </w:pPr>
              </w:pPrChange>
            </w:pPr>
            <w:r>
              <w:rPr>
                <w:noProof/>
                <w:lang w:val="it-IT"/>
              </w:rPr>
              <w:t>La decisione di interrompere il trattamento nell’AIGs o nell’AIGp per un’anomalia di laboratorio deve basarsi sulla valutazione medica del singolo paziente.</w:t>
            </w:r>
          </w:p>
          <w:p>
            <w:pPr>
              <w:pStyle w:val="Standard"/>
              <w:suppressAutoHyphens/>
              <w:ind w:left="14"/>
              <w:rPr>
                <w:noProof/>
                <w:lang w:val="it-IT"/>
              </w:rPr>
              <w:pPrChange w:id="6613" w:author="Author">
                <w:pPr>
                  <w:pStyle w:val="Standard"/>
                  <w:keepNext/>
                  <w:keepLines/>
                  <w:ind w:left="14"/>
                </w:pPr>
              </w:pPrChange>
            </w:pPr>
          </w:p>
        </w:tc>
      </w:tr>
    </w:tbl>
    <w:p>
      <w:pPr>
        <w:ind w:left="567" w:hanging="567"/>
        <w:rPr>
          <w:noProof/>
          <w:szCs w:val="22"/>
          <w:lang w:val="it-IT"/>
        </w:rPr>
      </w:pPr>
    </w:p>
    <w:p>
      <w:pPr>
        <w:rPr>
          <w:noProof/>
          <w:lang w:val="it-IT"/>
        </w:rPr>
      </w:pPr>
      <w:r>
        <w:rPr>
          <w:noProof/>
          <w:lang w:val="it-IT"/>
        </w:rPr>
        <w:t>La riduzione della frequenza di somministrazione di tocilizumab per anomalie di laboratorio non è stata studiata nei pazienti affetti da AIGs o AIGp.</w:t>
      </w:r>
    </w:p>
    <w:p>
      <w:pPr>
        <w:tabs>
          <w:tab w:val="left" w:pos="180"/>
        </w:tabs>
        <w:rPr>
          <w:noProof/>
          <w:lang w:val="it-IT"/>
        </w:rPr>
        <w:pPrChange w:id="6614" w:author="Author">
          <w:pPr>
            <w:keepNext/>
            <w:keepLines/>
            <w:tabs>
              <w:tab w:val="left" w:pos="180"/>
            </w:tabs>
          </w:pPr>
        </w:pPrChange>
      </w:pPr>
    </w:p>
    <w:p>
      <w:pPr>
        <w:rPr>
          <w:noProof/>
          <w:lang w:val="it-IT"/>
        </w:rPr>
      </w:pPr>
      <w:r>
        <w:rPr>
          <w:noProof/>
          <w:lang w:val="it-IT"/>
        </w:rPr>
        <w:lastRenderedPageBreak/>
        <w:t>La sicurezza e l’efficacia di tocilizumab in formulazione sottocutanea nei bambini affetti da condizioni diverse dall’AIGs o dall’AIGp non sono state stabilite.</w:t>
      </w:r>
    </w:p>
    <w:p>
      <w:pPr>
        <w:rPr>
          <w:noProof/>
          <w:lang w:val="it-IT"/>
        </w:rPr>
      </w:pPr>
    </w:p>
    <w:p>
      <w:pPr>
        <w:rPr>
          <w:noProof/>
          <w:lang w:val="it-IT"/>
        </w:rPr>
      </w:pPr>
      <w:r>
        <w:rPr>
          <w:noProof/>
          <w:lang w:val="it-IT"/>
        </w:rPr>
        <w:t>I dati disponibili con la formulazioneendovenosa suggeriscono che il miglioramento clinico si osserva entro 12 settimane dall’inizio del trattamento con tocilizumab. Occorre attentamente riconsiderare se continuare la terapia in un paziente che non mostri miglioramenti in questo lasso di tempo.</w:t>
      </w:r>
    </w:p>
    <w:p>
      <w:pPr>
        <w:rPr>
          <w:noProof/>
          <w:lang w:val="it-IT"/>
        </w:rPr>
      </w:pPr>
    </w:p>
    <w:p>
      <w:pPr>
        <w:keepNext/>
        <w:ind w:left="567" w:hanging="567"/>
        <w:rPr>
          <w:rFonts w:eastAsia="Calibri"/>
          <w:bCs/>
          <w:i/>
          <w:iCs/>
          <w:noProof/>
          <w:szCs w:val="22"/>
          <w:u w:val="single"/>
          <w:lang w:val="it-IT" w:eastAsia="en-US"/>
          <w:rPrChange w:id="6615" w:author="Author">
            <w:rPr>
              <w:rFonts w:eastAsia="Calibri"/>
              <w:bCs/>
              <w:szCs w:val="22"/>
              <w:lang w:val="it-IT" w:eastAsia="en-US"/>
            </w:rPr>
          </w:rPrChange>
        </w:rPr>
        <w:pPrChange w:id="6616" w:author="Author">
          <w:pPr>
            <w:ind w:left="567" w:hanging="567"/>
          </w:pPr>
        </w:pPrChange>
      </w:pPr>
      <w:r>
        <w:rPr>
          <w:rFonts w:eastAsia="Calibri"/>
          <w:bCs/>
          <w:i/>
          <w:iCs/>
          <w:noProof/>
          <w:szCs w:val="22"/>
          <w:u w:val="single"/>
          <w:lang w:val="it-IT" w:eastAsia="en-US"/>
          <w:rPrChange w:id="6617" w:author="Author">
            <w:rPr>
              <w:rFonts w:eastAsia="Calibri"/>
              <w:bCs/>
              <w:szCs w:val="22"/>
              <w:lang w:val="it-IT" w:eastAsia="en-US"/>
            </w:rPr>
          </w:rPrChange>
        </w:rPr>
        <w:t xml:space="preserve">Dose </w:t>
      </w:r>
      <w:del w:id="6618" w:author="Author">
        <w:r>
          <w:rPr>
            <w:rFonts w:eastAsia="Calibri"/>
            <w:bCs/>
            <w:i/>
            <w:iCs/>
            <w:noProof/>
            <w:szCs w:val="22"/>
            <w:u w:val="single"/>
            <w:lang w:val="it-IT" w:eastAsia="en-US"/>
            <w:rPrChange w:id="6619" w:author="Author">
              <w:rPr>
                <w:rFonts w:eastAsia="Calibri"/>
                <w:bCs/>
                <w:szCs w:val="22"/>
                <w:lang w:val="it-IT" w:eastAsia="en-US"/>
              </w:rPr>
            </w:rPrChange>
          </w:rPr>
          <w:delText>saltata</w:delText>
        </w:r>
      </w:del>
      <w:ins w:id="6620" w:author="Author">
        <w:r>
          <w:rPr>
            <w:rFonts w:eastAsia="Calibri"/>
            <w:bCs/>
            <w:i/>
            <w:iCs/>
            <w:noProof/>
            <w:szCs w:val="22"/>
            <w:u w:val="single"/>
            <w:lang w:val="it-IT" w:eastAsia="en-US"/>
          </w:rPr>
          <w:t>dimenticata</w:t>
        </w:r>
      </w:ins>
    </w:p>
    <w:p>
      <w:pPr>
        <w:rPr>
          <w:ins w:id="6621" w:author="Author"/>
          <w:rFonts w:eastAsia="Calibri"/>
          <w:noProof/>
          <w:szCs w:val="22"/>
          <w:lang w:val="it-IT" w:eastAsia="en-US"/>
        </w:rPr>
      </w:pPr>
      <w:r>
        <w:rPr>
          <w:rFonts w:eastAsia="Calibri"/>
          <w:noProof/>
          <w:szCs w:val="22"/>
          <w:lang w:val="it-IT" w:eastAsia="en-US"/>
        </w:rPr>
        <w:t xml:space="preserve">Se un paziente affetto da AIGs che sta assumendo </w:t>
      </w:r>
      <w:del w:id="6622" w:author="Author">
        <w:r>
          <w:rPr>
            <w:rFonts w:eastAsia="Calibri"/>
            <w:noProof/>
            <w:szCs w:val="22"/>
            <w:lang w:val="it-IT" w:eastAsia="en-US"/>
          </w:rPr>
          <w:delText xml:space="preserve">settimanalmente </w:delText>
        </w:r>
      </w:del>
      <w:r>
        <w:rPr>
          <w:noProof/>
          <w:lang w:val="it-IT"/>
        </w:rPr>
        <w:t xml:space="preserve">tocilizumab </w:t>
      </w:r>
      <w:ins w:id="6623" w:author="Author">
        <w:r>
          <w:rPr>
            <w:noProof/>
            <w:lang w:val="it-IT"/>
          </w:rPr>
          <w:t xml:space="preserve">una volta a settimana </w:t>
        </w:r>
      </w:ins>
      <w:del w:id="6624" w:author="Author">
        <w:r>
          <w:rPr>
            <w:rFonts w:eastAsia="Calibri"/>
            <w:noProof/>
            <w:szCs w:val="22"/>
            <w:lang w:val="it-IT" w:eastAsia="en-US"/>
          </w:rPr>
          <w:delText xml:space="preserve">ha </w:delText>
        </w:r>
      </w:del>
      <w:r>
        <w:rPr>
          <w:rFonts w:eastAsia="Calibri"/>
          <w:noProof/>
          <w:szCs w:val="22"/>
          <w:lang w:val="it-IT" w:eastAsia="en-US"/>
        </w:rPr>
        <w:t>salta</w:t>
      </w:r>
      <w:del w:id="6625" w:author="Author">
        <w:r>
          <w:rPr>
            <w:rFonts w:eastAsia="Calibri"/>
            <w:noProof/>
            <w:szCs w:val="22"/>
            <w:lang w:val="it-IT" w:eastAsia="en-US"/>
          </w:rPr>
          <w:delText>to</w:delText>
        </w:r>
      </w:del>
      <w:r>
        <w:rPr>
          <w:rFonts w:eastAsia="Calibri"/>
          <w:noProof/>
          <w:szCs w:val="22"/>
          <w:lang w:val="it-IT" w:eastAsia="en-US"/>
        </w:rPr>
        <w:t xml:space="preserve"> un’iniezione sottocutanea e sono trascorsi meno di 7</w:t>
      </w:r>
      <w:del w:id="6626" w:author="Author">
        <w:r>
          <w:rPr>
            <w:rFonts w:eastAsia="Calibri"/>
            <w:noProof/>
            <w:szCs w:val="22"/>
            <w:lang w:val="it-IT" w:eastAsia="en-US"/>
          </w:rPr>
          <w:delText xml:space="preserve"> </w:delText>
        </w:r>
      </w:del>
      <w:ins w:id="6627" w:author="Author">
        <w:r>
          <w:rPr>
            <w:rFonts w:eastAsia="Calibri"/>
            <w:noProof/>
            <w:szCs w:val="22"/>
            <w:lang w:val="it-IT" w:eastAsia="en-US"/>
          </w:rPr>
          <w:t> </w:t>
        </w:r>
      </w:ins>
      <w:r>
        <w:rPr>
          <w:rFonts w:eastAsia="Calibri"/>
          <w:noProof/>
          <w:szCs w:val="22"/>
          <w:lang w:val="it-IT" w:eastAsia="en-US"/>
        </w:rPr>
        <w:t xml:space="preserve">giorni dalla dose </w:t>
      </w:r>
      <w:del w:id="6628" w:author="Author">
        <w:r>
          <w:rPr>
            <w:rFonts w:eastAsia="Calibri"/>
            <w:noProof/>
            <w:szCs w:val="22"/>
            <w:lang w:val="it-IT" w:eastAsia="en-US"/>
          </w:rPr>
          <w:delText>programmata</w:delText>
        </w:r>
      </w:del>
      <w:ins w:id="6629" w:author="Author">
        <w:r>
          <w:rPr>
            <w:rFonts w:eastAsia="Calibri"/>
            <w:noProof/>
            <w:szCs w:val="22"/>
            <w:lang w:val="it-IT" w:eastAsia="en-US"/>
          </w:rPr>
          <w:t>prevista</w:t>
        </w:r>
      </w:ins>
      <w:r>
        <w:rPr>
          <w:rFonts w:eastAsia="Calibri"/>
          <w:noProof/>
          <w:szCs w:val="22"/>
          <w:lang w:val="it-IT" w:eastAsia="en-US"/>
        </w:rPr>
        <w:t xml:space="preserve">, </w:t>
      </w:r>
      <w:del w:id="6630" w:author="Author">
        <w:r>
          <w:rPr>
            <w:rFonts w:eastAsia="Calibri"/>
            <w:noProof/>
            <w:szCs w:val="22"/>
            <w:lang w:val="it-IT" w:eastAsia="en-US"/>
          </w:rPr>
          <w:delText xml:space="preserve">questi </w:delText>
        </w:r>
      </w:del>
      <w:ins w:id="6631" w:author="Author">
        <w:r>
          <w:rPr>
            <w:rFonts w:eastAsia="Calibri"/>
            <w:noProof/>
            <w:szCs w:val="22"/>
            <w:lang w:val="it-IT" w:eastAsia="en-US"/>
          </w:rPr>
          <w:t xml:space="preserve">il paziente </w:t>
        </w:r>
      </w:ins>
      <w:r>
        <w:rPr>
          <w:rFonts w:eastAsia="Calibri"/>
          <w:noProof/>
          <w:szCs w:val="22"/>
          <w:lang w:val="it-IT" w:eastAsia="en-US"/>
        </w:rPr>
        <w:t xml:space="preserve">deve essere istruito ad assumere la </w:t>
      </w:r>
      <w:del w:id="6632" w:author="Author">
        <w:r>
          <w:rPr>
            <w:rFonts w:eastAsia="Calibri"/>
            <w:noProof/>
            <w:szCs w:val="22"/>
            <w:lang w:val="it-IT" w:eastAsia="en-US"/>
          </w:rPr>
          <w:delText xml:space="preserve">dose </w:delText>
        </w:r>
      </w:del>
      <w:ins w:id="6633" w:author="Author">
        <w:r>
          <w:rPr>
            <w:rFonts w:eastAsia="Calibri"/>
            <w:noProof/>
            <w:szCs w:val="22"/>
            <w:lang w:val="it-IT" w:eastAsia="en-US"/>
          </w:rPr>
          <w:t xml:space="preserve">dimenticata </w:t>
        </w:r>
      </w:ins>
      <w:del w:id="6634" w:author="Author">
        <w:r>
          <w:rPr>
            <w:rFonts w:eastAsia="Calibri"/>
            <w:noProof/>
            <w:szCs w:val="22"/>
            <w:lang w:val="it-IT" w:eastAsia="en-US"/>
          </w:rPr>
          <w:delText xml:space="preserve">saltata </w:delText>
        </w:r>
      </w:del>
      <w:r>
        <w:rPr>
          <w:rFonts w:eastAsia="Calibri"/>
          <w:noProof/>
          <w:szCs w:val="22"/>
          <w:lang w:val="it-IT" w:eastAsia="en-US"/>
        </w:rPr>
        <w:t xml:space="preserve">il giorno programmato successivo. </w:t>
      </w:r>
    </w:p>
    <w:p>
      <w:pPr>
        <w:rPr>
          <w:rFonts w:eastAsia="Calibri"/>
          <w:noProof/>
          <w:szCs w:val="22"/>
          <w:lang w:val="it-IT" w:eastAsia="en-US"/>
        </w:rPr>
      </w:pPr>
      <w:r>
        <w:rPr>
          <w:rFonts w:eastAsia="Calibri"/>
          <w:noProof/>
          <w:szCs w:val="22"/>
          <w:lang w:val="it-IT" w:eastAsia="en-US"/>
        </w:rPr>
        <w:t xml:space="preserve">Se un paziente che sta assumendo </w:t>
      </w:r>
      <w:r>
        <w:rPr>
          <w:noProof/>
          <w:lang w:val="it-IT"/>
        </w:rPr>
        <w:t xml:space="preserve">tocilizumab </w:t>
      </w:r>
      <w:ins w:id="6635" w:author="Author">
        <w:r>
          <w:rPr>
            <w:rFonts w:eastAsia="Calibri"/>
            <w:noProof/>
            <w:szCs w:val="22"/>
            <w:lang w:val="it-IT" w:eastAsia="en-US"/>
          </w:rPr>
          <w:t>ogni due</w:t>
        </w:r>
      </w:ins>
      <w:del w:id="6636" w:author="Author">
        <w:r>
          <w:rPr>
            <w:rFonts w:eastAsia="Calibri"/>
            <w:noProof/>
            <w:szCs w:val="22"/>
            <w:lang w:val="it-IT" w:eastAsia="en-US"/>
          </w:rPr>
          <w:delText>a</w:delText>
        </w:r>
      </w:del>
      <w:r>
        <w:rPr>
          <w:rFonts w:eastAsia="Calibri"/>
          <w:noProof/>
          <w:szCs w:val="22"/>
          <w:lang w:val="it-IT" w:eastAsia="en-US"/>
        </w:rPr>
        <w:t xml:space="preserve"> settimane </w:t>
      </w:r>
      <w:del w:id="6637" w:author="Author">
        <w:r>
          <w:rPr>
            <w:rFonts w:eastAsia="Calibri"/>
            <w:noProof/>
            <w:szCs w:val="22"/>
            <w:lang w:val="it-IT" w:eastAsia="en-US"/>
          </w:rPr>
          <w:delText xml:space="preserve">alterne ha </w:delText>
        </w:r>
      </w:del>
      <w:r>
        <w:rPr>
          <w:rFonts w:eastAsia="Calibri"/>
          <w:noProof/>
          <w:szCs w:val="22"/>
          <w:lang w:val="it-IT" w:eastAsia="en-US"/>
        </w:rPr>
        <w:t>salta</w:t>
      </w:r>
      <w:del w:id="6638" w:author="Author">
        <w:r>
          <w:rPr>
            <w:rFonts w:eastAsia="Calibri"/>
            <w:noProof/>
            <w:szCs w:val="22"/>
            <w:lang w:val="it-IT" w:eastAsia="en-US"/>
          </w:rPr>
          <w:delText>to</w:delText>
        </w:r>
      </w:del>
      <w:r>
        <w:rPr>
          <w:rFonts w:eastAsia="Calibri"/>
          <w:noProof/>
          <w:szCs w:val="22"/>
          <w:lang w:val="it-IT" w:eastAsia="en-US"/>
        </w:rPr>
        <w:t xml:space="preserve"> un’iniezione sottocutanea e sono trascorsi meno di 7</w:t>
      </w:r>
      <w:ins w:id="6639" w:author="Author">
        <w:r>
          <w:rPr>
            <w:rFonts w:eastAsia="Calibri"/>
            <w:noProof/>
            <w:szCs w:val="22"/>
            <w:lang w:val="it-IT" w:eastAsia="en-US"/>
          </w:rPr>
          <w:t> </w:t>
        </w:r>
      </w:ins>
      <w:del w:id="6640" w:author="Author">
        <w:r>
          <w:rPr>
            <w:rFonts w:eastAsia="Calibri"/>
            <w:noProof/>
            <w:szCs w:val="22"/>
            <w:lang w:val="it-IT" w:eastAsia="en-US"/>
          </w:rPr>
          <w:delText xml:space="preserve"> </w:delText>
        </w:r>
      </w:del>
      <w:r>
        <w:rPr>
          <w:rFonts w:eastAsia="Calibri"/>
          <w:noProof/>
          <w:szCs w:val="22"/>
          <w:lang w:val="it-IT" w:eastAsia="en-US"/>
        </w:rPr>
        <w:t xml:space="preserve">giorni dalla dose </w:t>
      </w:r>
      <w:del w:id="6641" w:author="Author">
        <w:r>
          <w:rPr>
            <w:rFonts w:eastAsia="Calibri"/>
            <w:noProof/>
            <w:szCs w:val="22"/>
            <w:lang w:val="it-IT" w:eastAsia="en-US"/>
          </w:rPr>
          <w:delText>programmata</w:delText>
        </w:r>
      </w:del>
      <w:ins w:id="6642" w:author="Author">
        <w:r>
          <w:rPr>
            <w:rFonts w:eastAsia="Calibri"/>
            <w:noProof/>
            <w:szCs w:val="22"/>
            <w:lang w:val="it-IT" w:eastAsia="en-US"/>
          </w:rPr>
          <w:t>prevista</w:t>
        </w:r>
      </w:ins>
      <w:r>
        <w:rPr>
          <w:rFonts w:eastAsia="Calibri"/>
          <w:noProof/>
          <w:szCs w:val="22"/>
          <w:lang w:val="it-IT" w:eastAsia="en-US"/>
        </w:rPr>
        <w:t xml:space="preserve">, </w:t>
      </w:r>
      <w:del w:id="6643" w:author="Author">
        <w:r>
          <w:rPr>
            <w:rFonts w:eastAsia="Calibri"/>
            <w:noProof/>
            <w:szCs w:val="22"/>
            <w:lang w:val="it-IT" w:eastAsia="en-US"/>
          </w:rPr>
          <w:delText xml:space="preserve">questi </w:delText>
        </w:r>
      </w:del>
      <w:ins w:id="6644" w:author="Author">
        <w:r>
          <w:rPr>
            <w:rFonts w:eastAsia="Calibri"/>
            <w:noProof/>
            <w:szCs w:val="22"/>
            <w:lang w:val="it-IT" w:eastAsia="en-US"/>
          </w:rPr>
          <w:t xml:space="preserve">il paziente </w:t>
        </w:r>
      </w:ins>
      <w:r>
        <w:rPr>
          <w:rFonts w:eastAsia="Calibri"/>
          <w:noProof/>
          <w:szCs w:val="22"/>
          <w:lang w:val="it-IT" w:eastAsia="en-US"/>
        </w:rPr>
        <w:t xml:space="preserve">deve essere istruito ad assumere la dose </w:t>
      </w:r>
      <w:del w:id="6645" w:author="Author">
        <w:r>
          <w:rPr>
            <w:rFonts w:eastAsia="Calibri"/>
            <w:noProof/>
            <w:szCs w:val="22"/>
            <w:lang w:val="it-IT" w:eastAsia="en-US"/>
          </w:rPr>
          <w:delText xml:space="preserve">saltata </w:delText>
        </w:r>
      </w:del>
      <w:ins w:id="6646" w:author="Author">
        <w:r>
          <w:rPr>
            <w:rFonts w:eastAsia="Calibri"/>
            <w:noProof/>
            <w:szCs w:val="22"/>
            <w:lang w:val="it-IT" w:eastAsia="en-US"/>
          </w:rPr>
          <w:t xml:space="preserve">dimenticata </w:t>
        </w:r>
      </w:ins>
      <w:r>
        <w:rPr>
          <w:rFonts w:eastAsia="Calibri"/>
          <w:noProof/>
          <w:szCs w:val="22"/>
          <w:lang w:val="it-IT" w:eastAsia="en-US"/>
        </w:rPr>
        <w:t>immediatamente e quell</w:t>
      </w:r>
      <w:ins w:id="6647" w:author="Author">
        <w:r>
          <w:rPr>
            <w:rFonts w:eastAsia="Calibri"/>
            <w:noProof/>
            <w:szCs w:val="22"/>
            <w:lang w:val="it-IT" w:eastAsia="en-US"/>
          </w:rPr>
          <w:t>e successive come</w:t>
        </w:r>
      </w:ins>
      <w:del w:id="6648" w:author="Author">
        <w:r>
          <w:rPr>
            <w:rFonts w:eastAsia="Calibri"/>
            <w:noProof/>
            <w:szCs w:val="22"/>
            <w:lang w:val="it-IT" w:eastAsia="en-US"/>
          </w:rPr>
          <w:delText>a</w:delText>
        </w:r>
      </w:del>
      <w:r>
        <w:rPr>
          <w:rFonts w:eastAsia="Calibri"/>
          <w:noProof/>
          <w:szCs w:val="22"/>
          <w:lang w:val="it-IT" w:eastAsia="en-US"/>
        </w:rPr>
        <w:t xml:space="preserve"> </w:t>
      </w:r>
      <w:del w:id="6649" w:author="Author">
        <w:r>
          <w:rPr>
            <w:rFonts w:eastAsia="Calibri"/>
            <w:noProof/>
            <w:szCs w:val="22"/>
            <w:lang w:val="it-IT" w:eastAsia="en-US"/>
          </w:rPr>
          <w:delText xml:space="preserve">seguente il giorno </w:delText>
        </w:r>
      </w:del>
      <w:r>
        <w:rPr>
          <w:rFonts w:eastAsia="Calibri"/>
          <w:noProof/>
          <w:szCs w:val="22"/>
          <w:lang w:val="it-IT" w:eastAsia="en-US"/>
        </w:rPr>
        <w:t>programmato</w:t>
      </w:r>
      <w:del w:id="6650" w:author="Author">
        <w:r>
          <w:rPr>
            <w:rFonts w:eastAsia="Calibri"/>
            <w:noProof/>
            <w:szCs w:val="22"/>
            <w:lang w:val="it-IT" w:eastAsia="en-US"/>
          </w:rPr>
          <w:delText xml:space="preserve"> successivo</w:delText>
        </w:r>
      </w:del>
      <w:r>
        <w:rPr>
          <w:rFonts w:eastAsia="Calibri"/>
          <w:noProof/>
          <w:szCs w:val="22"/>
          <w:lang w:val="it-IT" w:eastAsia="en-US"/>
        </w:rPr>
        <w:t>.</w:t>
      </w:r>
    </w:p>
    <w:p>
      <w:pPr>
        <w:rPr>
          <w:rFonts w:eastAsia="Calibri"/>
          <w:noProof/>
          <w:szCs w:val="22"/>
          <w:lang w:val="it-IT" w:eastAsia="en-US"/>
        </w:rPr>
      </w:pPr>
    </w:p>
    <w:p>
      <w:pPr>
        <w:rPr>
          <w:noProof/>
          <w:szCs w:val="22"/>
          <w:lang w:val="it-IT" w:eastAsia="en-US"/>
        </w:rPr>
      </w:pPr>
      <w:r>
        <w:rPr>
          <w:rFonts w:eastAsia="Calibri"/>
          <w:noProof/>
          <w:szCs w:val="22"/>
          <w:lang w:val="it-IT" w:eastAsia="en-US"/>
        </w:rPr>
        <w:t xml:space="preserve">Se un paziente affetto da </w:t>
      </w:r>
      <w:r>
        <w:rPr>
          <w:noProof/>
          <w:lang w:val="it-IT"/>
        </w:rPr>
        <w:t>AIGp</w:t>
      </w:r>
      <w:r>
        <w:rPr>
          <w:rFonts w:eastAsia="Calibri"/>
          <w:noProof/>
          <w:szCs w:val="22"/>
          <w:lang w:val="it-IT" w:eastAsia="en-US"/>
        </w:rPr>
        <w:t xml:space="preserve"> ha saltato un’iniezione sottocutanea di </w:t>
      </w:r>
      <w:r>
        <w:rPr>
          <w:noProof/>
          <w:lang w:val="it-IT"/>
        </w:rPr>
        <w:t xml:space="preserve">tocilizumab </w:t>
      </w:r>
      <w:r>
        <w:rPr>
          <w:rFonts w:eastAsia="Calibri"/>
          <w:noProof/>
          <w:szCs w:val="22"/>
          <w:lang w:val="it-IT" w:eastAsia="en-US"/>
        </w:rPr>
        <w:t>e sono trascorsi meno di 7</w:t>
      </w:r>
      <w:ins w:id="6651" w:author="Author">
        <w:r>
          <w:rPr>
            <w:rFonts w:eastAsia="Calibri"/>
            <w:noProof/>
            <w:szCs w:val="22"/>
            <w:lang w:val="it-IT" w:eastAsia="en-US"/>
          </w:rPr>
          <w:t> </w:t>
        </w:r>
      </w:ins>
      <w:del w:id="6652" w:author="Author">
        <w:r>
          <w:rPr>
            <w:rFonts w:eastAsia="Calibri"/>
            <w:noProof/>
            <w:szCs w:val="22"/>
            <w:lang w:val="it-IT" w:eastAsia="en-US"/>
          </w:rPr>
          <w:delText xml:space="preserve"> </w:delText>
        </w:r>
      </w:del>
      <w:r>
        <w:rPr>
          <w:rFonts w:eastAsia="Calibri"/>
          <w:noProof/>
          <w:szCs w:val="22"/>
          <w:lang w:val="it-IT" w:eastAsia="en-US"/>
        </w:rPr>
        <w:t>giorni dalla dose</w:t>
      </w:r>
      <w:del w:id="6653" w:author="Author">
        <w:r>
          <w:rPr>
            <w:rFonts w:eastAsia="Calibri"/>
            <w:noProof/>
            <w:szCs w:val="22"/>
            <w:lang w:val="it-IT" w:eastAsia="en-US"/>
          </w:rPr>
          <w:delText xml:space="preserve"> </w:delText>
        </w:r>
      </w:del>
      <w:ins w:id="6654" w:author="Author">
        <w:r>
          <w:rPr>
            <w:rFonts w:eastAsia="Calibri"/>
            <w:noProof/>
            <w:szCs w:val="22"/>
            <w:lang w:val="it-IT" w:eastAsia="en-US"/>
          </w:rPr>
          <w:t>prevista</w:t>
        </w:r>
      </w:ins>
      <w:del w:id="6655" w:author="Author">
        <w:r>
          <w:rPr>
            <w:rFonts w:eastAsia="Calibri"/>
            <w:noProof/>
            <w:szCs w:val="22"/>
            <w:lang w:val="it-IT" w:eastAsia="en-US"/>
          </w:rPr>
          <w:delText>programmata</w:delText>
        </w:r>
      </w:del>
      <w:r>
        <w:rPr>
          <w:rFonts w:eastAsia="Calibri"/>
          <w:noProof/>
          <w:szCs w:val="22"/>
          <w:lang w:val="it-IT" w:eastAsia="en-US"/>
        </w:rPr>
        <w:t xml:space="preserve">, la dose saltata deve essere somministrata non appena il paziente se ne ricorda e quella successiva deve essere iniettata regolarmente nel giorno e all’ora previsti. Se un paziente ha saltato un’iniezione sottocutanea di </w:t>
      </w:r>
      <w:r>
        <w:rPr>
          <w:noProof/>
          <w:lang w:val="it-IT"/>
        </w:rPr>
        <w:t xml:space="preserve">tocilizumab </w:t>
      </w:r>
      <w:r>
        <w:rPr>
          <w:rFonts w:eastAsia="Calibri"/>
          <w:noProof/>
          <w:szCs w:val="22"/>
          <w:lang w:val="it-IT" w:eastAsia="en-US"/>
        </w:rPr>
        <w:t>e sono trascorsi più di 7</w:t>
      </w:r>
      <w:ins w:id="6656" w:author="Author">
        <w:r>
          <w:rPr>
            <w:rFonts w:eastAsia="Calibri"/>
            <w:noProof/>
            <w:szCs w:val="22"/>
            <w:lang w:val="it-IT" w:eastAsia="en-US"/>
          </w:rPr>
          <w:t> </w:t>
        </w:r>
      </w:ins>
      <w:del w:id="6657" w:author="Author">
        <w:r>
          <w:rPr>
            <w:rFonts w:eastAsia="Calibri"/>
            <w:noProof/>
            <w:szCs w:val="22"/>
            <w:lang w:val="it-IT" w:eastAsia="en-US"/>
          </w:rPr>
          <w:delText xml:space="preserve"> </w:delText>
        </w:r>
      </w:del>
      <w:r>
        <w:rPr>
          <w:rFonts w:eastAsia="Calibri"/>
          <w:noProof/>
          <w:szCs w:val="22"/>
          <w:lang w:val="it-IT" w:eastAsia="en-US"/>
        </w:rPr>
        <w:t xml:space="preserve">giorni dalla dose </w:t>
      </w:r>
      <w:del w:id="6658" w:author="Author">
        <w:r>
          <w:rPr>
            <w:rFonts w:eastAsia="Calibri"/>
            <w:noProof/>
            <w:szCs w:val="22"/>
            <w:lang w:val="it-IT" w:eastAsia="en-US"/>
          </w:rPr>
          <w:delText xml:space="preserve">programmata </w:delText>
        </w:r>
      </w:del>
      <w:ins w:id="6659" w:author="Author">
        <w:r>
          <w:rPr>
            <w:rFonts w:eastAsia="Calibri"/>
            <w:noProof/>
            <w:szCs w:val="22"/>
            <w:lang w:val="it-IT" w:eastAsia="en-US"/>
          </w:rPr>
          <w:t xml:space="preserve">prevista </w:t>
        </w:r>
      </w:ins>
      <w:r>
        <w:rPr>
          <w:rFonts w:eastAsia="Calibri"/>
          <w:noProof/>
          <w:szCs w:val="22"/>
          <w:lang w:val="it-IT" w:eastAsia="en-US"/>
        </w:rPr>
        <w:t>oppure il paziente non è sicuro di quando iniettarlo, è necessario rivolgersi al medico o al farmacista.</w:t>
      </w:r>
    </w:p>
    <w:p>
      <w:pPr>
        <w:rPr>
          <w:noProof/>
          <w:szCs w:val="22"/>
          <w:lang w:val="it-IT"/>
        </w:rPr>
      </w:pPr>
    </w:p>
    <w:p>
      <w:pPr>
        <w:ind w:left="567" w:hanging="567"/>
        <w:rPr>
          <w:del w:id="6660" w:author="Author"/>
          <w:rFonts w:eastAsia="Calibri"/>
          <w:noProof/>
          <w:szCs w:val="22"/>
          <w:u w:val="single"/>
          <w:lang w:val="it-IT" w:eastAsia="en-US"/>
        </w:rPr>
      </w:pPr>
      <w:r>
        <w:rPr>
          <w:rFonts w:eastAsia="Calibri"/>
          <w:noProof/>
          <w:szCs w:val="22"/>
          <w:u w:val="single"/>
          <w:lang w:val="it-IT" w:eastAsia="en-US"/>
        </w:rPr>
        <w:t>Modo di somministrazione</w:t>
      </w:r>
    </w:p>
    <w:p>
      <w:pPr>
        <w:ind w:left="567" w:hanging="567"/>
        <w:rPr>
          <w:noProof/>
          <w:szCs w:val="22"/>
          <w:u w:val="single"/>
          <w:lang w:val="it-IT" w:eastAsia="en-US"/>
        </w:rPr>
      </w:pPr>
    </w:p>
    <w:p>
      <w:pPr>
        <w:rPr>
          <w:rFonts w:eastAsia="Calibri"/>
          <w:noProof/>
          <w:szCs w:val="22"/>
          <w:lang w:val="it-IT" w:eastAsia="en-US"/>
        </w:rPr>
      </w:pPr>
      <w:r>
        <w:rPr>
          <w:rFonts w:eastAsia="Calibri"/>
          <w:noProof/>
          <w:szCs w:val="22"/>
          <w:lang w:val="it-IT" w:eastAsia="en-US"/>
        </w:rPr>
        <w:t>Questo medicinale è per uso sottocutaneo.</w:t>
      </w:r>
    </w:p>
    <w:p>
      <w:pPr>
        <w:rPr>
          <w:del w:id="6661" w:author="Author"/>
          <w:iCs/>
          <w:noProof/>
          <w:szCs w:val="22"/>
          <w:lang w:val="it-IT" w:eastAsia="en-US"/>
        </w:rPr>
      </w:pPr>
      <w:r>
        <w:rPr>
          <w:rFonts w:eastAsia="Calibri"/>
          <w:iCs/>
          <w:noProof/>
          <w:szCs w:val="22"/>
          <w:lang w:val="it-IT" w:eastAsia="en-US"/>
        </w:rPr>
        <w:t>Dopo un adeguato addestramento sulla tecnica di iniezione e se il medico lo ritiene opportuno, i pazienti potranno autoiniettarsi questo medicinale.</w:t>
      </w:r>
      <w:ins w:id="6662" w:author="Author">
        <w:r>
          <w:rPr>
            <w:rFonts w:eastAsia="Calibri"/>
            <w:iCs/>
            <w:noProof/>
            <w:szCs w:val="22"/>
            <w:lang w:val="it-IT" w:eastAsia="en-US"/>
          </w:rPr>
          <w:t xml:space="preserve"> </w:t>
        </w:r>
      </w:ins>
    </w:p>
    <w:p>
      <w:pPr>
        <w:rPr>
          <w:noProof/>
          <w:szCs w:val="22"/>
          <w:lang w:val="it-IT" w:eastAsia="en-US"/>
        </w:rPr>
      </w:pPr>
      <w:r>
        <w:rPr>
          <w:rFonts w:eastAsia="Calibri"/>
          <w:noProof/>
          <w:szCs w:val="22"/>
          <w:lang w:val="it-IT" w:eastAsia="en-US"/>
        </w:rPr>
        <w:t>L’intero contenuto (0,9 mL) della penna preriempita deve essere somministrato come iniezione sottocutanea. I siti di iniezione raccomandati (addome, cosce e parte superiore del braccio) devono essere alternati e le iniezioni non devono mai essere somministrate su nei, cicatrici o zone in cui la cute si presenta dolente, livida, arrossata, indurita o non integra.</w:t>
      </w:r>
    </w:p>
    <w:p>
      <w:pPr>
        <w:ind w:left="567" w:hanging="567"/>
        <w:rPr>
          <w:iCs/>
          <w:noProof/>
          <w:szCs w:val="22"/>
          <w:lang w:val="it-IT"/>
        </w:rPr>
      </w:pPr>
    </w:p>
    <w:p>
      <w:pPr>
        <w:keepNext/>
        <w:keepLines/>
        <w:ind w:left="567" w:hanging="567"/>
        <w:rPr>
          <w:iCs/>
          <w:noProof/>
          <w:szCs w:val="22"/>
          <w:lang w:val="it-IT" w:eastAsia="en-US"/>
        </w:rPr>
      </w:pPr>
      <w:r>
        <w:rPr>
          <w:rFonts w:eastAsia="Calibri"/>
          <w:iCs/>
          <w:noProof/>
          <w:szCs w:val="22"/>
          <w:lang w:val="it-IT" w:eastAsia="en-US"/>
        </w:rPr>
        <w:t>La penna preriempita non deve essere agitata.</w:t>
      </w:r>
    </w:p>
    <w:p>
      <w:pPr>
        <w:ind w:left="567" w:hanging="567"/>
        <w:rPr>
          <w:iCs/>
          <w:noProof/>
          <w:szCs w:val="22"/>
          <w:lang w:val="it-IT"/>
        </w:rPr>
      </w:pPr>
    </w:p>
    <w:p>
      <w:pPr>
        <w:rPr>
          <w:noProof/>
          <w:szCs w:val="22"/>
          <w:lang w:val="it-IT" w:eastAsia="en-US"/>
        </w:rPr>
      </w:pPr>
      <w:r>
        <w:rPr>
          <w:rFonts w:eastAsia="Calibri"/>
          <w:noProof/>
          <w:szCs w:val="22"/>
          <w:lang w:val="it-IT" w:eastAsia="en-US"/>
        </w:rPr>
        <w:t>Le istruzioni complete relative alla somministrazione di RoActemra in penna preriempita sono fornite nel foglio illustrativo, vedere paragrafo 6.6.</w:t>
      </w:r>
    </w:p>
    <w:p>
      <w:pPr>
        <w:rPr>
          <w:rFonts w:eastAsia="SimSun"/>
          <w:noProof/>
          <w:szCs w:val="22"/>
          <w:lang w:val="it-IT" w:eastAsia="zh-CN"/>
        </w:rPr>
      </w:pPr>
    </w:p>
    <w:p>
      <w:pPr>
        <w:ind w:left="567" w:hanging="567"/>
        <w:rPr>
          <w:noProof/>
          <w:szCs w:val="22"/>
          <w:lang w:val="it-IT" w:eastAsia="en-US"/>
        </w:rPr>
      </w:pPr>
      <w:r>
        <w:rPr>
          <w:rFonts w:eastAsia="Calibri"/>
          <w:b/>
          <w:bCs/>
          <w:noProof/>
          <w:szCs w:val="22"/>
          <w:lang w:val="it-IT" w:eastAsia="en-US"/>
        </w:rPr>
        <w:t>4.3</w:t>
      </w:r>
      <w:r>
        <w:rPr>
          <w:rFonts w:eastAsia="Calibri"/>
          <w:b/>
          <w:bCs/>
          <w:noProof/>
          <w:szCs w:val="22"/>
          <w:lang w:val="it-IT" w:eastAsia="en-US"/>
        </w:rPr>
        <w:tab/>
        <w:t>Controindicazioni</w:t>
      </w:r>
    </w:p>
    <w:p>
      <w:pPr>
        <w:rPr>
          <w:noProof/>
          <w:szCs w:val="22"/>
          <w:lang w:val="it-IT"/>
        </w:rPr>
      </w:pPr>
    </w:p>
    <w:p>
      <w:pPr>
        <w:rPr>
          <w:noProof/>
          <w:szCs w:val="22"/>
          <w:lang w:val="it-IT" w:eastAsia="en-US"/>
        </w:rPr>
      </w:pPr>
      <w:r>
        <w:rPr>
          <w:rFonts w:eastAsia="Calibri"/>
          <w:noProof/>
          <w:szCs w:val="22"/>
          <w:lang w:val="it-IT" w:eastAsia="en-US"/>
        </w:rPr>
        <w:t>Ipersensibilità al principio attivo o ad uno qualsiasi degli eccipienti elencati al paragrafo 6.1.</w:t>
      </w:r>
    </w:p>
    <w:p>
      <w:pPr>
        <w:ind w:left="567" w:hanging="567"/>
        <w:outlineLvl w:val="0"/>
        <w:rPr>
          <w:b/>
          <w:noProof/>
          <w:szCs w:val="22"/>
          <w:lang w:val="it-IT"/>
        </w:rPr>
      </w:pPr>
    </w:p>
    <w:p>
      <w:pPr>
        <w:ind w:left="567" w:hanging="567"/>
        <w:outlineLvl w:val="0"/>
        <w:rPr>
          <w:noProof/>
          <w:szCs w:val="22"/>
          <w:lang w:val="it-IT" w:eastAsia="en-US"/>
        </w:rPr>
      </w:pPr>
      <w:r>
        <w:rPr>
          <w:rFonts w:eastAsia="Calibri"/>
          <w:noProof/>
          <w:szCs w:val="22"/>
          <w:lang w:val="it-IT" w:eastAsia="en-US"/>
        </w:rPr>
        <w:t xml:space="preserve">Infezioni attive, </w:t>
      </w:r>
      <w:del w:id="6663" w:author="Author">
        <w:r>
          <w:rPr>
            <w:rFonts w:eastAsia="Calibri"/>
            <w:noProof/>
            <w:szCs w:val="22"/>
            <w:lang w:val="it-IT" w:eastAsia="en-US"/>
          </w:rPr>
          <w:delText xml:space="preserve">gravi </w:delText>
        </w:r>
      </w:del>
      <w:ins w:id="6664" w:author="Author">
        <w:r>
          <w:rPr>
            <w:rFonts w:eastAsia="Calibri"/>
            <w:noProof/>
            <w:szCs w:val="22"/>
            <w:lang w:val="it-IT" w:eastAsia="en-US"/>
          </w:rPr>
          <w:t xml:space="preserve">severe </w:t>
        </w:r>
      </w:ins>
      <w:r>
        <w:rPr>
          <w:rFonts w:eastAsia="Calibri"/>
          <w:noProof/>
          <w:szCs w:val="22"/>
          <w:lang w:val="it-IT" w:eastAsia="en-US"/>
        </w:rPr>
        <w:t>(vedere paragrafo 4.4).</w:t>
      </w:r>
    </w:p>
    <w:p>
      <w:pPr>
        <w:ind w:left="567" w:hanging="567"/>
        <w:outlineLvl w:val="0"/>
        <w:rPr>
          <w:noProof/>
          <w:szCs w:val="22"/>
          <w:lang w:val="it-IT"/>
        </w:rPr>
      </w:pPr>
    </w:p>
    <w:p>
      <w:pPr>
        <w:ind w:left="567" w:hanging="567"/>
        <w:outlineLvl w:val="0"/>
        <w:rPr>
          <w:rFonts w:eastAsia="Calibri"/>
          <w:b/>
          <w:noProof/>
          <w:szCs w:val="22"/>
          <w:lang w:val="it-IT" w:eastAsia="en-US"/>
        </w:rPr>
      </w:pPr>
      <w:r>
        <w:rPr>
          <w:rFonts w:eastAsia="Calibri"/>
          <w:b/>
          <w:noProof/>
          <w:szCs w:val="22"/>
          <w:lang w:val="it-IT" w:eastAsia="en-US"/>
        </w:rPr>
        <w:t>4.4</w:t>
      </w:r>
      <w:r>
        <w:rPr>
          <w:rFonts w:eastAsia="Calibri"/>
          <w:b/>
          <w:noProof/>
          <w:szCs w:val="22"/>
          <w:lang w:val="it-IT" w:eastAsia="en-US"/>
        </w:rPr>
        <w:tab/>
        <w:t>Avvertenze speciali e precauzioni d’impiego</w:t>
      </w:r>
    </w:p>
    <w:p>
      <w:pPr>
        <w:ind w:left="567" w:hanging="567"/>
        <w:outlineLvl w:val="0"/>
        <w:rPr>
          <w:rFonts w:eastAsia="Calibri"/>
          <w:b/>
          <w:noProof/>
          <w:szCs w:val="22"/>
          <w:lang w:val="it-IT" w:eastAsia="en-US"/>
        </w:rPr>
      </w:pPr>
    </w:p>
    <w:p>
      <w:pPr>
        <w:ind w:left="567" w:hanging="567"/>
        <w:outlineLvl w:val="0"/>
        <w:rPr>
          <w:b/>
          <w:noProof/>
          <w:szCs w:val="22"/>
          <w:lang w:val="it-IT" w:eastAsia="en-US"/>
        </w:rPr>
      </w:pPr>
      <w:r>
        <w:rPr>
          <w:noProof/>
          <w:szCs w:val="22"/>
          <w:lang w:val="it-IT"/>
        </w:rPr>
        <w:t>RoActemra in formulazione sottocutanea non è destinato alla somministrazione endovenosa.</w:t>
      </w:r>
    </w:p>
    <w:p>
      <w:pPr>
        <w:ind w:left="567" w:hanging="567"/>
        <w:outlineLvl w:val="0"/>
        <w:rPr>
          <w:i/>
          <w:noProof/>
          <w:szCs w:val="22"/>
          <w:lang w:val="it-IT"/>
        </w:rPr>
      </w:pPr>
    </w:p>
    <w:p>
      <w:pPr>
        <w:autoSpaceDE w:val="0"/>
        <w:autoSpaceDN w:val="0"/>
        <w:adjustRightInd w:val="0"/>
        <w:rPr>
          <w:noProof/>
          <w:szCs w:val="22"/>
          <w:lang w:val="it-IT"/>
        </w:rPr>
      </w:pPr>
      <w:r>
        <w:rPr>
          <w:noProof/>
          <w:szCs w:val="22"/>
          <w:lang w:val="it-IT"/>
        </w:rPr>
        <w:t>RoActemra in formulazione sottocutanea non è indicato per bambini affetti da AIGs di peso inferiore a 10 kg.</w:t>
      </w:r>
    </w:p>
    <w:p>
      <w:pPr>
        <w:ind w:left="567" w:hanging="567"/>
        <w:outlineLvl w:val="0"/>
        <w:rPr>
          <w:i/>
          <w:noProof/>
          <w:szCs w:val="22"/>
          <w:lang w:val="it-IT"/>
        </w:rPr>
      </w:pPr>
    </w:p>
    <w:p>
      <w:pPr>
        <w:ind w:left="567" w:hanging="567"/>
        <w:outlineLvl w:val="0"/>
        <w:rPr>
          <w:iCs/>
          <w:noProof/>
          <w:szCs w:val="22"/>
          <w:u w:val="single"/>
          <w:shd w:val="clear" w:color="auto" w:fill="FFFFFF"/>
          <w:lang w:val="it-IT" w:eastAsia="en-US"/>
          <w:rPrChange w:id="6665" w:author="Author">
            <w:rPr>
              <w:i/>
              <w:szCs w:val="22"/>
              <w:shd w:val="clear" w:color="auto" w:fill="FFFFFF"/>
              <w:lang w:val="it-IT" w:eastAsia="en-US"/>
            </w:rPr>
          </w:rPrChange>
        </w:rPr>
      </w:pPr>
      <w:r>
        <w:rPr>
          <w:rFonts w:eastAsia="Calibri"/>
          <w:iCs/>
          <w:noProof/>
          <w:szCs w:val="22"/>
          <w:u w:val="single"/>
          <w:shd w:val="clear" w:color="auto" w:fill="FFFFFF"/>
          <w:lang w:val="it-IT" w:eastAsia="en-US"/>
          <w:rPrChange w:id="6666" w:author="Author">
            <w:rPr>
              <w:rFonts w:eastAsia="Calibri"/>
              <w:i/>
              <w:szCs w:val="22"/>
              <w:shd w:val="clear" w:color="auto" w:fill="FFFFFF"/>
              <w:lang w:val="it-IT" w:eastAsia="en-US"/>
            </w:rPr>
          </w:rPrChange>
        </w:rPr>
        <w:t>Tracciabilità</w:t>
      </w:r>
    </w:p>
    <w:p>
      <w:pPr>
        <w:outlineLvl w:val="0"/>
        <w:rPr>
          <w:rFonts w:eastAsia="Calibri"/>
          <w:noProof/>
          <w:szCs w:val="22"/>
          <w:shd w:val="clear" w:color="auto" w:fill="FFFFFF"/>
          <w:lang w:val="it-IT" w:eastAsia="en-US"/>
        </w:rPr>
      </w:pPr>
      <w:r>
        <w:rPr>
          <w:rFonts w:eastAsia="Calibri"/>
          <w:noProof/>
          <w:szCs w:val="22"/>
          <w:shd w:val="clear" w:color="auto" w:fill="FFFFFF"/>
          <w:lang w:val="it-IT" w:eastAsia="en-US"/>
        </w:rPr>
        <w:t xml:space="preserve">Al fine di migliorare la tracciabilità dei medicinali biologici, il nome e il numero di lotto del medicinale somministrato devono essere chiaramente registrati. </w:t>
      </w:r>
    </w:p>
    <w:p>
      <w:pPr>
        <w:ind w:left="567" w:hanging="567"/>
        <w:outlineLvl w:val="0"/>
        <w:rPr>
          <w:noProof/>
          <w:szCs w:val="22"/>
          <w:shd w:val="clear" w:color="auto" w:fill="FFFFFF"/>
          <w:lang w:val="it-IT" w:eastAsia="en-US"/>
        </w:rPr>
      </w:pPr>
    </w:p>
    <w:p>
      <w:pPr>
        <w:keepNext/>
        <w:ind w:left="567" w:hanging="567"/>
        <w:outlineLvl w:val="0"/>
        <w:rPr>
          <w:del w:id="6667" w:author="Author"/>
          <w:noProof/>
          <w:szCs w:val="22"/>
          <w:u w:val="single"/>
          <w:shd w:val="clear" w:color="auto" w:fill="FFFFFF"/>
          <w:lang w:val="it-IT" w:eastAsia="en-US"/>
          <w:rPrChange w:id="6668" w:author="Author">
            <w:rPr>
              <w:del w:id="6669" w:author="Author"/>
              <w:szCs w:val="22"/>
              <w:shd w:val="clear" w:color="auto" w:fill="FFFFFF"/>
              <w:lang w:val="it-IT" w:eastAsia="en-US"/>
            </w:rPr>
          </w:rPrChange>
        </w:rPr>
        <w:pPrChange w:id="6670" w:author="Author">
          <w:pPr>
            <w:ind w:left="567" w:hanging="567"/>
            <w:outlineLvl w:val="0"/>
          </w:pPr>
        </w:pPrChange>
      </w:pPr>
      <w:r>
        <w:rPr>
          <w:noProof/>
          <w:szCs w:val="22"/>
          <w:u w:val="single"/>
          <w:shd w:val="clear" w:color="auto" w:fill="FFFFFF"/>
          <w:lang w:val="it-IT" w:eastAsia="en-US"/>
          <w:rPrChange w:id="6671" w:author="Author">
            <w:rPr>
              <w:szCs w:val="22"/>
              <w:shd w:val="clear" w:color="auto" w:fill="FFFFFF"/>
              <w:lang w:val="it-IT" w:eastAsia="en-US"/>
            </w:rPr>
          </w:rPrChange>
        </w:rPr>
        <w:t>Tutte le indicazioni</w:t>
      </w:r>
    </w:p>
    <w:p>
      <w:pPr>
        <w:keepNext/>
        <w:ind w:left="567" w:hanging="567"/>
        <w:outlineLvl w:val="0"/>
        <w:rPr>
          <w:noProof/>
          <w:szCs w:val="22"/>
          <w:shd w:val="clear" w:color="auto" w:fill="FFFFFF"/>
          <w:lang w:val="it-IT" w:eastAsia="en-US"/>
        </w:rPr>
        <w:pPrChange w:id="6672" w:author="Author">
          <w:pPr>
            <w:ind w:left="567" w:hanging="567"/>
            <w:outlineLvl w:val="0"/>
          </w:pPr>
        </w:pPrChange>
      </w:pPr>
    </w:p>
    <w:p>
      <w:pPr>
        <w:keepNext/>
        <w:ind w:left="567" w:hanging="567"/>
        <w:outlineLvl w:val="0"/>
        <w:rPr>
          <w:rFonts w:eastAsia="Calibri"/>
          <w:i/>
          <w:noProof/>
          <w:szCs w:val="22"/>
          <w:lang w:val="it-IT" w:eastAsia="en-US"/>
        </w:rPr>
        <w:pPrChange w:id="6673" w:author="Author">
          <w:pPr>
            <w:ind w:left="567" w:hanging="567"/>
            <w:outlineLvl w:val="0"/>
          </w:pPr>
        </w:pPrChange>
      </w:pPr>
      <w:r>
        <w:rPr>
          <w:rFonts w:eastAsia="Calibri"/>
          <w:i/>
          <w:noProof/>
          <w:szCs w:val="22"/>
          <w:lang w:val="it-IT" w:eastAsia="en-US"/>
        </w:rPr>
        <w:t>Infezioni</w:t>
      </w:r>
    </w:p>
    <w:p>
      <w:pPr>
        <w:rPr>
          <w:noProof/>
          <w:szCs w:val="22"/>
          <w:lang w:val="it-IT" w:eastAsia="en-US"/>
        </w:rPr>
      </w:pPr>
      <w:r>
        <w:rPr>
          <w:rFonts w:eastAsia="Calibri"/>
          <w:noProof/>
          <w:szCs w:val="22"/>
          <w:lang w:val="it-IT" w:eastAsia="en-US"/>
        </w:rPr>
        <w:t>In pazienti in terapia con agenti immunosoppressori incluso tocilizumab sono state riportate infezioni gravi e a volte fatali (vedere paragrafo 4.8</w:t>
      </w:r>
      <w:del w:id="6674" w:author="Author">
        <w:r>
          <w:rPr>
            <w:rFonts w:eastAsia="Calibri"/>
            <w:noProof/>
            <w:szCs w:val="22"/>
            <w:lang w:val="it-IT" w:eastAsia="en-US"/>
          </w:rPr>
          <w:delText xml:space="preserve"> Effetti indesiderati</w:delText>
        </w:r>
      </w:del>
      <w:r>
        <w:rPr>
          <w:rFonts w:eastAsia="Calibri"/>
          <w:noProof/>
          <w:szCs w:val="22"/>
          <w:lang w:val="it-IT" w:eastAsia="en-US"/>
        </w:rPr>
        <w:t xml:space="preserve">). Il trattamento non deve essere iniziato in pazienti con </w:t>
      </w:r>
      <w:r>
        <w:rPr>
          <w:rFonts w:eastAsia="Calibri"/>
          <w:noProof/>
          <w:szCs w:val="22"/>
          <w:lang w:val="it-IT" w:eastAsia="en-US"/>
        </w:rPr>
        <w:lastRenderedPageBreak/>
        <w:t xml:space="preserve">infezioni attive (vedere paragrafo 4.3). La somministrazione di tocilizumab deve essere interrotta nei pazienti che sviluppano un’infezione </w:t>
      </w:r>
      <w:del w:id="6675" w:author="Author">
        <w:r>
          <w:rPr>
            <w:rFonts w:eastAsia="Calibri"/>
            <w:noProof/>
            <w:szCs w:val="22"/>
            <w:lang w:val="it-IT" w:eastAsia="en-US"/>
          </w:rPr>
          <w:delText>severa</w:delText>
        </w:r>
      </w:del>
      <w:ins w:id="6676" w:author="Author">
        <w:r>
          <w:rPr>
            <w:rFonts w:eastAsia="Calibri"/>
            <w:noProof/>
            <w:szCs w:val="22"/>
            <w:lang w:val="it-IT" w:eastAsia="en-US"/>
          </w:rPr>
          <w:t>grave</w:t>
        </w:r>
      </w:ins>
      <w:r>
        <w:rPr>
          <w:rFonts w:eastAsia="Calibri"/>
          <w:noProof/>
          <w:szCs w:val="22"/>
          <w:lang w:val="it-IT" w:eastAsia="en-US"/>
        </w:rPr>
        <w:t>, fino a quando questa non risulti controllata (vedere paragrafo 4.8). Gli operatori sanitari devono essere cauti nel considerare l’uso di questo medicinale nei pazienti con una storia di infezioni ricorrenti o croniche o con patologie preesistenti (quali diverticolite, diabete e patologia polmonare interstiziale) che possono predisporre i pazienti alle infezioni.</w:t>
      </w:r>
    </w:p>
    <w:p>
      <w:pPr>
        <w:rPr>
          <w:noProof/>
          <w:szCs w:val="22"/>
          <w:lang w:val="it-IT"/>
        </w:rPr>
      </w:pPr>
    </w:p>
    <w:p>
      <w:pPr>
        <w:rPr>
          <w:noProof/>
          <w:szCs w:val="22"/>
          <w:lang w:val="it-IT" w:eastAsia="en-US"/>
        </w:rPr>
      </w:pPr>
      <w:r>
        <w:rPr>
          <w:rFonts w:eastAsia="Calibri"/>
          <w:noProof/>
          <w:szCs w:val="22"/>
          <w:lang w:val="it-IT" w:eastAsia="en-US"/>
        </w:rPr>
        <w:t>Si raccomanda un attento monitoraggio per rilevare tempestivamente infezioni gravi nei pazienti in terapia con agenti immunosoppressori come tocilizumab, poiché segni e sintomi di un’infiammazione acuta possono risultare mitigati a causa della soppressione dei reagenti di fase acuta. Gli effetti di tocilizumab sulla proteina C reattiva (PCR), sui neutrofili e sui segni e sintomi delle infezioni devono essere considerati quando si valuta un paziente per una potenziale infezione. I pazienti, (</w:t>
      </w:r>
      <w:r>
        <w:rPr>
          <w:noProof/>
          <w:szCs w:val="22"/>
          <w:lang w:val="it-IT"/>
        </w:rPr>
        <w:t>inclusi bambini più giovani con l’AIGs o l’AIGp che possono essere meno in grado di comunicare i loro sintomi</w:t>
      </w:r>
      <w:r>
        <w:rPr>
          <w:rFonts w:eastAsia="Calibri"/>
          <w:noProof/>
          <w:szCs w:val="22"/>
          <w:lang w:val="it-IT" w:eastAsia="en-US"/>
        </w:rPr>
        <w:t>)e i genitori/tutori di pazienti affetti da AIGs o AIGp devono essere invitati a contattare immediatamente il medico in presenza di sintomi che indichino un’infezione, in modo da consentire una rapida valutazione e un trattamento adeguato.</w:t>
      </w:r>
    </w:p>
    <w:p>
      <w:pPr>
        <w:rPr>
          <w:noProof/>
          <w:szCs w:val="22"/>
          <w:lang w:val="it-IT"/>
        </w:rPr>
      </w:pPr>
    </w:p>
    <w:p>
      <w:pPr>
        <w:rPr>
          <w:i/>
          <w:noProof/>
          <w:szCs w:val="22"/>
          <w:lang w:val="it-IT" w:eastAsia="en-US"/>
        </w:rPr>
      </w:pPr>
      <w:r>
        <w:rPr>
          <w:rFonts w:eastAsia="Calibri"/>
          <w:i/>
          <w:noProof/>
          <w:szCs w:val="22"/>
          <w:lang w:val="it-IT" w:eastAsia="en-US"/>
        </w:rPr>
        <w:t>Tubercolosi</w:t>
      </w:r>
    </w:p>
    <w:p>
      <w:pPr>
        <w:rPr>
          <w:noProof/>
          <w:szCs w:val="22"/>
          <w:lang w:val="it-IT" w:eastAsia="en-US"/>
        </w:rPr>
      </w:pPr>
      <w:r>
        <w:rPr>
          <w:rFonts w:eastAsia="Calibri"/>
          <w:noProof/>
          <w:szCs w:val="22"/>
          <w:lang w:val="it-IT" w:eastAsia="en-US"/>
        </w:rPr>
        <w:t>Come raccomandato per altre terapie biologiche, prima di iniziare la terapia con tocilizumab tutti i pazienti devono essere sottoposti a screening per escludere un’infezione tubercolare (TB) latente. I pazienti con TB latente devono essere sottoposti a terapia antimicobatterica standard prima di iniziare il trattamento. Si ricorda ai medici prescrittori il rischio di risultati falsi negativi dei test cutaneo della tubercolina ed ematico dell’interferone-gamma per l’infezione tubercolare, soprattutto in pazienti gravemente ammalati o immunocompromessi.</w:t>
      </w:r>
    </w:p>
    <w:p>
      <w:pPr>
        <w:rPr>
          <w:noProof/>
          <w:szCs w:val="22"/>
          <w:lang w:val="it-IT"/>
        </w:rPr>
      </w:pPr>
    </w:p>
    <w:p>
      <w:pPr>
        <w:rPr>
          <w:rFonts w:eastAsia="Calibri"/>
          <w:noProof/>
          <w:szCs w:val="22"/>
          <w:lang w:val="it-IT" w:eastAsia="en-US"/>
        </w:rPr>
      </w:pPr>
      <w:r>
        <w:rPr>
          <w:rFonts w:eastAsia="Calibri"/>
          <w:noProof/>
          <w:szCs w:val="22"/>
          <w:lang w:val="it-IT" w:eastAsia="en-US"/>
        </w:rPr>
        <w:t xml:space="preserve">I pazienti e i genitori/tutori di pazienti affetti da AIGs o AIGp devono essere informati di rivolgersi al medico se </w:t>
      </w:r>
      <w:ins w:id="6677" w:author="Author">
        <w:r>
          <w:rPr>
            <w:rFonts w:eastAsia="Calibri"/>
            <w:noProof/>
            <w:szCs w:val="22"/>
            <w:lang w:val="it-IT" w:eastAsia="en-US"/>
          </w:rPr>
          <w:t xml:space="preserve">si verificano </w:t>
        </w:r>
      </w:ins>
      <w:r>
        <w:rPr>
          <w:rFonts w:eastAsia="Calibri"/>
          <w:noProof/>
          <w:szCs w:val="22"/>
          <w:lang w:val="it-IT" w:eastAsia="en-US"/>
        </w:rPr>
        <w:t xml:space="preserve">segni/sintomi (ad esempio, tosse persistente, deperimento/perdita di peso, febbre moderata), indicativi di infezione tubercolare, </w:t>
      </w:r>
      <w:del w:id="6678" w:author="Author">
        <w:r>
          <w:rPr>
            <w:rFonts w:eastAsia="Calibri"/>
            <w:noProof/>
            <w:szCs w:val="22"/>
            <w:lang w:val="it-IT" w:eastAsia="en-US"/>
          </w:rPr>
          <w:delText xml:space="preserve">si verificano </w:delText>
        </w:r>
      </w:del>
      <w:r>
        <w:rPr>
          <w:rFonts w:eastAsia="Calibri"/>
          <w:noProof/>
          <w:szCs w:val="22"/>
          <w:lang w:val="it-IT" w:eastAsia="en-US"/>
        </w:rPr>
        <w:t>durante o dopo la terapia con questo medicinale.</w:t>
      </w:r>
    </w:p>
    <w:p>
      <w:pPr>
        <w:rPr>
          <w:noProof/>
          <w:szCs w:val="22"/>
          <w:lang w:val="it-IT"/>
        </w:rPr>
      </w:pPr>
    </w:p>
    <w:p>
      <w:pPr>
        <w:keepNext/>
        <w:rPr>
          <w:i/>
          <w:noProof/>
          <w:szCs w:val="22"/>
          <w:lang w:val="it-IT" w:eastAsia="en-US"/>
        </w:rPr>
        <w:pPrChange w:id="6679" w:author="Author">
          <w:pPr/>
        </w:pPrChange>
      </w:pPr>
      <w:r>
        <w:rPr>
          <w:rFonts w:eastAsia="Calibri"/>
          <w:i/>
          <w:noProof/>
          <w:szCs w:val="22"/>
          <w:lang w:val="it-IT" w:eastAsia="en-US"/>
        </w:rPr>
        <w:t>Riattivazione virale</w:t>
      </w:r>
    </w:p>
    <w:p>
      <w:pPr>
        <w:rPr>
          <w:noProof/>
          <w:szCs w:val="22"/>
          <w:lang w:val="it-IT" w:eastAsia="en-US"/>
        </w:rPr>
      </w:pPr>
      <w:r>
        <w:rPr>
          <w:rFonts w:eastAsia="Calibri"/>
          <w:noProof/>
          <w:szCs w:val="22"/>
          <w:lang w:val="it-IT" w:eastAsia="en-US"/>
        </w:rPr>
        <w:t>Riattivazione virale (ad esempio virus dell’epatite B) è stata riportata durante le terapie con farmaci biologici per il trattamento dell’AR. Negli studi clinici con tocilizumab, i pazienti risultati positivi allo screening per l’epatite sono stati esclusi.</w:t>
      </w:r>
    </w:p>
    <w:p>
      <w:pPr>
        <w:rPr>
          <w:noProof/>
          <w:szCs w:val="22"/>
          <w:lang w:val="it-IT"/>
        </w:rPr>
      </w:pPr>
    </w:p>
    <w:p>
      <w:pPr>
        <w:keepNext/>
        <w:keepLines/>
        <w:rPr>
          <w:i/>
          <w:noProof/>
          <w:szCs w:val="22"/>
          <w:lang w:val="it-IT" w:eastAsia="en-US"/>
        </w:rPr>
      </w:pPr>
      <w:r>
        <w:rPr>
          <w:rFonts w:eastAsia="Calibri"/>
          <w:i/>
          <w:noProof/>
          <w:szCs w:val="22"/>
          <w:lang w:val="it-IT" w:eastAsia="en-US"/>
        </w:rPr>
        <w:t>Complicanze della diverticolite</w:t>
      </w:r>
    </w:p>
    <w:p>
      <w:pPr>
        <w:rPr>
          <w:noProof/>
          <w:szCs w:val="22"/>
          <w:lang w:val="it-IT" w:eastAsia="en-US"/>
        </w:rPr>
      </w:pPr>
      <w:r>
        <w:rPr>
          <w:rFonts w:eastAsia="Calibri"/>
          <w:noProof/>
          <w:szCs w:val="22"/>
          <w:lang w:val="it-IT" w:eastAsia="en-US"/>
        </w:rPr>
        <w:t>Eventi di perforazione diverticolare come complicanza di una diverticolite sono stati riportati non comunemente in pazienti trattati con tocilizumab (vedere paragrafo 4.8). Questo medicinale deve essere usato con cautela nei pazienti con una storia di ulcerazione intestinale o diverticolite. I pazienti che presentino sintomi potenzialmente indicativi di una diverticolite complicata, quali dolore addominale, emorragia e/o alterazione inspiegata degli abituali movimenti intestinali associata a febbre, devono essere valutati tempestivamente per poter identificare precocemente una diverticolite che può essere associata a perforazione gastrointestinale.</w:t>
      </w:r>
    </w:p>
    <w:p>
      <w:pPr>
        <w:ind w:left="567" w:hanging="567"/>
        <w:outlineLvl w:val="0"/>
        <w:rPr>
          <w:bCs/>
          <w:noProof/>
          <w:szCs w:val="22"/>
          <w:lang w:val="it-IT"/>
        </w:rPr>
      </w:pPr>
    </w:p>
    <w:p>
      <w:pPr>
        <w:keepNext/>
        <w:ind w:left="567" w:hanging="567"/>
        <w:outlineLvl w:val="0"/>
        <w:rPr>
          <w:bCs/>
          <w:i/>
          <w:noProof/>
          <w:szCs w:val="22"/>
          <w:lang w:val="it-IT" w:eastAsia="en-US"/>
        </w:rPr>
      </w:pPr>
      <w:r>
        <w:rPr>
          <w:rFonts w:eastAsia="Calibri"/>
          <w:i/>
          <w:noProof/>
          <w:szCs w:val="22"/>
          <w:lang w:val="it-IT" w:eastAsia="en-US"/>
        </w:rPr>
        <w:t>Reazioni di ipersensibilità</w:t>
      </w:r>
    </w:p>
    <w:p>
      <w:pPr>
        <w:rPr>
          <w:noProof/>
          <w:szCs w:val="22"/>
          <w:lang w:val="it-IT" w:eastAsia="en-US"/>
        </w:rPr>
      </w:pPr>
      <w:r>
        <w:rPr>
          <w:rFonts w:eastAsia="Calibri"/>
          <w:noProof/>
          <w:szCs w:val="22"/>
          <w:lang w:val="it-IT" w:eastAsia="en-US"/>
        </w:rPr>
        <w:t xml:space="preserve">In associazione al trattamento con tocilizumab sono state segnalate reazioni di ipersensibilità gravi (vedere paragrafo 4.8). Queste reazioni possono essere più gravi e potenzialmente fatali in pazienti che hanno avuto reazioni di ipersensibilità durante il precedente trattamento con tocilizumab, sebbene abbiano ricevuto premedicazione con steroidi ed antistaminici. Se si verifica una reazione anafilattica o un’altra </w:t>
      </w:r>
      <w:del w:id="6680" w:author="Author">
        <w:r>
          <w:rPr>
            <w:rFonts w:eastAsia="Calibri"/>
            <w:noProof/>
            <w:szCs w:val="22"/>
            <w:lang w:val="it-IT" w:eastAsia="en-US"/>
          </w:rPr>
          <w:delText xml:space="preserve">severa </w:delText>
        </w:r>
      </w:del>
      <w:r>
        <w:rPr>
          <w:rFonts w:eastAsia="Calibri"/>
          <w:noProof/>
          <w:szCs w:val="22"/>
          <w:lang w:val="it-IT" w:eastAsia="en-US"/>
        </w:rPr>
        <w:t>reazione di ipersensibilità</w:t>
      </w:r>
      <w:ins w:id="6681" w:author="Author">
        <w:r>
          <w:rPr>
            <w:rFonts w:eastAsia="Calibri"/>
            <w:noProof/>
            <w:szCs w:val="22"/>
            <w:lang w:val="it-IT" w:eastAsia="en-US"/>
          </w:rPr>
          <w:t xml:space="preserve"> grave</w:t>
        </w:r>
      </w:ins>
      <w:r>
        <w:rPr>
          <w:rFonts w:eastAsia="Calibri"/>
          <w:noProof/>
          <w:szCs w:val="22"/>
          <w:lang w:val="it-IT" w:eastAsia="en-US"/>
        </w:rPr>
        <w:t>, la somministrazione di tocilizumab deve essere interrotta immediatamente, deve essere iniziata una terapia appropriata e il trattamento deve essere interrotto in modo permanente.</w:t>
      </w:r>
    </w:p>
    <w:p>
      <w:pPr>
        <w:rPr>
          <w:noProof/>
          <w:szCs w:val="22"/>
          <w:lang w:val="it-IT"/>
        </w:rPr>
      </w:pPr>
    </w:p>
    <w:p>
      <w:pPr>
        <w:ind w:left="567" w:hanging="567"/>
        <w:outlineLvl w:val="0"/>
        <w:rPr>
          <w:i/>
          <w:noProof/>
          <w:szCs w:val="22"/>
          <w:lang w:val="it-IT" w:eastAsia="en-US"/>
        </w:rPr>
      </w:pPr>
      <w:r>
        <w:rPr>
          <w:rFonts w:eastAsia="Calibri"/>
          <w:i/>
          <w:noProof/>
          <w:szCs w:val="22"/>
          <w:lang w:val="it-IT" w:eastAsia="en-US"/>
        </w:rPr>
        <w:t>Epatopatia attiva e compromissione epatica</w:t>
      </w:r>
    </w:p>
    <w:p>
      <w:pPr>
        <w:rPr>
          <w:noProof/>
          <w:szCs w:val="22"/>
          <w:lang w:val="it-IT" w:eastAsia="en-US"/>
        </w:rPr>
      </w:pPr>
      <w:r>
        <w:rPr>
          <w:rFonts w:eastAsia="Calibri"/>
          <w:noProof/>
          <w:szCs w:val="22"/>
          <w:lang w:val="it-IT" w:eastAsia="en-US"/>
        </w:rPr>
        <w:t>Il trattamento con tocilizumab, soprattutto se somministrato in concomitanza con MTX, può associarsi a rialzi delle transaminasi epatiche; occorre quindi una certa cautela nel considerare il trattamento di pazienti con epatopatia attiva o compromissione epatica (vedere paragrafi 4.2 e 4.8).</w:t>
      </w:r>
    </w:p>
    <w:p>
      <w:pPr>
        <w:rPr>
          <w:noProof/>
          <w:szCs w:val="22"/>
          <w:lang w:val="it-IT"/>
        </w:rPr>
      </w:pPr>
    </w:p>
    <w:p>
      <w:pPr>
        <w:keepNext/>
        <w:keepLines/>
        <w:rPr>
          <w:i/>
          <w:noProof/>
          <w:szCs w:val="22"/>
          <w:lang w:val="it-IT" w:eastAsia="en-US"/>
        </w:rPr>
        <w:pPrChange w:id="6682" w:author="Author">
          <w:pPr/>
        </w:pPrChange>
      </w:pPr>
      <w:r>
        <w:rPr>
          <w:rFonts w:eastAsia="Calibri"/>
          <w:i/>
          <w:noProof/>
          <w:szCs w:val="22"/>
          <w:lang w:val="it-IT" w:eastAsia="en-US"/>
        </w:rPr>
        <w:lastRenderedPageBreak/>
        <w:t>Epatotossicità</w:t>
      </w:r>
    </w:p>
    <w:p>
      <w:pPr>
        <w:rPr>
          <w:noProof/>
          <w:szCs w:val="22"/>
          <w:lang w:val="it-IT" w:eastAsia="en-US"/>
        </w:rPr>
      </w:pPr>
      <w:r>
        <w:rPr>
          <w:rFonts w:eastAsia="Calibri"/>
          <w:noProof/>
          <w:szCs w:val="22"/>
          <w:lang w:val="it-IT" w:eastAsia="en-US"/>
        </w:rPr>
        <w:t>Durante il trattamento con tocilizumab sono stati osservati comunemente rialzi transitori o intermittenti, di entità da lieve a moderata, delle transaminasi epatiche (vedere paragrafo 4.8). Un’aumentata frequenza di tali rialzi è stata rilevata quando tocilizumab è stato somministrato in associazione con medicinali potenzialmente epatotossici (ad esempio MTX). Quando clinicamente indicato, devono essere considerate ulteriori analisi della funzione epatica, inclusa la determinazione della bilirubina.</w:t>
      </w:r>
    </w:p>
    <w:p>
      <w:pPr>
        <w:rPr>
          <w:noProof/>
          <w:lang w:val="it-IT"/>
        </w:rPr>
      </w:pPr>
    </w:p>
    <w:p>
      <w:pPr>
        <w:rPr>
          <w:noProof/>
          <w:lang w:val="it-IT"/>
        </w:rPr>
      </w:pPr>
      <w:r>
        <w:rPr>
          <w:noProof/>
          <w:lang w:val="it-IT"/>
        </w:rPr>
        <w:t xml:space="preserve">Durante il trattamento con </w:t>
      </w:r>
      <w:r>
        <w:rPr>
          <w:rFonts w:eastAsia="Calibri"/>
          <w:noProof/>
          <w:szCs w:val="22"/>
          <w:lang w:val="it-IT" w:eastAsia="en-US"/>
        </w:rPr>
        <w:t xml:space="preserve">tocilizumab </w:t>
      </w:r>
      <w:r>
        <w:rPr>
          <w:noProof/>
          <w:lang w:val="it-IT"/>
        </w:rPr>
        <w:t xml:space="preserve">è stato osservato </w:t>
      </w:r>
      <w:del w:id="6683" w:author="Author">
        <w:r>
          <w:rPr>
            <w:noProof/>
            <w:lang w:val="it-IT"/>
          </w:rPr>
          <w:delText xml:space="preserve">severo </w:delText>
        </w:r>
      </w:del>
      <w:r>
        <w:rPr>
          <w:noProof/>
          <w:lang w:val="it-IT"/>
        </w:rPr>
        <w:t>danno epatico</w:t>
      </w:r>
      <w:ins w:id="6684" w:author="Author">
        <w:r>
          <w:rPr>
            <w:noProof/>
            <w:lang w:val="it-IT"/>
          </w:rPr>
          <w:t xml:space="preserve"> grave</w:t>
        </w:r>
      </w:ins>
      <w:r>
        <w:rPr>
          <w:noProof/>
          <w:lang w:val="it-IT"/>
        </w:rPr>
        <w:t xml:space="preserve"> indotto da farmaco, tra cui insufficienza epatica acuta, epatite e ittero (vedere paragrafo 4.8). Casi di danno epatico severo si sono verificati tra le 2 settimane e oltre i 5 anni successivi all’inizio del trattamento</w:t>
      </w:r>
      <w:del w:id="6685" w:author="Author">
        <w:r>
          <w:rPr>
            <w:noProof/>
            <w:lang w:val="it-IT"/>
          </w:rPr>
          <w:delText xml:space="preserve"> </w:delText>
        </w:r>
      </w:del>
      <w:r>
        <w:rPr>
          <w:noProof/>
          <w:lang w:val="it-IT"/>
        </w:rPr>
        <w:t>. Sono stati riportati casi di insufficienza epatica che hanno comportato il trapianto di fegato. I pazienti devono essere istruiti a rivolgersi immediatamente al medico in caso di manifestazione di segni e sintomi di danno epatico.</w:t>
      </w:r>
    </w:p>
    <w:p>
      <w:pPr>
        <w:rPr>
          <w:noProof/>
          <w:szCs w:val="22"/>
          <w:lang w:val="it-IT"/>
        </w:rPr>
      </w:pPr>
    </w:p>
    <w:p>
      <w:pPr>
        <w:rPr>
          <w:noProof/>
          <w:szCs w:val="22"/>
          <w:lang w:val="it-IT" w:eastAsia="en-US"/>
        </w:rPr>
      </w:pPr>
      <w:r>
        <w:rPr>
          <w:rFonts w:eastAsia="Calibri"/>
          <w:noProof/>
          <w:szCs w:val="22"/>
          <w:lang w:val="it-IT" w:eastAsia="en-US"/>
        </w:rPr>
        <w:t xml:space="preserve">Occorre cautela nel considerare l’avvio del trattamento in pazienti che presentano livelli elevati di ALT o AST </w:t>
      </w:r>
      <w:r>
        <w:rPr>
          <w:rFonts w:eastAsia="Calibri"/>
          <w:noProof/>
          <w:szCs w:val="22"/>
          <w:lang w:val="it-IT" w:eastAsia="en-US"/>
        </w:rPr>
        <w:sym w:font="Symbol" w:char="F03E"/>
      </w:r>
      <w:r>
        <w:rPr>
          <w:rFonts w:eastAsia="Calibri"/>
          <w:noProof/>
          <w:szCs w:val="22"/>
          <w:lang w:val="it-IT" w:eastAsia="en-US"/>
        </w:rPr>
        <w:t xml:space="preserve">1,5 volte ULN. Nei pazienti con ALT o AST al basale </w:t>
      </w:r>
      <w:r>
        <w:rPr>
          <w:rFonts w:eastAsia="Calibri"/>
          <w:noProof/>
          <w:szCs w:val="22"/>
          <w:lang w:val="it-IT" w:eastAsia="en-US"/>
        </w:rPr>
        <w:sym w:font="Symbol" w:char="F03E"/>
      </w:r>
      <w:r>
        <w:rPr>
          <w:rFonts w:eastAsia="Calibri"/>
          <w:noProof/>
          <w:szCs w:val="22"/>
          <w:lang w:val="it-IT" w:eastAsia="en-US"/>
        </w:rPr>
        <w:t>5 volte ULN, il trattamento non è raccomandato.</w:t>
      </w:r>
    </w:p>
    <w:p>
      <w:pPr>
        <w:rPr>
          <w:noProof/>
          <w:szCs w:val="22"/>
          <w:lang w:val="it-IT"/>
        </w:rPr>
      </w:pPr>
    </w:p>
    <w:p>
      <w:pPr>
        <w:rPr>
          <w:rFonts w:eastAsia="Calibri"/>
          <w:noProof/>
          <w:szCs w:val="22"/>
          <w:lang w:val="it-IT" w:eastAsia="en-US"/>
        </w:rPr>
      </w:pPr>
      <w:r>
        <w:rPr>
          <w:rFonts w:eastAsia="Calibri"/>
          <w:noProof/>
          <w:szCs w:val="22"/>
          <w:lang w:val="it-IT" w:eastAsia="en-US"/>
        </w:rPr>
        <w:t xml:space="preserve">Nei pazienti affetti da AR, ACG, AIGp e AIGs, i valori di ALT/AST devono essere monitorati ogni 4-8 settimane per i primi 6 mesi di trattamento e in seguito ogni 12 settimane. Per le modifiche raccomandate in base ai livelli delle transaminasi, ivi inclusa la sospensione del trattamento con tocilizumab, vedere il paragrafo 4.2. Per incrementi di ALT o AST </w:t>
      </w:r>
      <w:r>
        <w:rPr>
          <w:rFonts w:eastAsia="Calibri"/>
          <w:noProof/>
          <w:szCs w:val="22"/>
          <w:lang w:val="it-IT" w:eastAsia="en-US"/>
        </w:rPr>
        <w:sym w:font="Symbol" w:char="F03E"/>
      </w:r>
      <w:r>
        <w:rPr>
          <w:rFonts w:eastAsia="Calibri"/>
          <w:noProof/>
          <w:szCs w:val="22"/>
          <w:lang w:val="it-IT" w:eastAsia="en-US"/>
        </w:rPr>
        <w:t>3-5 volte ULN il trattamento deve essere interrotto.</w:t>
      </w:r>
    </w:p>
    <w:p>
      <w:pPr>
        <w:rPr>
          <w:noProof/>
          <w:szCs w:val="22"/>
          <w:lang w:val="it-IT"/>
        </w:rPr>
      </w:pPr>
    </w:p>
    <w:p>
      <w:pPr>
        <w:keepNext/>
        <w:keepLines/>
        <w:rPr>
          <w:i/>
          <w:noProof/>
          <w:szCs w:val="22"/>
          <w:lang w:val="it-IT" w:eastAsia="en-US"/>
        </w:rPr>
      </w:pPr>
      <w:del w:id="6686" w:author="Author">
        <w:r>
          <w:rPr>
            <w:rFonts w:eastAsia="Calibri"/>
            <w:i/>
            <w:noProof/>
            <w:szCs w:val="22"/>
            <w:lang w:val="it-IT" w:eastAsia="en-US"/>
          </w:rPr>
          <w:delText xml:space="preserve">Anormalità </w:delText>
        </w:r>
      </w:del>
      <w:ins w:id="6687" w:author="Author">
        <w:r>
          <w:rPr>
            <w:rFonts w:eastAsia="Calibri"/>
            <w:i/>
            <w:noProof/>
            <w:szCs w:val="22"/>
            <w:lang w:val="it-IT" w:eastAsia="en-US"/>
          </w:rPr>
          <w:t xml:space="preserve">Anomalie </w:t>
        </w:r>
      </w:ins>
      <w:r>
        <w:rPr>
          <w:rFonts w:eastAsia="Calibri"/>
          <w:i/>
          <w:noProof/>
          <w:szCs w:val="22"/>
          <w:lang w:val="it-IT" w:eastAsia="en-US"/>
        </w:rPr>
        <w:t>ematologiche</w:t>
      </w:r>
    </w:p>
    <w:p>
      <w:pPr>
        <w:rPr>
          <w:noProof/>
          <w:szCs w:val="22"/>
          <w:lang w:val="it-IT" w:eastAsia="en-US"/>
        </w:rPr>
      </w:pPr>
      <w:r>
        <w:rPr>
          <w:rFonts w:eastAsia="Calibri"/>
          <w:noProof/>
          <w:szCs w:val="22"/>
          <w:lang w:val="it-IT" w:eastAsia="en-US"/>
        </w:rPr>
        <w:t>In seguito al trattamento con tocilizumab 8 mg/kg associato a MTX, si sono verificate riduzioni della conta di neutrofili e piastrine (vedere paragrafo 4.8). Ci può essere un rischio maggiore di neutropenia nei pazienti precedentemente trattati con un antagonista del TNF.</w:t>
      </w:r>
    </w:p>
    <w:p>
      <w:pPr>
        <w:rPr>
          <w:noProof/>
          <w:szCs w:val="22"/>
          <w:lang w:val="it-IT"/>
        </w:rPr>
      </w:pPr>
    </w:p>
    <w:p>
      <w:pPr>
        <w:rPr>
          <w:noProof/>
          <w:szCs w:val="22"/>
          <w:lang w:val="it-IT" w:eastAsia="en-US"/>
        </w:rPr>
      </w:pPr>
      <w:r>
        <w:rPr>
          <w:rFonts w:eastAsia="Calibri"/>
          <w:bCs/>
          <w:noProof/>
          <w:szCs w:val="22"/>
          <w:lang w:val="it-IT" w:eastAsia="en-US"/>
        </w:rPr>
        <w:t xml:space="preserve">Nei pazienti non precedentemente trattati con </w:t>
      </w:r>
      <w:r>
        <w:rPr>
          <w:rFonts w:eastAsia="Calibri"/>
          <w:noProof/>
          <w:szCs w:val="22"/>
          <w:lang w:val="it-IT" w:eastAsia="en-US"/>
        </w:rPr>
        <w:t>tocilizumab</w:t>
      </w:r>
      <w:r>
        <w:rPr>
          <w:rFonts w:eastAsia="Calibri"/>
          <w:bCs/>
          <w:noProof/>
          <w:szCs w:val="22"/>
          <w:lang w:val="it-IT" w:eastAsia="en-US"/>
        </w:rPr>
        <w:t xml:space="preserve">, non è raccomandato l’inizio del trattamento se il paziente presenta una ANC inferiore a 2 </w:t>
      </w:r>
      <w:r>
        <w:rPr>
          <w:rFonts w:eastAsia="Calibri"/>
          <w:bCs/>
          <w:noProof/>
          <w:szCs w:val="22"/>
          <w:lang w:val="it-IT" w:eastAsia="en-US"/>
        </w:rPr>
        <w:sym w:font="Symbol" w:char="F0B4"/>
      </w:r>
      <w:r>
        <w:rPr>
          <w:rFonts w:eastAsia="Calibri"/>
          <w:bCs/>
          <w:noProof/>
          <w:szCs w:val="22"/>
          <w:lang w:val="it-IT" w:eastAsia="en-US"/>
        </w:rPr>
        <w:t xml:space="preserve"> 10</w:t>
      </w:r>
      <w:r>
        <w:rPr>
          <w:rFonts w:eastAsia="Calibri"/>
          <w:bCs/>
          <w:noProof/>
          <w:szCs w:val="22"/>
          <w:vertAlign w:val="superscript"/>
          <w:lang w:val="it-IT" w:eastAsia="en-US"/>
        </w:rPr>
        <w:t>9</w:t>
      </w:r>
      <w:r>
        <w:rPr>
          <w:rFonts w:eastAsia="Calibri"/>
          <w:bCs/>
          <w:noProof/>
          <w:szCs w:val="22"/>
          <w:lang w:val="it-IT" w:eastAsia="en-US"/>
        </w:rPr>
        <w:t xml:space="preserve">/l. </w:t>
      </w:r>
      <w:r>
        <w:rPr>
          <w:rFonts w:eastAsia="Calibri"/>
          <w:noProof/>
          <w:szCs w:val="22"/>
          <w:lang w:val="it-IT" w:eastAsia="en-US"/>
        </w:rPr>
        <w:t xml:space="preserve">Occorre cautela nel considerare di iniziare il trattamento con tocilizumab in pazienti che presentano una bassa conta piastrinica (cioè conta piastrinica </w:t>
      </w:r>
      <w:r>
        <w:rPr>
          <w:rFonts w:eastAsia="Calibri"/>
          <w:noProof/>
          <w:szCs w:val="22"/>
          <w:lang w:val="it-IT" w:eastAsia="en-US"/>
        </w:rPr>
        <w:sym w:font="Symbol" w:char="F03C"/>
      </w:r>
      <w:r>
        <w:rPr>
          <w:rFonts w:eastAsia="Calibri"/>
          <w:noProof/>
          <w:szCs w:val="22"/>
          <w:lang w:val="it-IT" w:eastAsia="en-US"/>
        </w:rPr>
        <w:t xml:space="preserve">100 </w:t>
      </w:r>
      <w:r>
        <w:rPr>
          <w:rFonts w:eastAsia="Calibri"/>
          <w:bCs/>
          <w:noProof/>
          <w:szCs w:val="22"/>
          <w:lang w:val="it-IT" w:eastAsia="en-US"/>
        </w:rPr>
        <w:sym w:font="Symbol" w:char="F0B4"/>
      </w:r>
      <w:r>
        <w:rPr>
          <w:rFonts w:eastAsia="Calibri"/>
          <w:noProof/>
          <w:szCs w:val="22"/>
          <w:lang w:val="it-IT" w:eastAsia="en-US"/>
        </w:rPr>
        <w:t xml:space="preserve"> 10</w:t>
      </w:r>
      <w:r>
        <w:rPr>
          <w:rFonts w:eastAsia="Calibri"/>
          <w:noProof/>
          <w:szCs w:val="22"/>
          <w:vertAlign w:val="superscript"/>
          <w:lang w:val="it-IT" w:eastAsia="en-US"/>
        </w:rPr>
        <w:t>3</w:t>
      </w:r>
      <w:r>
        <w:rPr>
          <w:rFonts w:eastAsia="Calibri"/>
          <w:noProof/>
          <w:szCs w:val="22"/>
          <w:lang w:val="it-IT" w:eastAsia="en-US"/>
        </w:rPr>
        <w:t xml:space="preserve">/μl). Nei pazienti che sviluppano una ANC </w:t>
      </w:r>
      <w:r>
        <w:rPr>
          <w:rFonts w:eastAsia="Calibri"/>
          <w:noProof/>
          <w:szCs w:val="22"/>
          <w:lang w:val="it-IT" w:eastAsia="en-US"/>
        </w:rPr>
        <w:sym w:font="Symbol" w:char="F03C"/>
      </w:r>
      <w:r>
        <w:rPr>
          <w:rFonts w:eastAsia="Calibri"/>
          <w:noProof/>
          <w:szCs w:val="22"/>
          <w:lang w:val="it-IT" w:eastAsia="en-US"/>
        </w:rPr>
        <w:t xml:space="preserve">0,5 </w:t>
      </w:r>
      <w:r>
        <w:rPr>
          <w:rFonts w:eastAsia="Calibri"/>
          <w:bCs/>
          <w:noProof/>
          <w:szCs w:val="22"/>
          <w:lang w:val="it-IT" w:eastAsia="en-US"/>
        </w:rPr>
        <w:sym w:font="Symbol" w:char="F0B4"/>
      </w:r>
      <w:r>
        <w:rPr>
          <w:rFonts w:eastAsia="Calibri"/>
          <w:noProof/>
          <w:szCs w:val="22"/>
          <w:lang w:val="it-IT" w:eastAsia="en-US"/>
        </w:rPr>
        <w:t xml:space="preserve"> 10</w:t>
      </w:r>
      <w:r>
        <w:rPr>
          <w:rFonts w:eastAsia="Calibri"/>
          <w:noProof/>
          <w:szCs w:val="22"/>
          <w:vertAlign w:val="superscript"/>
          <w:lang w:val="it-IT" w:eastAsia="en-US"/>
        </w:rPr>
        <w:t>9</w:t>
      </w:r>
      <w:r>
        <w:rPr>
          <w:rFonts w:eastAsia="Calibri"/>
          <w:noProof/>
          <w:szCs w:val="22"/>
          <w:lang w:val="it-IT" w:eastAsia="en-US"/>
        </w:rPr>
        <w:t xml:space="preserve">/l o una conta piastrinica </w:t>
      </w:r>
      <w:r>
        <w:rPr>
          <w:rFonts w:eastAsia="Calibri"/>
          <w:noProof/>
          <w:szCs w:val="22"/>
          <w:lang w:val="it-IT" w:eastAsia="en-US"/>
        </w:rPr>
        <w:sym w:font="Symbol" w:char="F03C"/>
      </w:r>
      <w:r>
        <w:rPr>
          <w:rFonts w:eastAsia="Calibri"/>
          <w:noProof/>
          <w:szCs w:val="22"/>
          <w:lang w:val="it-IT" w:eastAsia="en-US"/>
        </w:rPr>
        <w:t xml:space="preserve">50 </w:t>
      </w:r>
      <w:r>
        <w:rPr>
          <w:rFonts w:eastAsia="Calibri"/>
          <w:bCs/>
          <w:noProof/>
          <w:szCs w:val="22"/>
          <w:lang w:val="it-IT" w:eastAsia="en-US"/>
        </w:rPr>
        <w:sym w:font="Symbol" w:char="F0B4"/>
      </w:r>
      <w:r>
        <w:rPr>
          <w:rFonts w:eastAsia="Calibri"/>
          <w:noProof/>
          <w:szCs w:val="22"/>
          <w:lang w:val="it-IT" w:eastAsia="en-US"/>
        </w:rPr>
        <w:t xml:space="preserve"> 10</w:t>
      </w:r>
      <w:r>
        <w:rPr>
          <w:rFonts w:eastAsia="Calibri"/>
          <w:noProof/>
          <w:szCs w:val="22"/>
          <w:vertAlign w:val="superscript"/>
          <w:lang w:val="it-IT" w:eastAsia="en-US"/>
        </w:rPr>
        <w:t>3</w:t>
      </w:r>
      <w:r>
        <w:rPr>
          <w:rFonts w:eastAsia="Calibri"/>
          <w:noProof/>
          <w:szCs w:val="22"/>
          <w:lang w:val="it-IT" w:eastAsia="en-US"/>
        </w:rPr>
        <w:t>/μl, il proseguimento del trattamento non è raccomandato.</w:t>
      </w:r>
    </w:p>
    <w:p>
      <w:pPr>
        <w:rPr>
          <w:noProof/>
          <w:szCs w:val="22"/>
          <w:lang w:val="it-IT"/>
        </w:rPr>
      </w:pPr>
    </w:p>
    <w:p>
      <w:pPr>
        <w:rPr>
          <w:rFonts w:eastAsia="Calibri"/>
          <w:noProof/>
          <w:szCs w:val="22"/>
          <w:lang w:val="it-IT" w:eastAsia="en-US"/>
        </w:rPr>
      </w:pPr>
      <w:r>
        <w:rPr>
          <w:rFonts w:eastAsia="Calibri"/>
          <w:noProof/>
          <w:szCs w:val="22"/>
          <w:lang w:val="it-IT" w:eastAsia="en-US"/>
        </w:rPr>
        <w:t>Una neutropenia severa può essere associata a un aumento del rischio di infezioni gravi, sebbene ad oggi non vi sia stata una chiara associazione tra la riduzione dei livelli dei neutrofili e l’insorgenza di infezioni gravi negli studi clinici con tocilizumab.</w:t>
      </w:r>
    </w:p>
    <w:p>
      <w:pPr>
        <w:rPr>
          <w:noProof/>
          <w:szCs w:val="22"/>
          <w:lang w:val="it-IT"/>
        </w:rPr>
      </w:pPr>
    </w:p>
    <w:p>
      <w:pPr>
        <w:rPr>
          <w:rFonts w:eastAsia="Calibri"/>
          <w:noProof/>
          <w:szCs w:val="22"/>
          <w:lang w:val="it-IT" w:eastAsia="en-US"/>
        </w:rPr>
      </w:pPr>
      <w:r>
        <w:rPr>
          <w:rFonts w:eastAsia="Calibri"/>
          <w:noProof/>
          <w:szCs w:val="22"/>
          <w:lang w:val="it-IT" w:eastAsia="en-US"/>
        </w:rPr>
        <w:t>Nei pazienti affetti da AR e ACG i livelli di neutrofili e piastrine devono essere monitorati 4-8 settimane dopo l’inizio della terapia e successivamente secondo gli standard di pratica clinica. Per le modifiche del dosaggio raccomandate in base alla ANC e alla conta piastrinica, vedere il paragrafo 4.2.</w:t>
      </w:r>
    </w:p>
    <w:p>
      <w:pPr>
        <w:rPr>
          <w:rFonts w:eastAsia="Calibri"/>
          <w:noProof/>
          <w:szCs w:val="22"/>
          <w:lang w:val="it-IT" w:eastAsia="en-US"/>
        </w:rPr>
      </w:pPr>
    </w:p>
    <w:p>
      <w:pPr>
        <w:tabs>
          <w:tab w:val="left" w:pos="180"/>
        </w:tabs>
        <w:rPr>
          <w:noProof/>
          <w:szCs w:val="22"/>
          <w:lang w:val="it-IT" w:eastAsia="en-US"/>
        </w:rPr>
      </w:pPr>
      <w:r>
        <w:rPr>
          <w:noProof/>
          <w:szCs w:val="22"/>
          <w:lang w:val="it-IT"/>
        </w:rPr>
        <w:t>Nei pazienti affetti da AIGs e AIGp, i livelli di neutrofili e piastrine devono essere monitorati al momento della seconda somministrazione e successivamente, secondo la buona pratica clinica (vedere paragrafo 4.2).</w:t>
      </w:r>
    </w:p>
    <w:p>
      <w:pPr>
        <w:rPr>
          <w:noProof/>
          <w:szCs w:val="22"/>
          <w:lang w:val="it-IT"/>
        </w:rPr>
      </w:pPr>
    </w:p>
    <w:p>
      <w:pPr>
        <w:rPr>
          <w:i/>
          <w:noProof/>
          <w:szCs w:val="22"/>
          <w:lang w:val="it-IT" w:eastAsia="en-US"/>
        </w:rPr>
      </w:pPr>
      <w:r>
        <w:rPr>
          <w:rFonts w:eastAsia="Calibri"/>
          <w:i/>
          <w:noProof/>
          <w:szCs w:val="22"/>
          <w:lang w:val="it-IT" w:eastAsia="en-US"/>
        </w:rPr>
        <w:t>Parametri lipidici</w:t>
      </w:r>
    </w:p>
    <w:p>
      <w:pPr>
        <w:rPr>
          <w:noProof/>
          <w:szCs w:val="22"/>
          <w:lang w:val="it-IT" w:eastAsia="en-US"/>
        </w:rPr>
      </w:pPr>
      <w:r>
        <w:rPr>
          <w:rFonts w:eastAsia="Calibri"/>
          <w:noProof/>
          <w:szCs w:val="22"/>
          <w:lang w:val="it-IT" w:eastAsia="en-US"/>
        </w:rPr>
        <w:t>Sono stati osservati rialzi nei parametri lipidici, quali colesterolo totale, lipoproteine a bassa densità (LDL), lipoproteine ad alta densità (HDL) e trigliceridi nei pazienti trattati con tocilizumab (vedere paragrafo 4.8). Nella maggior parte dei pazienti non c’è stato un incremento dell’indice aterogenico, e l’incremento del colesterolo totale ha risposto al trattamento con agenti ipolipemizzanti.</w:t>
      </w:r>
    </w:p>
    <w:p>
      <w:pPr>
        <w:rPr>
          <w:noProof/>
          <w:szCs w:val="22"/>
          <w:lang w:val="it-IT"/>
        </w:rPr>
      </w:pPr>
    </w:p>
    <w:p>
      <w:pPr>
        <w:rPr>
          <w:noProof/>
          <w:szCs w:val="22"/>
          <w:lang w:val="it-IT" w:eastAsia="en-US"/>
        </w:rPr>
      </w:pPr>
      <w:del w:id="6688" w:author="Author">
        <w:r>
          <w:rPr>
            <w:rFonts w:eastAsia="Calibri"/>
            <w:noProof/>
            <w:szCs w:val="22"/>
            <w:lang w:val="it-IT" w:eastAsia="en-US"/>
          </w:rPr>
          <w:lastRenderedPageBreak/>
          <w:delText xml:space="preserve">Nei </w:delText>
        </w:r>
      </w:del>
      <w:ins w:id="6689" w:author="Author">
        <w:r>
          <w:rPr>
            <w:rFonts w:eastAsia="Calibri"/>
            <w:noProof/>
            <w:szCs w:val="22"/>
            <w:lang w:val="it-IT" w:eastAsia="en-US"/>
          </w:rPr>
          <w:t xml:space="preserve">In tutti i </w:t>
        </w:r>
      </w:ins>
      <w:r>
        <w:rPr>
          <w:rFonts w:eastAsia="Calibri"/>
          <w:noProof/>
          <w:szCs w:val="22"/>
          <w:lang w:val="it-IT" w:eastAsia="en-US"/>
        </w:rPr>
        <w:t>pazienti</w:t>
      </w:r>
      <w:del w:id="6690" w:author="Author">
        <w:r>
          <w:rPr>
            <w:rFonts w:eastAsia="Calibri"/>
            <w:noProof/>
            <w:szCs w:val="22"/>
            <w:lang w:val="it-IT" w:eastAsia="en-US"/>
          </w:rPr>
          <w:delText xml:space="preserve"> affetti</w:delText>
        </w:r>
      </w:del>
      <w:ins w:id="6691" w:author="Author">
        <w:r>
          <w:rPr>
            <w:rFonts w:eastAsia="Calibri"/>
            <w:noProof/>
            <w:szCs w:val="22"/>
            <w:lang w:val="it-IT" w:eastAsia="en-US"/>
          </w:rPr>
          <w:t>,</w:t>
        </w:r>
      </w:ins>
      <w:del w:id="6692" w:author="Author">
        <w:r>
          <w:rPr>
            <w:rFonts w:eastAsia="Calibri"/>
            <w:noProof/>
            <w:szCs w:val="22"/>
            <w:lang w:val="it-IT" w:eastAsia="en-US"/>
          </w:rPr>
          <w:delText xml:space="preserve"> da AR e ACG</w:delText>
        </w:r>
      </w:del>
      <w:r>
        <w:rPr>
          <w:rFonts w:eastAsia="Calibri"/>
          <w:noProof/>
          <w:szCs w:val="22"/>
          <w:lang w:val="it-IT" w:eastAsia="en-US"/>
        </w:rPr>
        <w:t xml:space="preserve"> i parametri lipidici devono essere valutati a 4-8 settimane dall’inizio della terapia. Per il trattamento dell’iperlipidemia, i pazienti devono essere trattati in accordo alle linee guida cliniche locali.</w:t>
      </w:r>
    </w:p>
    <w:p>
      <w:pPr>
        <w:rPr>
          <w:noProof/>
          <w:szCs w:val="22"/>
          <w:lang w:val="it-IT"/>
        </w:rPr>
      </w:pPr>
    </w:p>
    <w:p>
      <w:pPr>
        <w:ind w:left="567" w:hanging="567"/>
        <w:outlineLvl w:val="0"/>
        <w:rPr>
          <w:i/>
          <w:noProof/>
          <w:szCs w:val="22"/>
          <w:lang w:val="it-IT" w:eastAsia="en-US"/>
        </w:rPr>
      </w:pPr>
      <w:del w:id="6693" w:author="Author">
        <w:r>
          <w:rPr>
            <w:rFonts w:eastAsia="Calibri"/>
            <w:i/>
            <w:noProof/>
            <w:szCs w:val="22"/>
            <w:lang w:val="it-IT" w:eastAsia="en-US"/>
          </w:rPr>
          <w:delText xml:space="preserve">Disordini </w:delText>
        </w:r>
      </w:del>
      <w:ins w:id="6694" w:author="Author">
        <w:r>
          <w:rPr>
            <w:rFonts w:eastAsia="Calibri"/>
            <w:i/>
            <w:noProof/>
            <w:szCs w:val="22"/>
            <w:lang w:val="it-IT" w:eastAsia="en-US"/>
          </w:rPr>
          <w:t xml:space="preserve">Disturbi </w:t>
        </w:r>
      </w:ins>
      <w:r>
        <w:rPr>
          <w:rFonts w:eastAsia="Calibri"/>
          <w:i/>
          <w:noProof/>
          <w:szCs w:val="22"/>
          <w:lang w:val="it-IT" w:eastAsia="en-US"/>
        </w:rPr>
        <w:t>neurologici</w:t>
      </w:r>
    </w:p>
    <w:p>
      <w:pPr>
        <w:outlineLvl w:val="0"/>
        <w:rPr>
          <w:noProof/>
          <w:szCs w:val="22"/>
          <w:lang w:val="it-IT" w:eastAsia="en-US"/>
        </w:rPr>
      </w:pPr>
      <w:r>
        <w:rPr>
          <w:rFonts w:eastAsia="Calibri"/>
          <w:noProof/>
          <w:szCs w:val="22"/>
          <w:lang w:val="it-IT" w:eastAsia="en-US"/>
        </w:rPr>
        <w:t>I medici devono prestare attenzione alla presenza di sintomi che potenzialmente indichino l’insorgenza di disturbi da demielinizzazione centrale. Non è al momento nota la potenzialità di demielinizzazione centrale associata a tocilizumab.</w:t>
      </w:r>
    </w:p>
    <w:p>
      <w:pPr>
        <w:ind w:left="567" w:hanging="567"/>
        <w:outlineLvl w:val="0"/>
        <w:rPr>
          <w:noProof/>
          <w:szCs w:val="22"/>
          <w:lang w:val="it-IT"/>
        </w:rPr>
      </w:pPr>
    </w:p>
    <w:p>
      <w:pPr>
        <w:ind w:left="567" w:hanging="567"/>
        <w:outlineLvl w:val="0"/>
        <w:rPr>
          <w:i/>
          <w:noProof/>
          <w:szCs w:val="22"/>
          <w:lang w:val="it-IT" w:eastAsia="en-US"/>
        </w:rPr>
      </w:pPr>
      <w:r>
        <w:rPr>
          <w:rFonts w:eastAsia="Calibri"/>
          <w:i/>
          <w:noProof/>
          <w:szCs w:val="22"/>
          <w:lang w:val="it-IT" w:eastAsia="en-US"/>
        </w:rPr>
        <w:t>Neoplasie</w:t>
      </w:r>
    </w:p>
    <w:p>
      <w:pPr>
        <w:autoSpaceDE w:val="0"/>
        <w:autoSpaceDN w:val="0"/>
        <w:adjustRightInd w:val="0"/>
        <w:rPr>
          <w:rFonts w:eastAsia="SimSun"/>
          <w:noProof/>
          <w:szCs w:val="22"/>
          <w:lang w:val="it-IT" w:eastAsia="en-US"/>
        </w:rPr>
      </w:pPr>
      <w:r>
        <w:rPr>
          <w:rFonts w:eastAsia="Calibri"/>
          <w:noProof/>
          <w:szCs w:val="22"/>
          <w:lang w:val="it-IT" w:eastAsia="en-US"/>
        </w:rPr>
        <w:t>Nei pazienti affetti da AR il rischio di neoplasie è aumentato. I medicinali immunomodulatori possono aumentare il rischio di neoplasie. I dati clinici disponibili sono insufficienti per valutare la potenziale incidenza di neoplasie successivamente all’esposizione a tocilizumab. Sono in corso valutazioni sulla sicurezza a lungo termine.</w:t>
      </w:r>
    </w:p>
    <w:p>
      <w:pPr>
        <w:rPr>
          <w:noProof/>
          <w:szCs w:val="22"/>
          <w:lang w:val="it-IT"/>
        </w:rPr>
      </w:pPr>
    </w:p>
    <w:p>
      <w:pPr>
        <w:ind w:left="567" w:hanging="567"/>
        <w:outlineLvl w:val="0"/>
        <w:rPr>
          <w:i/>
          <w:noProof/>
          <w:szCs w:val="22"/>
          <w:lang w:val="it-IT" w:eastAsia="en-US"/>
        </w:rPr>
      </w:pPr>
      <w:r>
        <w:rPr>
          <w:rFonts w:eastAsia="Calibri"/>
          <w:i/>
          <w:noProof/>
          <w:szCs w:val="22"/>
          <w:lang w:val="it-IT" w:eastAsia="en-US"/>
        </w:rPr>
        <w:t>Vaccinazioni</w:t>
      </w:r>
    </w:p>
    <w:p>
      <w:pPr>
        <w:rPr>
          <w:noProof/>
          <w:lang w:val="it-IT" w:eastAsia="en-US"/>
        </w:rPr>
      </w:pPr>
      <w:r>
        <w:rPr>
          <w:rFonts w:eastAsia="Calibri"/>
          <w:noProof/>
          <w:lang w:val="it-IT" w:eastAsia="en-US"/>
        </w:rPr>
        <w:t xml:space="preserve">Vaccini vivi e vivi attenuati non devono essere somministrati in concomitanza con questo </w:t>
      </w:r>
      <w:del w:id="6695" w:author="Author">
        <w:r>
          <w:rPr>
            <w:rFonts w:eastAsia="Calibri"/>
            <w:noProof/>
            <w:lang w:val="it-IT" w:eastAsia="en-US"/>
          </w:rPr>
          <w:delText xml:space="preserve">mediicnaale </w:delText>
        </w:r>
      </w:del>
      <w:ins w:id="6696" w:author="Author">
        <w:r>
          <w:rPr>
            <w:rFonts w:eastAsia="Calibri"/>
            <w:noProof/>
            <w:lang w:val="it-IT" w:eastAsia="en-US"/>
          </w:rPr>
          <w:t xml:space="preserve">medicinale </w:t>
        </w:r>
      </w:ins>
      <w:r>
        <w:rPr>
          <w:rFonts w:eastAsia="Calibri"/>
          <w:noProof/>
          <w:lang w:val="it-IT" w:eastAsia="en-US"/>
        </w:rPr>
        <w:t xml:space="preserve">poiché non è stata stabilita la sicurezza clinica. In uno studio </w:t>
      </w:r>
      <w:ins w:id="6697" w:author="Author">
        <w:r>
          <w:rPr>
            <w:rFonts w:eastAsia="Calibri"/>
            <w:noProof/>
            <w:lang w:val="it-IT" w:eastAsia="en-US"/>
          </w:rPr>
          <w:t xml:space="preserve">clinico </w:t>
        </w:r>
      </w:ins>
      <w:r>
        <w:rPr>
          <w:rFonts w:eastAsia="Calibri"/>
          <w:noProof/>
          <w:lang w:val="it-IT" w:eastAsia="en-US"/>
        </w:rPr>
        <w:t xml:space="preserve">randomizzato in aperto, i pazienti adulti con artrite reumatoide trattati con tocilizumab e MTX sono stati in grado di produrre una risposta efficace sia al vaccino pneumococcico polisaccaridico 23-valente che al vaccino tossoide del tetano, paragonabile alla risposta osservata nei pazienti trattati con solo MTX. In tutti i pazienti, e in particolare nei </w:t>
      </w:r>
      <w:del w:id="6698" w:author="Author">
        <w:r>
          <w:rPr>
            <w:rFonts w:eastAsia="Calibri"/>
            <w:noProof/>
            <w:lang w:val="it-IT" w:eastAsia="en-US"/>
          </w:rPr>
          <w:delText xml:space="preserve">paziendi </w:delText>
        </w:r>
      </w:del>
      <w:ins w:id="6699" w:author="Author">
        <w:r>
          <w:rPr>
            <w:rFonts w:eastAsia="Calibri"/>
            <w:noProof/>
            <w:lang w:val="it-IT" w:eastAsia="en-US"/>
          </w:rPr>
          <w:t xml:space="preserve">pazienti </w:t>
        </w:r>
      </w:ins>
      <w:r>
        <w:rPr>
          <w:rFonts w:eastAsia="Calibri"/>
          <w:noProof/>
          <w:lang w:val="it-IT" w:eastAsia="en-US"/>
        </w:rPr>
        <w:t>pediatrici o negli anziani, prima di iniziare la terapia si raccomanda di attuare il programma di vaccinazioni previsto dalle linee guida in vigore sulle vaccinazioni. L’intervallo tra la somministrazione di vaccini vivi e l’inizio della terapia deve essere conforme alle linee guida in vigore sulle vaccinazioni in merito agli agenti immunosoppressori.</w:t>
      </w:r>
    </w:p>
    <w:p>
      <w:pPr>
        <w:rPr>
          <w:noProof/>
          <w:szCs w:val="22"/>
          <w:lang w:val="it-IT"/>
        </w:rPr>
      </w:pPr>
    </w:p>
    <w:p>
      <w:pPr>
        <w:rPr>
          <w:i/>
          <w:noProof/>
          <w:szCs w:val="22"/>
          <w:lang w:val="it-IT" w:eastAsia="en-US"/>
        </w:rPr>
      </w:pPr>
      <w:r>
        <w:rPr>
          <w:rFonts w:eastAsia="Calibri"/>
          <w:i/>
          <w:noProof/>
          <w:szCs w:val="22"/>
          <w:lang w:val="it-IT" w:eastAsia="en-US"/>
        </w:rPr>
        <w:t>Rischio cardiovascolare</w:t>
      </w:r>
    </w:p>
    <w:p>
      <w:pPr>
        <w:rPr>
          <w:noProof/>
          <w:szCs w:val="22"/>
          <w:lang w:val="it-IT" w:eastAsia="en-US"/>
        </w:rPr>
      </w:pPr>
      <w:r>
        <w:rPr>
          <w:rFonts w:eastAsia="Calibri"/>
          <w:noProof/>
          <w:szCs w:val="22"/>
          <w:lang w:val="it-IT" w:eastAsia="en-US"/>
        </w:rPr>
        <w:t xml:space="preserve">I pazienti affetti da AR presentano un rischio aumentato di </w:t>
      </w:r>
      <w:del w:id="6700" w:author="Author">
        <w:r>
          <w:rPr>
            <w:rFonts w:eastAsia="Calibri"/>
            <w:noProof/>
            <w:szCs w:val="22"/>
            <w:lang w:val="it-IT" w:eastAsia="en-US"/>
          </w:rPr>
          <w:delText xml:space="preserve">disordini </w:delText>
        </w:r>
      </w:del>
      <w:ins w:id="6701" w:author="Author">
        <w:r>
          <w:rPr>
            <w:rFonts w:eastAsia="Calibri"/>
            <w:noProof/>
            <w:szCs w:val="22"/>
            <w:lang w:val="it-IT" w:eastAsia="en-US"/>
          </w:rPr>
          <w:t xml:space="preserve">disturbi </w:t>
        </w:r>
      </w:ins>
      <w:r>
        <w:rPr>
          <w:rFonts w:eastAsia="Calibri"/>
          <w:noProof/>
          <w:szCs w:val="22"/>
          <w:lang w:val="it-IT" w:eastAsia="en-US"/>
        </w:rPr>
        <w:t>cardiovascolari e nel loro trattamento standard deve rientrare la gestione dei fattori di rischio (quali ipertensione, iperlipidemia).</w:t>
      </w:r>
    </w:p>
    <w:p>
      <w:pPr>
        <w:rPr>
          <w:noProof/>
          <w:szCs w:val="22"/>
          <w:lang w:val="it-IT"/>
        </w:rPr>
      </w:pPr>
    </w:p>
    <w:p>
      <w:pPr>
        <w:rPr>
          <w:i/>
          <w:noProof/>
          <w:szCs w:val="22"/>
          <w:lang w:val="it-IT" w:eastAsia="en-US"/>
        </w:rPr>
      </w:pPr>
      <w:r>
        <w:rPr>
          <w:rFonts w:eastAsia="Calibri"/>
          <w:i/>
          <w:noProof/>
          <w:szCs w:val="22"/>
          <w:lang w:val="it-IT" w:eastAsia="en-US"/>
        </w:rPr>
        <w:t>Associazione con antagonisti del TNF</w:t>
      </w:r>
    </w:p>
    <w:p>
      <w:pPr>
        <w:autoSpaceDE w:val="0"/>
        <w:autoSpaceDN w:val="0"/>
        <w:adjustRightInd w:val="0"/>
        <w:rPr>
          <w:rFonts w:eastAsia="Calibri"/>
          <w:noProof/>
          <w:szCs w:val="22"/>
          <w:lang w:val="it-IT" w:eastAsia="en-US"/>
        </w:rPr>
      </w:pPr>
      <w:r>
        <w:rPr>
          <w:rFonts w:eastAsia="Calibri"/>
          <w:noProof/>
          <w:szCs w:val="22"/>
          <w:lang w:val="it-IT" w:eastAsia="en-US"/>
        </w:rPr>
        <w:t>Non c’è esperienza sull’uso di tocilizumab unitamente agli antagonisti del TNF o ad altri trattamenti biologici per i pazienti affetti da AR. L’uso di questo medicinale non è raccomandato in associazione ad altri agenti biologici.</w:t>
      </w:r>
    </w:p>
    <w:p>
      <w:pPr>
        <w:autoSpaceDE w:val="0"/>
        <w:autoSpaceDN w:val="0"/>
        <w:adjustRightInd w:val="0"/>
        <w:rPr>
          <w:rFonts w:eastAsia="TimesNewRoman"/>
          <w:noProof/>
          <w:szCs w:val="22"/>
          <w:lang w:val="it-IT" w:eastAsia="zh-CN"/>
        </w:rPr>
      </w:pPr>
    </w:p>
    <w:p>
      <w:pPr>
        <w:tabs>
          <w:tab w:val="left" w:pos="180"/>
        </w:tabs>
        <w:autoSpaceDE w:val="0"/>
        <w:autoSpaceDN w:val="0"/>
        <w:adjustRightInd w:val="0"/>
        <w:rPr>
          <w:del w:id="6702" w:author="Author"/>
          <w:rFonts w:eastAsia="TimesNewRoman"/>
          <w:i/>
          <w:iCs/>
          <w:noProof/>
          <w:szCs w:val="22"/>
          <w:lang w:val="it-IT" w:eastAsia="zh-CN"/>
        </w:rPr>
      </w:pPr>
      <w:del w:id="6703" w:author="Author">
        <w:r>
          <w:rPr>
            <w:rFonts w:eastAsia="TimesNewRoman"/>
            <w:i/>
            <w:iCs/>
            <w:noProof/>
            <w:szCs w:val="22"/>
            <w:lang w:val="it-IT" w:eastAsia="zh-CN"/>
          </w:rPr>
          <w:delText>Polisorbato</w:delText>
        </w:r>
      </w:del>
    </w:p>
    <w:p>
      <w:pPr>
        <w:tabs>
          <w:tab w:val="left" w:pos="180"/>
        </w:tabs>
        <w:autoSpaceDE w:val="0"/>
        <w:autoSpaceDN w:val="0"/>
        <w:adjustRightInd w:val="0"/>
        <w:rPr>
          <w:del w:id="6704" w:author="Author"/>
          <w:rFonts w:eastAsia="TimesNewRoman"/>
          <w:noProof/>
          <w:szCs w:val="22"/>
          <w:lang w:val="it-IT" w:eastAsia="zh-CN"/>
        </w:rPr>
      </w:pPr>
      <w:del w:id="6705" w:author="Author">
        <w:r>
          <w:rPr>
            <w:rFonts w:eastAsia="TimesNewRoman"/>
            <w:noProof/>
            <w:szCs w:val="22"/>
            <w:lang w:val="it-IT" w:eastAsia="zh-CN"/>
          </w:rPr>
          <w:delText>Questo medicinale contiene 0.18 mg di polisorbato 80 in ogni siringa da 162 mg/0.9ml equivalenti a 0.2 mg/mL. I polisorbati possono provocare reazioni allergiche.</w:delText>
        </w:r>
        <w:r>
          <w:rPr>
            <w:noProof/>
            <w:szCs w:val="22"/>
            <w:lang w:val="it-IT" w:eastAsia="it-IT"/>
          </w:rPr>
          <w:delText xml:space="preserve"> </w:delText>
        </w:r>
        <w:r>
          <w:rPr>
            <w:noProof/>
            <w:szCs w:val="22"/>
            <w:lang w:val="it-IT"/>
          </w:rPr>
          <w:delText xml:space="preserve">Si deve tener conto dei pazienti con allergie note </w:delText>
        </w:r>
      </w:del>
    </w:p>
    <w:p>
      <w:pPr>
        <w:autoSpaceDE w:val="0"/>
        <w:autoSpaceDN w:val="0"/>
        <w:adjustRightInd w:val="0"/>
        <w:rPr>
          <w:del w:id="6706" w:author="Author"/>
          <w:rFonts w:eastAsia="TimesNewRoman"/>
          <w:noProof/>
          <w:szCs w:val="22"/>
          <w:lang w:val="it-IT" w:eastAsia="zh-CN"/>
        </w:rPr>
      </w:pPr>
    </w:p>
    <w:p>
      <w:pPr>
        <w:keepNext/>
        <w:keepLines/>
        <w:rPr>
          <w:iCs/>
          <w:noProof/>
          <w:szCs w:val="22"/>
          <w:u w:val="single"/>
          <w:lang w:val="it-IT" w:eastAsia="en-US"/>
          <w:rPrChange w:id="6707" w:author="Author">
            <w:rPr>
              <w:i/>
              <w:szCs w:val="22"/>
              <w:u w:val="single"/>
              <w:lang w:val="it-IT" w:eastAsia="en-US"/>
            </w:rPr>
          </w:rPrChange>
        </w:rPr>
      </w:pPr>
      <w:r>
        <w:rPr>
          <w:rFonts w:eastAsia="Calibri"/>
          <w:iCs/>
          <w:noProof/>
          <w:szCs w:val="22"/>
          <w:u w:val="single"/>
          <w:lang w:val="it-IT" w:eastAsia="en-US"/>
          <w:rPrChange w:id="6708" w:author="Author">
            <w:rPr>
              <w:rFonts w:eastAsia="Calibri"/>
              <w:i/>
              <w:szCs w:val="22"/>
              <w:u w:val="single"/>
              <w:lang w:val="it-IT" w:eastAsia="en-US"/>
            </w:rPr>
          </w:rPrChange>
        </w:rPr>
        <w:t>Pazienti affetti da ACG</w:t>
      </w:r>
    </w:p>
    <w:p>
      <w:pPr>
        <w:keepNext/>
        <w:keepLines/>
        <w:rPr>
          <w:rFonts w:eastAsia="Calibri"/>
          <w:noProof/>
          <w:szCs w:val="22"/>
          <w:lang w:val="it-IT" w:eastAsia="en-US"/>
        </w:rPr>
      </w:pPr>
      <w:r>
        <w:rPr>
          <w:rFonts w:eastAsia="Calibri"/>
          <w:noProof/>
          <w:szCs w:val="22"/>
          <w:lang w:val="it-IT" w:eastAsia="en-US"/>
        </w:rPr>
        <w:t>Tocilizumab in monoterapia non deve essere utilizzato per il trattamento di recidive acute, in quanto l’efficacia in questo contesto non è stata stabilita. I glucocorticoidi devono essere somministrati in base al giudizio medico e alle linee guida per la pratica clinica.</w:t>
      </w:r>
    </w:p>
    <w:p>
      <w:pPr>
        <w:keepNext/>
        <w:keepLines/>
        <w:rPr>
          <w:rFonts w:eastAsia="Calibri"/>
          <w:noProof/>
          <w:szCs w:val="22"/>
          <w:lang w:val="it-IT" w:eastAsia="en-US"/>
        </w:rPr>
      </w:pPr>
    </w:p>
    <w:p>
      <w:pPr>
        <w:keepNext/>
        <w:keepLines/>
        <w:tabs>
          <w:tab w:val="left" w:pos="180"/>
        </w:tabs>
        <w:rPr>
          <w:iCs/>
          <w:noProof/>
          <w:u w:val="single"/>
          <w:lang w:val="it-IT"/>
          <w:rPrChange w:id="6709" w:author="Author">
            <w:rPr>
              <w:i/>
              <w:u w:val="single"/>
              <w:lang w:val="it-IT"/>
            </w:rPr>
          </w:rPrChange>
        </w:rPr>
      </w:pPr>
      <w:r>
        <w:rPr>
          <w:iCs/>
          <w:noProof/>
          <w:u w:val="single"/>
          <w:lang w:val="it-IT"/>
          <w:rPrChange w:id="6710" w:author="Author">
            <w:rPr>
              <w:i/>
              <w:u w:val="single"/>
              <w:lang w:val="it-IT"/>
            </w:rPr>
          </w:rPrChange>
        </w:rPr>
        <w:t>Pazienti affetti da AIGs</w:t>
      </w:r>
    </w:p>
    <w:p>
      <w:pPr>
        <w:keepNext/>
        <w:keepLines/>
        <w:tabs>
          <w:tab w:val="left" w:pos="180"/>
        </w:tabs>
        <w:rPr>
          <w:noProof/>
          <w:szCs w:val="22"/>
          <w:lang w:val="it-IT" w:eastAsia="en-US"/>
        </w:rPr>
      </w:pPr>
      <w:r>
        <w:rPr>
          <w:noProof/>
          <w:lang w:val="it-IT"/>
        </w:rPr>
        <w:t>La sindrome da attivazione macrofagica (MAS) è una patologia severa potenzialmente letale che può svilupparsi nei pazienti affetti da AIGs. Nell’ambito delle sperimentazioni cliniche, tocilizumab non è stato studiato nei pazienti durante episodi di MAS attiva.</w:t>
      </w:r>
    </w:p>
    <w:p>
      <w:pPr>
        <w:autoSpaceDE w:val="0"/>
        <w:autoSpaceDN w:val="0"/>
        <w:adjustRightInd w:val="0"/>
        <w:rPr>
          <w:rFonts w:eastAsia="TimesNewRoman"/>
          <w:noProof/>
          <w:szCs w:val="22"/>
          <w:lang w:val="it-IT" w:eastAsia="zh-CN"/>
        </w:rPr>
      </w:pPr>
    </w:p>
    <w:p>
      <w:pPr>
        <w:keepNext/>
        <w:tabs>
          <w:tab w:val="left" w:pos="180"/>
        </w:tabs>
        <w:autoSpaceDE w:val="0"/>
        <w:autoSpaceDN w:val="0"/>
        <w:adjustRightInd w:val="0"/>
        <w:rPr>
          <w:ins w:id="6711" w:author="Author"/>
          <w:rFonts w:eastAsia="TimesNewRoman"/>
          <w:i/>
          <w:iCs/>
          <w:noProof/>
          <w:szCs w:val="22"/>
          <w:lang w:val="it-IT" w:eastAsia="zh-CN"/>
        </w:rPr>
        <w:pPrChange w:id="6712" w:author="Author">
          <w:pPr>
            <w:tabs>
              <w:tab w:val="left" w:pos="180"/>
            </w:tabs>
            <w:autoSpaceDE w:val="0"/>
            <w:autoSpaceDN w:val="0"/>
            <w:adjustRightInd w:val="0"/>
          </w:pPr>
        </w:pPrChange>
      </w:pPr>
      <w:ins w:id="6713" w:author="Author">
        <w:r>
          <w:rPr>
            <w:rFonts w:eastAsia="TimesNewRoman"/>
            <w:i/>
            <w:iCs/>
            <w:noProof/>
            <w:szCs w:val="22"/>
            <w:lang w:val="it-IT" w:eastAsia="zh-CN"/>
          </w:rPr>
          <w:t>Polisorbato </w:t>
        </w:r>
        <w:r>
          <w:rPr>
            <w:i/>
            <w:iCs/>
            <w:noProof/>
            <w:lang w:val="it-IT"/>
            <w:rPrChange w:id="6714" w:author="Author">
              <w:rPr/>
            </w:rPrChange>
          </w:rPr>
          <w:t>80</w:t>
        </w:r>
        <w:r>
          <w:rPr>
            <w:i/>
            <w:iCs/>
            <w:noProof/>
            <w:lang w:val="it-IT"/>
          </w:rPr>
          <w:t xml:space="preserve"> </w:t>
        </w:r>
        <w:r>
          <w:rPr>
            <w:i/>
            <w:iCs/>
            <w:noProof/>
            <w:lang w:val="it-IT"/>
            <w:rPrChange w:id="6715" w:author="Author">
              <w:rPr/>
            </w:rPrChange>
          </w:rPr>
          <w:t>(E 433)</w:t>
        </w:r>
      </w:ins>
    </w:p>
    <w:p>
      <w:pPr>
        <w:tabs>
          <w:tab w:val="left" w:pos="180"/>
        </w:tabs>
        <w:autoSpaceDE w:val="0"/>
        <w:autoSpaceDN w:val="0"/>
        <w:adjustRightInd w:val="0"/>
        <w:rPr>
          <w:ins w:id="6716" w:author="Author"/>
          <w:rFonts w:eastAsia="TimesNewRoman"/>
          <w:noProof/>
          <w:szCs w:val="22"/>
          <w:lang w:val="it-IT" w:eastAsia="zh-CN"/>
        </w:rPr>
      </w:pPr>
      <w:ins w:id="6717" w:author="Author">
        <w:r>
          <w:rPr>
            <w:rFonts w:eastAsia="TimesNewRoman"/>
            <w:noProof/>
            <w:szCs w:val="22"/>
            <w:lang w:val="it-IT" w:eastAsia="zh-CN"/>
          </w:rPr>
          <w:t>Questo medicinale contiene 0,18 mg di polisorbato 80 in ogni siringa da 162 mg/0,9 ml, equivalenti a 0,2 mg/mL. I polisorbati possono provocare reazioni allergiche.</w:t>
        </w:r>
        <w:r>
          <w:rPr>
            <w:rFonts w:eastAsia="TimesNewRoman"/>
            <w:noProof/>
            <w:szCs w:val="22"/>
            <w:lang w:val="it-IT" w:eastAsia="zh-CN"/>
            <w:rPrChange w:id="6718" w:author="Author">
              <w:rPr>
                <w:rFonts w:eastAsia="TimesNewRoman"/>
                <w:noProof/>
                <w:szCs w:val="22"/>
                <w:highlight w:val="yellow"/>
                <w:lang w:val="it-IT" w:eastAsia="zh-CN"/>
              </w:rPr>
            </w:rPrChange>
          </w:rPr>
          <w:t xml:space="preserve"> Si deve tener conto dei pazienti con allergie note.</w:t>
        </w:r>
        <w:del w:id="6719" w:author="Author">
          <w:r>
            <w:rPr>
              <w:noProof/>
              <w:szCs w:val="22"/>
              <w:lang w:val="it-IT" w:eastAsia="it-IT"/>
            </w:rPr>
            <w:delText xml:space="preserve"> </w:delText>
          </w:r>
          <w:r>
            <w:rPr>
              <w:noProof/>
              <w:szCs w:val="22"/>
              <w:lang w:val="it-IT"/>
            </w:rPr>
            <w:delText>Occorre tenere in considerazione le allergie note dei pazienti</w:delText>
          </w:r>
        </w:del>
        <w:r>
          <w:rPr>
            <w:noProof/>
            <w:szCs w:val="22"/>
            <w:lang w:val="it-IT"/>
          </w:rPr>
          <w:t>.</w:t>
        </w:r>
      </w:ins>
    </w:p>
    <w:p>
      <w:pPr>
        <w:autoSpaceDE w:val="0"/>
        <w:autoSpaceDN w:val="0"/>
        <w:adjustRightInd w:val="0"/>
        <w:rPr>
          <w:ins w:id="6720" w:author="Author"/>
          <w:rFonts w:eastAsia="TimesNewRoman"/>
          <w:noProof/>
          <w:szCs w:val="22"/>
          <w:lang w:val="it-IT" w:eastAsia="zh-CN"/>
        </w:rPr>
      </w:pPr>
    </w:p>
    <w:p>
      <w:pPr>
        <w:keepNext/>
        <w:keepLines/>
        <w:ind w:left="562" w:hanging="562"/>
        <w:outlineLvl w:val="0"/>
        <w:rPr>
          <w:noProof/>
          <w:szCs w:val="22"/>
          <w:lang w:val="it-IT" w:eastAsia="en-US"/>
        </w:rPr>
      </w:pPr>
      <w:r>
        <w:rPr>
          <w:rFonts w:eastAsia="Calibri"/>
          <w:b/>
          <w:noProof/>
          <w:szCs w:val="22"/>
          <w:lang w:val="it-IT" w:eastAsia="en-US"/>
        </w:rPr>
        <w:t>4.5</w:t>
      </w:r>
      <w:r>
        <w:rPr>
          <w:rFonts w:eastAsia="Calibri"/>
          <w:b/>
          <w:noProof/>
          <w:szCs w:val="22"/>
          <w:lang w:val="it-IT" w:eastAsia="en-US"/>
        </w:rPr>
        <w:tab/>
        <w:t>Interazioni con altri medicinali ed altre forme di interazione</w:t>
      </w:r>
    </w:p>
    <w:p>
      <w:pPr>
        <w:rPr>
          <w:noProof/>
          <w:szCs w:val="22"/>
          <w:lang w:val="it-IT"/>
        </w:rPr>
      </w:pPr>
    </w:p>
    <w:p>
      <w:pPr>
        <w:rPr>
          <w:rFonts w:eastAsia="SimSun"/>
          <w:noProof/>
          <w:szCs w:val="22"/>
          <w:lang w:val="it-IT" w:eastAsia="en-US"/>
        </w:rPr>
      </w:pPr>
      <w:r>
        <w:rPr>
          <w:rFonts w:eastAsia="Calibri"/>
          <w:noProof/>
          <w:szCs w:val="22"/>
          <w:lang w:val="it-IT" w:eastAsia="en-US"/>
        </w:rPr>
        <w:t>Gli studi di interazione sono stati condotti solo negli adulti.</w:t>
      </w:r>
    </w:p>
    <w:p>
      <w:pPr>
        <w:rPr>
          <w:rFonts w:eastAsia="SimSun"/>
          <w:noProof/>
          <w:szCs w:val="22"/>
          <w:lang w:val="it-IT" w:eastAsia="zh-CN" w:bidi="th-TH"/>
        </w:rPr>
      </w:pPr>
    </w:p>
    <w:p>
      <w:pPr>
        <w:rPr>
          <w:rFonts w:eastAsia="SimSun"/>
          <w:noProof/>
          <w:szCs w:val="22"/>
          <w:lang w:val="it-IT" w:eastAsia="en-US"/>
        </w:rPr>
      </w:pPr>
      <w:r>
        <w:rPr>
          <w:rFonts w:eastAsia="Calibri"/>
          <w:noProof/>
          <w:szCs w:val="22"/>
          <w:lang w:val="it-IT" w:eastAsia="en-US"/>
        </w:rPr>
        <w:t>La somministrazione concomitante di una singola dose di 10 mg/kg di tocilizumabcon 10-25 mg di MTX una volta a settimana non ha avuto effetti clinicamente significativi sull’esposizione a MTX.</w:t>
      </w:r>
    </w:p>
    <w:p>
      <w:pPr>
        <w:rPr>
          <w:rFonts w:eastAsia="SimSun"/>
          <w:noProof/>
          <w:szCs w:val="22"/>
          <w:lang w:val="it-IT" w:eastAsia="zh-CN" w:bidi="th-TH"/>
        </w:rPr>
      </w:pPr>
    </w:p>
    <w:p>
      <w:pPr>
        <w:autoSpaceDE w:val="0"/>
        <w:autoSpaceDN w:val="0"/>
        <w:adjustRightInd w:val="0"/>
        <w:rPr>
          <w:rFonts w:eastAsia="Calibri"/>
          <w:noProof/>
          <w:szCs w:val="22"/>
          <w:lang w:val="it-IT" w:eastAsia="en-US"/>
        </w:rPr>
      </w:pPr>
      <w:r>
        <w:rPr>
          <w:rFonts w:eastAsia="Calibri"/>
          <w:noProof/>
          <w:szCs w:val="22"/>
          <w:lang w:val="it-IT" w:eastAsia="en-US"/>
        </w:rPr>
        <w:lastRenderedPageBreak/>
        <w:t>Le analisi di farmacocinetica di popolazione non hanno evidenziato alcun effetto di MTX, FANS o corticosteroidi sulla clearance di tocilizumabin pazienti affetti da AR.</w:t>
      </w:r>
    </w:p>
    <w:p>
      <w:pPr>
        <w:autoSpaceDE w:val="0"/>
        <w:autoSpaceDN w:val="0"/>
        <w:adjustRightInd w:val="0"/>
        <w:rPr>
          <w:rFonts w:eastAsia="PMingLiU"/>
          <w:noProof/>
          <w:szCs w:val="22"/>
          <w:lang w:val="it-IT" w:eastAsia="en-US"/>
        </w:rPr>
      </w:pPr>
      <w:r>
        <w:rPr>
          <w:rFonts w:eastAsia="Calibri"/>
          <w:noProof/>
          <w:lang w:val="it-IT" w:eastAsia="en-US"/>
        </w:rPr>
        <w:t xml:space="preserve">Nei pazienti affetti da ACG la dose cumulativa di corticosteroidi non ha fatto osservare alcun effetto sull’esposizione a </w:t>
      </w:r>
      <w:r>
        <w:rPr>
          <w:rFonts w:eastAsia="Calibri"/>
          <w:noProof/>
          <w:szCs w:val="22"/>
          <w:lang w:val="it-IT" w:eastAsia="en-US"/>
        </w:rPr>
        <w:t>tocilizumab</w:t>
      </w:r>
      <w:r>
        <w:rPr>
          <w:rFonts w:eastAsia="Calibri"/>
          <w:noProof/>
          <w:lang w:val="it-IT" w:eastAsia="en-US"/>
        </w:rPr>
        <w:t>.</w:t>
      </w:r>
    </w:p>
    <w:p>
      <w:pPr>
        <w:rPr>
          <w:noProof/>
          <w:szCs w:val="22"/>
          <w:lang w:val="it-IT"/>
        </w:rPr>
      </w:pPr>
    </w:p>
    <w:p>
      <w:pPr>
        <w:rPr>
          <w:noProof/>
          <w:szCs w:val="22"/>
          <w:lang w:val="it-IT" w:eastAsia="en-US"/>
        </w:rPr>
      </w:pPr>
      <w:r>
        <w:rPr>
          <w:rFonts w:eastAsia="Calibri"/>
          <w:noProof/>
          <w:szCs w:val="22"/>
          <w:lang w:val="it-IT" w:eastAsia="en-US"/>
        </w:rPr>
        <w:t>L’espressione degli enzimi epatici CYP450 è soppressa dalle citochine, come la IL-6, che stimolano l’infiammazione cronica. Pertanto, l’espressione di CYP450 può essere invertita quando si introduce una potente terapia di inibizione citochinica, come tocilizumab.</w:t>
      </w:r>
    </w:p>
    <w:p>
      <w:pPr>
        <w:rPr>
          <w:noProof/>
          <w:szCs w:val="22"/>
          <w:lang w:val="it-IT"/>
        </w:rPr>
      </w:pPr>
    </w:p>
    <w:p>
      <w:pPr>
        <w:rPr>
          <w:noProof/>
          <w:szCs w:val="22"/>
          <w:lang w:val="it-IT" w:eastAsia="en-US"/>
        </w:rPr>
      </w:pPr>
      <w:r>
        <w:rPr>
          <w:rFonts w:eastAsia="Calibri"/>
          <w:noProof/>
          <w:szCs w:val="22"/>
          <w:lang w:val="it-IT" w:eastAsia="en-US"/>
        </w:rPr>
        <w:t xml:space="preserve">Gli studi condotti </w:t>
      </w:r>
      <w:r>
        <w:rPr>
          <w:rFonts w:eastAsia="Calibri"/>
          <w:i/>
          <w:iCs/>
          <w:noProof/>
          <w:szCs w:val="22"/>
          <w:lang w:val="it-IT" w:eastAsia="en-US"/>
        </w:rPr>
        <w:t>in vitro</w:t>
      </w:r>
      <w:r>
        <w:rPr>
          <w:rFonts w:eastAsia="Calibri"/>
          <w:noProof/>
          <w:szCs w:val="22"/>
          <w:lang w:val="it-IT" w:eastAsia="en-US"/>
        </w:rPr>
        <w:t xml:space="preserve"> con epatociti umani in coltura hanno dimostrato che IL-6 causa una riduzione dell’espressione degli enzimi CYP1A2, CYP2C9, CYP2C19 e CYP3A4. Tocilizumabnormalizza l’espressione di questi enzimi.</w:t>
      </w:r>
    </w:p>
    <w:p>
      <w:pPr>
        <w:rPr>
          <w:noProof/>
          <w:szCs w:val="22"/>
          <w:lang w:val="it-IT"/>
        </w:rPr>
      </w:pPr>
    </w:p>
    <w:p>
      <w:pPr>
        <w:rPr>
          <w:rFonts w:eastAsia="Calibri"/>
          <w:noProof/>
          <w:szCs w:val="22"/>
          <w:lang w:val="it-IT" w:eastAsia="en-US"/>
        </w:rPr>
      </w:pPr>
      <w:r>
        <w:rPr>
          <w:rFonts w:eastAsia="Calibri"/>
          <w:noProof/>
          <w:szCs w:val="22"/>
          <w:lang w:val="it-IT" w:eastAsia="en-US"/>
        </w:rPr>
        <w:t>In uno studio in pazienti con AR, i livelli di simvastatina (CYP3A4) si sono ridotti del 57% una settimana dopo la somministrazione di una dose singola di tocilizumab, a livelli simili, o lievemente superiori, a quelli osservati nei volontari sani.</w:t>
      </w:r>
    </w:p>
    <w:p>
      <w:pPr>
        <w:rPr>
          <w:noProof/>
          <w:szCs w:val="22"/>
          <w:lang w:val="it-IT"/>
        </w:rPr>
      </w:pPr>
    </w:p>
    <w:p>
      <w:pPr>
        <w:rPr>
          <w:rFonts w:eastAsia="Calibri"/>
          <w:noProof/>
          <w:szCs w:val="22"/>
          <w:lang w:val="it-IT" w:eastAsia="en-US"/>
        </w:rPr>
      </w:pPr>
      <w:r>
        <w:rPr>
          <w:rFonts w:eastAsia="Calibri"/>
          <w:noProof/>
          <w:szCs w:val="22"/>
          <w:lang w:val="it-IT" w:eastAsia="en-US"/>
        </w:rPr>
        <w:t>Quando si inizia o si interrompe la terapia con tocilizumab, i pazienti in trattamento con medicinali il cui dosaggio deve essere aggiustato su base individuale e che sono metabolizzati mediante CYP450 3A4, 1A2 o 2C9 (quali metilprednisolone, desametasone (con la possibilità della sindrome da sospensione del glucocorticoide orale), atorvastatina, bloccanti dei canali del calcio, teofillina, warfarin, fenprocumone, fenitoina, ciclosporina o benzodiazepine) devono essere monitorati, poiché può essere necessario un incremento della dose per mantenere l’effetto terapeutico. In considerazione della sua lunga emivita (t</w:t>
      </w:r>
      <w:r>
        <w:rPr>
          <w:rFonts w:eastAsia="Calibri"/>
          <w:noProof/>
          <w:szCs w:val="22"/>
          <w:vertAlign w:val="subscript"/>
          <w:lang w:val="it-IT" w:eastAsia="en-US"/>
        </w:rPr>
        <w:t>1/2</w:t>
      </w:r>
      <w:r>
        <w:rPr>
          <w:rFonts w:eastAsia="Calibri"/>
          <w:noProof/>
          <w:szCs w:val="22"/>
          <w:lang w:val="it-IT" w:eastAsia="en-US"/>
        </w:rPr>
        <w:t>) di eliminazione, l’effetto di tocilizumabsull’attività dell’enzima CYP450 può persistere per diverse settimane dopo l’interruzione della terapia.</w:t>
      </w:r>
    </w:p>
    <w:p>
      <w:pPr>
        <w:rPr>
          <w:rFonts w:eastAsia="SimSun"/>
          <w:noProof/>
          <w:szCs w:val="22"/>
          <w:lang w:val="it-IT" w:eastAsia="zh-CN" w:bidi="th-TH"/>
        </w:rPr>
      </w:pPr>
    </w:p>
    <w:p>
      <w:pPr>
        <w:ind w:left="567" w:hanging="567"/>
        <w:outlineLvl w:val="0"/>
        <w:rPr>
          <w:b/>
          <w:noProof/>
          <w:szCs w:val="22"/>
          <w:lang w:val="it-IT" w:eastAsia="en-US"/>
        </w:rPr>
      </w:pPr>
      <w:r>
        <w:rPr>
          <w:rFonts w:eastAsia="Calibri"/>
          <w:b/>
          <w:noProof/>
          <w:szCs w:val="22"/>
          <w:lang w:val="it-IT" w:eastAsia="en-US"/>
        </w:rPr>
        <w:t>4.6</w:t>
      </w:r>
      <w:r>
        <w:rPr>
          <w:rFonts w:eastAsia="Calibri"/>
          <w:b/>
          <w:noProof/>
          <w:szCs w:val="22"/>
          <w:lang w:val="it-IT" w:eastAsia="en-US"/>
        </w:rPr>
        <w:tab/>
        <w:t>Fertilità, gravidanza e allattamento</w:t>
      </w:r>
    </w:p>
    <w:p>
      <w:pPr>
        <w:ind w:left="567" w:hanging="567"/>
        <w:outlineLvl w:val="0"/>
        <w:rPr>
          <w:b/>
          <w:noProof/>
          <w:szCs w:val="22"/>
          <w:lang w:val="it-IT"/>
        </w:rPr>
      </w:pPr>
    </w:p>
    <w:p>
      <w:pPr>
        <w:ind w:left="567" w:hanging="567"/>
        <w:outlineLvl w:val="0"/>
        <w:rPr>
          <w:iCs/>
          <w:noProof/>
          <w:szCs w:val="22"/>
          <w:u w:val="single"/>
          <w:lang w:val="it-IT" w:eastAsia="en-US"/>
        </w:rPr>
      </w:pPr>
      <w:r>
        <w:rPr>
          <w:rFonts w:eastAsia="Calibri"/>
          <w:iCs/>
          <w:noProof/>
          <w:szCs w:val="22"/>
          <w:u w:val="single"/>
          <w:lang w:val="it-IT" w:eastAsia="en-US"/>
        </w:rPr>
        <w:t>Donne in età fertile</w:t>
      </w:r>
    </w:p>
    <w:p>
      <w:pPr>
        <w:outlineLvl w:val="0"/>
        <w:rPr>
          <w:iCs/>
          <w:noProof/>
          <w:szCs w:val="22"/>
          <w:lang w:val="it-IT" w:eastAsia="en-US"/>
        </w:rPr>
      </w:pPr>
      <w:r>
        <w:rPr>
          <w:rFonts w:eastAsia="Calibri"/>
          <w:noProof/>
          <w:szCs w:val="22"/>
          <w:lang w:val="it-IT" w:eastAsia="en-US"/>
        </w:rPr>
        <w:t>Le donne in età fertile devono fare uso di un contraccettivo efficace durante e fino a 3 mesi dopo il trattamento.</w:t>
      </w:r>
    </w:p>
    <w:p>
      <w:pPr>
        <w:ind w:left="567" w:hanging="567"/>
        <w:outlineLvl w:val="0"/>
        <w:rPr>
          <w:noProof/>
          <w:szCs w:val="22"/>
          <w:lang w:val="it-IT"/>
        </w:rPr>
      </w:pPr>
    </w:p>
    <w:p>
      <w:pPr>
        <w:ind w:left="567" w:hanging="567"/>
        <w:outlineLvl w:val="0"/>
        <w:rPr>
          <w:rFonts w:eastAsia="Calibri"/>
          <w:noProof/>
          <w:szCs w:val="22"/>
          <w:u w:val="single"/>
          <w:lang w:val="it-IT" w:eastAsia="en-US"/>
        </w:rPr>
      </w:pPr>
      <w:r>
        <w:rPr>
          <w:rFonts w:eastAsia="Calibri"/>
          <w:noProof/>
          <w:szCs w:val="22"/>
          <w:u w:val="single"/>
          <w:lang w:val="it-IT" w:eastAsia="en-US"/>
        </w:rPr>
        <w:t>Gravidanza</w:t>
      </w:r>
    </w:p>
    <w:p>
      <w:pPr>
        <w:rPr>
          <w:rFonts w:eastAsia="Calibri"/>
          <w:noProof/>
          <w:szCs w:val="22"/>
          <w:lang w:val="it-IT" w:eastAsia="en-US"/>
        </w:rPr>
      </w:pPr>
      <w:r>
        <w:rPr>
          <w:rFonts w:eastAsia="Calibri"/>
          <w:noProof/>
          <w:szCs w:val="22"/>
          <w:lang w:val="it-IT" w:eastAsia="en-US"/>
        </w:rPr>
        <w:t>Non vi sono dati adeguati riguardanti l’uso di tocilizumabin donne in gravidanza. Uno studio condotto su animali ha evidenziato un rischio aumentato di aborto spontaneo/morte embrio-fetale a dosi elevate (vedere paragrafo 5.3). Il rischio potenziale per gli esseri umani non è noto.</w:t>
      </w:r>
    </w:p>
    <w:p>
      <w:pPr>
        <w:ind w:left="567" w:hanging="567"/>
        <w:outlineLvl w:val="0"/>
        <w:rPr>
          <w:noProof/>
          <w:szCs w:val="22"/>
          <w:lang w:val="it-IT"/>
        </w:rPr>
      </w:pPr>
    </w:p>
    <w:p>
      <w:pPr>
        <w:ind w:left="567" w:hanging="567"/>
        <w:outlineLvl w:val="0"/>
        <w:rPr>
          <w:noProof/>
          <w:szCs w:val="22"/>
          <w:lang w:val="it-IT" w:eastAsia="en-US"/>
        </w:rPr>
      </w:pPr>
      <w:r>
        <w:rPr>
          <w:rFonts w:eastAsia="Calibri"/>
          <w:noProof/>
          <w:szCs w:val="22"/>
          <w:lang w:val="it-IT" w:eastAsia="en-US"/>
        </w:rPr>
        <w:t>RoActemra non deve essere usato in gravidanza se non in caso di assoluta necessità.</w:t>
      </w:r>
    </w:p>
    <w:p>
      <w:pPr>
        <w:ind w:left="567" w:hanging="567"/>
        <w:outlineLvl w:val="0"/>
        <w:rPr>
          <w:iCs/>
          <w:noProof/>
          <w:szCs w:val="22"/>
          <w:lang w:val="it-IT"/>
        </w:rPr>
      </w:pPr>
    </w:p>
    <w:p>
      <w:pPr>
        <w:keepNext/>
        <w:keepLines/>
        <w:ind w:left="567" w:hanging="567"/>
        <w:outlineLvl w:val="0"/>
        <w:rPr>
          <w:rFonts w:eastAsia="Calibri"/>
          <w:noProof/>
          <w:szCs w:val="22"/>
          <w:u w:val="single"/>
          <w:lang w:val="it-IT" w:eastAsia="en-US"/>
        </w:rPr>
      </w:pPr>
      <w:r>
        <w:rPr>
          <w:rFonts w:eastAsia="Calibri"/>
          <w:noProof/>
          <w:szCs w:val="22"/>
          <w:u w:val="single"/>
          <w:lang w:val="it-IT" w:eastAsia="en-US"/>
        </w:rPr>
        <w:t>Allattamento</w:t>
      </w:r>
    </w:p>
    <w:p>
      <w:pPr>
        <w:keepNext/>
        <w:keepLines/>
        <w:ind w:left="567" w:hanging="567"/>
        <w:outlineLvl w:val="0"/>
        <w:rPr>
          <w:noProof/>
          <w:szCs w:val="22"/>
          <w:u w:val="single"/>
          <w:lang w:val="it-IT" w:eastAsia="en-US"/>
        </w:rPr>
      </w:pPr>
    </w:p>
    <w:p>
      <w:pPr>
        <w:keepNext/>
        <w:keepLines/>
        <w:rPr>
          <w:noProof/>
          <w:szCs w:val="22"/>
          <w:lang w:val="it-IT" w:eastAsia="en-US"/>
        </w:rPr>
      </w:pPr>
      <w:r>
        <w:rPr>
          <w:rFonts w:eastAsia="Calibri"/>
          <w:noProof/>
          <w:szCs w:val="22"/>
          <w:lang w:val="it-IT" w:eastAsia="en-US"/>
        </w:rPr>
        <w:t>Non è noto se tocilizumabsia escreto nel latte materno. L’escrezione di tocilizumabnel latte non è stata studiata negli animali. La decisione di interrompere l’allattamento al seno o interrompere/astenersi dallaa terapia con RoActemra deve essere presa tenendo conto della del beneficio dell’allattamento al seno per il bambino e del beneficio della terapia per la donna.</w:t>
      </w:r>
    </w:p>
    <w:p>
      <w:pPr>
        <w:rPr>
          <w:noProof/>
          <w:szCs w:val="22"/>
          <w:lang w:val="it-IT"/>
        </w:rPr>
      </w:pPr>
    </w:p>
    <w:p>
      <w:pPr>
        <w:rPr>
          <w:noProof/>
          <w:szCs w:val="22"/>
          <w:lang w:val="it-IT" w:eastAsia="en-US"/>
        </w:rPr>
      </w:pPr>
      <w:r>
        <w:rPr>
          <w:rFonts w:eastAsia="Calibri"/>
          <w:noProof/>
          <w:szCs w:val="22"/>
          <w:u w:val="single"/>
          <w:lang w:val="it-IT" w:eastAsia="en-US"/>
        </w:rPr>
        <w:t>Fertilità</w:t>
      </w:r>
    </w:p>
    <w:p>
      <w:pPr>
        <w:rPr>
          <w:rFonts w:eastAsia="Calibri"/>
          <w:noProof/>
          <w:szCs w:val="22"/>
          <w:lang w:val="it-IT" w:eastAsia="en-US"/>
        </w:rPr>
      </w:pPr>
      <w:r>
        <w:rPr>
          <w:rFonts w:eastAsia="Calibri"/>
          <w:noProof/>
          <w:szCs w:val="22"/>
          <w:lang w:val="it-IT" w:eastAsia="en-US"/>
        </w:rPr>
        <w:t>I dati non-clinici disponibili non indicano un effetto sulla fertilità del trattamento con RoActemra.</w:t>
      </w:r>
    </w:p>
    <w:p>
      <w:pPr>
        <w:rPr>
          <w:noProof/>
          <w:szCs w:val="22"/>
          <w:lang w:val="it-IT"/>
        </w:rPr>
      </w:pPr>
    </w:p>
    <w:p>
      <w:pPr>
        <w:keepNext/>
        <w:keepLines/>
        <w:ind w:left="567" w:hanging="567"/>
        <w:outlineLvl w:val="0"/>
        <w:rPr>
          <w:noProof/>
          <w:szCs w:val="22"/>
          <w:lang w:val="it-IT" w:eastAsia="en-US"/>
        </w:rPr>
      </w:pPr>
      <w:r>
        <w:rPr>
          <w:rFonts w:eastAsia="Calibri"/>
          <w:b/>
          <w:bCs/>
          <w:noProof/>
          <w:szCs w:val="22"/>
          <w:lang w:val="it-IT" w:eastAsia="en-US"/>
        </w:rPr>
        <w:t>4.7</w:t>
      </w:r>
      <w:r>
        <w:rPr>
          <w:rFonts w:eastAsia="Calibri"/>
          <w:b/>
          <w:bCs/>
          <w:noProof/>
          <w:szCs w:val="22"/>
          <w:lang w:val="it-IT" w:eastAsia="en-US"/>
        </w:rPr>
        <w:tab/>
        <w:t>Effetti sulla capacità di guidare veicoli e sull’uso di macchinari</w:t>
      </w:r>
    </w:p>
    <w:p>
      <w:pPr>
        <w:keepNext/>
        <w:keepLines/>
        <w:rPr>
          <w:noProof/>
          <w:szCs w:val="22"/>
          <w:lang w:val="it-IT"/>
        </w:rPr>
      </w:pPr>
    </w:p>
    <w:p>
      <w:pPr>
        <w:rPr>
          <w:noProof/>
          <w:szCs w:val="22"/>
          <w:lang w:val="it-IT" w:eastAsia="en-US"/>
        </w:rPr>
      </w:pPr>
      <w:r>
        <w:rPr>
          <w:rFonts w:eastAsia="Calibri"/>
          <w:noProof/>
          <w:szCs w:val="22"/>
          <w:lang w:val="it-IT" w:eastAsia="en-US"/>
        </w:rPr>
        <w:t>RoActemra ha un’influenza minima sulla capacità di guidare veicoli e di usare macchinari,es capogiri (vedere paragrafo 4.8).</w:t>
      </w:r>
    </w:p>
    <w:p>
      <w:pPr>
        <w:rPr>
          <w:noProof/>
          <w:szCs w:val="22"/>
          <w:lang w:val="it-IT"/>
        </w:rPr>
      </w:pPr>
    </w:p>
    <w:p>
      <w:pPr>
        <w:keepNext/>
        <w:keepLines/>
        <w:ind w:left="562" w:hanging="562"/>
        <w:outlineLvl w:val="0"/>
        <w:rPr>
          <w:b/>
          <w:noProof/>
          <w:szCs w:val="22"/>
          <w:lang w:val="it-IT" w:eastAsia="en-US"/>
        </w:rPr>
      </w:pPr>
      <w:r>
        <w:rPr>
          <w:rFonts w:eastAsia="Calibri"/>
          <w:b/>
          <w:noProof/>
          <w:szCs w:val="22"/>
          <w:lang w:val="it-IT" w:eastAsia="en-US"/>
        </w:rPr>
        <w:lastRenderedPageBreak/>
        <w:t>4.8</w:t>
      </w:r>
      <w:r>
        <w:rPr>
          <w:rFonts w:eastAsia="Calibri"/>
          <w:b/>
          <w:noProof/>
          <w:szCs w:val="22"/>
          <w:lang w:val="it-IT" w:eastAsia="en-US"/>
        </w:rPr>
        <w:tab/>
        <w:t>Effetti indesiderati</w:t>
      </w:r>
    </w:p>
    <w:p>
      <w:pPr>
        <w:keepNext/>
        <w:keepLines/>
        <w:ind w:left="562" w:hanging="562"/>
        <w:outlineLvl w:val="0"/>
        <w:rPr>
          <w:b/>
          <w:noProof/>
          <w:szCs w:val="22"/>
          <w:u w:val="single"/>
          <w:lang w:val="it-IT"/>
        </w:rPr>
      </w:pPr>
    </w:p>
    <w:p>
      <w:pPr>
        <w:keepNext/>
        <w:keepLines/>
        <w:rPr>
          <w:noProof/>
          <w:szCs w:val="22"/>
          <w:u w:val="single"/>
          <w:lang w:val="it-IT" w:eastAsia="en-US"/>
        </w:rPr>
        <w:pPrChange w:id="6721" w:author="Author">
          <w:pPr/>
        </w:pPrChange>
      </w:pPr>
      <w:r>
        <w:rPr>
          <w:rFonts w:eastAsia="Calibri"/>
          <w:noProof/>
          <w:szCs w:val="22"/>
          <w:u w:val="single"/>
          <w:lang w:val="it-IT" w:eastAsia="en-US"/>
        </w:rPr>
        <w:t>Riassunto del profilo di sicurezza</w:t>
      </w:r>
    </w:p>
    <w:p>
      <w:pPr>
        <w:rPr>
          <w:noProof/>
          <w:lang w:val="it-IT" w:eastAsia="en-US"/>
        </w:rPr>
      </w:pPr>
      <w:r>
        <w:rPr>
          <w:rFonts w:eastAsia="Calibri"/>
          <w:noProof/>
          <w:lang w:val="it-IT" w:eastAsia="en-US"/>
        </w:rPr>
        <w:t>Il profilo di sicurezza deriva dai 4</w:t>
      </w:r>
      <w:ins w:id="6722" w:author="Author">
        <w:r>
          <w:rPr>
            <w:rFonts w:eastAsia="Calibri"/>
            <w:noProof/>
            <w:lang w:val="it-IT" w:eastAsia="en-US"/>
          </w:rPr>
          <w:t> </w:t>
        </w:r>
      </w:ins>
      <w:r>
        <w:rPr>
          <w:rFonts w:eastAsia="Calibri"/>
          <w:noProof/>
          <w:lang w:val="it-IT" w:eastAsia="en-US"/>
        </w:rPr>
        <w:t>510 pazienti esposti a tocilizumab negli studi clinici; la maggior parte di questi pazienti ha preso parte a studi su</w:t>
      </w:r>
      <w:del w:id="6723" w:author="Author">
        <w:r>
          <w:rPr>
            <w:rFonts w:eastAsia="Calibri"/>
            <w:noProof/>
            <w:lang w:val="it-IT" w:eastAsia="en-US"/>
          </w:rPr>
          <w:delText>lla</w:delText>
        </w:r>
      </w:del>
      <w:r>
        <w:rPr>
          <w:rFonts w:eastAsia="Calibri"/>
          <w:noProof/>
          <w:lang w:val="it-IT" w:eastAsia="en-US"/>
        </w:rPr>
        <w:t xml:space="preserve"> </w:t>
      </w:r>
      <w:ins w:id="6724" w:author="Author">
        <w:r>
          <w:rPr>
            <w:rFonts w:eastAsia="Calibri"/>
            <w:noProof/>
            <w:lang w:val="it-IT" w:eastAsia="en-US"/>
          </w:rPr>
          <w:t xml:space="preserve">adulti affetti da </w:t>
        </w:r>
      </w:ins>
      <w:r>
        <w:rPr>
          <w:rFonts w:eastAsia="Calibri"/>
          <w:noProof/>
          <w:lang w:val="it-IT" w:eastAsia="en-US"/>
        </w:rPr>
        <w:t>AR (n</w:t>
      </w:r>
      <w:del w:id="6725" w:author="Author">
        <w:r>
          <w:rPr>
            <w:rFonts w:eastAsia="Calibri"/>
            <w:noProof/>
            <w:lang w:val="it-IT" w:eastAsia="en-US"/>
          </w:rPr>
          <w:delText xml:space="preserve"> </w:delText>
        </w:r>
      </w:del>
      <w:ins w:id="6726" w:author="Author">
        <w:r>
          <w:rPr>
            <w:rFonts w:eastAsia="Calibri"/>
            <w:noProof/>
            <w:lang w:val="it-IT" w:eastAsia="en-US"/>
          </w:rPr>
          <w:t> </w:t>
        </w:r>
      </w:ins>
      <w:r>
        <w:rPr>
          <w:rFonts w:eastAsia="Calibri"/>
          <w:noProof/>
          <w:lang w:val="it-IT" w:eastAsia="en-US"/>
        </w:rPr>
        <w:t>=</w:t>
      </w:r>
      <w:ins w:id="6727" w:author="Author">
        <w:r>
          <w:rPr>
            <w:rFonts w:eastAsia="Calibri"/>
            <w:noProof/>
            <w:lang w:val="it-IT" w:eastAsia="en-US"/>
          </w:rPr>
          <w:t> </w:t>
        </w:r>
      </w:ins>
      <w:del w:id="6728" w:author="Author">
        <w:r>
          <w:rPr>
            <w:rFonts w:eastAsia="Calibri"/>
            <w:noProof/>
            <w:lang w:val="it-IT" w:eastAsia="en-US"/>
          </w:rPr>
          <w:delText xml:space="preserve"> </w:delText>
        </w:r>
      </w:del>
      <w:r>
        <w:rPr>
          <w:rFonts w:eastAsia="Calibri"/>
          <w:noProof/>
          <w:lang w:val="it-IT" w:eastAsia="en-US"/>
        </w:rPr>
        <w:t>4</w:t>
      </w:r>
      <w:ins w:id="6729" w:author="Author">
        <w:r>
          <w:rPr>
            <w:rFonts w:eastAsia="Calibri"/>
            <w:noProof/>
            <w:lang w:val="it-IT" w:eastAsia="en-US"/>
          </w:rPr>
          <w:t> </w:t>
        </w:r>
      </w:ins>
      <w:r>
        <w:rPr>
          <w:rFonts w:eastAsia="Calibri"/>
          <w:noProof/>
          <w:lang w:val="it-IT" w:eastAsia="en-US"/>
        </w:rPr>
        <w:t>009), mentre i restanti dati derivano da studi sulla ACG (n</w:t>
      </w:r>
      <w:del w:id="6730" w:author="Author">
        <w:r>
          <w:rPr>
            <w:rFonts w:eastAsia="Calibri"/>
            <w:noProof/>
            <w:lang w:val="it-IT" w:eastAsia="en-US"/>
          </w:rPr>
          <w:delText xml:space="preserve"> </w:delText>
        </w:r>
      </w:del>
      <w:ins w:id="6731" w:author="Author">
        <w:r>
          <w:rPr>
            <w:rFonts w:eastAsia="Calibri"/>
            <w:noProof/>
            <w:lang w:val="it-IT" w:eastAsia="en-US"/>
          </w:rPr>
          <w:t> </w:t>
        </w:r>
      </w:ins>
      <w:r>
        <w:rPr>
          <w:rFonts w:eastAsia="Calibri"/>
          <w:noProof/>
          <w:lang w:val="it-IT" w:eastAsia="en-US"/>
        </w:rPr>
        <w:t>=</w:t>
      </w:r>
      <w:ins w:id="6732" w:author="Author">
        <w:r>
          <w:rPr>
            <w:rFonts w:eastAsia="Calibri"/>
            <w:noProof/>
            <w:lang w:val="it-IT" w:eastAsia="en-US"/>
          </w:rPr>
          <w:t> </w:t>
        </w:r>
      </w:ins>
      <w:del w:id="6733" w:author="Author">
        <w:r>
          <w:rPr>
            <w:rFonts w:eastAsia="Calibri"/>
            <w:noProof/>
            <w:lang w:val="it-IT" w:eastAsia="en-US"/>
          </w:rPr>
          <w:delText xml:space="preserve"> </w:delText>
        </w:r>
      </w:del>
      <w:r>
        <w:rPr>
          <w:rFonts w:eastAsia="Calibri"/>
          <w:noProof/>
          <w:lang w:val="it-IT" w:eastAsia="en-US"/>
        </w:rPr>
        <w:t>149), sulla AIGp (n</w:t>
      </w:r>
      <w:del w:id="6734" w:author="Author">
        <w:r>
          <w:rPr>
            <w:rFonts w:eastAsia="Calibri"/>
            <w:noProof/>
            <w:lang w:val="it-IT" w:eastAsia="en-US"/>
          </w:rPr>
          <w:delText xml:space="preserve"> </w:delText>
        </w:r>
      </w:del>
      <w:ins w:id="6735" w:author="Author">
        <w:r>
          <w:rPr>
            <w:rFonts w:eastAsia="Calibri"/>
            <w:noProof/>
            <w:lang w:val="it-IT" w:eastAsia="en-US"/>
          </w:rPr>
          <w:t> </w:t>
        </w:r>
      </w:ins>
      <w:r>
        <w:rPr>
          <w:rFonts w:eastAsia="Calibri"/>
          <w:noProof/>
          <w:lang w:val="it-IT" w:eastAsia="en-US"/>
        </w:rPr>
        <w:t>=</w:t>
      </w:r>
      <w:ins w:id="6736" w:author="Author">
        <w:r>
          <w:rPr>
            <w:rFonts w:eastAsia="Calibri"/>
            <w:noProof/>
            <w:lang w:val="it-IT" w:eastAsia="en-US"/>
          </w:rPr>
          <w:t> </w:t>
        </w:r>
      </w:ins>
      <w:del w:id="6737" w:author="Author">
        <w:r>
          <w:rPr>
            <w:rFonts w:eastAsia="Calibri"/>
            <w:noProof/>
            <w:lang w:val="it-IT" w:eastAsia="en-US"/>
          </w:rPr>
          <w:delText xml:space="preserve"> </w:delText>
        </w:r>
      </w:del>
      <w:r>
        <w:rPr>
          <w:rFonts w:eastAsia="Calibri"/>
          <w:noProof/>
          <w:lang w:val="it-IT" w:eastAsia="en-US"/>
        </w:rPr>
        <w:t>240) e sulla AIGs (n</w:t>
      </w:r>
      <w:del w:id="6738" w:author="Author">
        <w:r>
          <w:rPr>
            <w:rFonts w:eastAsia="Calibri"/>
            <w:noProof/>
            <w:lang w:val="it-IT" w:eastAsia="en-US"/>
          </w:rPr>
          <w:delText xml:space="preserve"> </w:delText>
        </w:r>
      </w:del>
      <w:ins w:id="6739" w:author="Author">
        <w:r>
          <w:rPr>
            <w:rFonts w:eastAsia="Calibri"/>
            <w:noProof/>
            <w:lang w:val="it-IT" w:eastAsia="en-US"/>
          </w:rPr>
          <w:t> </w:t>
        </w:r>
      </w:ins>
      <w:r>
        <w:rPr>
          <w:rFonts w:eastAsia="Calibri"/>
          <w:noProof/>
          <w:lang w:val="it-IT" w:eastAsia="en-US"/>
        </w:rPr>
        <w:t>=</w:t>
      </w:r>
      <w:ins w:id="6740" w:author="Author">
        <w:r>
          <w:rPr>
            <w:rFonts w:eastAsia="Calibri"/>
            <w:noProof/>
            <w:lang w:val="it-IT" w:eastAsia="en-US"/>
          </w:rPr>
          <w:t> </w:t>
        </w:r>
      </w:ins>
      <w:del w:id="6741" w:author="Author">
        <w:r>
          <w:rPr>
            <w:rFonts w:eastAsia="Calibri"/>
            <w:noProof/>
            <w:lang w:val="it-IT" w:eastAsia="en-US"/>
          </w:rPr>
          <w:delText xml:space="preserve"> </w:delText>
        </w:r>
      </w:del>
      <w:r>
        <w:rPr>
          <w:rFonts w:eastAsia="Calibri"/>
          <w:noProof/>
          <w:lang w:val="it-IT" w:eastAsia="en-US"/>
        </w:rPr>
        <w:t>112). Il profilo di sicurezza di tocilizumab in queste due indicazioni si conferma simile e indifferenziato.</w:t>
      </w:r>
    </w:p>
    <w:p>
      <w:pPr>
        <w:rPr>
          <w:noProof/>
          <w:szCs w:val="22"/>
          <w:u w:val="single"/>
          <w:lang w:val="it-IT"/>
        </w:rPr>
      </w:pPr>
    </w:p>
    <w:p>
      <w:pPr>
        <w:rPr>
          <w:noProof/>
          <w:szCs w:val="22"/>
          <w:lang w:val="it-IT" w:eastAsia="en-US"/>
        </w:rPr>
      </w:pPr>
      <w:r>
        <w:rPr>
          <w:rFonts w:eastAsia="Calibri"/>
          <w:noProof/>
          <w:szCs w:val="22"/>
          <w:lang w:val="it-IT" w:eastAsia="en-US"/>
        </w:rPr>
        <w:t>Le reazioni avverse più comunemente riportate sono state infezioni alle vie aeree superiori, nasofaringite, cefalea, ipertensione e aumenti dell’ALT.</w:t>
      </w:r>
    </w:p>
    <w:p>
      <w:pPr>
        <w:ind w:left="567" w:hanging="567"/>
        <w:outlineLvl w:val="0"/>
        <w:rPr>
          <w:noProof/>
          <w:szCs w:val="22"/>
          <w:lang w:val="it-IT"/>
        </w:rPr>
      </w:pPr>
    </w:p>
    <w:p>
      <w:pPr>
        <w:outlineLvl w:val="0"/>
        <w:rPr>
          <w:rFonts w:eastAsia="Calibri"/>
          <w:noProof/>
          <w:szCs w:val="22"/>
          <w:shd w:val="clear" w:color="auto" w:fill="FFFFFF"/>
          <w:lang w:val="it-IT" w:eastAsia="en-US"/>
        </w:rPr>
      </w:pPr>
      <w:r>
        <w:rPr>
          <w:rFonts w:eastAsia="Calibri"/>
          <w:noProof/>
          <w:szCs w:val="22"/>
          <w:lang w:val="it-IT" w:eastAsia="en-US"/>
        </w:rPr>
        <w:t xml:space="preserve">Le </w:t>
      </w:r>
      <w:del w:id="6742" w:author="Author">
        <w:r>
          <w:rPr>
            <w:rFonts w:eastAsia="Calibri"/>
            <w:noProof/>
            <w:szCs w:val="22"/>
            <w:lang w:val="it-IT" w:eastAsia="en-US"/>
          </w:rPr>
          <w:delText xml:space="preserve">più gravi </w:delText>
        </w:r>
      </w:del>
      <w:r>
        <w:rPr>
          <w:rFonts w:eastAsia="Calibri"/>
          <w:noProof/>
          <w:szCs w:val="22"/>
          <w:lang w:val="it-IT" w:eastAsia="en-US"/>
        </w:rPr>
        <w:t xml:space="preserve">reazioni avverse </w:t>
      </w:r>
      <w:ins w:id="6743" w:author="Author">
        <w:r>
          <w:rPr>
            <w:rFonts w:eastAsia="Calibri"/>
            <w:noProof/>
            <w:szCs w:val="22"/>
            <w:lang w:val="it-IT" w:eastAsia="en-US"/>
          </w:rPr>
          <w:t xml:space="preserve">più gravi </w:t>
        </w:r>
      </w:ins>
      <w:r>
        <w:rPr>
          <w:rFonts w:eastAsia="Calibri"/>
          <w:noProof/>
          <w:szCs w:val="22"/>
          <w:lang w:val="it-IT" w:eastAsia="en-US"/>
        </w:rPr>
        <w:t>sono state infezioni gravi, complicanze della diverticolite e reazioni di ipersensibilità.</w:t>
      </w:r>
    </w:p>
    <w:p>
      <w:pPr>
        <w:rPr>
          <w:noProof/>
          <w:szCs w:val="22"/>
          <w:lang w:val="it-IT"/>
        </w:rPr>
      </w:pPr>
    </w:p>
    <w:p>
      <w:pPr>
        <w:rPr>
          <w:rFonts w:eastAsia="Calibri"/>
          <w:noProof/>
          <w:szCs w:val="22"/>
          <w:u w:val="single"/>
          <w:lang w:val="it-IT" w:eastAsia="en-US"/>
        </w:rPr>
      </w:pPr>
      <w:del w:id="6744" w:author="Author">
        <w:r>
          <w:rPr>
            <w:rFonts w:eastAsia="Calibri"/>
            <w:noProof/>
            <w:szCs w:val="22"/>
            <w:u w:val="single"/>
            <w:lang w:val="it-IT" w:eastAsia="en-US"/>
          </w:rPr>
          <w:delText>Elenco in forma tabellare</w:delText>
        </w:r>
      </w:del>
      <w:ins w:id="6745" w:author="Author">
        <w:r>
          <w:rPr>
            <w:rFonts w:eastAsia="Calibri"/>
            <w:noProof/>
            <w:szCs w:val="22"/>
            <w:u w:val="single"/>
            <w:lang w:val="it-IT" w:eastAsia="en-US"/>
          </w:rPr>
          <w:t>Tabella</w:t>
        </w:r>
      </w:ins>
      <w:r>
        <w:rPr>
          <w:rFonts w:eastAsia="Calibri"/>
          <w:noProof/>
          <w:szCs w:val="22"/>
          <w:u w:val="single"/>
          <w:lang w:val="it-IT" w:eastAsia="en-US"/>
        </w:rPr>
        <w:t xml:space="preserve"> delle reazioni avverse</w:t>
      </w:r>
    </w:p>
    <w:p>
      <w:pPr>
        <w:rPr>
          <w:noProof/>
          <w:szCs w:val="22"/>
          <w:u w:val="single"/>
          <w:lang w:val="it-IT" w:eastAsia="en-US"/>
        </w:rPr>
      </w:pPr>
    </w:p>
    <w:p>
      <w:pPr>
        <w:widowControl w:val="0"/>
        <w:rPr>
          <w:noProof/>
          <w:szCs w:val="22"/>
          <w:lang w:val="it-IT" w:eastAsia="en-US"/>
        </w:rPr>
      </w:pPr>
      <w:r>
        <w:rPr>
          <w:rFonts w:eastAsia="Calibri"/>
          <w:noProof/>
          <w:szCs w:val="22"/>
          <w:lang w:val="it-IT" w:eastAsia="en-US"/>
        </w:rPr>
        <w:t xml:space="preserve">Le reazioni avverse </w:t>
      </w:r>
      <w:r>
        <w:rPr>
          <w:noProof/>
          <w:lang w:val="it-IT"/>
        </w:rPr>
        <w:t xml:space="preserve">osservate con </w:t>
      </w:r>
      <w:r>
        <w:rPr>
          <w:rFonts w:eastAsia="Calibri"/>
          <w:noProof/>
          <w:lang w:val="it-IT" w:eastAsia="en-US"/>
        </w:rPr>
        <w:t xml:space="preserve">tocilizumab </w:t>
      </w:r>
      <w:r>
        <w:rPr>
          <w:noProof/>
          <w:lang w:val="it-IT"/>
        </w:rPr>
        <w:t xml:space="preserve">nelle sperimentazioni cliniche e/o nell’esperienza post-marketing basate su segnalazioni spontanee, casi in letteratura e casi tratti da programmi di studi non interventistici sono </w:t>
      </w:r>
      <w:r>
        <w:rPr>
          <w:rFonts w:eastAsia="Calibri"/>
          <w:noProof/>
          <w:szCs w:val="22"/>
          <w:lang w:val="it-IT" w:eastAsia="en-US"/>
        </w:rPr>
        <w:t xml:space="preserve">elencate nella Tabella 1 e presentate per classe sistemico-organica secondo MedDRA. </w:t>
      </w:r>
      <w:ins w:id="6746" w:author="Author">
        <w:r>
          <w:rPr>
            <w:rFonts w:eastAsia="Calibri"/>
            <w:noProof/>
            <w:szCs w:val="22"/>
            <w:lang w:val="it-IT" w:eastAsia="en-US"/>
          </w:rPr>
          <w:t>Ciascuna</w:t>
        </w:r>
      </w:ins>
      <w:del w:id="6747" w:author="Author">
        <w:r>
          <w:rPr>
            <w:rFonts w:eastAsia="Calibri"/>
            <w:noProof/>
            <w:szCs w:val="22"/>
            <w:lang w:val="it-IT" w:eastAsia="en-US"/>
          </w:rPr>
          <w:delText>La</w:delText>
        </w:r>
      </w:del>
      <w:r>
        <w:rPr>
          <w:rFonts w:eastAsia="Calibri"/>
          <w:noProof/>
          <w:szCs w:val="22"/>
          <w:lang w:val="it-IT" w:eastAsia="en-US"/>
        </w:rPr>
        <w:t xml:space="preserve"> categoria di frequenza </w:t>
      </w:r>
      <w:del w:id="6748" w:author="Author">
        <w:r>
          <w:rPr>
            <w:noProof/>
            <w:szCs w:val="22"/>
            <w:lang w:val="it-IT"/>
          </w:rPr>
          <w:delText xml:space="preserve">corrispondente di ogni ADR </w:delText>
        </w:r>
      </w:del>
      <w:r>
        <w:rPr>
          <w:noProof/>
          <w:szCs w:val="22"/>
          <w:lang w:val="it-IT"/>
        </w:rPr>
        <w:t>si basa</w:t>
      </w:r>
      <w:r>
        <w:rPr>
          <w:rFonts w:eastAsia="Calibri"/>
          <w:noProof/>
          <w:szCs w:val="22"/>
          <w:lang w:val="it-IT" w:eastAsia="en-US"/>
        </w:rPr>
        <w:t xml:space="preserve"> sulla seguente convenzione: molto comune (</w:t>
      </w:r>
      <w:r>
        <w:rPr>
          <w:noProof/>
          <w:szCs w:val="22"/>
          <w:lang w:val="it-IT"/>
        </w:rPr>
        <w:t>≥</w:t>
      </w:r>
      <w:ins w:id="6749" w:author="Author">
        <w:r>
          <w:rPr>
            <w:noProof/>
            <w:szCs w:val="22"/>
            <w:lang w:val="it-IT"/>
          </w:rPr>
          <w:t> </w:t>
        </w:r>
      </w:ins>
      <w:r>
        <w:rPr>
          <w:rFonts w:eastAsia="Calibri"/>
          <w:noProof/>
          <w:szCs w:val="22"/>
          <w:lang w:val="it-IT" w:eastAsia="en-US"/>
        </w:rPr>
        <w:t>1/10), comune (</w:t>
      </w:r>
      <w:r>
        <w:rPr>
          <w:noProof/>
          <w:szCs w:val="22"/>
          <w:lang w:val="it-IT"/>
        </w:rPr>
        <w:t>≥</w:t>
      </w:r>
      <w:ins w:id="6750" w:author="Author">
        <w:r>
          <w:rPr>
            <w:noProof/>
            <w:szCs w:val="22"/>
            <w:lang w:val="it-IT"/>
          </w:rPr>
          <w:t> </w:t>
        </w:r>
      </w:ins>
      <w:r>
        <w:rPr>
          <w:rFonts w:eastAsia="Calibri"/>
          <w:noProof/>
          <w:szCs w:val="22"/>
          <w:lang w:val="it-IT" w:eastAsia="en-US"/>
        </w:rPr>
        <w:t>1/100</w:t>
      </w:r>
      <w:del w:id="6751" w:author="Author">
        <w:r>
          <w:rPr>
            <w:rFonts w:eastAsia="Calibri"/>
            <w:noProof/>
            <w:szCs w:val="22"/>
            <w:lang w:val="it-IT" w:eastAsia="en-US"/>
          </w:rPr>
          <w:delText xml:space="preserve"> </w:delText>
        </w:r>
      </w:del>
      <w:r>
        <w:rPr>
          <w:rFonts w:eastAsia="Calibri"/>
          <w:noProof/>
          <w:szCs w:val="22"/>
          <w:lang w:val="it-IT" w:eastAsia="en-US"/>
        </w:rPr>
        <w:t xml:space="preserve">, </w:t>
      </w:r>
      <w:r>
        <w:rPr>
          <w:rFonts w:eastAsia="Calibri"/>
          <w:noProof/>
          <w:szCs w:val="22"/>
          <w:lang w:val="it-IT" w:eastAsia="en-US"/>
        </w:rPr>
        <w:sym w:font="Symbol" w:char="F03C"/>
      </w:r>
      <w:ins w:id="6752" w:author="Author">
        <w:r>
          <w:rPr>
            <w:rFonts w:eastAsia="Calibri"/>
            <w:noProof/>
            <w:szCs w:val="22"/>
            <w:lang w:val="it-IT" w:eastAsia="en-US"/>
          </w:rPr>
          <w:t> </w:t>
        </w:r>
      </w:ins>
      <w:r>
        <w:rPr>
          <w:rFonts w:eastAsia="Calibri"/>
          <w:noProof/>
          <w:szCs w:val="22"/>
          <w:lang w:val="it-IT" w:eastAsia="en-US"/>
        </w:rPr>
        <w:t>1/10), non comune (</w:t>
      </w:r>
      <w:r>
        <w:rPr>
          <w:noProof/>
          <w:szCs w:val="22"/>
          <w:lang w:val="it-IT"/>
        </w:rPr>
        <w:t>≥</w:t>
      </w:r>
      <w:del w:id="6753" w:author="Author">
        <w:r>
          <w:rPr>
            <w:rFonts w:eastAsia="Calibri"/>
            <w:noProof/>
            <w:szCs w:val="22"/>
            <w:lang w:val="it-IT" w:eastAsia="en-US"/>
          </w:rPr>
          <w:delText xml:space="preserve"> </w:delText>
        </w:r>
      </w:del>
      <w:ins w:id="6754" w:author="Author">
        <w:r>
          <w:rPr>
            <w:rFonts w:eastAsia="Calibri"/>
            <w:noProof/>
            <w:szCs w:val="22"/>
            <w:lang w:val="it-IT" w:eastAsia="en-US"/>
          </w:rPr>
          <w:t> </w:t>
        </w:r>
      </w:ins>
      <w:r>
        <w:rPr>
          <w:rFonts w:eastAsia="Calibri"/>
          <w:noProof/>
          <w:szCs w:val="22"/>
          <w:lang w:val="it-IT" w:eastAsia="en-US"/>
        </w:rPr>
        <w:t>1/1</w:t>
      </w:r>
      <w:del w:id="6755" w:author="Author">
        <w:r>
          <w:rPr>
            <w:rFonts w:eastAsia="Calibri"/>
            <w:noProof/>
            <w:szCs w:val="22"/>
            <w:lang w:val="it-IT" w:eastAsia="en-US"/>
          </w:rPr>
          <w:delText>.</w:delText>
        </w:r>
      </w:del>
      <w:ins w:id="6756" w:author="Author">
        <w:r>
          <w:rPr>
            <w:rFonts w:eastAsia="Calibri"/>
            <w:noProof/>
            <w:szCs w:val="22"/>
            <w:lang w:val="it-IT" w:eastAsia="en-US"/>
          </w:rPr>
          <w:t> </w:t>
        </w:r>
      </w:ins>
      <w:r>
        <w:rPr>
          <w:rFonts w:eastAsia="Calibri"/>
          <w:noProof/>
          <w:szCs w:val="22"/>
          <w:lang w:val="it-IT" w:eastAsia="en-US"/>
        </w:rPr>
        <w:t>000</w:t>
      </w:r>
      <w:del w:id="6757" w:author="Author">
        <w:r>
          <w:rPr>
            <w:rFonts w:eastAsia="Calibri"/>
            <w:noProof/>
            <w:szCs w:val="22"/>
            <w:lang w:val="it-IT" w:eastAsia="en-US"/>
          </w:rPr>
          <w:delText xml:space="preserve"> </w:delText>
        </w:r>
      </w:del>
      <w:r>
        <w:rPr>
          <w:rFonts w:eastAsia="Calibri"/>
          <w:noProof/>
          <w:szCs w:val="22"/>
          <w:lang w:val="it-IT" w:eastAsia="en-US"/>
        </w:rPr>
        <w:t xml:space="preserve">, </w:t>
      </w:r>
      <w:r>
        <w:rPr>
          <w:rFonts w:eastAsia="Calibri"/>
          <w:noProof/>
          <w:szCs w:val="22"/>
          <w:lang w:val="it-IT" w:eastAsia="en-US"/>
        </w:rPr>
        <w:sym w:font="Symbol" w:char="F03C"/>
      </w:r>
      <w:ins w:id="6758" w:author="Author">
        <w:r>
          <w:rPr>
            <w:rFonts w:eastAsia="Calibri"/>
            <w:noProof/>
            <w:szCs w:val="22"/>
            <w:lang w:val="it-IT" w:eastAsia="en-US"/>
          </w:rPr>
          <w:t> </w:t>
        </w:r>
      </w:ins>
      <w:r>
        <w:rPr>
          <w:rFonts w:eastAsia="Calibri"/>
          <w:noProof/>
          <w:szCs w:val="22"/>
          <w:lang w:val="it-IT" w:eastAsia="en-US"/>
        </w:rPr>
        <w:t>1/100), raro (</w:t>
      </w:r>
      <w:r>
        <w:rPr>
          <w:noProof/>
          <w:szCs w:val="22"/>
          <w:lang w:val="it-IT"/>
        </w:rPr>
        <w:t>≥</w:t>
      </w:r>
      <w:ins w:id="6759" w:author="Author">
        <w:r>
          <w:rPr>
            <w:noProof/>
            <w:szCs w:val="22"/>
            <w:lang w:val="it-IT"/>
          </w:rPr>
          <w:t> </w:t>
        </w:r>
      </w:ins>
      <w:r>
        <w:rPr>
          <w:rFonts w:eastAsia="Calibri"/>
          <w:noProof/>
          <w:szCs w:val="22"/>
          <w:lang w:val="it-IT" w:eastAsia="en-US"/>
        </w:rPr>
        <w:t>1/10</w:t>
      </w:r>
      <w:del w:id="6760" w:author="Author">
        <w:r>
          <w:rPr>
            <w:rFonts w:eastAsia="Calibri"/>
            <w:noProof/>
            <w:szCs w:val="22"/>
            <w:lang w:val="it-IT" w:eastAsia="en-US"/>
          </w:rPr>
          <w:delText>.</w:delText>
        </w:r>
      </w:del>
      <w:ins w:id="6761" w:author="Author">
        <w:r>
          <w:rPr>
            <w:rFonts w:eastAsia="Calibri"/>
            <w:noProof/>
            <w:szCs w:val="22"/>
            <w:lang w:val="it-IT" w:eastAsia="en-US"/>
          </w:rPr>
          <w:t> </w:t>
        </w:r>
      </w:ins>
      <w:r>
        <w:rPr>
          <w:rFonts w:eastAsia="Calibri"/>
          <w:noProof/>
          <w:szCs w:val="22"/>
          <w:lang w:val="it-IT" w:eastAsia="en-US"/>
        </w:rPr>
        <w:t>000</w:t>
      </w:r>
      <w:del w:id="6762" w:author="Author">
        <w:r>
          <w:rPr>
            <w:rFonts w:eastAsia="Calibri"/>
            <w:noProof/>
            <w:szCs w:val="22"/>
            <w:lang w:val="it-IT" w:eastAsia="en-US"/>
          </w:rPr>
          <w:delText xml:space="preserve"> </w:delText>
        </w:r>
      </w:del>
      <w:r>
        <w:rPr>
          <w:rFonts w:eastAsia="Calibri"/>
          <w:noProof/>
          <w:szCs w:val="22"/>
          <w:lang w:val="it-IT" w:eastAsia="en-US"/>
        </w:rPr>
        <w:t xml:space="preserve">, </w:t>
      </w:r>
      <w:r>
        <w:rPr>
          <w:rFonts w:eastAsia="Calibri"/>
          <w:noProof/>
          <w:szCs w:val="22"/>
          <w:lang w:val="it-IT" w:eastAsia="en-US"/>
        </w:rPr>
        <w:sym w:font="Symbol" w:char="F03C"/>
      </w:r>
      <w:ins w:id="6763" w:author="Author">
        <w:r>
          <w:rPr>
            <w:rFonts w:eastAsia="Calibri"/>
            <w:noProof/>
            <w:szCs w:val="22"/>
            <w:lang w:val="it-IT" w:eastAsia="en-US"/>
          </w:rPr>
          <w:t> </w:t>
        </w:r>
      </w:ins>
      <w:r>
        <w:rPr>
          <w:rFonts w:eastAsia="Calibri"/>
          <w:noProof/>
          <w:szCs w:val="22"/>
          <w:lang w:val="it-IT" w:eastAsia="en-US"/>
        </w:rPr>
        <w:t>1/1</w:t>
      </w:r>
      <w:del w:id="6764" w:author="Author">
        <w:r>
          <w:rPr>
            <w:rFonts w:eastAsia="Calibri"/>
            <w:noProof/>
            <w:szCs w:val="22"/>
            <w:lang w:val="it-IT" w:eastAsia="en-US"/>
          </w:rPr>
          <w:delText>.</w:delText>
        </w:r>
      </w:del>
      <w:ins w:id="6765" w:author="Author">
        <w:r>
          <w:rPr>
            <w:rFonts w:eastAsia="Calibri"/>
            <w:noProof/>
            <w:szCs w:val="22"/>
            <w:lang w:val="it-IT" w:eastAsia="en-US"/>
          </w:rPr>
          <w:t> </w:t>
        </w:r>
      </w:ins>
      <w:r>
        <w:rPr>
          <w:rFonts w:eastAsia="Calibri"/>
          <w:noProof/>
          <w:szCs w:val="22"/>
          <w:lang w:val="it-IT" w:eastAsia="en-US"/>
        </w:rPr>
        <w:t>000) o molto raro (</w:t>
      </w:r>
      <w:r>
        <w:rPr>
          <w:rFonts w:eastAsia="Calibri"/>
          <w:noProof/>
          <w:szCs w:val="22"/>
          <w:lang w:val="it-IT" w:eastAsia="en-US"/>
        </w:rPr>
        <w:sym w:font="Symbol" w:char="F03C"/>
      </w:r>
      <w:ins w:id="6766" w:author="Author">
        <w:r>
          <w:rPr>
            <w:rFonts w:eastAsia="Calibri"/>
            <w:noProof/>
            <w:szCs w:val="22"/>
            <w:lang w:val="it-IT" w:eastAsia="en-US"/>
          </w:rPr>
          <w:t> </w:t>
        </w:r>
      </w:ins>
      <w:r>
        <w:rPr>
          <w:rFonts w:eastAsia="Calibri"/>
          <w:noProof/>
          <w:szCs w:val="22"/>
          <w:lang w:val="it-IT" w:eastAsia="en-US"/>
        </w:rPr>
        <w:t>1/10</w:t>
      </w:r>
      <w:del w:id="6767" w:author="Author">
        <w:r>
          <w:rPr>
            <w:rFonts w:eastAsia="Calibri"/>
            <w:noProof/>
            <w:szCs w:val="22"/>
            <w:lang w:val="it-IT" w:eastAsia="en-US"/>
          </w:rPr>
          <w:delText>.</w:delText>
        </w:r>
      </w:del>
      <w:ins w:id="6768" w:author="Author">
        <w:r>
          <w:rPr>
            <w:rFonts w:eastAsia="Calibri"/>
            <w:noProof/>
            <w:szCs w:val="22"/>
            <w:lang w:val="it-IT" w:eastAsia="en-US"/>
          </w:rPr>
          <w:t> </w:t>
        </w:r>
      </w:ins>
      <w:r>
        <w:rPr>
          <w:rFonts w:eastAsia="Calibri"/>
          <w:noProof/>
          <w:szCs w:val="22"/>
          <w:lang w:val="it-IT" w:eastAsia="en-US"/>
        </w:rPr>
        <w:t xml:space="preserve">000), </w:t>
      </w:r>
      <w:r>
        <w:rPr>
          <w:noProof/>
          <w:szCs w:val="22"/>
          <w:lang w:val="it-IT"/>
        </w:rPr>
        <w:t xml:space="preserve">e </w:t>
      </w:r>
      <w:r>
        <w:rPr>
          <w:noProof/>
          <w:lang w:val="it-IT"/>
        </w:rPr>
        <w:t>non nota (la frequenza non pu</w:t>
      </w:r>
      <w:r>
        <w:rPr>
          <w:bCs/>
          <w:noProof/>
          <w:lang w:val="it-IT"/>
        </w:rPr>
        <w:t>ò</w:t>
      </w:r>
      <w:r>
        <w:rPr>
          <w:noProof/>
          <w:lang w:val="it-IT"/>
        </w:rPr>
        <w:t xml:space="preserve"> essere definita sulla base dei dati disponibili)</w:t>
      </w:r>
      <w:del w:id="6769" w:author="Author">
        <w:r>
          <w:rPr>
            <w:rFonts w:eastAsia="Calibri"/>
            <w:noProof/>
            <w:szCs w:val="22"/>
            <w:lang w:val="it-IT" w:eastAsia="en-US"/>
          </w:rPr>
          <w:delText xml:space="preserve"> </w:delText>
        </w:r>
      </w:del>
      <w:r>
        <w:rPr>
          <w:rFonts w:eastAsia="Calibri"/>
          <w:noProof/>
          <w:szCs w:val="22"/>
          <w:lang w:val="it-IT" w:eastAsia="en-US"/>
        </w:rPr>
        <w:t>. All’interno di ciascuna classe di frequenza, gli effetti indesiderati sono riportati in ordine decrescente di gravità.</w:t>
      </w:r>
    </w:p>
    <w:p>
      <w:pPr>
        <w:widowControl w:val="0"/>
        <w:rPr>
          <w:noProof/>
          <w:szCs w:val="22"/>
          <w:lang w:val="it-IT"/>
        </w:rPr>
      </w:pPr>
    </w:p>
    <w:p>
      <w:pPr>
        <w:keepNext/>
        <w:keepLines/>
        <w:widowControl w:val="0"/>
        <w:rPr>
          <w:rFonts w:eastAsia="Calibri"/>
          <w:i/>
          <w:noProof/>
          <w:szCs w:val="22"/>
          <w:lang w:val="it-IT" w:eastAsia="en-US"/>
        </w:rPr>
      </w:pPr>
      <w:r>
        <w:rPr>
          <w:rFonts w:eastAsia="Calibri"/>
          <w:i/>
          <w:noProof/>
          <w:szCs w:val="22"/>
          <w:lang w:val="it-IT" w:eastAsia="en-US"/>
        </w:rPr>
        <w:t>Tabella 1. Elenco delle reazioni avverse verificatesi nei pazienti trattati con tocilizumab</w:t>
      </w:r>
    </w:p>
    <w:p>
      <w:pPr>
        <w:keepNext/>
        <w:keepLines/>
        <w:widowControl w:val="0"/>
        <w:rPr>
          <w:b/>
          <w:noProof/>
          <w:szCs w:val="22"/>
          <w:lang w:val="it-IT" w:eastAsia="en-US"/>
        </w:rPr>
      </w:pPr>
    </w:p>
    <w:tbl>
      <w:tblPr>
        <w:tblW w:w="5000" w:type="pct"/>
        <w:tblCellMar>
          <w:left w:w="0" w:type="dxa"/>
          <w:right w:w="0" w:type="dxa"/>
        </w:tblCellMar>
        <w:tblLook w:val="04A0" w:firstRow="1" w:lastRow="0" w:firstColumn="1" w:lastColumn="0" w:noHBand="0" w:noVBand="1"/>
        <w:tblPrChange w:id="6770" w:author="Author">
          <w:tblPr>
            <w:tblW w:w="5000" w:type="pct"/>
            <w:tblCellMar>
              <w:left w:w="0" w:type="dxa"/>
              <w:right w:w="0" w:type="dxa"/>
            </w:tblCellMar>
            <w:tblLook w:val="04A0" w:firstRow="1" w:lastRow="0" w:firstColumn="1" w:lastColumn="0" w:noHBand="0" w:noVBand="1"/>
          </w:tblPr>
        </w:tblPrChange>
      </w:tblPr>
      <w:tblGrid>
        <w:gridCol w:w="1638"/>
        <w:gridCol w:w="1805"/>
        <w:gridCol w:w="1694"/>
        <w:gridCol w:w="1577"/>
        <w:gridCol w:w="1137"/>
        <w:gridCol w:w="1200"/>
        <w:tblGridChange w:id="6771">
          <w:tblGrid>
            <w:gridCol w:w="1638"/>
            <w:gridCol w:w="1805"/>
            <w:gridCol w:w="1694"/>
            <w:gridCol w:w="1510"/>
            <w:gridCol w:w="1203"/>
            <w:gridCol w:w="1201"/>
          </w:tblGrid>
        </w:tblGridChange>
      </w:tblGrid>
      <w:tr>
        <w:trPr>
          <w:cantSplit/>
          <w:tblHeader/>
          <w:trPrChange w:id="6772" w:author="Author">
            <w:trPr>
              <w:cantSplit/>
              <w:tblHeader/>
            </w:trPr>
          </w:trPrChange>
        </w:trPr>
        <w:tc>
          <w:tcPr>
            <w:tcW w:w="905" w:type="pct"/>
            <w:vMerge w:val="restart"/>
            <w:tcBorders>
              <w:top w:val="single" w:sz="8" w:space="0" w:color="000000"/>
              <w:left w:val="single" w:sz="8" w:space="0" w:color="000000"/>
              <w:right w:val="single" w:sz="8" w:space="0" w:color="000000"/>
            </w:tcBorders>
            <w:tcMar>
              <w:top w:w="0" w:type="dxa"/>
              <w:left w:w="108" w:type="dxa"/>
              <w:bottom w:w="0" w:type="dxa"/>
              <w:right w:w="108" w:type="dxa"/>
            </w:tcMar>
            <w:tcPrChange w:id="6773" w:author="Author">
              <w:tcPr>
                <w:tcW w:w="888" w:type="pct"/>
                <w:vMerge w:val="restart"/>
                <w:tcBorders>
                  <w:top w:val="single" w:sz="8" w:space="0" w:color="000000"/>
                  <w:left w:val="single" w:sz="8" w:space="0" w:color="000000"/>
                  <w:right w:val="single" w:sz="8" w:space="0" w:color="000000"/>
                </w:tcBorders>
                <w:tcMar>
                  <w:top w:w="0" w:type="dxa"/>
                  <w:left w:w="108" w:type="dxa"/>
                  <w:bottom w:w="0" w:type="dxa"/>
                  <w:right w:w="108" w:type="dxa"/>
                </w:tcMar>
              </w:tcPr>
            </w:tcPrChange>
          </w:tcPr>
          <w:p>
            <w:pPr>
              <w:keepNext/>
              <w:keepLines/>
              <w:widowControl w:val="0"/>
              <w:jc w:val="center"/>
              <w:rPr>
                <w:rFonts w:eastAsia="Calibri"/>
                <w:b/>
                <w:bCs/>
                <w:noProof/>
                <w:color w:val="1A1A1A"/>
                <w:sz w:val="20"/>
                <w:lang w:val="it-IT" w:eastAsia="en-US"/>
                <w:rPrChange w:id="6774" w:author="Author">
                  <w:rPr>
                    <w:rFonts w:eastAsia="Calibri"/>
                    <w:b/>
                    <w:bCs/>
                    <w:color w:val="1A1A1A"/>
                    <w:sz w:val="21"/>
                    <w:szCs w:val="21"/>
                    <w:lang w:val="it-IT" w:eastAsia="en-US"/>
                  </w:rPr>
                </w:rPrChange>
              </w:rPr>
            </w:pPr>
            <w:r>
              <w:rPr>
                <w:rFonts w:eastAsia="Calibri"/>
                <w:b/>
                <w:bCs/>
                <w:noProof/>
                <w:color w:val="1A1A1A"/>
                <w:sz w:val="20"/>
                <w:lang w:val="it-IT" w:eastAsia="en-US"/>
                <w:rPrChange w:id="6775" w:author="Author">
                  <w:rPr>
                    <w:rFonts w:eastAsia="Calibri"/>
                    <w:b/>
                    <w:bCs/>
                    <w:color w:val="1A1A1A"/>
                    <w:sz w:val="21"/>
                    <w:szCs w:val="21"/>
                    <w:lang w:val="it-IT" w:eastAsia="en-US"/>
                  </w:rPr>
                </w:rPrChange>
              </w:rPr>
              <w:t xml:space="preserve">SOC MedDRA </w:t>
            </w:r>
          </w:p>
        </w:tc>
        <w:tc>
          <w:tcPr>
            <w:tcW w:w="3432" w:type="pct"/>
            <w:gridSpan w:val="4"/>
            <w:tcBorders>
              <w:top w:val="single" w:sz="8" w:space="0" w:color="000000"/>
              <w:left w:val="nil"/>
              <w:right w:val="single" w:sz="8" w:space="0" w:color="000000"/>
            </w:tcBorders>
            <w:tcPrChange w:id="6776" w:author="Author">
              <w:tcPr>
                <w:tcW w:w="3299" w:type="pct"/>
                <w:gridSpan w:val="4"/>
                <w:tcBorders>
                  <w:top w:val="single" w:sz="8" w:space="0" w:color="000000"/>
                  <w:left w:val="nil"/>
                  <w:right w:val="single" w:sz="8" w:space="0" w:color="000000"/>
                </w:tcBorders>
              </w:tcPr>
            </w:tcPrChange>
          </w:tcPr>
          <w:p>
            <w:pPr>
              <w:keepNext/>
              <w:keepLines/>
              <w:widowControl w:val="0"/>
              <w:jc w:val="center"/>
              <w:rPr>
                <w:rFonts w:eastAsia="Calibri"/>
                <w:b/>
                <w:bCs/>
                <w:noProof/>
                <w:color w:val="1A1A1A"/>
                <w:sz w:val="20"/>
                <w:lang w:val="it-IT" w:eastAsia="en-US"/>
                <w:rPrChange w:id="6777" w:author="Author">
                  <w:rPr>
                    <w:rFonts w:eastAsia="Calibri"/>
                    <w:b/>
                    <w:bCs/>
                    <w:color w:val="1A1A1A"/>
                    <w:sz w:val="21"/>
                    <w:szCs w:val="21"/>
                    <w:lang w:val="it-IT" w:eastAsia="en-US"/>
                  </w:rPr>
                </w:rPrChange>
              </w:rPr>
            </w:pPr>
            <w:r>
              <w:rPr>
                <w:rFonts w:eastAsia="Calibri"/>
                <w:b/>
                <w:bCs/>
                <w:noProof/>
                <w:color w:val="1A1A1A"/>
                <w:sz w:val="20"/>
                <w:lang w:val="it-IT" w:eastAsia="en-US"/>
                <w:rPrChange w:id="6778" w:author="Author">
                  <w:rPr>
                    <w:rFonts w:eastAsia="Calibri"/>
                    <w:b/>
                    <w:bCs/>
                    <w:color w:val="1A1A1A"/>
                    <w:sz w:val="21"/>
                    <w:szCs w:val="21"/>
                    <w:lang w:val="it-IT" w:eastAsia="en-US"/>
                  </w:rPr>
                </w:rPrChange>
              </w:rPr>
              <w:t>Categoria di frequenza con termine preferito</w:t>
            </w:r>
          </w:p>
        </w:tc>
        <w:tc>
          <w:tcPr>
            <w:tcW w:w="663" w:type="pct"/>
            <w:tcBorders>
              <w:top w:val="single" w:sz="8" w:space="0" w:color="000000"/>
              <w:left w:val="nil"/>
              <w:right w:val="single" w:sz="8" w:space="0" w:color="000000"/>
            </w:tcBorders>
            <w:tcPrChange w:id="6779" w:author="Author">
              <w:tcPr>
                <w:tcW w:w="813" w:type="pct"/>
                <w:tcBorders>
                  <w:top w:val="single" w:sz="8" w:space="0" w:color="000000"/>
                  <w:left w:val="nil"/>
                  <w:right w:val="single" w:sz="8" w:space="0" w:color="000000"/>
                </w:tcBorders>
              </w:tcPr>
            </w:tcPrChange>
          </w:tcPr>
          <w:p>
            <w:pPr>
              <w:keepNext/>
              <w:keepLines/>
              <w:widowControl w:val="0"/>
              <w:jc w:val="center"/>
              <w:rPr>
                <w:rFonts w:eastAsia="Calibri"/>
                <w:b/>
                <w:bCs/>
                <w:noProof/>
                <w:color w:val="1A1A1A"/>
                <w:sz w:val="20"/>
                <w:lang w:val="it-IT" w:eastAsia="en-US"/>
                <w:rPrChange w:id="6780" w:author="Author">
                  <w:rPr>
                    <w:rFonts w:eastAsia="Calibri"/>
                    <w:b/>
                    <w:bCs/>
                    <w:color w:val="1A1A1A"/>
                    <w:sz w:val="21"/>
                    <w:szCs w:val="21"/>
                    <w:lang w:val="it-IT" w:eastAsia="en-US"/>
                  </w:rPr>
                </w:rPrChange>
              </w:rPr>
            </w:pPr>
          </w:p>
        </w:tc>
      </w:tr>
      <w:tr>
        <w:trPr>
          <w:cantSplit/>
          <w:tblHeader/>
          <w:trPrChange w:id="6781" w:author="Author">
            <w:trPr>
              <w:cantSplit/>
              <w:tblHeader/>
            </w:trPr>
          </w:trPrChange>
        </w:trPr>
        <w:tc>
          <w:tcPr>
            <w:tcW w:w="905" w:type="pct"/>
            <w:vMerge/>
            <w:tcBorders>
              <w:left w:val="single" w:sz="8" w:space="0" w:color="000000"/>
              <w:bottom w:val="single" w:sz="8" w:space="0" w:color="000000"/>
              <w:right w:val="single" w:sz="8" w:space="0" w:color="000000"/>
            </w:tcBorders>
            <w:tcMar>
              <w:top w:w="0" w:type="dxa"/>
              <w:left w:w="108" w:type="dxa"/>
              <w:bottom w:w="0" w:type="dxa"/>
              <w:right w:w="108" w:type="dxa"/>
            </w:tcMar>
            <w:tcPrChange w:id="6782" w:author="Author">
              <w:tcPr>
                <w:tcW w:w="888" w:type="pct"/>
                <w:vMerge/>
                <w:tcBorders>
                  <w:left w:val="single" w:sz="8" w:space="0" w:color="000000"/>
                  <w:bottom w:val="single" w:sz="8" w:space="0" w:color="000000"/>
                  <w:right w:val="single" w:sz="8" w:space="0" w:color="000000"/>
                </w:tcBorders>
                <w:tcMar>
                  <w:top w:w="0" w:type="dxa"/>
                  <w:left w:w="108" w:type="dxa"/>
                  <w:bottom w:w="0" w:type="dxa"/>
                  <w:right w:w="108" w:type="dxa"/>
                </w:tcMar>
              </w:tcPr>
            </w:tcPrChange>
          </w:tcPr>
          <w:p>
            <w:pPr>
              <w:keepNext/>
              <w:keepLines/>
              <w:widowControl w:val="0"/>
              <w:jc w:val="center"/>
              <w:rPr>
                <w:noProof/>
                <w:sz w:val="20"/>
                <w:lang w:val="it-IT" w:eastAsia="en-US"/>
                <w:rPrChange w:id="6783" w:author="Author">
                  <w:rPr>
                    <w:sz w:val="21"/>
                    <w:szCs w:val="21"/>
                    <w:lang w:val="it-IT" w:eastAsia="en-US"/>
                  </w:rPr>
                </w:rPrChange>
              </w:rPr>
            </w:pPr>
          </w:p>
        </w:tc>
        <w:tc>
          <w:tcPr>
            <w:tcW w:w="997" w:type="pct"/>
            <w:tcBorders>
              <w:top w:val="single" w:sz="8" w:space="0" w:color="000000"/>
              <w:left w:val="nil"/>
              <w:bottom w:val="single" w:sz="8" w:space="0" w:color="000000"/>
              <w:right w:val="single" w:sz="8" w:space="0" w:color="000000"/>
            </w:tcBorders>
            <w:tcMar>
              <w:top w:w="0" w:type="dxa"/>
              <w:left w:w="108" w:type="dxa"/>
              <w:bottom w:w="0" w:type="dxa"/>
              <w:right w:w="108" w:type="dxa"/>
            </w:tcMar>
            <w:tcPrChange w:id="6784" w:author="Author">
              <w:tcPr>
                <w:tcW w:w="862"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tcPrChange>
          </w:tcPr>
          <w:p>
            <w:pPr>
              <w:keepNext/>
              <w:keepLines/>
              <w:widowControl w:val="0"/>
              <w:jc w:val="center"/>
              <w:rPr>
                <w:noProof/>
                <w:sz w:val="20"/>
                <w:lang w:val="it-IT" w:eastAsia="en-US"/>
                <w:rPrChange w:id="6785" w:author="Author">
                  <w:rPr>
                    <w:sz w:val="21"/>
                    <w:szCs w:val="21"/>
                    <w:lang w:val="it-IT" w:eastAsia="en-US"/>
                  </w:rPr>
                </w:rPrChange>
              </w:rPr>
            </w:pPr>
            <w:r>
              <w:rPr>
                <w:rFonts w:eastAsia="Calibri"/>
                <w:b/>
                <w:bCs/>
                <w:noProof/>
                <w:color w:val="1A1A1A"/>
                <w:sz w:val="20"/>
                <w:lang w:val="it-IT" w:eastAsia="en-US"/>
                <w:rPrChange w:id="6786" w:author="Author">
                  <w:rPr>
                    <w:rFonts w:eastAsia="Calibri"/>
                    <w:b/>
                    <w:bCs/>
                    <w:color w:val="1A1A1A"/>
                    <w:sz w:val="21"/>
                    <w:szCs w:val="21"/>
                    <w:lang w:val="it-IT" w:eastAsia="en-US"/>
                  </w:rPr>
                </w:rPrChange>
              </w:rPr>
              <w:t>Molto comune</w:t>
            </w:r>
          </w:p>
          <w:p>
            <w:pPr>
              <w:keepNext/>
              <w:keepLines/>
              <w:widowControl w:val="0"/>
              <w:jc w:val="center"/>
              <w:rPr>
                <w:noProof/>
                <w:sz w:val="20"/>
                <w:lang w:val="it-IT" w:eastAsia="en-US"/>
                <w:rPrChange w:id="6787" w:author="Author">
                  <w:rPr>
                    <w:sz w:val="21"/>
                    <w:szCs w:val="21"/>
                    <w:lang w:val="it-IT" w:eastAsia="en-US"/>
                  </w:rPr>
                </w:rPrChange>
              </w:rPr>
            </w:pPr>
            <w:r>
              <w:rPr>
                <w:rFonts w:eastAsia="Calibri"/>
                <w:b/>
                <w:bCs/>
                <w:noProof/>
                <w:color w:val="1A1A1A"/>
                <w:sz w:val="20"/>
                <w:lang w:val="it-IT" w:eastAsia="en-US"/>
                <w:rPrChange w:id="6788" w:author="Author">
                  <w:rPr>
                    <w:rFonts w:eastAsia="Calibri"/>
                    <w:b/>
                    <w:bCs/>
                    <w:color w:val="1A1A1A"/>
                    <w:sz w:val="21"/>
                    <w:szCs w:val="21"/>
                    <w:lang w:val="it-IT" w:eastAsia="en-US"/>
                  </w:rPr>
                </w:rPrChange>
              </w:rPr>
              <w:t> </w:t>
            </w:r>
          </w:p>
        </w:tc>
        <w:tc>
          <w:tcPr>
            <w:tcW w:w="936" w:type="pct"/>
            <w:tcBorders>
              <w:top w:val="single" w:sz="8" w:space="0" w:color="000000"/>
              <w:left w:val="nil"/>
              <w:bottom w:val="single" w:sz="8" w:space="0" w:color="000000"/>
              <w:right w:val="single" w:sz="8" w:space="0" w:color="000000"/>
            </w:tcBorders>
            <w:tcMar>
              <w:top w:w="0" w:type="dxa"/>
              <w:left w:w="108" w:type="dxa"/>
              <w:bottom w:w="0" w:type="dxa"/>
              <w:right w:w="108" w:type="dxa"/>
            </w:tcMar>
            <w:tcPrChange w:id="6789" w:author="Author">
              <w:tcPr>
                <w:tcW w:w="842"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tcPrChange>
          </w:tcPr>
          <w:p>
            <w:pPr>
              <w:keepNext/>
              <w:keepLines/>
              <w:widowControl w:val="0"/>
              <w:jc w:val="center"/>
              <w:rPr>
                <w:noProof/>
                <w:sz w:val="20"/>
                <w:lang w:val="it-IT" w:eastAsia="en-US"/>
                <w:rPrChange w:id="6790" w:author="Author">
                  <w:rPr>
                    <w:sz w:val="21"/>
                    <w:szCs w:val="21"/>
                    <w:lang w:val="it-IT" w:eastAsia="en-US"/>
                  </w:rPr>
                </w:rPrChange>
              </w:rPr>
            </w:pPr>
            <w:r>
              <w:rPr>
                <w:rFonts w:eastAsia="Calibri"/>
                <w:b/>
                <w:bCs/>
                <w:noProof/>
                <w:color w:val="1A1A1A"/>
                <w:sz w:val="20"/>
                <w:lang w:val="it-IT" w:eastAsia="en-US"/>
                <w:rPrChange w:id="6791" w:author="Author">
                  <w:rPr>
                    <w:rFonts w:eastAsia="Calibri"/>
                    <w:b/>
                    <w:bCs/>
                    <w:color w:val="1A1A1A"/>
                    <w:sz w:val="21"/>
                    <w:szCs w:val="21"/>
                    <w:lang w:val="it-IT" w:eastAsia="en-US"/>
                  </w:rPr>
                </w:rPrChange>
              </w:rPr>
              <w:t>Comune</w:t>
            </w:r>
          </w:p>
          <w:p>
            <w:pPr>
              <w:keepNext/>
              <w:keepLines/>
              <w:widowControl w:val="0"/>
              <w:jc w:val="center"/>
              <w:rPr>
                <w:noProof/>
                <w:sz w:val="20"/>
                <w:lang w:val="it-IT" w:eastAsia="en-US"/>
                <w:rPrChange w:id="6792" w:author="Author">
                  <w:rPr>
                    <w:sz w:val="21"/>
                    <w:szCs w:val="21"/>
                    <w:lang w:val="it-IT" w:eastAsia="en-US"/>
                  </w:rPr>
                </w:rPrChange>
              </w:rPr>
            </w:pPr>
            <w:r>
              <w:rPr>
                <w:rFonts w:eastAsia="Calibri"/>
                <w:b/>
                <w:bCs/>
                <w:noProof/>
                <w:color w:val="1A1A1A"/>
                <w:sz w:val="20"/>
                <w:lang w:val="it-IT" w:eastAsia="en-US"/>
                <w:rPrChange w:id="6793" w:author="Author">
                  <w:rPr>
                    <w:rFonts w:eastAsia="Calibri"/>
                    <w:b/>
                    <w:bCs/>
                    <w:color w:val="1A1A1A"/>
                    <w:sz w:val="21"/>
                    <w:szCs w:val="21"/>
                    <w:lang w:val="it-IT" w:eastAsia="en-US"/>
                  </w:rPr>
                </w:rPrChange>
              </w:rPr>
              <w:t> </w:t>
            </w:r>
          </w:p>
        </w:tc>
        <w:tc>
          <w:tcPr>
            <w:tcW w:w="871" w:type="pct"/>
            <w:tcBorders>
              <w:top w:val="single" w:sz="8" w:space="0" w:color="000000"/>
              <w:left w:val="nil"/>
              <w:bottom w:val="single" w:sz="8" w:space="0" w:color="000000"/>
              <w:right w:val="single" w:sz="8" w:space="0" w:color="auto"/>
            </w:tcBorders>
            <w:tcPrChange w:id="6794" w:author="Author">
              <w:tcPr>
                <w:tcW w:w="781" w:type="pct"/>
                <w:tcBorders>
                  <w:top w:val="single" w:sz="8" w:space="0" w:color="000000"/>
                  <w:left w:val="nil"/>
                  <w:bottom w:val="single" w:sz="8" w:space="0" w:color="000000"/>
                  <w:right w:val="single" w:sz="8" w:space="0" w:color="auto"/>
                </w:tcBorders>
              </w:tcPr>
            </w:tcPrChange>
          </w:tcPr>
          <w:p>
            <w:pPr>
              <w:keepNext/>
              <w:keepLines/>
              <w:widowControl w:val="0"/>
              <w:jc w:val="center"/>
              <w:rPr>
                <w:noProof/>
                <w:sz w:val="20"/>
                <w:lang w:val="it-IT" w:eastAsia="en-US"/>
                <w:rPrChange w:id="6795" w:author="Author">
                  <w:rPr>
                    <w:sz w:val="21"/>
                    <w:szCs w:val="21"/>
                    <w:lang w:val="it-IT" w:eastAsia="en-US"/>
                  </w:rPr>
                </w:rPrChange>
              </w:rPr>
            </w:pPr>
            <w:r>
              <w:rPr>
                <w:rFonts w:eastAsia="Calibri"/>
                <w:b/>
                <w:bCs/>
                <w:noProof/>
                <w:color w:val="1A1A1A"/>
                <w:sz w:val="20"/>
                <w:lang w:val="it-IT" w:eastAsia="en-US"/>
                <w:rPrChange w:id="6796" w:author="Author">
                  <w:rPr>
                    <w:rFonts w:eastAsia="Calibri"/>
                    <w:b/>
                    <w:bCs/>
                    <w:color w:val="1A1A1A"/>
                    <w:sz w:val="21"/>
                    <w:szCs w:val="21"/>
                    <w:lang w:val="it-IT" w:eastAsia="en-US"/>
                  </w:rPr>
                </w:rPrChange>
              </w:rPr>
              <w:t>Non comune</w:t>
            </w:r>
          </w:p>
          <w:p>
            <w:pPr>
              <w:keepNext/>
              <w:keepLines/>
              <w:widowControl w:val="0"/>
              <w:jc w:val="center"/>
              <w:rPr>
                <w:rFonts w:eastAsia="Calibri"/>
                <w:b/>
                <w:bCs/>
                <w:noProof/>
                <w:color w:val="1A1A1A"/>
                <w:sz w:val="20"/>
                <w:lang w:val="it-IT" w:eastAsia="en-US"/>
                <w:rPrChange w:id="6797" w:author="Author">
                  <w:rPr>
                    <w:rFonts w:eastAsia="Calibri"/>
                    <w:b/>
                    <w:bCs/>
                    <w:color w:val="1A1A1A"/>
                    <w:sz w:val="21"/>
                    <w:szCs w:val="21"/>
                    <w:lang w:val="it-IT" w:eastAsia="en-US"/>
                  </w:rPr>
                </w:rPrChange>
              </w:rPr>
            </w:pPr>
            <w:r>
              <w:rPr>
                <w:rFonts w:eastAsia="Calibri"/>
                <w:b/>
                <w:bCs/>
                <w:noProof/>
                <w:color w:val="1A1A1A"/>
                <w:sz w:val="20"/>
                <w:lang w:val="it-IT" w:eastAsia="en-US"/>
                <w:rPrChange w:id="6798" w:author="Author">
                  <w:rPr>
                    <w:rFonts w:eastAsia="Calibri"/>
                    <w:b/>
                    <w:bCs/>
                    <w:color w:val="1A1A1A"/>
                    <w:sz w:val="21"/>
                    <w:szCs w:val="21"/>
                    <w:lang w:val="it-IT" w:eastAsia="en-US"/>
                  </w:rPr>
                </w:rPrChange>
              </w:rPr>
              <w:t> </w:t>
            </w:r>
          </w:p>
        </w:tc>
        <w:tc>
          <w:tcPr>
            <w:tcW w:w="628" w:type="pct"/>
            <w:tcBorders>
              <w:top w:val="single" w:sz="8" w:space="0" w:color="000000"/>
              <w:left w:val="single" w:sz="8" w:space="0" w:color="auto"/>
              <w:bottom w:val="single" w:sz="8" w:space="0" w:color="000000"/>
              <w:right w:val="single" w:sz="8" w:space="0" w:color="000000"/>
            </w:tcBorders>
            <w:tcMar>
              <w:top w:w="0" w:type="dxa"/>
              <w:left w:w="108" w:type="dxa"/>
              <w:bottom w:w="0" w:type="dxa"/>
              <w:right w:w="108" w:type="dxa"/>
            </w:tcMar>
            <w:tcPrChange w:id="6799" w:author="Author">
              <w:tcPr>
                <w:tcW w:w="814" w:type="pct"/>
                <w:tcBorders>
                  <w:top w:val="single" w:sz="8" w:space="0" w:color="000000"/>
                  <w:left w:val="single" w:sz="8" w:space="0" w:color="auto"/>
                  <w:bottom w:val="single" w:sz="8" w:space="0" w:color="000000"/>
                  <w:right w:val="single" w:sz="8" w:space="0" w:color="000000"/>
                </w:tcBorders>
                <w:tcMar>
                  <w:top w:w="0" w:type="dxa"/>
                  <w:left w:w="108" w:type="dxa"/>
                  <w:bottom w:w="0" w:type="dxa"/>
                  <w:right w:w="108" w:type="dxa"/>
                </w:tcMar>
              </w:tcPr>
            </w:tcPrChange>
          </w:tcPr>
          <w:p>
            <w:pPr>
              <w:keepNext/>
              <w:keepLines/>
              <w:widowControl w:val="0"/>
              <w:jc w:val="center"/>
              <w:rPr>
                <w:noProof/>
                <w:sz w:val="20"/>
                <w:lang w:val="it-IT" w:eastAsia="en-US"/>
                <w:rPrChange w:id="6800" w:author="Author">
                  <w:rPr>
                    <w:sz w:val="21"/>
                    <w:szCs w:val="21"/>
                    <w:lang w:val="it-IT" w:eastAsia="en-US"/>
                  </w:rPr>
                </w:rPrChange>
              </w:rPr>
            </w:pPr>
            <w:r>
              <w:rPr>
                <w:rFonts w:eastAsia="Calibri"/>
                <w:b/>
                <w:bCs/>
                <w:noProof/>
                <w:color w:val="1A1A1A"/>
                <w:sz w:val="20"/>
                <w:lang w:val="it-IT" w:eastAsia="en-US"/>
                <w:rPrChange w:id="6801" w:author="Author">
                  <w:rPr>
                    <w:rFonts w:eastAsia="Calibri"/>
                    <w:b/>
                    <w:bCs/>
                    <w:color w:val="1A1A1A"/>
                    <w:sz w:val="21"/>
                    <w:szCs w:val="21"/>
                    <w:lang w:val="it-IT" w:eastAsia="en-US"/>
                  </w:rPr>
                </w:rPrChange>
              </w:rPr>
              <w:t>Raro</w:t>
            </w:r>
          </w:p>
          <w:p>
            <w:pPr>
              <w:keepNext/>
              <w:keepLines/>
              <w:widowControl w:val="0"/>
              <w:jc w:val="center"/>
              <w:rPr>
                <w:noProof/>
                <w:sz w:val="20"/>
                <w:lang w:val="it-IT" w:eastAsia="en-US"/>
                <w:rPrChange w:id="6802" w:author="Author">
                  <w:rPr>
                    <w:sz w:val="21"/>
                    <w:szCs w:val="21"/>
                    <w:lang w:val="it-IT" w:eastAsia="en-US"/>
                  </w:rPr>
                </w:rPrChange>
              </w:rPr>
            </w:pPr>
            <w:r>
              <w:rPr>
                <w:rFonts w:eastAsia="Calibri"/>
                <w:b/>
                <w:bCs/>
                <w:noProof/>
                <w:color w:val="1A1A1A"/>
                <w:sz w:val="20"/>
                <w:lang w:val="it-IT" w:eastAsia="en-US"/>
                <w:rPrChange w:id="6803" w:author="Author">
                  <w:rPr>
                    <w:rFonts w:eastAsia="Calibri"/>
                    <w:b/>
                    <w:bCs/>
                    <w:color w:val="1A1A1A"/>
                    <w:sz w:val="21"/>
                    <w:szCs w:val="21"/>
                    <w:lang w:val="it-IT" w:eastAsia="en-US"/>
                  </w:rPr>
                </w:rPrChange>
              </w:rPr>
              <w:t> </w:t>
            </w:r>
          </w:p>
        </w:tc>
        <w:tc>
          <w:tcPr>
            <w:tcW w:w="663" w:type="pct"/>
            <w:tcBorders>
              <w:top w:val="single" w:sz="8" w:space="0" w:color="000000"/>
              <w:left w:val="single" w:sz="8" w:space="0" w:color="auto"/>
              <w:bottom w:val="single" w:sz="8" w:space="0" w:color="000000"/>
              <w:right w:val="single" w:sz="8" w:space="0" w:color="000000"/>
            </w:tcBorders>
            <w:tcPrChange w:id="6804" w:author="Author">
              <w:tcPr>
                <w:tcW w:w="813" w:type="pct"/>
                <w:tcBorders>
                  <w:top w:val="single" w:sz="8" w:space="0" w:color="000000"/>
                  <w:left w:val="single" w:sz="8" w:space="0" w:color="auto"/>
                  <w:bottom w:val="single" w:sz="8" w:space="0" w:color="000000"/>
                  <w:right w:val="single" w:sz="8" w:space="0" w:color="000000"/>
                </w:tcBorders>
              </w:tcPr>
            </w:tcPrChange>
          </w:tcPr>
          <w:p>
            <w:pPr>
              <w:keepNext/>
              <w:keepLines/>
              <w:widowControl w:val="0"/>
              <w:jc w:val="center"/>
              <w:rPr>
                <w:rFonts w:eastAsia="Calibri"/>
                <w:b/>
                <w:bCs/>
                <w:noProof/>
                <w:color w:val="1A1A1A"/>
                <w:sz w:val="20"/>
                <w:lang w:val="it-IT" w:eastAsia="en-US"/>
                <w:rPrChange w:id="6805" w:author="Author">
                  <w:rPr>
                    <w:rFonts w:eastAsia="Calibri"/>
                    <w:b/>
                    <w:bCs/>
                    <w:color w:val="1A1A1A"/>
                    <w:sz w:val="21"/>
                    <w:szCs w:val="21"/>
                    <w:lang w:val="it-IT" w:eastAsia="en-US"/>
                  </w:rPr>
                </w:rPrChange>
              </w:rPr>
            </w:pPr>
            <w:r>
              <w:rPr>
                <w:rFonts w:eastAsia="Calibri"/>
                <w:b/>
                <w:bCs/>
                <w:noProof/>
                <w:color w:val="1A1A1A"/>
                <w:sz w:val="20"/>
                <w:lang w:val="it-IT" w:eastAsia="en-US"/>
                <w:rPrChange w:id="6806" w:author="Author">
                  <w:rPr>
                    <w:rFonts w:eastAsia="Calibri"/>
                    <w:b/>
                    <w:bCs/>
                    <w:color w:val="1A1A1A"/>
                    <w:sz w:val="21"/>
                    <w:szCs w:val="21"/>
                    <w:lang w:val="it-IT" w:eastAsia="en-US"/>
                  </w:rPr>
                </w:rPrChange>
              </w:rPr>
              <w:t>Molto raro</w:t>
            </w:r>
          </w:p>
        </w:tc>
      </w:tr>
      <w:tr>
        <w:trPr>
          <w:cantSplit/>
          <w:trPrChange w:id="6807" w:author="Author">
            <w:trPr>
              <w:cantSplit/>
            </w:trPr>
          </w:trPrChange>
        </w:trPr>
        <w:tc>
          <w:tcPr>
            <w:tcW w:w="9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808" w:author="Author">
              <w:tcPr>
                <w:tcW w:w="8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809" w:author="Author">
                  <w:rPr>
                    <w:rFonts w:eastAsia="Calibri"/>
                    <w:color w:val="1A1A1A"/>
                    <w:sz w:val="21"/>
                    <w:szCs w:val="21"/>
                    <w:lang w:val="it-IT" w:eastAsia="en-US"/>
                  </w:rPr>
                </w:rPrChange>
              </w:rPr>
            </w:pPr>
            <w:r>
              <w:rPr>
                <w:noProof/>
                <w:sz w:val="20"/>
                <w:lang w:val="it-IT"/>
                <w:rPrChange w:id="6810" w:author="Author">
                  <w:rPr>
                    <w:sz w:val="21"/>
                    <w:szCs w:val="21"/>
                    <w:lang w:val="it-IT"/>
                  </w:rPr>
                </w:rPrChange>
              </w:rPr>
              <w:t>Infezioni ed infestazioni</w:t>
            </w:r>
          </w:p>
        </w:tc>
        <w:tc>
          <w:tcPr>
            <w:tcW w:w="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811" w:author="Author">
              <w:tcPr>
                <w:tcW w:w="8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812" w:author="Author">
                  <w:rPr>
                    <w:rFonts w:eastAsia="Calibri"/>
                    <w:color w:val="1A1A1A"/>
                    <w:sz w:val="21"/>
                    <w:szCs w:val="21"/>
                    <w:lang w:val="it-IT" w:eastAsia="en-US"/>
                  </w:rPr>
                </w:rPrChange>
              </w:rPr>
            </w:pPr>
            <w:r>
              <w:rPr>
                <w:noProof/>
                <w:sz w:val="20"/>
                <w:lang w:val="it-IT"/>
                <w:rPrChange w:id="6813" w:author="Author">
                  <w:rPr>
                    <w:sz w:val="21"/>
                    <w:szCs w:val="21"/>
                    <w:lang w:val="it-IT"/>
                  </w:rPr>
                </w:rPrChange>
              </w:rPr>
              <w:t xml:space="preserve">Infezioni delle vie </w:t>
            </w:r>
            <w:r>
              <w:rPr>
                <w:noProof/>
                <w:sz w:val="20"/>
                <w:lang w:val="it-IT"/>
                <w:rPrChange w:id="6814" w:author="Author">
                  <w:rPr>
                    <w:lang w:val="it-IT"/>
                  </w:rPr>
                </w:rPrChange>
              </w:rPr>
              <w:t xml:space="preserve">aeree </w:t>
            </w:r>
            <w:r>
              <w:rPr>
                <w:noProof/>
                <w:sz w:val="20"/>
                <w:lang w:val="it-IT"/>
                <w:rPrChange w:id="6815" w:author="Author">
                  <w:rPr>
                    <w:sz w:val="21"/>
                    <w:szCs w:val="21"/>
                    <w:lang w:val="it-IT"/>
                  </w:rPr>
                </w:rPrChange>
              </w:rPr>
              <w:t>superiori</w:t>
            </w:r>
          </w:p>
        </w:tc>
        <w:tc>
          <w:tcPr>
            <w:tcW w:w="9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816" w:author="Author">
              <w:tcPr>
                <w:tcW w:w="8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817" w:author="Author">
                  <w:rPr>
                    <w:rFonts w:eastAsia="Calibri"/>
                    <w:color w:val="1A1A1A"/>
                    <w:sz w:val="21"/>
                    <w:szCs w:val="21"/>
                    <w:lang w:val="it-IT" w:eastAsia="en-US"/>
                  </w:rPr>
                </w:rPrChange>
              </w:rPr>
            </w:pPr>
            <w:r>
              <w:rPr>
                <w:noProof/>
                <w:sz w:val="20"/>
                <w:lang w:val="it-IT"/>
                <w:rPrChange w:id="6818" w:author="Author">
                  <w:rPr>
                    <w:sz w:val="21"/>
                    <w:szCs w:val="21"/>
                    <w:lang w:val="it-IT"/>
                  </w:rPr>
                </w:rPrChange>
              </w:rPr>
              <w:t>Cellulite, polmonite, herpes simplex orale, herpes zoster</w:t>
            </w:r>
          </w:p>
        </w:tc>
        <w:tc>
          <w:tcPr>
            <w:tcW w:w="871" w:type="pct"/>
            <w:tcBorders>
              <w:top w:val="single" w:sz="4" w:space="0" w:color="auto"/>
              <w:left w:val="single" w:sz="4" w:space="0" w:color="auto"/>
              <w:bottom w:val="single" w:sz="4" w:space="0" w:color="auto"/>
              <w:right w:val="single" w:sz="4" w:space="0" w:color="auto"/>
            </w:tcBorders>
            <w:tcPrChange w:id="6819" w:author="Author">
              <w:tcPr>
                <w:tcW w:w="781" w:type="pct"/>
                <w:tcBorders>
                  <w:top w:val="single" w:sz="4" w:space="0" w:color="auto"/>
                  <w:left w:val="single" w:sz="4" w:space="0" w:color="auto"/>
                  <w:bottom w:val="single" w:sz="4" w:space="0" w:color="auto"/>
                  <w:right w:val="single" w:sz="4" w:space="0" w:color="auto"/>
                </w:tcBorders>
              </w:tcPr>
            </w:tcPrChange>
          </w:tcPr>
          <w:p>
            <w:pPr>
              <w:widowControl w:val="0"/>
              <w:rPr>
                <w:rFonts w:eastAsia="Calibri"/>
                <w:noProof/>
                <w:color w:val="1A1A1A"/>
                <w:sz w:val="20"/>
                <w:lang w:val="it-IT" w:eastAsia="en-US"/>
                <w:rPrChange w:id="6820" w:author="Author">
                  <w:rPr>
                    <w:rFonts w:eastAsia="Calibri"/>
                    <w:color w:val="1A1A1A"/>
                    <w:sz w:val="21"/>
                    <w:szCs w:val="21"/>
                    <w:lang w:val="it-IT" w:eastAsia="en-US"/>
                  </w:rPr>
                </w:rPrChange>
              </w:rPr>
            </w:pPr>
            <w:r>
              <w:rPr>
                <w:noProof/>
                <w:sz w:val="20"/>
                <w:lang w:val="it-IT"/>
                <w:rPrChange w:id="6821" w:author="Author">
                  <w:rPr>
                    <w:sz w:val="21"/>
                    <w:szCs w:val="21"/>
                    <w:lang w:val="it-IT"/>
                  </w:rPr>
                </w:rPrChange>
              </w:rPr>
              <w:t>Diverticolite</w:t>
            </w:r>
          </w:p>
        </w:tc>
        <w:tc>
          <w:tcPr>
            <w:tcW w:w="628" w:type="pct"/>
            <w:tcBorders>
              <w:top w:val="single" w:sz="8" w:space="0" w:color="000000"/>
              <w:left w:val="single" w:sz="8" w:space="0" w:color="auto"/>
              <w:bottom w:val="single" w:sz="8" w:space="0" w:color="000000"/>
              <w:right w:val="single" w:sz="8" w:space="0" w:color="000000"/>
            </w:tcBorders>
            <w:tcMar>
              <w:top w:w="0" w:type="dxa"/>
              <w:left w:w="108" w:type="dxa"/>
              <w:bottom w:w="0" w:type="dxa"/>
              <w:right w:w="108" w:type="dxa"/>
            </w:tcMar>
            <w:tcPrChange w:id="6822" w:author="Author">
              <w:tcPr>
                <w:tcW w:w="814" w:type="pct"/>
                <w:tcBorders>
                  <w:top w:val="single" w:sz="8" w:space="0" w:color="000000"/>
                  <w:left w:val="single" w:sz="8" w:space="0" w:color="auto"/>
                  <w:bottom w:val="single" w:sz="8" w:space="0" w:color="000000"/>
                  <w:right w:val="single" w:sz="8" w:space="0" w:color="000000"/>
                </w:tcBorders>
                <w:tcMar>
                  <w:top w:w="0" w:type="dxa"/>
                  <w:left w:w="108" w:type="dxa"/>
                  <w:bottom w:w="0" w:type="dxa"/>
                  <w:right w:w="108" w:type="dxa"/>
                </w:tcMar>
              </w:tcPr>
            </w:tcPrChange>
          </w:tcPr>
          <w:p>
            <w:pPr>
              <w:widowControl w:val="0"/>
              <w:rPr>
                <w:rFonts w:eastAsia="Calibri"/>
                <w:noProof/>
                <w:color w:val="1A1A1A"/>
                <w:sz w:val="20"/>
                <w:lang w:val="it-IT" w:eastAsia="en-US"/>
                <w:rPrChange w:id="6823" w:author="Author">
                  <w:rPr>
                    <w:rFonts w:eastAsia="Calibri"/>
                    <w:color w:val="1A1A1A"/>
                    <w:sz w:val="21"/>
                    <w:szCs w:val="21"/>
                    <w:lang w:val="it-IT" w:eastAsia="en-US"/>
                  </w:rPr>
                </w:rPrChange>
              </w:rPr>
            </w:pPr>
          </w:p>
        </w:tc>
        <w:tc>
          <w:tcPr>
            <w:tcW w:w="663" w:type="pct"/>
            <w:tcBorders>
              <w:top w:val="single" w:sz="8" w:space="0" w:color="000000"/>
              <w:left w:val="single" w:sz="8" w:space="0" w:color="auto"/>
              <w:bottom w:val="single" w:sz="8" w:space="0" w:color="000000"/>
              <w:right w:val="single" w:sz="8" w:space="0" w:color="000000"/>
            </w:tcBorders>
            <w:tcPrChange w:id="6824" w:author="Author">
              <w:tcPr>
                <w:tcW w:w="813" w:type="pct"/>
                <w:tcBorders>
                  <w:top w:val="single" w:sz="8" w:space="0" w:color="000000"/>
                  <w:left w:val="single" w:sz="8" w:space="0" w:color="auto"/>
                  <w:bottom w:val="single" w:sz="8" w:space="0" w:color="000000"/>
                  <w:right w:val="single" w:sz="8" w:space="0" w:color="000000"/>
                </w:tcBorders>
              </w:tcPr>
            </w:tcPrChange>
          </w:tcPr>
          <w:p>
            <w:pPr>
              <w:widowControl w:val="0"/>
              <w:rPr>
                <w:rFonts w:eastAsia="Calibri"/>
                <w:noProof/>
                <w:color w:val="1A1A1A"/>
                <w:sz w:val="20"/>
                <w:lang w:val="it-IT" w:eastAsia="en-US"/>
                <w:rPrChange w:id="6825" w:author="Author">
                  <w:rPr>
                    <w:rFonts w:eastAsia="Calibri"/>
                    <w:color w:val="1A1A1A"/>
                    <w:sz w:val="21"/>
                    <w:szCs w:val="21"/>
                    <w:lang w:val="it-IT" w:eastAsia="en-US"/>
                  </w:rPr>
                </w:rPrChange>
              </w:rPr>
            </w:pPr>
          </w:p>
        </w:tc>
      </w:tr>
      <w:tr>
        <w:trPr>
          <w:cantSplit/>
          <w:trPrChange w:id="6826" w:author="Author">
            <w:trPr>
              <w:cantSplit/>
            </w:trPr>
          </w:trPrChange>
        </w:trPr>
        <w:tc>
          <w:tcPr>
            <w:tcW w:w="905" w:type="pct"/>
            <w:tcBorders>
              <w:top w:val="nil"/>
              <w:left w:val="single" w:sz="8" w:space="0" w:color="000000"/>
              <w:bottom w:val="single" w:sz="8" w:space="0" w:color="000000"/>
              <w:right w:val="single" w:sz="8" w:space="0" w:color="000000"/>
            </w:tcBorders>
            <w:tcMar>
              <w:top w:w="0" w:type="dxa"/>
              <w:left w:w="108" w:type="dxa"/>
              <w:bottom w:w="0" w:type="dxa"/>
              <w:right w:w="108" w:type="dxa"/>
            </w:tcMar>
            <w:tcPrChange w:id="6827" w:author="Author">
              <w:tcPr>
                <w:tcW w:w="88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6828" w:author="Author">
                  <w:rPr>
                    <w:sz w:val="21"/>
                    <w:szCs w:val="21"/>
                    <w:lang w:val="it-IT" w:eastAsia="en-US"/>
                  </w:rPr>
                </w:rPrChange>
              </w:rPr>
            </w:pPr>
            <w:r>
              <w:rPr>
                <w:rFonts w:eastAsia="Calibri"/>
                <w:noProof/>
                <w:color w:val="1A1A1A"/>
                <w:sz w:val="20"/>
                <w:lang w:val="it-IT" w:eastAsia="en-US"/>
                <w:rPrChange w:id="6829" w:author="Author">
                  <w:rPr>
                    <w:rFonts w:eastAsia="Calibri"/>
                    <w:color w:val="1A1A1A"/>
                    <w:sz w:val="21"/>
                    <w:szCs w:val="21"/>
                    <w:lang w:val="it-IT" w:eastAsia="en-US"/>
                  </w:rPr>
                </w:rPrChange>
              </w:rPr>
              <w:t>Patologie del sistema emolinfopoietico</w:t>
            </w:r>
          </w:p>
        </w:tc>
        <w:tc>
          <w:tcPr>
            <w:tcW w:w="997" w:type="pct"/>
            <w:tcBorders>
              <w:top w:val="nil"/>
              <w:left w:val="nil"/>
              <w:bottom w:val="single" w:sz="8" w:space="0" w:color="000000"/>
              <w:right w:val="single" w:sz="8" w:space="0" w:color="000000"/>
            </w:tcBorders>
            <w:tcMar>
              <w:top w:w="0" w:type="dxa"/>
              <w:left w:w="108" w:type="dxa"/>
              <w:bottom w:w="0" w:type="dxa"/>
              <w:right w:w="108" w:type="dxa"/>
            </w:tcMar>
            <w:tcPrChange w:id="6830" w:author="Author">
              <w:tcPr>
                <w:tcW w:w="862" w:type="pct"/>
                <w:tcBorders>
                  <w:top w:val="nil"/>
                  <w:left w:val="nil"/>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6831" w:author="Author">
                  <w:rPr>
                    <w:sz w:val="21"/>
                    <w:szCs w:val="21"/>
                    <w:lang w:val="it-IT" w:eastAsia="en-US"/>
                  </w:rPr>
                </w:rPrChange>
              </w:rPr>
            </w:pPr>
            <w:r>
              <w:rPr>
                <w:rFonts w:eastAsia="Calibri"/>
                <w:noProof/>
                <w:color w:val="1A1A1A"/>
                <w:sz w:val="20"/>
                <w:lang w:val="it-IT" w:eastAsia="en-US"/>
                <w:rPrChange w:id="6832" w:author="Author">
                  <w:rPr>
                    <w:rFonts w:eastAsia="Calibri"/>
                    <w:color w:val="1A1A1A"/>
                    <w:sz w:val="21"/>
                    <w:szCs w:val="21"/>
                    <w:lang w:val="it-IT" w:eastAsia="en-US"/>
                  </w:rPr>
                </w:rPrChange>
              </w:rPr>
              <w:t> </w:t>
            </w:r>
          </w:p>
        </w:tc>
        <w:tc>
          <w:tcPr>
            <w:tcW w:w="936" w:type="pct"/>
            <w:tcBorders>
              <w:top w:val="nil"/>
              <w:left w:val="nil"/>
              <w:bottom w:val="single" w:sz="8" w:space="0" w:color="000000"/>
              <w:right w:val="single" w:sz="8" w:space="0" w:color="000000"/>
            </w:tcBorders>
            <w:tcMar>
              <w:top w:w="0" w:type="dxa"/>
              <w:left w:w="108" w:type="dxa"/>
              <w:bottom w:w="0" w:type="dxa"/>
              <w:right w:w="108" w:type="dxa"/>
            </w:tcMar>
            <w:tcPrChange w:id="6833" w:author="Author">
              <w:tcPr>
                <w:tcW w:w="842" w:type="pct"/>
                <w:tcBorders>
                  <w:top w:val="nil"/>
                  <w:left w:val="nil"/>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6834" w:author="Author">
                  <w:rPr>
                    <w:sz w:val="21"/>
                    <w:szCs w:val="21"/>
                    <w:lang w:val="it-IT" w:eastAsia="en-US"/>
                  </w:rPr>
                </w:rPrChange>
              </w:rPr>
            </w:pPr>
            <w:r>
              <w:rPr>
                <w:rFonts w:eastAsia="Calibri"/>
                <w:noProof/>
                <w:color w:val="1A1A1A"/>
                <w:sz w:val="20"/>
                <w:lang w:val="it-IT" w:eastAsia="en-US"/>
                <w:rPrChange w:id="6835" w:author="Author">
                  <w:rPr>
                    <w:rFonts w:eastAsia="Calibri"/>
                    <w:color w:val="1A1A1A"/>
                    <w:sz w:val="21"/>
                    <w:szCs w:val="21"/>
                    <w:lang w:val="it-IT" w:eastAsia="en-US"/>
                  </w:rPr>
                </w:rPrChange>
              </w:rPr>
              <w:t>Leucopenia,</w:t>
            </w:r>
          </w:p>
          <w:p>
            <w:pPr>
              <w:widowControl w:val="0"/>
              <w:rPr>
                <w:noProof/>
                <w:sz w:val="20"/>
                <w:lang w:val="it-IT" w:eastAsia="en-US"/>
                <w:rPrChange w:id="6836" w:author="Author">
                  <w:rPr>
                    <w:sz w:val="21"/>
                    <w:szCs w:val="21"/>
                    <w:lang w:val="it-IT" w:eastAsia="en-US"/>
                  </w:rPr>
                </w:rPrChange>
              </w:rPr>
            </w:pPr>
            <w:r>
              <w:rPr>
                <w:rFonts w:eastAsia="Calibri"/>
                <w:noProof/>
                <w:color w:val="1A1A1A"/>
                <w:sz w:val="20"/>
                <w:lang w:val="it-IT" w:eastAsia="en-US"/>
                <w:rPrChange w:id="6837" w:author="Author">
                  <w:rPr>
                    <w:rFonts w:eastAsia="Calibri"/>
                    <w:color w:val="1A1A1A"/>
                    <w:sz w:val="21"/>
                    <w:szCs w:val="21"/>
                    <w:lang w:val="it-IT" w:eastAsia="en-US"/>
                  </w:rPr>
                </w:rPrChange>
              </w:rPr>
              <w:t>neutropenia</w:t>
            </w:r>
          </w:p>
          <w:p>
            <w:pPr>
              <w:widowControl w:val="0"/>
              <w:ind w:right="-90"/>
              <w:rPr>
                <w:noProof/>
                <w:sz w:val="20"/>
                <w:lang w:val="it-IT" w:eastAsia="en-US"/>
                <w:rPrChange w:id="6838" w:author="Author">
                  <w:rPr>
                    <w:sz w:val="21"/>
                    <w:szCs w:val="21"/>
                    <w:lang w:val="it-IT" w:eastAsia="en-US"/>
                  </w:rPr>
                </w:rPrChange>
              </w:rPr>
            </w:pPr>
            <w:r>
              <w:rPr>
                <w:rFonts w:eastAsia="Calibri"/>
                <w:noProof/>
                <w:color w:val="1A1A1A"/>
                <w:sz w:val="20"/>
                <w:lang w:val="it-IT" w:eastAsia="en-US"/>
                <w:rPrChange w:id="6839" w:author="Author">
                  <w:rPr>
                    <w:rFonts w:eastAsia="Calibri"/>
                    <w:color w:val="1A1A1A"/>
                    <w:sz w:val="21"/>
                    <w:szCs w:val="21"/>
                    <w:lang w:val="it-IT" w:eastAsia="en-US"/>
                  </w:rPr>
                </w:rPrChange>
              </w:rPr>
              <w:t>ipofibrinogenemia</w:t>
            </w:r>
          </w:p>
        </w:tc>
        <w:tc>
          <w:tcPr>
            <w:tcW w:w="871" w:type="pct"/>
            <w:tcBorders>
              <w:top w:val="single" w:sz="8" w:space="0" w:color="000000"/>
              <w:left w:val="nil"/>
              <w:bottom w:val="single" w:sz="8" w:space="0" w:color="000000"/>
              <w:right w:val="single" w:sz="8" w:space="0" w:color="auto"/>
            </w:tcBorders>
            <w:tcPrChange w:id="6840" w:author="Author">
              <w:tcPr>
                <w:tcW w:w="781" w:type="pct"/>
                <w:tcBorders>
                  <w:top w:val="single" w:sz="8" w:space="0" w:color="000000"/>
                  <w:left w:val="nil"/>
                  <w:bottom w:val="single" w:sz="8" w:space="0" w:color="000000"/>
                  <w:right w:val="single" w:sz="8" w:space="0" w:color="auto"/>
                </w:tcBorders>
              </w:tcPr>
            </w:tcPrChange>
          </w:tcPr>
          <w:p>
            <w:pPr>
              <w:widowControl w:val="0"/>
              <w:rPr>
                <w:rFonts w:eastAsia="Calibri"/>
                <w:noProof/>
                <w:color w:val="1A1A1A"/>
                <w:sz w:val="20"/>
                <w:lang w:val="it-IT" w:eastAsia="en-US"/>
                <w:rPrChange w:id="6841" w:author="Author">
                  <w:rPr>
                    <w:rFonts w:eastAsia="Calibri"/>
                    <w:color w:val="1A1A1A"/>
                    <w:sz w:val="21"/>
                    <w:szCs w:val="21"/>
                    <w:lang w:val="it-IT" w:eastAsia="en-US"/>
                  </w:rPr>
                </w:rPrChange>
              </w:rPr>
            </w:pPr>
          </w:p>
        </w:tc>
        <w:tc>
          <w:tcPr>
            <w:tcW w:w="628" w:type="pct"/>
            <w:tcBorders>
              <w:top w:val="single" w:sz="8" w:space="0" w:color="000000"/>
              <w:left w:val="single" w:sz="8" w:space="0" w:color="auto"/>
              <w:bottom w:val="single" w:sz="8" w:space="0" w:color="000000"/>
              <w:right w:val="single" w:sz="8" w:space="0" w:color="000000"/>
            </w:tcBorders>
            <w:tcMar>
              <w:top w:w="0" w:type="dxa"/>
              <w:left w:w="108" w:type="dxa"/>
              <w:bottom w:w="0" w:type="dxa"/>
              <w:right w:w="108" w:type="dxa"/>
            </w:tcMar>
            <w:tcPrChange w:id="6842" w:author="Author">
              <w:tcPr>
                <w:tcW w:w="814" w:type="pct"/>
                <w:tcBorders>
                  <w:top w:val="single" w:sz="8" w:space="0" w:color="000000"/>
                  <w:left w:val="single" w:sz="8" w:space="0" w:color="auto"/>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6843" w:author="Author">
                  <w:rPr>
                    <w:sz w:val="21"/>
                    <w:szCs w:val="21"/>
                    <w:lang w:val="it-IT" w:eastAsia="en-US"/>
                  </w:rPr>
                </w:rPrChange>
              </w:rPr>
            </w:pPr>
            <w:r>
              <w:rPr>
                <w:rFonts w:eastAsia="Calibri"/>
                <w:noProof/>
                <w:color w:val="1A1A1A"/>
                <w:sz w:val="20"/>
                <w:lang w:val="it-IT" w:eastAsia="en-US"/>
                <w:rPrChange w:id="6844" w:author="Author">
                  <w:rPr>
                    <w:rFonts w:eastAsia="Calibri"/>
                    <w:color w:val="1A1A1A"/>
                    <w:sz w:val="21"/>
                    <w:szCs w:val="21"/>
                    <w:lang w:val="it-IT" w:eastAsia="en-US"/>
                  </w:rPr>
                </w:rPrChange>
              </w:rPr>
              <w:t> </w:t>
            </w:r>
          </w:p>
        </w:tc>
        <w:tc>
          <w:tcPr>
            <w:tcW w:w="663" w:type="pct"/>
            <w:tcBorders>
              <w:top w:val="single" w:sz="8" w:space="0" w:color="000000"/>
              <w:left w:val="single" w:sz="8" w:space="0" w:color="auto"/>
              <w:bottom w:val="single" w:sz="8" w:space="0" w:color="000000"/>
              <w:right w:val="single" w:sz="8" w:space="0" w:color="000000"/>
            </w:tcBorders>
            <w:tcPrChange w:id="6845" w:author="Author">
              <w:tcPr>
                <w:tcW w:w="813" w:type="pct"/>
                <w:tcBorders>
                  <w:top w:val="single" w:sz="8" w:space="0" w:color="000000"/>
                  <w:left w:val="single" w:sz="8" w:space="0" w:color="auto"/>
                  <w:bottom w:val="single" w:sz="8" w:space="0" w:color="000000"/>
                  <w:right w:val="single" w:sz="8" w:space="0" w:color="000000"/>
                </w:tcBorders>
              </w:tcPr>
            </w:tcPrChange>
          </w:tcPr>
          <w:p>
            <w:pPr>
              <w:widowControl w:val="0"/>
              <w:rPr>
                <w:rFonts w:eastAsia="Calibri"/>
                <w:noProof/>
                <w:color w:val="1A1A1A"/>
                <w:sz w:val="20"/>
                <w:lang w:val="it-IT" w:eastAsia="en-US"/>
                <w:rPrChange w:id="6846" w:author="Author">
                  <w:rPr>
                    <w:rFonts w:eastAsia="Calibri"/>
                    <w:color w:val="1A1A1A"/>
                    <w:sz w:val="21"/>
                    <w:szCs w:val="21"/>
                    <w:lang w:val="it-IT" w:eastAsia="en-US"/>
                  </w:rPr>
                </w:rPrChange>
              </w:rPr>
            </w:pPr>
          </w:p>
        </w:tc>
      </w:tr>
      <w:tr>
        <w:trPr>
          <w:cantSplit/>
          <w:trPrChange w:id="6847" w:author="Author">
            <w:trPr>
              <w:cantSplit/>
            </w:trPr>
          </w:trPrChange>
        </w:trPr>
        <w:tc>
          <w:tcPr>
            <w:tcW w:w="9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848" w:author="Author">
              <w:tcPr>
                <w:tcW w:w="8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849" w:author="Author">
                  <w:rPr>
                    <w:rFonts w:eastAsia="Calibri"/>
                    <w:color w:val="1A1A1A"/>
                    <w:sz w:val="21"/>
                    <w:szCs w:val="21"/>
                    <w:lang w:val="it-IT" w:eastAsia="en-US"/>
                  </w:rPr>
                </w:rPrChange>
              </w:rPr>
            </w:pPr>
            <w:r>
              <w:rPr>
                <w:noProof/>
                <w:sz w:val="20"/>
                <w:lang w:val="it-IT"/>
                <w:rPrChange w:id="6850" w:author="Author">
                  <w:rPr>
                    <w:sz w:val="21"/>
                    <w:szCs w:val="21"/>
                    <w:lang w:val="it-IT"/>
                  </w:rPr>
                </w:rPrChange>
              </w:rPr>
              <w:t>Disturbi del sistema immunitario</w:t>
            </w:r>
          </w:p>
        </w:tc>
        <w:tc>
          <w:tcPr>
            <w:tcW w:w="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851" w:author="Author">
              <w:tcPr>
                <w:tcW w:w="8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852" w:author="Author">
                  <w:rPr>
                    <w:rFonts w:eastAsia="Calibri"/>
                    <w:color w:val="1A1A1A"/>
                    <w:sz w:val="21"/>
                    <w:szCs w:val="21"/>
                    <w:lang w:val="it-IT" w:eastAsia="en-US"/>
                  </w:rPr>
                </w:rPrChange>
              </w:rPr>
            </w:pPr>
          </w:p>
        </w:tc>
        <w:tc>
          <w:tcPr>
            <w:tcW w:w="9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853" w:author="Author">
              <w:tcPr>
                <w:tcW w:w="8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854" w:author="Author">
                  <w:rPr>
                    <w:rFonts w:eastAsia="Calibri"/>
                    <w:color w:val="1A1A1A"/>
                    <w:sz w:val="21"/>
                    <w:szCs w:val="21"/>
                    <w:lang w:val="it-IT" w:eastAsia="en-US"/>
                  </w:rPr>
                </w:rPrChange>
              </w:rPr>
            </w:pPr>
          </w:p>
        </w:tc>
        <w:tc>
          <w:tcPr>
            <w:tcW w:w="871" w:type="pct"/>
            <w:tcBorders>
              <w:top w:val="single" w:sz="4" w:space="0" w:color="auto"/>
              <w:left w:val="single" w:sz="4" w:space="0" w:color="auto"/>
              <w:bottom w:val="single" w:sz="4" w:space="0" w:color="auto"/>
              <w:right w:val="single" w:sz="4" w:space="0" w:color="auto"/>
            </w:tcBorders>
            <w:tcPrChange w:id="6855" w:author="Author">
              <w:tcPr>
                <w:tcW w:w="781" w:type="pct"/>
                <w:tcBorders>
                  <w:top w:val="single" w:sz="4" w:space="0" w:color="auto"/>
                  <w:left w:val="single" w:sz="4" w:space="0" w:color="auto"/>
                  <w:bottom w:val="single" w:sz="4" w:space="0" w:color="auto"/>
                  <w:right w:val="single" w:sz="4" w:space="0" w:color="auto"/>
                </w:tcBorders>
              </w:tcPr>
            </w:tcPrChange>
          </w:tcPr>
          <w:p>
            <w:pPr>
              <w:widowControl w:val="0"/>
              <w:rPr>
                <w:rFonts w:eastAsia="Calibri"/>
                <w:noProof/>
                <w:color w:val="1A1A1A"/>
                <w:sz w:val="20"/>
                <w:lang w:val="it-IT" w:eastAsia="en-US"/>
                <w:rPrChange w:id="6856" w:author="Author">
                  <w:rPr>
                    <w:rFonts w:eastAsia="Calibri"/>
                    <w:color w:val="1A1A1A"/>
                    <w:sz w:val="21"/>
                    <w:szCs w:val="21"/>
                    <w:lang w:val="it-IT" w:eastAsia="en-US"/>
                  </w:rPr>
                </w:rPrChange>
              </w:rPr>
            </w:pP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857" w:author="Author">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858" w:author="Author">
                  <w:rPr>
                    <w:rFonts w:eastAsia="Calibri"/>
                    <w:color w:val="1A1A1A"/>
                    <w:sz w:val="21"/>
                    <w:szCs w:val="21"/>
                    <w:lang w:val="it-IT" w:eastAsia="en-US"/>
                  </w:rPr>
                </w:rPrChange>
              </w:rPr>
            </w:pPr>
            <w:r>
              <w:rPr>
                <w:noProof/>
                <w:sz w:val="20"/>
                <w:lang w:val="it-IT"/>
                <w:rPrChange w:id="6859" w:author="Author">
                  <w:rPr>
                    <w:szCs w:val="22"/>
                    <w:lang w:val="it-IT"/>
                  </w:rPr>
                </w:rPrChange>
              </w:rPr>
              <w:t>Anafilassi (fatale)</w:t>
            </w:r>
            <w:r>
              <w:rPr>
                <w:noProof/>
                <w:sz w:val="20"/>
                <w:vertAlign w:val="superscript"/>
                <w:lang w:val="it-IT"/>
                <w:rPrChange w:id="6860" w:author="Author">
                  <w:rPr>
                    <w:szCs w:val="22"/>
                    <w:vertAlign w:val="superscript"/>
                    <w:lang w:val="it-IT"/>
                  </w:rPr>
                </w:rPrChange>
              </w:rPr>
              <w:t>1, 2, 3</w:t>
            </w:r>
          </w:p>
        </w:tc>
        <w:tc>
          <w:tcPr>
            <w:tcW w:w="663" w:type="pct"/>
            <w:tcBorders>
              <w:top w:val="single" w:sz="4" w:space="0" w:color="auto"/>
              <w:left w:val="single" w:sz="4" w:space="0" w:color="auto"/>
              <w:bottom w:val="single" w:sz="4" w:space="0" w:color="auto"/>
              <w:right w:val="single" w:sz="4" w:space="0" w:color="auto"/>
            </w:tcBorders>
            <w:tcPrChange w:id="6861" w:author="Author">
              <w:tcPr>
                <w:tcW w:w="813" w:type="pct"/>
                <w:tcBorders>
                  <w:top w:val="single" w:sz="4" w:space="0" w:color="auto"/>
                  <w:left w:val="single" w:sz="4" w:space="0" w:color="auto"/>
                  <w:bottom w:val="single" w:sz="4" w:space="0" w:color="auto"/>
                  <w:right w:val="single" w:sz="4" w:space="0" w:color="auto"/>
                </w:tcBorders>
              </w:tcPr>
            </w:tcPrChange>
          </w:tcPr>
          <w:p>
            <w:pPr>
              <w:widowControl w:val="0"/>
              <w:rPr>
                <w:noProof/>
                <w:sz w:val="20"/>
                <w:lang w:val="it-IT"/>
                <w:rPrChange w:id="6862" w:author="Author">
                  <w:rPr>
                    <w:szCs w:val="22"/>
                    <w:lang w:val="it-IT"/>
                  </w:rPr>
                </w:rPrChange>
              </w:rPr>
            </w:pPr>
          </w:p>
        </w:tc>
      </w:tr>
      <w:tr>
        <w:trPr>
          <w:cantSplit/>
          <w:trPrChange w:id="6863" w:author="Author">
            <w:trPr>
              <w:cantSplit/>
            </w:trPr>
          </w:trPrChange>
        </w:trPr>
        <w:tc>
          <w:tcPr>
            <w:tcW w:w="905" w:type="pct"/>
            <w:tcBorders>
              <w:top w:val="nil"/>
              <w:left w:val="single" w:sz="8" w:space="0" w:color="000000"/>
              <w:bottom w:val="single" w:sz="4" w:space="0" w:color="auto"/>
              <w:right w:val="single" w:sz="8" w:space="0" w:color="000000"/>
            </w:tcBorders>
            <w:tcMar>
              <w:top w:w="0" w:type="dxa"/>
              <w:left w:w="108" w:type="dxa"/>
              <w:bottom w:w="0" w:type="dxa"/>
              <w:right w:w="108" w:type="dxa"/>
            </w:tcMar>
            <w:tcPrChange w:id="6864" w:author="Author">
              <w:tcPr>
                <w:tcW w:w="888" w:type="pct"/>
                <w:tcBorders>
                  <w:top w:val="nil"/>
                  <w:left w:val="single" w:sz="8" w:space="0" w:color="000000"/>
                  <w:bottom w:val="single" w:sz="4" w:space="0" w:color="auto"/>
                  <w:right w:val="single" w:sz="8" w:space="0" w:color="000000"/>
                </w:tcBorders>
                <w:tcMar>
                  <w:top w:w="0" w:type="dxa"/>
                  <w:left w:w="108" w:type="dxa"/>
                  <w:bottom w:w="0" w:type="dxa"/>
                  <w:right w:w="108" w:type="dxa"/>
                </w:tcMar>
              </w:tcPr>
            </w:tcPrChange>
          </w:tcPr>
          <w:p>
            <w:pPr>
              <w:widowControl w:val="0"/>
              <w:rPr>
                <w:noProof/>
                <w:sz w:val="20"/>
                <w:lang w:val="it-IT" w:eastAsia="en-US"/>
                <w:rPrChange w:id="6865" w:author="Author">
                  <w:rPr>
                    <w:sz w:val="21"/>
                    <w:szCs w:val="21"/>
                    <w:lang w:val="it-IT" w:eastAsia="en-US"/>
                  </w:rPr>
                </w:rPrChange>
              </w:rPr>
            </w:pPr>
            <w:r>
              <w:rPr>
                <w:rFonts w:eastAsia="Calibri"/>
                <w:noProof/>
                <w:color w:val="1A1A1A"/>
                <w:sz w:val="20"/>
                <w:lang w:val="it-IT" w:eastAsia="en-US"/>
                <w:rPrChange w:id="6866" w:author="Author">
                  <w:rPr>
                    <w:rFonts w:eastAsia="Calibri"/>
                    <w:color w:val="1A1A1A"/>
                    <w:sz w:val="21"/>
                    <w:szCs w:val="21"/>
                    <w:lang w:val="it-IT" w:eastAsia="en-US"/>
                  </w:rPr>
                </w:rPrChange>
              </w:rPr>
              <w:t>Patologie endocrine</w:t>
            </w:r>
          </w:p>
        </w:tc>
        <w:tc>
          <w:tcPr>
            <w:tcW w:w="997" w:type="pct"/>
            <w:tcBorders>
              <w:top w:val="nil"/>
              <w:left w:val="nil"/>
              <w:bottom w:val="single" w:sz="4" w:space="0" w:color="auto"/>
              <w:right w:val="single" w:sz="8" w:space="0" w:color="000000"/>
            </w:tcBorders>
            <w:tcMar>
              <w:top w:w="0" w:type="dxa"/>
              <w:left w:w="108" w:type="dxa"/>
              <w:bottom w:w="0" w:type="dxa"/>
              <w:right w:w="108" w:type="dxa"/>
            </w:tcMar>
            <w:tcPrChange w:id="6867" w:author="Author">
              <w:tcPr>
                <w:tcW w:w="862" w:type="pct"/>
                <w:tcBorders>
                  <w:top w:val="nil"/>
                  <w:left w:val="nil"/>
                  <w:bottom w:val="single" w:sz="4" w:space="0" w:color="auto"/>
                  <w:right w:val="single" w:sz="8" w:space="0" w:color="000000"/>
                </w:tcBorders>
                <w:tcMar>
                  <w:top w:w="0" w:type="dxa"/>
                  <w:left w:w="108" w:type="dxa"/>
                  <w:bottom w:w="0" w:type="dxa"/>
                  <w:right w:w="108" w:type="dxa"/>
                </w:tcMar>
              </w:tcPr>
            </w:tcPrChange>
          </w:tcPr>
          <w:p>
            <w:pPr>
              <w:widowControl w:val="0"/>
              <w:rPr>
                <w:noProof/>
                <w:sz w:val="20"/>
                <w:lang w:val="it-IT" w:eastAsia="en-US"/>
                <w:rPrChange w:id="6868" w:author="Author">
                  <w:rPr>
                    <w:sz w:val="21"/>
                    <w:szCs w:val="21"/>
                    <w:lang w:val="it-IT" w:eastAsia="en-US"/>
                  </w:rPr>
                </w:rPrChange>
              </w:rPr>
            </w:pPr>
            <w:r>
              <w:rPr>
                <w:rFonts w:eastAsia="Calibri"/>
                <w:noProof/>
                <w:color w:val="1A1A1A"/>
                <w:sz w:val="20"/>
                <w:lang w:val="it-IT" w:eastAsia="en-US"/>
                <w:rPrChange w:id="6869" w:author="Author">
                  <w:rPr>
                    <w:rFonts w:eastAsia="Calibri"/>
                    <w:color w:val="1A1A1A"/>
                    <w:sz w:val="21"/>
                    <w:szCs w:val="21"/>
                    <w:lang w:val="it-IT" w:eastAsia="en-US"/>
                  </w:rPr>
                </w:rPrChange>
              </w:rPr>
              <w:t> </w:t>
            </w:r>
          </w:p>
        </w:tc>
        <w:tc>
          <w:tcPr>
            <w:tcW w:w="936" w:type="pct"/>
            <w:tcBorders>
              <w:top w:val="nil"/>
              <w:left w:val="nil"/>
              <w:bottom w:val="single" w:sz="4" w:space="0" w:color="auto"/>
              <w:right w:val="single" w:sz="8" w:space="0" w:color="000000"/>
            </w:tcBorders>
            <w:tcMar>
              <w:top w:w="0" w:type="dxa"/>
              <w:left w:w="108" w:type="dxa"/>
              <w:bottom w:w="0" w:type="dxa"/>
              <w:right w:w="108" w:type="dxa"/>
            </w:tcMar>
            <w:tcPrChange w:id="6870" w:author="Author">
              <w:tcPr>
                <w:tcW w:w="842" w:type="pct"/>
                <w:tcBorders>
                  <w:top w:val="nil"/>
                  <w:left w:val="nil"/>
                  <w:bottom w:val="single" w:sz="4" w:space="0" w:color="auto"/>
                  <w:right w:val="single" w:sz="8" w:space="0" w:color="000000"/>
                </w:tcBorders>
                <w:tcMar>
                  <w:top w:w="0" w:type="dxa"/>
                  <w:left w:w="108" w:type="dxa"/>
                  <w:bottom w:w="0" w:type="dxa"/>
                  <w:right w:w="108" w:type="dxa"/>
                </w:tcMar>
              </w:tcPr>
            </w:tcPrChange>
          </w:tcPr>
          <w:p>
            <w:pPr>
              <w:widowControl w:val="0"/>
              <w:rPr>
                <w:noProof/>
                <w:sz w:val="20"/>
                <w:lang w:val="it-IT" w:eastAsia="en-US"/>
                <w:rPrChange w:id="6871" w:author="Author">
                  <w:rPr>
                    <w:sz w:val="21"/>
                    <w:szCs w:val="21"/>
                    <w:lang w:val="it-IT" w:eastAsia="en-US"/>
                  </w:rPr>
                </w:rPrChange>
              </w:rPr>
            </w:pPr>
            <w:r>
              <w:rPr>
                <w:rFonts w:eastAsia="Calibri"/>
                <w:noProof/>
                <w:color w:val="1A1A1A"/>
                <w:sz w:val="20"/>
                <w:lang w:val="it-IT" w:eastAsia="en-US"/>
                <w:rPrChange w:id="6872" w:author="Author">
                  <w:rPr>
                    <w:rFonts w:eastAsia="Calibri"/>
                    <w:color w:val="1A1A1A"/>
                    <w:sz w:val="21"/>
                    <w:szCs w:val="21"/>
                    <w:lang w:val="it-IT" w:eastAsia="en-US"/>
                  </w:rPr>
                </w:rPrChange>
              </w:rPr>
              <w:t> </w:t>
            </w:r>
          </w:p>
        </w:tc>
        <w:tc>
          <w:tcPr>
            <w:tcW w:w="871" w:type="pct"/>
            <w:tcBorders>
              <w:top w:val="single" w:sz="8" w:space="0" w:color="000000"/>
              <w:left w:val="nil"/>
              <w:bottom w:val="single" w:sz="4" w:space="0" w:color="auto"/>
              <w:right w:val="single" w:sz="8" w:space="0" w:color="auto"/>
            </w:tcBorders>
            <w:tcPrChange w:id="6873" w:author="Author">
              <w:tcPr>
                <w:tcW w:w="781" w:type="pct"/>
                <w:tcBorders>
                  <w:top w:val="single" w:sz="8" w:space="0" w:color="000000"/>
                  <w:left w:val="nil"/>
                  <w:bottom w:val="single" w:sz="4" w:space="0" w:color="auto"/>
                  <w:right w:val="single" w:sz="8" w:space="0" w:color="auto"/>
                </w:tcBorders>
              </w:tcPr>
            </w:tcPrChange>
          </w:tcPr>
          <w:p>
            <w:pPr>
              <w:widowControl w:val="0"/>
              <w:ind w:left="31"/>
              <w:rPr>
                <w:rFonts w:eastAsia="Calibri"/>
                <w:noProof/>
                <w:color w:val="1A1A1A"/>
                <w:sz w:val="20"/>
                <w:lang w:val="it-IT" w:eastAsia="en-US"/>
                <w:rPrChange w:id="6874" w:author="Author">
                  <w:rPr>
                    <w:rFonts w:eastAsia="Calibri"/>
                    <w:color w:val="1A1A1A"/>
                    <w:sz w:val="21"/>
                    <w:szCs w:val="21"/>
                    <w:lang w:val="it-IT" w:eastAsia="en-US"/>
                  </w:rPr>
                </w:rPrChange>
              </w:rPr>
              <w:pPrChange w:id="6875" w:author="Author">
                <w:pPr>
                  <w:widowControl w:val="0"/>
                </w:pPr>
              </w:pPrChange>
            </w:pPr>
            <w:r>
              <w:rPr>
                <w:rFonts w:eastAsia="Calibri"/>
                <w:noProof/>
                <w:color w:val="1A1A1A"/>
                <w:sz w:val="20"/>
                <w:lang w:val="it-IT" w:eastAsia="en-US"/>
                <w:rPrChange w:id="6876" w:author="Author">
                  <w:rPr>
                    <w:rFonts w:eastAsia="Calibri"/>
                    <w:color w:val="1A1A1A"/>
                    <w:sz w:val="21"/>
                    <w:szCs w:val="21"/>
                    <w:lang w:val="it-IT" w:eastAsia="en-US"/>
                  </w:rPr>
                </w:rPrChange>
              </w:rPr>
              <w:t>Ipotiroidismo</w:t>
            </w:r>
          </w:p>
        </w:tc>
        <w:tc>
          <w:tcPr>
            <w:tcW w:w="628" w:type="pct"/>
            <w:tcBorders>
              <w:top w:val="single" w:sz="8" w:space="0" w:color="000000"/>
              <w:left w:val="single" w:sz="8" w:space="0" w:color="auto"/>
              <w:bottom w:val="single" w:sz="8" w:space="0" w:color="000000"/>
              <w:right w:val="single" w:sz="8" w:space="0" w:color="000000"/>
            </w:tcBorders>
            <w:tcMar>
              <w:top w:w="0" w:type="dxa"/>
              <w:left w:w="108" w:type="dxa"/>
              <w:bottom w:w="0" w:type="dxa"/>
              <w:right w:w="108" w:type="dxa"/>
            </w:tcMar>
            <w:tcPrChange w:id="6877" w:author="Author">
              <w:tcPr>
                <w:tcW w:w="814" w:type="pct"/>
                <w:tcBorders>
                  <w:top w:val="single" w:sz="8" w:space="0" w:color="000000"/>
                  <w:left w:val="single" w:sz="8" w:space="0" w:color="auto"/>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6878" w:author="Author">
                  <w:rPr>
                    <w:sz w:val="21"/>
                    <w:szCs w:val="21"/>
                    <w:lang w:val="it-IT" w:eastAsia="en-US"/>
                  </w:rPr>
                </w:rPrChange>
              </w:rPr>
            </w:pPr>
          </w:p>
        </w:tc>
        <w:tc>
          <w:tcPr>
            <w:tcW w:w="663" w:type="pct"/>
            <w:tcBorders>
              <w:top w:val="single" w:sz="8" w:space="0" w:color="000000"/>
              <w:left w:val="single" w:sz="8" w:space="0" w:color="auto"/>
              <w:bottom w:val="single" w:sz="8" w:space="0" w:color="000000"/>
              <w:right w:val="single" w:sz="8" w:space="0" w:color="000000"/>
            </w:tcBorders>
            <w:tcPrChange w:id="6879" w:author="Author">
              <w:tcPr>
                <w:tcW w:w="813" w:type="pct"/>
                <w:tcBorders>
                  <w:top w:val="single" w:sz="8" w:space="0" w:color="000000"/>
                  <w:left w:val="single" w:sz="8" w:space="0" w:color="auto"/>
                  <w:bottom w:val="single" w:sz="8" w:space="0" w:color="000000"/>
                  <w:right w:val="single" w:sz="8" w:space="0" w:color="000000"/>
                </w:tcBorders>
              </w:tcPr>
            </w:tcPrChange>
          </w:tcPr>
          <w:p>
            <w:pPr>
              <w:widowControl w:val="0"/>
              <w:rPr>
                <w:noProof/>
                <w:sz w:val="20"/>
                <w:lang w:val="it-IT" w:eastAsia="en-US"/>
                <w:rPrChange w:id="6880" w:author="Author">
                  <w:rPr>
                    <w:sz w:val="21"/>
                    <w:szCs w:val="21"/>
                    <w:lang w:val="it-IT" w:eastAsia="en-US"/>
                  </w:rPr>
                </w:rPrChange>
              </w:rPr>
            </w:pPr>
          </w:p>
        </w:tc>
      </w:tr>
      <w:tr>
        <w:trPr>
          <w:cantSplit/>
          <w:trPrChange w:id="6881" w:author="Author">
            <w:trPr>
              <w:cantSplit/>
            </w:trPr>
          </w:trPrChange>
        </w:trPr>
        <w:tc>
          <w:tcPr>
            <w:tcW w:w="9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882" w:author="Author">
              <w:tcPr>
                <w:tcW w:w="8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883" w:author="Author">
                  <w:rPr>
                    <w:rFonts w:eastAsia="Calibri"/>
                    <w:color w:val="1A1A1A"/>
                    <w:sz w:val="21"/>
                    <w:szCs w:val="21"/>
                    <w:lang w:val="it-IT" w:eastAsia="en-US"/>
                  </w:rPr>
                </w:rPrChange>
              </w:rPr>
            </w:pPr>
            <w:r>
              <w:rPr>
                <w:noProof/>
                <w:sz w:val="20"/>
                <w:lang w:val="it-IT"/>
                <w:rPrChange w:id="6884" w:author="Author">
                  <w:rPr>
                    <w:sz w:val="21"/>
                    <w:szCs w:val="21"/>
                    <w:lang w:val="it-IT"/>
                  </w:rPr>
                </w:rPrChange>
              </w:rPr>
              <w:t>Disturbi del metabolismo e della nutrizione</w:t>
            </w:r>
          </w:p>
        </w:tc>
        <w:tc>
          <w:tcPr>
            <w:tcW w:w="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885" w:author="Author">
              <w:tcPr>
                <w:tcW w:w="8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886" w:author="Author">
                  <w:rPr>
                    <w:rFonts w:eastAsia="Calibri"/>
                    <w:color w:val="1A1A1A"/>
                    <w:sz w:val="21"/>
                    <w:szCs w:val="21"/>
                    <w:lang w:val="it-IT" w:eastAsia="en-US"/>
                  </w:rPr>
                </w:rPrChange>
              </w:rPr>
            </w:pPr>
            <w:r>
              <w:rPr>
                <w:noProof/>
                <w:sz w:val="20"/>
                <w:lang w:val="it-IT"/>
                <w:rPrChange w:id="6887" w:author="Author">
                  <w:rPr>
                    <w:sz w:val="21"/>
                    <w:szCs w:val="21"/>
                    <w:lang w:val="it-IT"/>
                  </w:rPr>
                </w:rPrChange>
              </w:rPr>
              <w:t>Ipercolesterolemia*</w:t>
            </w:r>
          </w:p>
        </w:tc>
        <w:tc>
          <w:tcPr>
            <w:tcW w:w="9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888" w:author="Author">
              <w:tcPr>
                <w:tcW w:w="8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889" w:author="Author">
                  <w:rPr>
                    <w:rFonts w:eastAsia="Calibri"/>
                    <w:color w:val="1A1A1A"/>
                    <w:sz w:val="21"/>
                    <w:szCs w:val="21"/>
                    <w:lang w:val="it-IT" w:eastAsia="en-US"/>
                  </w:rPr>
                </w:rPrChange>
              </w:rPr>
            </w:pPr>
          </w:p>
        </w:tc>
        <w:tc>
          <w:tcPr>
            <w:tcW w:w="871" w:type="pct"/>
            <w:tcBorders>
              <w:top w:val="single" w:sz="4" w:space="0" w:color="auto"/>
              <w:left w:val="single" w:sz="4" w:space="0" w:color="auto"/>
              <w:bottom w:val="single" w:sz="4" w:space="0" w:color="auto"/>
              <w:right w:val="single" w:sz="4" w:space="0" w:color="auto"/>
            </w:tcBorders>
            <w:tcPrChange w:id="6890" w:author="Author">
              <w:tcPr>
                <w:tcW w:w="781" w:type="pct"/>
                <w:tcBorders>
                  <w:top w:val="single" w:sz="4" w:space="0" w:color="auto"/>
                  <w:left w:val="single" w:sz="4" w:space="0" w:color="auto"/>
                  <w:bottom w:val="single" w:sz="4" w:space="0" w:color="auto"/>
                  <w:right w:val="single" w:sz="4" w:space="0" w:color="auto"/>
                </w:tcBorders>
              </w:tcPr>
            </w:tcPrChange>
          </w:tcPr>
          <w:p>
            <w:pPr>
              <w:widowControl w:val="0"/>
              <w:ind w:left="31"/>
              <w:rPr>
                <w:rFonts w:eastAsia="Calibri"/>
                <w:noProof/>
                <w:color w:val="1A1A1A"/>
                <w:sz w:val="20"/>
                <w:lang w:val="it-IT" w:eastAsia="en-US"/>
                <w:rPrChange w:id="6891" w:author="Author">
                  <w:rPr>
                    <w:rFonts w:eastAsia="Calibri"/>
                    <w:color w:val="1A1A1A"/>
                    <w:sz w:val="21"/>
                    <w:szCs w:val="21"/>
                    <w:lang w:val="it-IT" w:eastAsia="en-US"/>
                  </w:rPr>
                </w:rPrChange>
              </w:rPr>
              <w:pPrChange w:id="6892" w:author="Author">
                <w:pPr>
                  <w:widowControl w:val="0"/>
                </w:pPr>
              </w:pPrChange>
            </w:pPr>
            <w:r>
              <w:rPr>
                <w:noProof/>
                <w:sz w:val="20"/>
                <w:lang w:val="it-IT"/>
                <w:rPrChange w:id="6893" w:author="Author">
                  <w:rPr>
                    <w:sz w:val="21"/>
                    <w:szCs w:val="21"/>
                    <w:lang w:val="it-IT"/>
                  </w:rPr>
                </w:rPrChange>
              </w:rPr>
              <w:t>Ipertrigliceridemia</w:t>
            </w:r>
          </w:p>
        </w:tc>
        <w:tc>
          <w:tcPr>
            <w:tcW w:w="628" w:type="pct"/>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Change w:id="6894" w:author="Author">
              <w:tcPr>
                <w:tcW w:w="814" w:type="pct"/>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6895" w:author="Author">
                  <w:rPr>
                    <w:sz w:val="21"/>
                    <w:szCs w:val="21"/>
                    <w:lang w:val="it-IT" w:eastAsia="en-US"/>
                  </w:rPr>
                </w:rPrChange>
              </w:rPr>
            </w:pPr>
          </w:p>
        </w:tc>
        <w:tc>
          <w:tcPr>
            <w:tcW w:w="663" w:type="pct"/>
            <w:tcBorders>
              <w:top w:val="single" w:sz="8" w:space="0" w:color="000000"/>
              <w:left w:val="single" w:sz="4" w:space="0" w:color="auto"/>
              <w:bottom w:val="single" w:sz="8" w:space="0" w:color="000000"/>
              <w:right w:val="single" w:sz="8" w:space="0" w:color="000000"/>
            </w:tcBorders>
            <w:tcPrChange w:id="6896" w:author="Author">
              <w:tcPr>
                <w:tcW w:w="813" w:type="pct"/>
                <w:tcBorders>
                  <w:top w:val="single" w:sz="8" w:space="0" w:color="000000"/>
                  <w:left w:val="single" w:sz="4" w:space="0" w:color="auto"/>
                  <w:bottom w:val="single" w:sz="8" w:space="0" w:color="000000"/>
                  <w:right w:val="single" w:sz="8" w:space="0" w:color="000000"/>
                </w:tcBorders>
              </w:tcPr>
            </w:tcPrChange>
          </w:tcPr>
          <w:p>
            <w:pPr>
              <w:widowControl w:val="0"/>
              <w:rPr>
                <w:noProof/>
                <w:sz w:val="20"/>
                <w:lang w:val="it-IT" w:eastAsia="en-US"/>
                <w:rPrChange w:id="6897" w:author="Author">
                  <w:rPr>
                    <w:sz w:val="21"/>
                    <w:szCs w:val="21"/>
                    <w:lang w:val="it-IT" w:eastAsia="en-US"/>
                  </w:rPr>
                </w:rPrChange>
              </w:rPr>
            </w:pPr>
          </w:p>
        </w:tc>
      </w:tr>
      <w:tr>
        <w:trPr>
          <w:cantSplit/>
          <w:trPrChange w:id="6898" w:author="Author">
            <w:trPr>
              <w:cantSplit/>
            </w:trPr>
          </w:trPrChange>
        </w:trPr>
        <w:tc>
          <w:tcPr>
            <w:tcW w:w="9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899" w:author="Author">
              <w:tcPr>
                <w:tcW w:w="8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900" w:author="Author">
                  <w:rPr>
                    <w:rFonts w:eastAsia="Calibri"/>
                    <w:color w:val="1A1A1A"/>
                    <w:sz w:val="21"/>
                    <w:szCs w:val="21"/>
                    <w:lang w:val="it-IT" w:eastAsia="en-US"/>
                  </w:rPr>
                </w:rPrChange>
              </w:rPr>
            </w:pPr>
            <w:r>
              <w:rPr>
                <w:noProof/>
                <w:sz w:val="20"/>
                <w:lang w:val="it-IT"/>
                <w:rPrChange w:id="6901" w:author="Author">
                  <w:rPr>
                    <w:sz w:val="21"/>
                    <w:szCs w:val="21"/>
                    <w:lang w:val="it-IT"/>
                  </w:rPr>
                </w:rPrChange>
              </w:rPr>
              <w:t>Patologie del sistema nervoso</w:t>
            </w:r>
          </w:p>
        </w:tc>
        <w:tc>
          <w:tcPr>
            <w:tcW w:w="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902" w:author="Author">
              <w:tcPr>
                <w:tcW w:w="8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903" w:author="Author">
                  <w:rPr>
                    <w:rFonts w:eastAsia="Calibri"/>
                    <w:color w:val="1A1A1A"/>
                    <w:sz w:val="21"/>
                    <w:szCs w:val="21"/>
                    <w:lang w:val="it-IT" w:eastAsia="en-US"/>
                  </w:rPr>
                </w:rPrChange>
              </w:rPr>
            </w:pPr>
          </w:p>
        </w:tc>
        <w:tc>
          <w:tcPr>
            <w:tcW w:w="9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904" w:author="Author">
              <w:tcPr>
                <w:tcW w:w="8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905" w:author="Author">
                  <w:rPr>
                    <w:rFonts w:eastAsia="Calibri"/>
                    <w:color w:val="1A1A1A"/>
                    <w:sz w:val="21"/>
                    <w:szCs w:val="21"/>
                    <w:lang w:val="it-IT" w:eastAsia="en-US"/>
                  </w:rPr>
                </w:rPrChange>
              </w:rPr>
            </w:pPr>
            <w:r>
              <w:rPr>
                <w:noProof/>
                <w:sz w:val="20"/>
                <w:lang w:val="it-IT"/>
                <w:rPrChange w:id="6906" w:author="Author">
                  <w:rPr>
                    <w:sz w:val="21"/>
                    <w:szCs w:val="21"/>
                    <w:lang w:val="it-IT"/>
                  </w:rPr>
                </w:rPrChange>
              </w:rPr>
              <w:t>Cefalea, capogiri</w:t>
            </w:r>
          </w:p>
        </w:tc>
        <w:tc>
          <w:tcPr>
            <w:tcW w:w="871" w:type="pct"/>
            <w:tcBorders>
              <w:top w:val="single" w:sz="4" w:space="0" w:color="auto"/>
              <w:left w:val="single" w:sz="4" w:space="0" w:color="auto"/>
              <w:bottom w:val="single" w:sz="4" w:space="0" w:color="auto"/>
              <w:right w:val="single" w:sz="4" w:space="0" w:color="auto"/>
            </w:tcBorders>
            <w:tcPrChange w:id="6907" w:author="Author">
              <w:tcPr>
                <w:tcW w:w="781" w:type="pct"/>
                <w:tcBorders>
                  <w:top w:val="single" w:sz="4" w:space="0" w:color="auto"/>
                  <w:left w:val="single" w:sz="4" w:space="0" w:color="auto"/>
                  <w:bottom w:val="single" w:sz="4" w:space="0" w:color="auto"/>
                  <w:right w:val="single" w:sz="4" w:space="0" w:color="auto"/>
                </w:tcBorders>
              </w:tcPr>
            </w:tcPrChange>
          </w:tcPr>
          <w:p>
            <w:pPr>
              <w:widowControl w:val="0"/>
              <w:rPr>
                <w:rFonts w:eastAsia="Calibri"/>
                <w:noProof/>
                <w:color w:val="1A1A1A"/>
                <w:sz w:val="20"/>
                <w:lang w:val="it-IT" w:eastAsia="en-US"/>
                <w:rPrChange w:id="6908" w:author="Author">
                  <w:rPr>
                    <w:rFonts w:eastAsia="Calibri"/>
                    <w:color w:val="1A1A1A"/>
                    <w:sz w:val="21"/>
                    <w:szCs w:val="21"/>
                    <w:lang w:val="it-IT" w:eastAsia="en-US"/>
                  </w:rPr>
                </w:rPrChange>
              </w:rPr>
            </w:pPr>
          </w:p>
        </w:tc>
        <w:tc>
          <w:tcPr>
            <w:tcW w:w="628" w:type="pct"/>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Change w:id="6909" w:author="Author">
              <w:tcPr>
                <w:tcW w:w="814" w:type="pct"/>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6910" w:author="Author">
                  <w:rPr>
                    <w:sz w:val="21"/>
                    <w:szCs w:val="21"/>
                    <w:lang w:val="it-IT" w:eastAsia="en-US"/>
                  </w:rPr>
                </w:rPrChange>
              </w:rPr>
            </w:pPr>
          </w:p>
        </w:tc>
        <w:tc>
          <w:tcPr>
            <w:tcW w:w="663" w:type="pct"/>
            <w:tcBorders>
              <w:top w:val="single" w:sz="8" w:space="0" w:color="000000"/>
              <w:left w:val="single" w:sz="4" w:space="0" w:color="auto"/>
              <w:bottom w:val="single" w:sz="8" w:space="0" w:color="000000"/>
              <w:right w:val="single" w:sz="8" w:space="0" w:color="000000"/>
            </w:tcBorders>
            <w:tcPrChange w:id="6911" w:author="Author">
              <w:tcPr>
                <w:tcW w:w="813" w:type="pct"/>
                <w:tcBorders>
                  <w:top w:val="single" w:sz="8" w:space="0" w:color="000000"/>
                  <w:left w:val="single" w:sz="4" w:space="0" w:color="auto"/>
                  <w:bottom w:val="single" w:sz="8" w:space="0" w:color="000000"/>
                  <w:right w:val="single" w:sz="8" w:space="0" w:color="000000"/>
                </w:tcBorders>
              </w:tcPr>
            </w:tcPrChange>
          </w:tcPr>
          <w:p>
            <w:pPr>
              <w:widowControl w:val="0"/>
              <w:rPr>
                <w:noProof/>
                <w:sz w:val="20"/>
                <w:lang w:val="it-IT" w:eastAsia="en-US"/>
                <w:rPrChange w:id="6912" w:author="Author">
                  <w:rPr>
                    <w:sz w:val="21"/>
                    <w:szCs w:val="21"/>
                    <w:lang w:val="it-IT" w:eastAsia="en-US"/>
                  </w:rPr>
                </w:rPrChange>
              </w:rPr>
            </w:pPr>
          </w:p>
        </w:tc>
      </w:tr>
      <w:tr>
        <w:trPr>
          <w:cantSplit/>
          <w:trPrChange w:id="6913" w:author="Author">
            <w:trPr>
              <w:cantSplit/>
            </w:trPr>
          </w:trPrChange>
        </w:trPr>
        <w:tc>
          <w:tcPr>
            <w:tcW w:w="905" w:type="pct"/>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Change w:id="6914" w:author="Author">
              <w:tcPr>
                <w:tcW w:w="888" w:type="pct"/>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6915" w:author="Author">
                  <w:rPr>
                    <w:sz w:val="21"/>
                    <w:szCs w:val="21"/>
                    <w:lang w:val="it-IT" w:eastAsia="en-US"/>
                  </w:rPr>
                </w:rPrChange>
              </w:rPr>
            </w:pPr>
            <w:r>
              <w:rPr>
                <w:rFonts w:eastAsia="Calibri"/>
                <w:noProof/>
                <w:color w:val="1A1A1A"/>
                <w:sz w:val="20"/>
                <w:lang w:val="it-IT" w:eastAsia="en-US"/>
                <w:rPrChange w:id="6916" w:author="Author">
                  <w:rPr>
                    <w:rFonts w:eastAsia="Calibri"/>
                    <w:color w:val="1A1A1A"/>
                    <w:sz w:val="21"/>
                    <w:szCs w:val="21"/>
                    <w:lang w:val="it-IT" w:eastAsia="en-US"/>
                  </w:rPr>
                </w:rPrChange>
              </w:rPr>
              <w:t>Patologie dell’occhio</w:t>
            </w:r>
          </w:p>
        </w:tc>
        <w:tc>
          <w:tcPr>
            <w:tcW w:w="997" w:type="pct"/>
            <w:tcBorders>
              <w:top w:val="single" w:sz="4" w:space="0" w:color="auto"/>
              <w:left w:val="nil"/>
              <w:bottom w:val="single" w:sz="8" w:space="0" w:color="000000"/>
              <w:right w:val="single" w:sz="8" w:space="0" w:color="000000"/>
            </w:tcBorders>
            <w:tcMar>
              <w:top w:w="0" w:type="dxa"/>
              <w:left w:w="108" w:type="dxa"/>
              <w:bottom w:w="0" w:type="dxa"/>
              <w:right w:w="108" w:type="dxa"/>
            </w:tcMar>
            <w:tcPrChange w:id="6917" w:author="Author">
              <w:tcPr>
                <w:tcW w:w="862" w:type="pct"/>
                <w:tcBorders>
                  <w:top w:val="single" w:sz="4" w:space="0" w:color="auto"/>
                  <w:left w:val="nil"/>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6918" w:author="Author">
                  <w:rPr>
                    <w:sz w:val="21"/>
                    <w:szCs w:val="21"/>
                    <w:lang w:val="it-IT" w:eastAsia="en-US"/>
                  </w:rPr>
                </w:rPrChange>
              </w:rPr>
            </w:pPr>
            <w:r>
              <w:rPr>
                <w:rFonts w:eastAsia="Calibri"/>
                <w:noProof/>
                <w:color w:val="1A1A1A"/>
                <w:sz w:val="20"/>
                <w:lang w:val="it-IT" w:eastAsia="en-US"/>
                <w:rPrChange w:id="6919" w:author="Author">
                  <w:rPr>
                    <w:rFonts w:eastAsia="Calibri"/>
                    <w:color w:val="1A1A1A"/>
                    <w:sz w:val="21"/>
                    <w:szCs w:val="21"/>
                    <w:lang w:val="it-IT" w:eastAsia="en-US"/>
                  </w:rPr>
                </w:rPrChange>
              </w:rPr>
              <w:t> </w:t>
            </w:r>
          </w:p>
        </w:tc>
        <w:tc>
          <w:tcPr>
            <w:tcW w:w="936" w:type="pct"/>
            <w:tcBorders>
              <w:top w:val="single" w:sz="4" w:space="0" w:color="auto"/>
              <w:left w:val="nil"/>
              <w:bottom w:val="single" w:sz="8" w:space="0" w:color="000000"/>
              <w:right w:val="single" w:sz="8" w:space="0" w:color="000000"/>
            </w:tcBorders>
            <w:tcMar>
              <w:top w:w="0" w:type="dxa"/>
              <w:left w:w="108" w:type="dxa"/>
              <w:bottom w:w="0" w:type="dxa"/>
              <w:right w:w="108" w:type="dxa"/>
            </w:tcMar>
            <w:tcPrChange w:id="6920" w:author="Author">
              <w:tcPr>
                <w:tcW w:w="842" w:type="pct"/>
                <w:tcBorders>
                  <w:top w:val="single" w:sz="4" w:space="0" w:color="auto"/>
                  <w:left w:val="nil"/>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6921" w:author="Author">
                  <w:rPr>
                    <w:sz w:val="21"/>
                    <w:szCs w:val="21"/>
                    <w:lang w:val="it-IT" w:eastAsia="en-US"/>
                  </w:rPr>
                </w:rPrChange>
              </w:rPr>
            </w:pPr>
            <w:r>
              <w:rPr>
                <w:rFonts w:eastAsia="Calibri"/>
                <w:noProof/>
                <w:color w:val="1A1A1A"/>
                <w:sz w:val="20"/>
                <w:lang w:val="it-IT" w:eastAsia="en-US"/>
                <w:rPrChange w:id="6922" w:author="Author">
                  <w:rPr>
                    <w:rFonts w:eastAsia="Calibri"/>
                    <w:color w:val="1A1A1A"/>
                    <w:sz w:val="21"/>
                    <w:szCs w:val="21"/>
                    <w:lang w:val="it-IT" w:eastAsia="en-US"/>
                  </w:rPr>
                </w:rPrChange>
              </w:rPr>
              <w:t>Congiuntivite</w:t>
            </w:r>
          </w:p>
        </w:tc>
        <w:tc>
          <w:tcPr>
            <w:tcW w:w="871" w:type="pct"/>
            <w:tcBorders>
              <w:top w:val="single" w:sz="4" w:space="0" w:color="auto"/>
              <w:left w:val="nil"/>
              <w:bottom w:val="single" w:sz="8" w:space="0" w:color="000000"/>
              <w:right w:val="single" w:sz="8" w:space="0" w:color="auto"/>
            </w:tcBorders>
            <w:tcPrChange w:id="6923" w:author="Author">
              <w:tcPr>
                <w:tcW w:w="781" w:type="pct"/>
                <w:tcBorders>
                  <w:top w:val="single" w:sz="4" w:space="0" w:color="auto"/>
                  <w:left w:val="nil"/>
                  <w:bottom w:val="single" w:sz="8" w:space="0" w:color="000000"/>
                  <w:right w:val="single" w:sz="8" w:space="0" w:color="auto"/>
                </w:tcBorders>
              </w:tcPr>
            </w:tcPrChange>
          </w:tcPr>
          <w:p>
            <w:pPr>
              <w:widowControl w:val="0"/>
              <w:rPr>
                <w:rFonts w:eastAsia="Calibri"/>
                <w:noProof/>
                <w:color w:val="1A1A1A"/>
                <w:sz w:val="20"/>
                <w:lang w:val="it-IT" w:eastAsia="en-US"/>
                <w:rPrChange w:id="6924" w:author="Author">
                  <w:rPr>
                    <w:rFonts w:eastAsia="Calibri"/>
                    <w:color w:val="1A1A1A"/>
                    <w:sz w:val="21"/>
                    <w:szCs w:val="21"/>
                    <w:lang w:val="it-IT" w:eastAsia="en-US"/>
                  </w:rPr>
                </w:rPrChange>
              </w:rPr>
            </w:pPr>
          </w:p>
        </w:tc>
        <w:tc>
          <w:tcPr>
            <w:tcW w:w="628" w:type="pct"/>
            <w:tcBorders>
              <w:top w:val="single" w:sz="8" w:space="0" w:color="000000"/>
              <w:left w:val="single" w:sz="8" w:space="0" w:color="auto"/>
              <w:bottom w:val="single" w:sz="8" w:space="0" w:color="000000"/>
              <w:right w:val="single" w:sz="8" w:space="0" w:color="000000"/>
            </w:tcBorders>
            <w:tcMar>
              <w:top w:w="0" w:type="dxa"/>
              <w:left w:w="108" w:type="dxa"/>
              <w:bottom w:w="0" w:type="dxa"/>
              <w:right w:w="108" w:type="dxa"/>
            </w:tcMar>
            <w:tcPrChange w:id="6925" w:author="Author">
              <w:tcPr>
                <w:tcW w:w="814" w:type="pct"/>
                <w:tcBorders>
                  <w:top w:val="single" w:sz="8" w:space="0" w:color="000000"/>
                  <w:left w:val="single" w:sz="8" w:space="0" w:color="auto"/>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6926" w:author="Author">
                  <w:rPr>
                    <w:sz w:val="21"/>
                    <w:szCs w:val="21"/>
                    <w:lang w:val="it-IT" w:eastAsia="en-US"/>
                  </w:rPr>
                </w:rPrChange>
              </w:rPr>
            </w:pPr>
            <w:r>
              <w:rPr>
                <w:rFonts w:eastAsia="Calibri"/>
                <w:noProof/>
                <w:color w:val="1A1A1A"/>
                <w:sz w:val="20"/>
                <w:lang w:val="it-IT" w:eastAsia="en-US"/>
                <w:rPrChange w:id="6927" w:author="Author">
                  <w:rPr>
                    <w:rFonts w:eastAsia="Calibri"/>
                    <w:color w:val="1A1A1A"/>
                    <w:sz w:val="21"/>
                    <w:szCs w:val="21"/>
                    <w:lang w:val="it-IT" w:eastAsia="en-US"/>
                  </w:rPr>
                </w:rPrChange>
              </w:rPr>
              <w:t> </w:t>
            </w:r>
          </w:p>
        </w:tc>
        <w:tc>
          <w:tcPr>
            <w:tcW w:w="663" w:type="pct"/>
            <w:tcBorders>
              <w:top w:val="single" w:sz="8" w:space="0" w:color="000000"/>
              <w:left w:val="single" w:sz="8" w:space="0" w:color="auto"/>
              <w:bottom w:val="single" w:sz="8" w:space="0" w:color="000000"/>
              <w:right w:val="single" w:sz="8" w:space="0" w:color="000000"/>
            </w:tcBorders>
            <w:tcPrChange w:id="6928" w:author="Author">
              <w:tcPr>
                <w:tcW w:w="813" w:type="pct"/>
                <w:tcBorders>
                  <w:top w:val="single" w:sz="8" w:space="0" w:color="000000"/>
                  <w:left w:val="single" w:sz="8" w:space="0" w:color="auto"/>
                  <w:bottom w:val="single" w:sz="8" w:space="0" w:color="000000"/>
                  <w:right w:val="single" w:sz="8" w:space="0" w:color="000000"/>
                </w:tcBorders>
              </w:tcPr>
            </w:tcPrChange>
          </w:tcPr>
          <w:p>
            <w:pPr>
              <w:widowControl w:val="0"/>
              <w:rPr>
                <w:rFonts w:eastAsia="Calibri"/>
                <w:noProof/>
                <w:color w:val="1A1A1A"/>
                <w:sz w:val="20"/>
                <w:lang w:val="it-IT" w:eastAsia="en-US"/>
                <w:rPrChange w:id="6929" w:author="Author">
                  <w:rPr>
                    <w:rFonts w:eastAsia="Calibri"/>
                    <w:color w:val="1A1A1A"/>
                    <w:sz w:val="21"/>
                    <w:szCs w:val="21"/>
                    <w:lang w:val="it-IT" w:eastAsia="en-US"/>
                  </w:rPr>
                </w:rPrChange>
              </w:rPr>
            </w:pPr>
          </w:p>
        </w:tc>
      </w:tr>
      <w:tr>
        <w:trPr>
          <w:cantSplit/>
          <w:trPrChange w:id="6930" w:author="Author">
            <w:trPr>
              <w:cantSplit/>
            </w:trPr>
          </w:trPrChange>
        </w:trPr>
        <w:tc>
          <w:tcPr>
            <w:tcW w:w="9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931" w:author="Author">
              <w:tcPr>
                <w:tcW w:w="8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932" w:author="Author">
                  <w:rPr>
                    <w:rFonts w:eastAsia="Calibri"/>
                    <w:color w:val="1A1A1A"/>
                    <w:sz w:val="21"/>
                    <w:szCs w:val="21"/>
                    <w:lang w:val="it-IT" w:eastAsia="en-US"/>
                  </w:rPr>
                </w:rPrChange>
              </w:rPr>
            </w:pPr>
            <w:r>
              <w:rPr>
                <w:noProof/>
                <w:sz w:val="20"/>
                <w:lang w:val="it-IT"/>
                <w:rPrChange w:id="6933" w:author="Author">
                  <w:rPr>
                    <w:sz w:val="21"/>
                    <w:szCs w:val="21"/>
                    <w:lang w:val="it-IT"/>
                  </w:rPr>
                </w:rPrChange>
              </w:rPr>
              <w:t>Patologie vascolari</w:t>
            </w:r>
          </w:p>
        </w:tc>
        <w:tc>
          <w:tcPr>
            <w:tcW w:w="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934" w:author="Author">
              <w:tcPr>
                <w:tcW w:w="8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935" w:author="Author">
                  <w:rPr>
                    <w:rFonts w:eastAsia="Calibri"/>
                    <w:color w:val="1A1A1A"/>
                    <w:sz w:val="21"/>
                    <w:szCs w:val="21"/>
                    <w:lang w:val="it-IT" w:eastAsia="en-US"/>
                  </w:rPr>
                </w:rPrChange>
              </w:rPr>
            </w:pPr>
          </w:p>
        </w:tc>
        <w:tc>
          <w:tcPr>
            <w:tcW w:w="9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936" w:author="Author">
              <w:tcPr>
                <w:tcW w:w="8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937" w:author="Author">
                  <w:rPr>
                    <w:rFonts w:eastAsia="Calibri"/>
                    <w:color w:val="1A1A1A"/>
                    <w:sz w:val="21"/>
                    <w:szCs w:val="21"/>
                    <w:lang w:val="it-IT" w:eastAsia="en-US"/>
                  </w:rPr>
                </w:rPrChange>
              </w:rPr>
            </w:pPr>
            <w:r>
              <w:rPr>
                <w:noProof/>
                <w:sz w:val="20"/>
                <w:lang w:val="it-IT"/>
                <w:rPrChange w:id="6938" w:author="Author">
                  <w:rPr>
                    <w:sz w:val="21"/>
                    <w:szCs w:val="21"/>
                    <w:lang w:val="it-IT"/>
                  </w:rPr>
                </w:rPrChange>
              </w:rPr>
              <w:t>Ipertensione</w:t>
            </w:r>
          </w:p>
        </w:tc>
        <w:tc>
          <w:tcPr>
            <w:tcW w:w="871" w:type="pct"/>
            <w:tcBorders>
              <w:top w:val="single" w:sz="4" w:space="0" w:color="auto"/>
              <w:left w:val="nil"/>
              <w:bottom w:val="single" w:sz="8" w:space="0" w:color="000000"/>
              <w:right w:val="single" w:sz="8" w:space="0" w:color="auto"/>
            </w:tcBorders>
            <w:tcPrChange w:id="6939" w:author="Author">
              <w:tcPr>
                <w:tcW w:w="781" w:type="pct"/>
                <w:tcBorders>
                  <w:top w:val="single" w:sz="4" w:space="0" w:color="auto"/>
                  <w:left w:val="nil"/>
                  <w:bottom w:val="single" w:sz="8" w:space="0" w:color="000000"/>
                  <w:right w:val="single" w:sz="8" w:space="0" w:color="auto"/>
                </w:tcBorders>
              </w:tcPr>
            </w:tcPrChange>
          </w:tcPr>
          <w:p>
            <w:pPr>
              <w:widowControl w:val="0"/>
              <w:rPr>
                <w:rFonts w:eastAsia="Calibri"/>
                <w:noProof/>
                <w:color w:val="1A1A1A"/>
                <w:sz w:val="20"/>
                <w:lang w:val="it-IT" w:eastAsia="en-US"/>
                <w:rPrChange w:id="6940" w:author="Author">
                  <w:rPr>
                    <w:rFonts w:eastAsia="Calibri"/>
                    <w:color w:val="1A1A1A"/>
                    <w:sz w:val="21"/>
                    <w:szCs w:val="21"/>
                    <w:lang w:val="it-IT" w:eastAsia="en-US"/>
                  </w:rPr>
                </w:rPrChange>
              </w:rPr>
            </w:pPr>
          </w:p>
        </w:tc>
        <w:tc>
          <w:tcPr>
            <w:tcW w:w="628" w:type="pct"/>
            <w:tcBorders>
              <w:top w:val="single" w:sz="8" w:space="0" w:color="000000"/>
              <w:left w:val="single" w:sz="8" w:space="0" w:color="auto"/>
              <w:bottom w:val="single" w:sz="8" w:space="0" w:color="000000"/>
              <w:right w:val="single" w:sz="8" w:space="0" w:color="000000"/>
            </w:tcBorders>
            <w:tcMar>
              <w:top w:w="0" w:type="dxa"/>
              <w:left w:w="108" w:type="dxa"/>
              <w:bottom w:w="0" w:type="dxa"/>
              <w:right w:w="108" w:type="dxa"/>
            </w:tcMar>
            <w:tcPrChange w:id="6941" w:author="Author">
              <w:tcPr>
                <w:tcW w:w="814" w:type="pct"/>
                <w:tcBorders>
                  <w:top w:val="single" w:sz="8" w:space="0" w:color="000000"/>
                  <w:left w:val="single" w:sz="8" w:space="0" w:color="auto"/>
                  <w:bottom w:val="single" w:sz="8" w:space="0" w:color="000000"/>
                  <w:right w:val="single" w:sz="8" w:space="0" w:color="000000"/>
                </w:tcBorders>
                <w:tcMar>
                  <w:top w:w="0" w:type="dxa"/>
                  <w:left w:w="108" w:type="dxa"/>
                  <w:bottom w:w="0" w:type="dxa"/>
                  <w:right w:w="108" w:type="dxa"/>
                </w:tcMar>
              </w:tcPr>
            </w:tcPrChange>
          </w:tcPr>
          <w:p>
            <w:pPr>
              <w:widowControl w:val="0"/>
              <w:rPr>
                <w:rFonts w:eastAsia="Calibri"/>
                <w:noProof/>
                <w:color w:val="1A1A1A"/>
                <w:sz w:val="20"/>
                <w:lang w:val="it-IT" w:eastAsia="en-US"/>
                <w:rPrChange w:id="6942" w:author="Author">
                  <w:rPr>
                    <w:rFonts w:eastAsia="Calibri"/>
                    <w:color w:val="1A1A1A"/>
                    <w:sz w:val="21"/>
                    <w:szCs w:val="21"/>
                    <w:lang w:val="it-IT" w:eastAsia="en-US"/>
                  </w:rPr>
                </w:rPrChange>
              </w:rPr>
            </w:pPr>
          </w:p>
        </w:tc>
        <w:tc>
          <w:tcPr>
            <w:tcW w:w="663" w:type="pct"/>
            <w:tcBorders>
              <w:top w:val="single" w:sz="8" w:space="0" w:color="000000"/>
              <w:left w:val="single" w:sz="8" w:space="0" w:color="auto"/>
              <w:bottom w:val="single" w:sz="8" w:space="0" w:color="000000"/>
              <w:right w:val="single" w:sz="8" w:space="0" w:color="000000"/>
            </w:tcBorders>
            <w:tcPrChange w:id="6943" w:author="Author">
              <w:tcPr>
                <w:tcW w:w="813" w:type="pct"/>
                <w:tcBorders>
                  <w:top w:val="single" w:sz="8" w:space="0" w:color="000000"/>
                  <w:left w:val="single" w:sz="8" w:space="0" w:color="auto"/>
                  <w:bottom w:val="single" w:sz="8" w:space="0" w:color="000000"/>
                  <w:right w:val="single" w:sz="8" w:space="0" w:color="000000"/>
                </w:tcBorders>
              </w:tcPr>
            </w:tcPrChange>
          </w:tcPr>
          <w:p>
            <w:pPr>
              <w:widowControl w:val="0"/>
              <w:rPr>
                <w:rFonts w:eastAsia="Calibri"/>
                <w:noProof/>
                <w:color w:val="1A1A1A"/>
                <w:sz w:val="20"/>
                <w:lang w:val="it-IT" w:eastAsia="en-US"/>
                <w:rPrChange w:id="6944" w:author="Author">
                  <w:rPr>
                    <w:rFonts w:eastAsia="Calibri"/>
                    <w:color w:val="1A1A1A"/>
                    <w:sz w:val="21"/>
                    <w:szCs w:val="21"/>
                    <w:lang w:val="it-IT" w:eastAsia="en-US"/>
                  </w:rPr>
                </w:rPrChange>
              </w:rPr>
            </w:pPr>
          </w:p>
        </w:tc>
      </w:tr>
      <w:tr>
        <w:trPr>
          <w:cantSplit/>
          <w:trPrChange w:id="6945" w:author="Author">
            <w:trPr>
              <w:cantSplit/>
            </w:trPr>
          </w:trPrChange>
        </w:trPr>
        <w:tc>
          <w:tcPr>
            <w:tcW w:w="9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946" w:author="Author">
              <w:tcPr>
                <w:tcW w:w="8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947" w:author="Author">
                  <w:rPr>
                    <w:rFonts w:eastAsia="Calibri"/>
                    <w:color w:val="1A1A1A"/>
                    <w:sz w:val="21"/>
                    <w:szCs w:val="21"/>
                    <w:lang w:val="it-IT" w:eastAsia="en-US"/>
                  </w:rPr>
                </w:rPrChange>
              </w:rPr>
            </w:pPr>
            <w:r>
              <w:rPr>
                <w:noProof/>
                <w:sz w:val="20"/>
                <w:lang w:val="it-IT"/>
                <w:rPrChange w:id="6948" w:author="Author">
                  <w:rPr>
                    <w:sz w:val="21"/>
                    <w:szCs w:val="21"/>
                    <w:lang w:val="it-IT"/>
                  </w:rPr>
                </w:rPrChange>
              </w:rPr>
              <w:t>Patologie respiratorie, toraciche e mediastiniche</w:t>
            </w:r>
          </w:p>
        </w:tc>
        <w:tc>
          <w:tcPr>
            <w:tcW w:w="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949" w:author="Author">
              <w:tcPr>
                <w:tcW w:w="8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950" w:author="Author">
                  <w:rPr>
                    <w:rFonts w:eastAsia="Calibri"/>
                    <w:color w:val="1A1A1A"/>
                    <w:sz w:val="21"/>
                    <w:szCs w:val="21"/>
                    <w:lang w:val="it-IT" w:eastAsia="en-US"/>
                  </w:rPr>
                </w:rPrChange>
              </w:rPr>
            </w:pPr>
          </w:p>
        </w:tc>
        <w:tc>
          <w:tcPr>
            <w:tcW w:w="9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951" w:author="Author">
              <w:tcPr>
                <w:tcW w:w="8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952" w:author="Author">
                  <w:rPr>
                    <w:rFonts w:eastAsia="Calibri"/>
                    <w:color w:val="1A1A1A"/>
                    <w:sz w:val="21"/>
                    <w:szCs w:val="21"/>
                    <w:lang w:val="it-IT" w:eastAsia="en-US"/>
                  </w:rPr>
                </w:rPrChange>
              </w:rPr>
            </w:pPr>
            <w:r>
              <w:rPr>
                <w:noProof/>
                <w:sz w:val="20"/>
                <w:lang w:val="it-IT"/>
                <w:rPrChange w:id="6953" w:author="Author">
                  <w:rPr>
                    <w:sz w:val="21"/>
                    <w:szCs w:val="21"/>
                    <w:lang w:val="it-IT"/>
                  </w:rPr>
                </w:rPrChange>
              </w:rPr>
              <w:t>Tosse, dispnea</w:t>
            </w:r>
          </w:p>
        </w:tc>
        <w:tc>
          <w:tcPr>
            <w:tcW w:w="871" w:type="pct"/>
            <w:tcBorders>
              <w:top w:val="single" w:sz="4" w:space="0" w:color="auto"/>
              <w:left w:val="nil"/>
              <w:bottom w:val="single" w:sz="8" w:space="0" w:color="000000"/>
              <w:right w:val="single" w:sz="8" w:space="0" w:color="auto"/>
            </w:tcBorders>
            <w:tcPrChange w:id="6954" w:author="Author">
              <w:tcPr>
                <w:tcW w:w="781" w:type="pct"/>
                <w:tcBorders>
                  <w:top w:val="single" w:sz="4" w:space="0" w:color="auto"/>
                  <w:left w:val="nil"/>
                  <w:bottom w:val="single" w:sz="8" w:space="0" w:color="000000"/>
                  <w:right w:val="single" w:sz="8" w:space="0" w:color="auto"/>
                </w:tcBorders>
              </w:tcPr>
            </w:tcPrChange>
          </w:tcPr>
          <w:p>
            <w:pPr>
              <w:widowControl w:val="0"/>
              <w:rPr>
                <w:rFonts w:eastAsia="Calibri"/>
                <w:noProof/>
                <w:color w:val="1A1A1A"/>
                <w:sz w:val="20"/>
                <w:lang w:val="it-IT" w:eastAsia="en-US"/>
                <w:rPrChange w:id="6955" w:author="Author">
                  <w:rPr>
                    <w:rFonts w:eastAsia="Calibri"/>
                    <w:color w:val="1A1A1A"/>
                    <w:sz w:val="21"/>
                    <w:szCs w:val="21"/>
                    <w:lang w:val="it-IT" w:eastAsia="en-US"/>
                  </w:rPr>
                </w:rPrChange>
              </w:rPr>
            </w:pPr>
          </w:p>
        </w:tc>
        <w:tc>
          <w:tcPr>
            <w:tcW w:w="628" w:type="pct"/>
            <w:tcBorders>
              <w:top w:val="single" w:sz="8" w:space="0" w:color="000000"/>
              <w:left w:val="single" w:sz="8" w:space="0" w:color="auto"/>
              <w:bottom w:val="single" w:sz="8" w:space="0" w:color="000000"/>
              <w:right w:val="single" w:sz="8" w:space="0" w:color="000000"/>
            </w:tcBorders>
            <w:tcMar>
              <w:top w:w="0" w:type="dxa"/>
              <w:left w:w="108" w:type="dxa"/>
              <w:bottom w:w="0" w:type="dxa"/>
              <w:right w:w="108" w:type="dxa"/>
            </w:tcMar>
            <w:tcPrChange w:id="6956" w:author="Author">
              <w:tcPr>
                <w:tcW w:w="814" w:type="pct"/>
                <w:tcBorders>
                  <w:top w:val="single" w:sz="8" w:space="0" w:color="000000"/>
                  <w:left w:val="single" w:sz="8" w:space="0" w:color="auto"/>
                  <w:bottom w:val="single" w:sz="8" w:space="0" w:color="000000"/>
                  <w:right w:val="single" w:sz="8" w:space="0" w:color="000000"/>
                </w:tcBorders>
                <w:tcMar>
                  <w:top w:w="0" w:type="dxa"/>
                  <w:left w:w="108" w:type="dxa"/>
                  <w:bottom w:w="0" w:type="dxa"/>
                  <w:right w:w="108" w:type="dxa"/>
                </w:tcMar>
              </w:tcPr>
            </w:tcPrChange>
          </w:tcPr>
          <w:p>
            <w:pPr>
              <w:widowControl w:val="0"/>
              <w:rPr>
                <w:rFonts w:eastAsia="Calibri"/>
                <w:noProof/>
                <w:color w:val="1A1A1A"/>
                <w:sz w:val="20"/>
                <w:lang w:val="it-IT" w:eastAsia="en-US"/>
                <w:rPrChange w:id="6957" w:author="Author">
                  <w:rPr>
                    <w:rFonts w:eastAsia="Calibri"/>
                    <w:color w:val="1A1A1A"/>
                    <w:sz w:val="21"/>
                    <w:szCs w:val="21"/>
                    <w:lang w:val="it-IT" w:eastAsia="en-US"/>
                  </w:rPr>
                </w:rPrChange>
              </w:rPr>
            </w:pPr>
          </w:p>
        </w:tc>
        <w:tc>
          <w:tcPr>
            <w:tcW w:w="663" w:type="pct"/>
            <w:tcBorders>
              <w:top w:val="single" w:sz="8" w:space="0" w:color="000000"/>
              <w:left w:val="single" w:sz="8" w:space="0" w:color="auto"/>
              <w:bottom w:val="single" w:sz="8" w:space="0" w:color="000000"/>
              <w:right w:val="single" w:sz="8" w:space="0" w:color="000000"/>
            </w:tcBorders>
            <w:tcPrChange w:id="6958" w:author="Author">
              <w:tcPr>
                <w:tcW w:w="813" w:type="pct"/>
                <w:tcBorders>
                  <w:top w:val="single" w:sz="8" w:space="0" w:color="000000"/>
                  <w:left w:val="single" w:sz="8" w:space="0" w:color="auto"/>
                  <w:bottom w:val="single" w:sz="8" w:space="0" w:color="000000"/>
                  <w:right w:val="single" w:sz="8" w:space="0" w:color="000000"/>
                </w:tcBorders>
              </w:tcPr>
            </w:tcPrChange>
          </w:tcPr>
          <w:p>
            <w:pPr>
              <w:widowControl w:val="0"/>
              <w:rPr>
                <w:rFonts w:eastAsia="Calibri"/>
                <w:noProof/>
                <w:color w:val="1A1A1A"/>
                <w:sz w:val="20"/>
                <w:lang w:val="it-IT" w:eastAsia="en-US"/>
                <w:rPrChange w:id="6959" w:author="Author">
                  <w:rPr>
                    <w:rFonts w:eastAsia="Calibri"/>
                    <w:color w:val="1A1A1A"/>
                    <w:sz w:val="21"/>
                    <w:szCs w:val="21"/>
                    <w:lang w:val="it-IT" w:eastAsia="en-US"/>
                  </w:rPr>
                </w:rPrChange>
              </w:rPr>
            </w:pPr>
          </w:p>
        </w:tc>
      </w:tr>
      <w:tr>
        <w:trPr>
          <w:cantSplit/>
          <w:trPrChange w:id="6960" w:author="Author">
            <w:trPr>
              <w:cantSplit/>
            </w:trPr>
          </w:trPrChange>
        </w:trPr>
        <w:tc>
          <w:tcPr>
            <w:tcW w:w="905" w:type="pct"/>
            <w:tcBorders>
              <w:top w:val="nil"/>
              <w:left w:val="single" w:sz="8" w:space="0" w:color="000000"/>
              <w:bottom w:val="single" w:sz="8" w:space="0" w:color="000000"/>
              <w:right w:val="single" w:sz="8" w:space="0" w:color="000000"/>
            </w:tcBorders>
            <w:tcMar>
              <w:top w:w="0" w:type="dxa"/>
              <w:left w:w="108" w:type="dxa"/>
              <w:bottom w:w="0" w:type="dxa"/>
              <w:right w:w="108" w:type="dxa"/>
            </w:tcMar>
            <w:tcPrChange w:id="6961" w:author="Author">
              <w:tcPr>
                <w:tcW w:w="88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6962" w:author="Author">
                  <w:rPr>
                    <w:sz w:val="21"/>
                    <w:szCs w:val="21"/>
                    <w:lang w:val="it-IT" w:eastAsia="en-US"/>
                  </w:rPr>
                </w:rPrChange>
              </w:rPr>
            </w:pPr>
            <w:r>
              <w:rPr>
                <w:rFonts w:eastAsia="Calibri"/>
                <w:noProof/>
                <w:color w:val="1A1A1A"/>
                <w:sz w:val="20"/>
                <w:lang w:val="it-IT" w:eastAsia="en-US"/>
                <w:rPrChange w:id="6963" w:author="Author">
                  <w:rPr>
                    <w:rFonts w:eastAsia="Calibri"/>
                    <w:color w:val="1A1A1A"/>
                    <w:sz w:val="21"/>
                    <w:szCs w:val="21"/>
                    <w:lang w:val="it-IT" w:eastAsia="en-US"/>
                  </w:rPr>
                </w:rPrChange>
              </w:rPr>
              <w:t>Patologie gastrointestinali</w:t>
            </w:r>
          </w:p>
        </w:tc>
        <w:tc>
          <w:tcPr>
            <w:tcW w:w="997" w:type="pct"/>
            <w:tcBorders>
              <w:top w:val="nil"/>
              <w:left w:val="nil"/>
              <w:bottom w:val="single" w:sz="8" w:space="0" w:color="000000"/>
              <w:right w:val="single" w:sz="8" w:space="0" w:color="000000"/>
            </w:tcBorders>
            <w:tcMar>
              <w:top w:w="0" w:type="dxa"/>
              <w:left w:w="108" w:type="dxa"/>
              <w:bottom w:w="0" w:type="dxa"/>
              <w:right w:w="108" w:type="dxa"/>
            </w:tcMar>
            <w:tcPrChange w:id="6964" w:author="Author">
              <w:tcPr>
                <w:tcW w:w="862" w:type="pct"/>
                <w:tcBorders>
                  <w:top w:val="nil"/>
                  <w:left w:val="nil"/>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6965" w:author="Author">
                  <w:rPr>
                    <w:sz w:val="21"/>
                    <w:szCs w:val="21"/>
                    <w:lang w:val="it-IT" w:eastAsia="en-US"/>
                  </w:rPr>
                </w:rPrChange>
              </w:rPr>
            </w:pPr>
            <w:r>
              <w:rPr>
                <w:rFonts w:eastAsia="Calibri"/>
                <w:noProof/>
                <w:color w:val="1A1A1A"/>
                <w:sz w:val="20"/>
                <w:lang w:val="it-IT" w:eastAsia="en-US"/>
                <w:rPrChange w:id="6966" w:author="Author">
                  <w:rPr>
                    <w:rFonts w:eastAsia="Calibri"/>
                    <w:color w:val="1A1A1A"/>
                    <w:sz w:val="21"/>
                    <w:szCs w:val="21"/>
                    <w:lang w:val="it-IT" w:eastAsia="en-US"/>
                  </w:rPr>
                </w:rPrChange>
              </w:rPr>
              <w:t> </w:t>
            </w:r>
          </w:p>
        </w:tc>
        <w:tc>
          <w:tcPr>
            <w:tcW w:w="936" w:type="pct"/>
            <w:tcBorders>
              <w:top w:val="nil"/>
              <w:left w:val="nil"/>
              <w:bottom w:val="single" w:sz="8" w:space="0" w:color="000000"/>
              <w:right w:val="single" w:sz="8" w:space="0" w:color="000000"/>
            </w:tcBorders>
            <w:tcMar>
              <w:top w:w="0" w:type="dxa"/>
              <w:left w:w="108" w:type="dxa"/>
              <w:bottom w:w="0" w:type="dxa"/>
              <w:right w:w="108" w:type="dxa"/>
            </w:tcMar>
            <w:tcPrChange w:id="6967" w:author="Author">
              <w:tcPr>
                <w:tcW w:w="842" w:type="pct"/>
                <w:tcBorders>
                  <w:top w:val="nil"/>
                  <w:left w:val="nil"/>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6968" w:author="Author">
                  <w:rPr>
                    <w:sz w:val="21"/>
                    <w:szCs w:val="21"/>
                    <w:lang w:val="it-IT" w:eastAsia="en-US"/>
                  </w:rPr>
                </w:rPrChange>
              </w:rPr>
            </w:pPr>
            <w:r>
              <w:rPr>
                <w:rFonts w:eastAsia="Calibri"/>
                <w:noProof/>
                <w:color w:val="1A1A1A"/>
                <w:sz w:val="20"/>
                <w:lang w:val="it-IT" w:eastAsia="en-US"/>
                <w:rPrChange w:id="6969" w:author="Author">
                  <w:rPr>
                    <w:rFonts w:eastAsia="Calibri"/>
                    <w:color w:val="1A1A1A"/>
                    <w:sz w:val="21"/>
                    <w:szCs w:val="21"/>
                    <w:lang w:val="it-IT" w:eastAsia="en-US"/>
                  </w:rPr>
                </w:rPrChange>
              </w:rPr>
              <w:t>Dolore addominale, ulcerazione della bocca, gastrite</w:t>
            </w:r>
          </w:p>
        </w:tc>
        <w:tc>
          <w:tcPr>
            <w:tcW w:w="871" w:type="pct"/>
            <w:tcBorders>
              <w:top w:val="single" w:sz="8" w:space="0" w:color="000000"/>
              <w:left w:val="nil"/>
              <w:bottom w:val="single" w:sz="8" w:space="0" w:color="000000"/>
              <w:right w:val="single" w:sz="8" w:space="0" w:color="auto"/>
            </w:tcBorders>
            <w:tcPrChange w:id="6970" w:author="Author">
              <w:tcPr>
                <w:tcW w:w="781" w:type="pct"/>
                <w:tcBorders>
                  <w:top w:val="single" w:sz="8" w:space="0" w:color="000000"/>
                  <w:left w:val="nil"/>
                  <w:bottom w:val="single" w:sz="8" w:space="0" w:color="000000"/>
                  <w:right w:val="single" w:sz="8" w:space="0" w:color="auto"/>
                </w:tcBorders>
              </w:tcPr>
            </w:tcPrChange>
          </w:tcPr>
          <w:p>
            <w:pPr>
              <w:widowControl w:val="0"/>
              <w:ind w:left="31"/>
              <w:rPr>
                <w:rFonts w:eastAsia="Calibri"/>
                <w:noProof/>
                <w:color w:val="1A1A1A"/>
                <w:sz w:val="20"/>
                <w:lang w:val="it-IT" w:eastAsia="en-US"/>
                <w:rPrChange w:id="6971" w:author="Author">
                  <w:rPr>
                    <w:rFonts w:eastAsia="Calibri"/>
                    <w:color w:val="1A1A1A"/>
                    <w:sz w:val="21"/>
                    <w:szCs w:val="21"/>
                    <w:lang w:val="it-IT" w:eastAsia="en-US"/>
                  </w:rPr>
                </w:rPrChange>
              </w:rPr>
              <w:pPrChange w:id="6972" w:author="Author">
                <w:pPr>
                  <w:widowControl w:val="0"/>
                </w:pPr>
              </w:pPrChange>
            </w:pPr>
            <w:r>
              <w:rPr>
                <w:rFonts w:eastAsia="Calibri"/>
                <w:noProof/>
                <w:color w:val="1A1A1A"/>
                <w:sz w:val="20"/>
                <w:lang w:val="it-IT" w:eastAsia="en-US"/>
                <w:rPrChange w:id="6973" w:author="Author">
                  <w:rPr>
                    <w:rFonts w:eastAsia="Calibri"/>
                    <w:color w:val="1A1A1A"/>
                    <w:sz w:val="21"/>
                    <w:szCs w:val="21"/>
                    <w:lang w:val="it-IT" w:eastAsia="en-US"/>
                  </w:rPr>
                </w:rPrChange>
              </w:rPr>
              <w:t>Stomatite, ulcera gastrica</w:t>
            </w:r>
          </w:p>
        </w:tc>
        <w:tc>
          <w:tcPr>
            <w:tcW w:w="628" w:type="pct"/>
            <w:tcBorders>
              <w:top w:val="single" w:sz="8" w:space="0" w:color="000000"/>
              <w:left w:val="single" w:sz="8" w:space="0" w:color="auto"/>
              <w:bottom w:val="single" w:sz="8" w:space="0" w:color="000000"/>
              <w:right w:val="single" w:sz="8" w:space="0" w:color="000000"/>
            </w:tcBorders>
            <w:tcMar>
              <w:top w:w="0" w:type="dxa"/>
              <w:left w:w="108" w:type="dxa"/>
              <w:bottom w:w="0" w:type="dxa"/>
              <w:right w:w="108" w:type="dxa"/>
            </w:tcMar>
            <w:tcPrChange w:id="6974" w:author="Author">
              <w:tcPr>
                <w:tcW w:w="814" w:type="pct"/>
                <w:tcBorders>
                  <w:top w:val="single" w:sz="8" w:space="0" w:color="000000"/>
                  <w:left w:val="single" w:sz="8" w:space="0" w:color="auto"/>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6975" w:author="Author">
                  <w:rPr>
                    <w:sz w:val="21"/>
                    <w:szCs w:val="21"/>
                    <w:lang w:val="it-IT" w:eastAsia="en-US"/>
                  </w:rPr>
                </w:rPrChange>
              </w:rPr>
            </w:pPr>
          </w:p>
        </w:tc>
        <w:tc>
          <w:tcPr>
            <w:tcW w:w="663" w:type="pct"/>
            <w:tcBorders>
              <w:top w:val="single" w:sz="8" w:space="0" w:color="000000"/>
              <w:left w:val="single" w:sz="8" w:space="0" w:color="auto"/>
              <w:bottom w:val="single" w:sz="8" w:space="0" w:color="000000"/>
              <w:right w:val="single" w:sz="8" w:space="0" w:color="000000"/>
            </w:tcBorders>
            <w:tcPrChange w:id="6976" w:author="Author">
              <w:tcPr>
                <w:tcW w:w="813" w:type="pct"/>
                <w:tcBorders>
                  <w:top w:val="single" w:sz="8" w:space="0" w:color="000000"/>
                  <w:left w:val="single" w:sz="8" w:space="0" w:color="auto"/>
                  <w:bottom w:val="single" w:sz="8" w:space="0" w:color="000000"/>
                  <w:right w:val="single" w:sz="8" w:space="0" w:color="000000"/>
                </w:tcBorders>
              </w:tcPr>
            </w:tcPrChange>
          </w:tcPr>
          <w:p>
            <w:pPr>
              <w:widowControl w:val="0"/>
              <w:rPr>
                <w:noProof/>
                <w:sz w:val="20"/>
                <w:lang w:val="it-IT" w:eastAsia="en-US"/>
                <w:rPrChange w:id="6977" w:author="Author">
                  <w:rPr>
                    <w:sz w:val="21"/>
                    <w:szCs w:val="21"/>
                    <w:lang w:val="it-IT" w:eastAsia="en-US"/>
                  </w:rPr>
                </w:rPrChange>
              </w:rPr>
            </w:pPr>
          </w:p>
        </w:tc>
      </w:tr>
      <w:tr>
        <w:trPr>
          <w:cantSplit/>
          <w:trPrChange w:id="6978" w:author="Author">
            <w:trPr>
              <w:cantSplit/>
            </w:trPr>
          </w:trPrChange>
        </w:trPr>
        <w:tc>
          <w:tcPr>
            <w:tcW w:w="9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979" w:author="Author">
              <w:tcPr>
                <w:tcW w:w="8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980" w:author="Author">
                  <w:rPr>
                    <w:rFonts w:eastAsia="Calibri"/>
                    <w:color w:val="1A1A1A"/>
                    <w:sz w:val="21"/>
                    <w:szCs w:val="21"/>
                    <w:lang w:val="it-IT" w:eastAsia="en-US"/>
                  </w:rPr>
                </w:rPrChange>
              </w:rPr>
            </w:pPr>
            <w:r>
              <w:rPr>
                <w:noProof/>
                <w:sz w:val="20"/>
                <w:lang w:val="it-IT"/>
                <w:rPrChange w:id="6981" w:author="Author">
                  <w:rPr>
                    <w:sz w:val="21"/>
                    <w:szCs w:val="21"/>
                    <w:lang w:val="it-IT"/>
                  </w:rPr>
                </w:rPrChange>
              </w:rPr>
              <w:lastRenderedPageBreak/>
              <w:t>Patologie epatobiliari</w:t>
            </w:r>
          </w:p>
        </w:tc>
        <w:tc>
          <w:tcPr>
            <w:tcW w:w="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982" w:author="Author">
              <w:tcPr>
                <w:tcW w:w="8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983" w:author="Author">
                  <w:rPr>
                    <w:rFonts w:eastAsia="Calibri"/>
                    <w:color w:val="1A1A1A"/>
                    <w:sz w:val="21"/>
                    <w:szCs w:val="21"/>
                    <w:lang w:val="it-IT" w:eastAsia="en-US"/>
                  </w:rPr>
                </w:rPrChange>
              </w:rPr>
            </w:pPr>
          </w:p>
        </w:tc>
        <w:tc>
          <w:tcPr>
            <w:tcW w:w="9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984" w:author="Author">
              <w:tcPr>
                <w:tcW w:w="8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6985" w:author="Author">
                  <w:rPr>
                    <w:rFonts w:eastAsia="Calibri"/>
                    <w:color w:val="1A1A1A"/>
                    <w:sz w:val="21"/>
                    <w:szCs w:val="21"/>
                    <w:lang w:val="it-IT" w:eastAsia="en-US"/>
                  </w:rPr>
                </w:rPrChange>
              </w:rPr>
            </w:pPr>
          </w:p>
        </w:tc>
        <w:tc>
          <w:tcPr>
            <w:tcW w:w="871" w:type="pct"/>
            <w:tcBorders>
              <w:top w:val="single" w:sz="4" w:space="0" w:color="auto"/>
              <w:left w:val="single" w:sz="4" w:space="0" w:color="auto"/>
              <w:bottom w:val="single" w:sz="4" w:space="0" w:color="auto"/>
              <w:right w:val="single" w:sz="4" w:space="0" w:color="auto"/>
            </w:tcBorders>
            <w:tcPrChange w:id="6986" w:author="Author">
              <w:tcPr>
                <w:tcW w:w="781" w:type="pct"/>
                <w:tcBorders>
                  <w:top w:val="single" w:sz="4" w:space="0" w:color="auto"/>
                  <w:left w:val="single" w:sz="4" w:space="0" w:color="auto"/>
                  <w:bottom w:val="single" w:sz="4" w:space="0" w:color="auto"/>
                  <w:right w:val="single" w:sz="4" w:space="0" w:color="auto"/>
                </w:tcBorders>
              </w:tcPr>
            </w:tcPrChange>
          </w:tcPr>
          <w:p>
            <w:pPr>
              <w:widowControl w:val="0"/>
              <w:rPr>
                <w:rFonts w:eastAsia="Calibri"/>
                <w:noProof/>
                <w:color w:val="1A1A1A"/>
                <w:sz w:val="20"/>
                <w:lang w:val="it-IT" w:eastAsia="en-US"/>
                <w:rPrChange w:id="6987" w:author="Author">
                  <w:rPr>
                    <w:rFonts w:eastAsia="Calibri"/>
                    <w:color w:val="1A1A1A"/>
                    <w:sz w:val="21"/>
                    <w:szCs w:val="21"/>
                    <w:lang w:val="it-IT" w:eastAsia="en-US"/>
                  </w:rPr>
                </w:rPrChange>
              </w:rPr>
            </w:pP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6988" w:author="Author">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tabs>
                <w:tab w:val="left" w:pos="180"/>
              </w:tabs>
              <w:rPr>
                <w:del w:id="6989" w:author="Author"/>
                <w:noProof/>
                <w:sz w:val="20"/>
                <w:lang w:val="it-IT"/>
                <w:rPrChange w:id="6990" w:author="Author">
                  <w:rPr>
                    <w:del w:id="6991" w:author="Author"/>
                    <w:sz w:val="21"/>
                    <w:szCs w:val="21"/>
                    <w:lang w:val="it-IT"/>
                  </w:rPr>
                </w:rPrChange>
              </w:rPr>
            </w:pPr>
            <w:r>
              <w:rPr>
                <w:noProof/>
                <w:sz w:val="20"/>
                <w:lang w:val="it-IT"/>
                <w:rPrChange w:id="6992" w:author="Author">
                  <w:rPr>
                    <w:sz w:val="21"/>
                    <w:szCs w:val="21"/>
                    <w:lang w:val="it-IT"/>
                  </w:rPr>
                </w:rPrChange>
              </w:rPr>
              <w:t>Danno epatico da farmaci, epatite, ittero</w:t>
            </w:r>
            <w:del w:id="6993" w:author="Author">
              <w:r>
                <w:rPr>
                  <w:noProof/>
                  <w:sz w:val="20"/>
                  <w:lang w:val="it-IT"/>
                  <w:rPrChange w:id="6994" w:author="Author">
                    <w:rPr>
                      <w:sz w:val="21"/>
                      <w:szCs w:val="21"/>
                      <w:lang w:val="it-IT"/>
                    </w:rPr>
                  </w:rPrChange>
                </w:rPr>
                <w:delText>.</w:delText>
              </w:r>
            </w:del>
          </w:p>
          <w:p>
            <w:pPr>
              <w:widowControl w:val="0"/>
              <w:tabs>
                <w:tab w:val="left" w:pos="180"/>
              </w:tabs>
              <w:rPr>
                <w:noProof/>
                <w:sz w:val="20"/>
                <w:lang w:val="it-IT" w:eastAsia="en-US"/>
                <w:rPrChange w:id="6995" w:author="Author">
                  <w:rPr>
                    <w:sz w:val="21"/>
                    <w:szCs w:val="21"/>
                    <w:lang w:val="it-IT" w:eastAsia="en-US"/>
                  </w:rPr>
                </w:rPrChange>
              </w:rPr>
              <w:pPrChange w:id="6996" w:author="Author">
                <w:pPr>
                  <w:widowControl w:val="0"/>
                </w:pPr>
              </w:pPrChange>
            </w:pPr>
          </w:p>
        </w:tc>
        <w:tc>
          <w:tcPr>
            <w:tcW w:w="663" w:type="pct"/>
            <w:tcBorders>
              <w:top w:val="single" w:sz="4" w:space="0" w:color="auto"/>
              <w:left w:val="single" w:sz="4" w:space="0" w:color="auto"/>
              <w:bottom w:val="single" w:sz="4" w:space="0" w:color="auto"/>
              <w:right w:val="single" w:sz="4" w:space="0" w:color="auto"/>
            </w:tcBorders>
            <w:tcPrChange w:id="6997" w:author="Author">
              <w:tcPr>
                <w:tcW w:w="813" w:type="pct"/>
                <w:tcBorders>
                  <w:top w:val="single" w:sz="4" w:space="0" w:color="auto"/>
                  <w:left w:val="single" w:sz="4" w:space="0" w:color="auto"/>
                  <w:bottom w:val="single" w:sz="4" w:space="0" w:color="auto"/>
                  <w:right w:val="single" w:sz="4" w:space="0" w:color="auto"/>
                </w:tcBorders>
              </w:tcPr>
            </w:tcPrChange>
          </w:tcPr>
          <w:p>
            <w:pPr>
              <w:widowControl w:val="0"/>
              <w:tabs>
                <w:tab w:val="left" w:pos="180"/>
              </w:tabs>
              <w:ind w:left="34"/>
              <w:rPr>
                <w:noProof/>
                <w:sz w:val="20"/>
                <w:lang w:val="it-IT"/>
                <w:rPrChange w:id="6998" w:author="Author">
                  <w:rPr>
                    <w:sz w:val="21"/>
                    <w:szCs w:val="21"/>
                    <w:lang w:val="it-IT"/>
                  </w:rPr>
                </w:rPrChange>
              </w:rPr>
              <w:pPrChange w:id="6999" w:author="Author">
                <w:pPr>
                  <w:widowControl w:val="0"/>
                  <w:tabs>
                    <w:tab w:val="left" w:pos="180"/>
                  </w:tabs>
                </w:pPr>
              </w:pPrChange>
            </w:pPr>
            <w:r>
              <w:rPr>
                <w:noProof/>
                <w:sz w:val="20"/>
                <w:lang w:val="it-IT"/>
                <w:rPrChange w:id="7000" w:author="Author">
                  <w:rPr>
                    <w:sz w:val="21"/>
                    <w:szCs w:val="21"/>
                    <w:lang w:val="it-IT"/>
                  </w:rPr>
                </w:rPrChange>
              </w:rPr>
              <w:t>insufficienza epatica</w:t>
            </w:r>
          </w:p>
        </w:tc>
      </w:tr>
      <w:tr>
        <w:trPr>
          <w:cantSplit/>
          <w:trPrChange w:id="7001" w:author="Author">
            <w:trPr>
              <w:cantSplit/>
            </w:trPr>
          </w:trPrChange>
        </w:trPr>
        <w:tc>
          <w:tcPr>
            <w:tcW w:w="9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002" w:author="Author">
              <w:tcPr>
                <w:tcW w:w="8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7003" w:author="Author">
                  <w:rPr>
                    <w:rFonts w:eastAsia="Calibri"/>
                    <w:color w:val="1A1A1A"/>
                    <w:sz w:val="21"/>
                    <w:szCs w:val="21"/>
                    <w:lang w:val="it-IT" w:eastAsia="en-US"/>
                  </w:rPr>
                </w:rPrChange>
              </w:rPr>
            </w:pPr>
            <w:r>
              <w:rPr>
                <w:noProof/>
                <w:sz w:val="20"/>
                <w:lang w:val="it-IT"/>
                <w:rPrChange w:id="7004" w:author="Author">
                  <w:rPr>
                    <w:sz w:val="21"/>
                    <w:szCs w:val="21"/>
                    <w:lang w:val="it-IT"/>
                  </w:rPr>
                </w:rPrChange>
              </w:rPr>
              <w:t>Patologie della cute e del tessuto sottocutaneo</w:t>
            </w:r>
          </w:p>
        </w:tc>
        <w:tc>
          <w:tcPr>
            <w:tcW w:w="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005" w:author="Author">
              <w:tcPr>
                <w:tcW w:w="8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7006" w:author="Author">
                  <w:rPr>
                    <w:rFonts w:eastAsia="Calibri"/>
                    <w:color w:val="1A1A1A"/>
                    <w:sz w:val="21"/>
                    <w:szCs w:val="21"/>
                    <w:lang w:val="it-IT" w:eastAsia="en-US"/>
                  </w:rPr>
                </w:rPrChange>
              </w:rPr>
            </w:pPr>
          </w:p>
        </w:tc>
        <w:tc>
          <w:tcPr>
            <w:tcW w:w="9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007" w:author="Author">
              <w:tcPr>
                <w:tcW w:w="8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7008" w:author="Author">
                  <w:rPr>
                    <w:rFonts w:eastAsia="Calibri"/>
                    <w:color w:val="1A1A1A"/>
                    <w:sz w:val="21"/>
                    <w:szCs w:val="21"/>
                    <w:lang w:val="it-IT" w:eastAsia="en-US"/>
                  </w:rPr>
                </w:rPrChange>
              </w:rPr>
            </w:pPr>
            <w:r>
              <w:rPr>
                <w:noProof/>
                <w:sz w:val="20"/>
                <w:lang w:val="it-IT"/>
                <w:rPrChange w:id="7009" w:author="Author">
                  <w:rPr>
                    <w:sz w:val="21"/>
                    <w:szCs w:val="21"/>
                    <w:lang w:val="it-IT"/>
                  </w:rPr>
                </w:rPrChange>
              </w:rPr>
              <w:t>Eruzione cutanea, prurito, orticaria</w:t>
            </w:r>
          </w:p>
        </w:tc>
        <w:tc>
          <w:tcPr>
            <w:tcW w:w="871" w:type="pct"/>
            <w:tcBorders>
              <w:top w:val="single" w:sz="4" w:space="0" w:color="auto"/>
              <w:left w:val="single" w:sz="4" w:space="0" w:color="auto"/>
              <w:bottom w:val="single" w:sz="4" w:space="0" w:color="auto"/>
              <w:right w:val="single" w:sz="4" w:space="0" w:color="auto"/>
            </w:tcBorders>
            <w:tcPrChange w:id="7010" w:author="Author">
              <w:tcPr>
                <w:tcW w:w="781" w:type="pct"/>
                <w:tcBorders>
                  <w:top w:val="single" w:sz="4" w:space="0" w:color="auto"/>
                  <w:left w:val="single" w:sz="4" w:space="0" w:color="auto"/>
                  <w:bottom w:val="single" w:sz="4" w:space="0" w:color="auto"/>
                  <w:right w:val="single" w:sz="4" w:space="0" w:color="auto"/>
                </w:tcBorders>
              </w:tcPr>
            </w:tcPrChange>
          </w:tcPr>
          <w:p>
            <w:pPr>
              <w:widowControl w:val="0"/>
              <w:rPr>
                <w:rFonts w:eastAsia="Calibri"/>
                <w:noProof/>
                <w:color w:val="1A1A1A"/>
                <w:sz w:val="20"/>
                <w:lang w:val="it-IT" w:eastAsia="en-US"/>
                <w:rPrChange w:id="7011" w:author="Author">
                  <w:rPr>
                    <w:rFonts w:eastAsia="Calibri"/>
                    <w:color w:val="1A1A1A"/>
                    <w:sz w:val="21"/>
                    <w:szCs w:val="21"/>
                    <w:lang w:val="it-IT" w:eastAsia="en-US"/>
                  </w:rPr>
                </w:rPrChange>
              </w:rPr>
            </w:pP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012" w:author="Author">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noProof/>
                <w:sz w:val="20"/>
                <w:lang w:val="it-IT" w:eastAsia="en-US"/>
                <w:rPrChange w:id="7013" w:author="Author">
                  <w:rPr>
                    <w:sz w:val="21"/>
                    <w:szCs w:val="21"/>
                    <w:lang w:val="it-IT" w:eastAsia="en-US"/>
                  </w:rPr>
                </w:rPrChange>
              </w:rPr>
            </w:pPr>
            <w:r>
              <w:rPr>
                <w:noProof/>
                <w:sz w:val="20"/>
                <w:lang w:val="it-IT"/>
                <w:rPrChange w:id="7014" w:author="Author">
                  <w:rPr>
                    <w:sz w:val="21"/>
                    <w:szCs w:val="21"/>
                    <w:lang w:val="it-IT"/>
                  </w:rPr>
                </w:rPrChange>
              </w:rPr>
              <w:t xml:space="preserve">Sindrome di </w:t>
            </w:r>
            <w:r>
              <w:rPr>
                <w:noProof/>
                <w:sz w:val="20"/>
                <w:lang w:val="it-IT"/>
                <w:rPrChange w:id="7015" w:author="Author">
                  <w:rPr>
                    <w:szCs w:val="22"/>
                    <w:lang w:val="it-IT"/>
                  </w:rPr>
                </w:rPrChange>
              </w:rPr>
              <w:t>Stevens-Johnson</w:t>
            </w:r>
            <w:r>
              <w:rPr>
                <w:noProof/>
                <w:sz w:val="20"/>
                <w:vertAlign w:val="superscript"/>
                <w:lang w:val="it-IT"/>
                <w:rPrChange w:id="7016" w:author="Author">
                  <w:rPr>
                    <w:szCs w:val="22"/>
                    <w:vertAlign w:val="superscript"/>
                    <w:lang w:val="it-IT"/>
                  </w:rPr>
                </w:rPrChange>
              </w:rPr>
              <w:t>3</w:t>
            </w:r>
          </w:p>
        </w:tc>
        <w:tc>
          <w:tcPr>
            <w:tcW w:w="663" w:type="pct"/>
            <w:tcBorders>
              <w:top w:val="single" w:sz="4" w:space="0" w:color="auto"/>
              <w:left w:val="single" w:sz="4" w:space="0" w:color="auto"/>
              <w:bottom w:val="single" w:sz="4" w:space="0" w:color="auto"/>
              <w:right w:val="single" w:sz="4" w:space="0" w:color="auto"/>
            </w:tcBorders>
            <w:tcPrChange w:id="7017" w:author="Author">
              <w:tcPr>
                <w:tcW w:w="813" w:type="pct"/>
                <w:tcBorders>
                  <w:top w:val="single" w:sz="4" w:space="0" w:color="auto"/>
                  <w:left w:val="single" w:sz="4" w:space="0" w:color="auto"/>
                  <w:bottom w:val="single" w:sz="4" w:space="0" w:color="auto"/>
                  <w:right w:val="single" w:sz="4" w:space="0" w:color="auto"/>
                </w:tcBorders>
              </w:tcPr>
            </w:tcPrChange>
          </w:tcPr>
          <w:p>
            <w:pPr>
              <w:widowControl w:val="0"/>
              <w:rPr>
                <w:noProof/>
                <w:sz w:val="20"/>
                <w:lang w:val="it-IT"/>
                <w:rPrChange w:id="7018" w:author="Author">
                  <w:rPr>
                    <w:sz w:val="21"/>
                    <w:szCs w:val="21"/>
                    <w:lang w:val="it-IT"/>
                  </w:rPr>
                </w:rPrChange>
              </w:rPr>
            </w:pPr>
          </w:p>
        </w:tc>
      </w:tr>
      <w:tr>
        <w:trPr>
          <w:cantSplit/>
          <w:trPrChange w:id="7019" w:author="Author">
            <w:trPr>
              <w:cantSplit/>
            </w:trPr>
          </w:trPrChange>
        </w:trPr>
        <w:tc>
          <w:tcPr>
            <w:tcW w:w="9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020" w:author="Author">
              <w:tcPr>
                <w:tcW w:w="8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7021" w:author="Author">
                  <w:rPr>
                    <w:rFonts w:eastAsia="Calibri"/>
                    <w:color w:val="1A1A1A"/>
                    <w:sz w:val="21"/>
                    <w:szCs w:val="21"/>
                    <w:lang w:val="it-IT" w:eastAsia="en-US"/>
                  </w:rPr>
                </w:rPrChange>
              </w:rPr>
            </w:pPr>
            <w:r>
              <w:rPr>
                <w:noProof/>
                <w:sz w:val="20"/>
                <w:lang w:val="it-IT"/>
                <w:rPrChange w:id="7022" w:author="Author">
                  <w:rPr>
                    <w:sz w:val="21"/>
                    <w:szCs w:val="21"/>
                    <w:lang w:val="it-IT"/>
                  </w:rPr>
                </w:rPrChange>
              </w:rPr>
              <w:t>Patologie renali e urinarie</w:t>
            </w:r>
          </w:p>
        </w:tc>
        <w:tc>
          <w:tcPr>
            <w:tcW w:w="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023" w:author="Author">
              <w:tcPr>
                <w:tcW w:w="8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7024" w:author="Author">
                  <w:rPr>
                    <w:rFonts w:eastAsia="Calibri"/>
                    <w:color w:val="1A1A1A"/>
                    <w:sz w:val="21"/>
                    <w:szCs w:val="21"/>
                    <w:lang w:val="it-IT" w:eastAsia="en-US"/>
                  </w:rPr>
                </w:rPrChange>
              </w:rPr>
            </w:pPr>
          </w:p>
        </w:tc>
        <w:tc>
          <w:tcPr>
            <w:tcW w:w="9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025" w:author="Author">
              <w:tcPr>
                <w:tcW w:w="8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rFonts w:eastAsia="Calibri"/>
                <w:noProof/>
                <w:color w:val="1A1A1A"/>
                <w:sz w:val="20"/>
                <w:lang w:val="it-IT" w:eastAsia="en-US"/>
                <w:rPrChange w:id="7026" w:author="Author">
                  <w:rPr>
                    <w:rFonts w:eastAsia="Calibri"/>
                    <w:color w:val="1A1A1A"/>
                    <w:sz w:val="21"/>
                    <w:szCs w:val="21"/>
                    <w:lang w:val="it-IT" w:eastAsia="en-US"/>
                  </w:rPr>
                </w:rPrChange>
              </w:rPr>
            </w:pPr>
          </w:p>
        </w:tc>
        <w:tc>
          <w:tcPr>
            <w:tcW w:w="871" w:type="pct"/>
            <w:tcBorders>
              <w:top w:val="single" w:sz="4" w:space="0" w:color="auto"/>
              <w:left w:val="single" w:sz="4" w:space="0" w:color="auto"/>
              <w:bottom w:val="single" w:sz="4" w:space="0" w:color="auto"/>
              <w:right w:val="single" w:sz="4" w:space="0" w:color="auto"/>
            </w:tcBorders>
            <w:tcPrChange w:id="7027" w:author="Author">
              <w:tcPr>
                <w:tcW w:w="781" w:type="pct"/>
                <w:tcBorders>
                  <w:top w:val="single" w:sz="4" w:space="0" w:color="auto"/>
                  <w:left w:val="single" w:sz="4" w:space="0" w:color="auto"/>
                  <w:bottom w:val="single" w:sz="4" w:space="0" w:color="auto"/>
                  <w:right w:val="single" w:sz="4" w:space="0" w:color="auto"/>
                </w:tcBorders>
              </w:tcPr>
            </w:tcPrChange>
          </w:tcPr>
          <w:p>
            <w:pPr>
              <w:widowControl w:val="0"/>
              <w:ind w:left="49"/>
              <w:rPr>
                <w:rFonts w:eastAsia="Calibri"/>
                <w:noProof/>
                <w:color w:val="1A1A1A"/>
                <w:sz w:val="20"/>
                <w:lang w:val="it-IT" w:eastAsia="en-US"/>
                <w:rPrChange w:id="7028" w:author="Author">
                  <w:rPr>
                    <w:rFonts w:eastAsia="Calibri"/>
                    <w:color w:val="1A1A1A"/>
                    <w:sz w:val="21"/>
                    <w:szCs w:val="21"/>
                    <w:lang w:val="it-IT" w:eastAsia="en-US"/>
                  </w:rPr>
                </w:rPrChange>
              </w:rPr>
              <w:pPrChange w:id="7029" w:author="Author">
                <w:pPr>
                  <w:widowControl w:val="0"/>
                </w:pPr>
              </w:pPrChange>
            </w:pPr>
            <w:ins w:id="7030" w:author="Author">
              <w:r>
                <w:rPr>
                  <w:noProof/>
                  <w:sz w:val="20"/>
                  <w:lang w:val="it-IT"/>
                </w:rPr>
                <w:t>Nefro</w:t>
              </w:r>
            </w:ins>
            <w:del w:id="7031" w:author="Author">
              <w:r>
                <w:rPr>
                  <w:noProof/>
                  <w:sz w:val="20"/>
                  <w:lang w:val="it-IT"/>
                  <w:rPrChange w:id="7032" w:author="Author">
                    <w:rPr>
                      <w:sz w:val="21"/>
                      <w:szCs w:val="21"/>
                      <w:lang w:val="it-IT"/>
                    </w:rPr>
                  </w:rPrChange>
                </w:rPr>
                <w:delText>L</w:delText>
              </w:r>
            </w:del>
            <w:ins w:id="7033" w:author="Author">
              <w:r>
                <w:rPr>
                  <w:noProof/>
                  <w:sz w:val="20"/>
                  <w:lang w:val="it-IT"/>
                </w:rPr>
                <w:t>l</w:t>
              </w:r>
            </w:ins>
            <w:r>
              <w:rPr>
                <w:noProof/>
                <w:sz w:val="20"/>
                <w:lang w:val="it-IT"/>
                <w:rPrChange w:id="7034" w:author="Author">
                  <w:rPr>
                    <w:sz w:val="21"/>
                    <w:szCs w:val="21"/>
                    <w:lang w:val="it-IT"/>
                  </w:rPr>
                </w:rPrChange>
              </w:rPr>
              <w:t xml:space="preserve">itiasi </w:t>
            </w:r>
            <w:del w:id="7035" w:author="Author">
              <w:r>
                <w:rPr>
                  <w:noProof/>
                  <w:sz w:val="20"/>
                  <w:lang w:val="it-IT"/>
                  <w:rPrChange w:id="7036" w:author="Author">
                    <w:rPr>
                      <w:sz w:val="21"/>
                      <w:szCs w:val="21"/>
                      <w:lang w:val="it-IT"/>
                    </w:rPr>
                  </w:rPrChange>
                </w:rPr>
                <w:delText>renale</w:delText>
              </w:r>
            </w:del>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7037" w:author="Author">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pPr>
              <w:widowControl w:val="0"/>
              <w:rPr>
                <w:noProof/>
                <w:sz w:val="20"/>
                <w:lang w:val="it-IT" w:eastAsia="en-US"/>
                <w:rPrChange w:id="7038" w:author="Author">
                  <w:rPr>
                    <w:sz w:val="21"/>
                    <w:szCs w:val="21"/>
                    <w:lang w:val="it-IT" w:eastAsia="en-US"/>
                  </w:rPr>
                </w:rPrChange>
              </w:rPr>
            </w:pPr>
          </w:p>
        </w:tc>
        <w:tc>
          <w:tcPr>
            <w:tcW w:w="663" w:type="pct"/>
            <w:tcBorders>
              <w:top w:val="single" w:sz="4" w:space="0" w:color="auto"/>
              <w:left w:val="single" w:sz="4" w:space="0" w:color="auto"/>
              <w:bottom w:val="single" w:sz="4" w:space="0" w:color="auto"/>
              <w:right w:val="single" w:sz="4" w:space="0" w:color="auto"/>
            </w:tcBorders>
            <w:tcPrChange w:id="7039" w:author="Author">
              <w:tcPr>
                <w:tcW w:w="813" w:type="pct"/>
                <w:tcBorders>
                  <w:top w:val="single" w:sz="4" w:space="0" w:color="auto"/>
                  <w:left w:val="single" w:sz="4" w:space="0" w:color="auto"/>
                  <w:bottom w:val="single" w:sz="4" w:space="0" w:color="auto"/>
                  <w:right w:val="single" w:sz="4" w:space="0" w:color="auto"/>
                </w:tcBorders>
              </w:tcPr>
            </w:tcPrChange>
          </w:tcPr>
          <w:p>
            <w:pPr>
              <w:widowControl w:val="0"/>
              <w:rPr>
                <w:noProof/>
                <w:sz w:val="20"/>
                <w:lang w:val="it-IT" w:eastAsia="en-US"/>
                <w:rPrChange w:id="7040" w:author="Author">
                  <w:rPr>
                    <w:sz w:val="21"/>
                    <w:szCs w:val="21"/>
                    <w:lang w:val="it-IT" w:eastAsia="en-US"/>
                  </w:rPr>
                </w:rPrChange>
              </w:rPr>
            </w:pPr>
          </w:p>
        </w:tc>
      </w:tr>
      <w:tr>
        <w:trPr>
          <w:cantSplit/>
          <w:trPrChange w:id="7041" w:author="Author">
            <w:trPr>
              <w:cantSplit/>
            </w:trPr>
          </w:trPrChange>
        </w:trPr>
        <w:tc>
          <w:tcPr>
            <w:tcW w:w="905" w:type="pct"/>
            <w:tcBorders>
              <w:top w:val="nil"/>
              <w:left w:val="single" w:sz="8" w:space="0" w:color="000000"/>
              <w:bottom w:val="single" w:sz="4" w:space="0" w:color="auto"/>
              <w:right w:val="single" w:sz="8" w:space="0" w:color="000000"/>
            </w:tcBorders>
            <w:tcMar>
              <w:top w:w="0" w:type="dxa"/>
              <w:left w:w="108" w:type="dxa"/>
              <w:bottom w:w="0" w:type="dxa"/>
              <w:right w:w="108" w:type="dxa"/>
            </w:tcMar>
            <w:tcPrChange w:id="7042" w:author="Author">
              <w:tcPr>
                <w:tcW w:w="888" w:type="pct"/>
                <w:tcBorders>
                  <w:top w:val="nil"/>
                  <w:left w:val="single" w:sz="8" w:space="0" w:color="000000"/>
                  <w:bottom w:val="single" w:sz="4" w:space="0" w:color="auto"/>
                  <w:right w:val="single" w:sz="8" w:space="0" w:color="000000"/>
                </w:tcBorders>
                <w:tcMar>
                  <w:top w:w="0" w:type="dxa"/>
                  <w:left w:w="108" w:type="dxa"/>
                  <w:bottom w:w="0" w:type="dxa"/>
                  <w:right w:w="108" w:type="dxa"/>
                </w:tcMar>
              </w:tcPr>
            </w:tcPrChange>
          </w:tcPr>
          <w:p>
            <w:pPr>
              <w:widowControl w:val="0"/>
              <w:rPr>
                <w:noProof/>
                <w:sz w:val="20"/>
                <w:lang w:val="it-IT" w:eastAsia="en-US"/>
                <w:rPrChange w:id="7043" w:author="Author">
                  <w:rPr>
                    <w:sz w:val="21"/>
                    <w:szCs w:val="21"/>
                    <w:lang w:val="it-IT" w:eastAsia="en-US"/>
                  </w:rPr>
                </w:rPrChange>
              </w:rPr>
            </w:pPr>
            <w:r>
              <w:rPr>
                <w:rFonts w:eastAsia="Calibri"/>
                <w:noProof/>
                <w:color w:val="1A1A1A"/>
                <w:sz w:val="20"/>
                <w:lang w:val="it-IT" w:eastAsia="en-US"/>
                <w:rPrChange w:id="7044" w:author="Author">
                  <w:rPr>
                    <w:rFonts w:eastAsia="Calibri"/>
                    <w:color w:val="1A1A1A"/>
                    <w:sz w:val="21"/>
                    <w:szCs w:val="21"/>
                    <w:lang w:val="it-IT" w:eastAsia="en-US"/>
                  </w:rPr>
                </w:rPrChange>
              </w:rPr>
              <w:t>Patologie generali e condizioni relative alla sede di somministrazione</w:t>
            </w:r>
          </w:p>
        </w:tc>
        <w:tc>
          <w:tcPr>
            <w:tcW w:w="997" w:type="pct"/>
            <w:tcBorders>
              <w:top w:val="nil"/>
              <w:left w:val="nil"/>
              <w:bottom w:val="single" w:sz="4" w:space="0" w:color="auto"/>
              <w:right w:val="single" w:sz="8" w:space="0" w:color="000000"/>
            </w:tcBorders>
            <w:tcMar>
              <w:top w:w="0" w:type="dxa"/>
              <w:left w:w="108" w:type="dxa"/>
              <w:bottom w:w="0" w:type="dxa"/>
              <w:right w:w="108" w:type="dxa"/>
            </w:tcMar>
            <w:tcPrChange w:id="7045" w:author="Author">
              <w:tcPr>
                <w:tcW w:w="862" w:type="pct"/>
                <w:tcBorders>
                  <w:top w:val="nil"/>
                  <w:left w:val="nil"/>
                  <w:bottom w:val="single" w:sz="4" w:space="0" w:color="auto"/>
                  <w:right w:val="single" w:sz="8" w:space="0" w:color="000000"/>
                </w:tcBorders>
                <w:tcMar>
                  <w:top w:w="0" w:type="dxa"/>
                  <w:left w:w="108" w:type="dxa"/>
                  <w:bottom w:w="0" w:type="dxa"/>
                  <w:right w:w="108" w:type="dxa"/>
                </w:tcMar>
              </w:tcPr>
            </w:tcPrChange>
          </w:tcPr>
          <w:p>
            <w:pPr>
              <w:widowControl w:val="0"/>
              <w:rPr>
                <w:noProof/>
                <w:sz w:val="20"/>
                <w:lang w:val="it-IT" w:eastAsia="en-US"/>
                <w:rPrChange w:id="7046" w:author="Author">
                  <w:rPr>
                    <w:sz w:val="21"/>
                    <w:szCs w:val="21"/>
                    <w:lang w:val="it-IT" w:eastAsia="en-US"/>
                  </w:rPr>
                </w:rPrChange>
              </w:rPr>
            </w:pPr>
            <w:r>
              <w:rPr>
                <w:noProof/>
                <w:sz w:val="20"/>
                <w:lang w:val="it-IT"/>
                <w:rPrChange w:id="7047" w:author="Author">
                  <w:rPr>
                    <w:sz w:val="21"/>
                    <w:szCs w:val="21"/>
                    <w:lang w:val="it-IT"/>
                  </w:rPr>
                </w:rPrChange>
              </w:rPr>
              <w:t>Reazione correlata al sito di iniezione</w:t>
            </w:r>
          </w:p>
        </w:tc>
        <w:tc>
          <w:tcPr>
            <w:tcW w:w="936" w:type="pct"/>
            <w:tcBorders>
              <w:top w:val="nil"/>
              <w:left w:val="nil"/>
              <w:bottom w:val="single" w:sz="4" w:space="0" w:color="auto"/>
              <w:right w:val="single" w:sz="8" w:space="0" w:color="000000"/>
            </w:tcBorders>
            <w:tcMar>
              <w:top w:w="0" w:type="dxa"/>
              <w:left w:w="108" w:type="dxa"/>
              <w:bottom w:w="0" w:type="dxa"/>
              <w:right w:w="108" w:type="dxa"/>
            </w:tcMar>
            <w:tcPrChange w:id="7048" w:author="Author">
              <w:tcPr>
                <w:tcW w:w="842" w:type="pct"/>
                <w:tcBorders>
                  <w:top w:val="nil"/>
                  <w:left w:val="nil"/>
                  <w:bottom w:val="single" w:sz="4" w:space="0" w:color="auto"/>
                  <w:right w:val="single" w:sz="8" w:space="0" w:color="000000"/>
                </w:tcBorders>
                <w:tcMar>
                  <w:top w:w="0" w:type="dxa"/>
                  <w:left w:w="108" w:type="dxa"/>
                  <w:bottom w:w="0" w:type="dxa"/>
                  <w:right w:w="108" w:type="dxa"/>
                </w:tcMar>
              </w:tcPr>
            </w:tcPrChange>
          </w:tcPr>
          <w:p>
            <w:pPr>
              <w:widowControl w:val="0"/>
              <w:rPr>
                <w:noProof/>
                <w:sz w:val="20"/>
                <w:lang w:val="it-IT" w:eastAsia="en-US"/>
                <w:rPrChange w:id="7049" w:author="Author">
                  <w:rPr>
                    <w:sz w:val="21"/>
                    <w:szCs w:val="21"/>
                    <w:lang w:val="it-IT" w:eastAsia="en-US"/>
                  </w:rPr>
                </w:rPrChange>
              </w:rPr>
            </w:pPr>
            <w:r>
              <w:rPr>
                <w:rFonts w:eastAsia="Calibri"/>
                <w:noProof/>
                <w:color w:val="1A1A1A"/>
                <w:sz w:val="20"/>
                <w:lang w:val="it-IT" w:eastAsia="en-US"/>
                <w:rPrChange w:id="7050" w:author="Author">
                  <w:rPr>
                    <w:rFonts w:eastAsia="Calibri"/>
                    <w:color w:val="1A1A1A"/>
                    <w:sz w:val="21"/>
                    <w:szCs w:val="21"/>
                    <w:lang w:val="it-IT" w:eastAsia="en-US"/>
                  </w:rPr>
                </w:rPrChange>
              </w:rPr>
              <w:t>Edema periferico, reazioni di ipersensibilità</w:t>
            </w:r>
          </w:p>
        </w:tc>
        <w:tc>
          <w:tcPr>
            <w:tcW w:w="871" w:type="pct"/>
            <w:tcBorders>
              <w:top w:val="single" w:sz="8" w:space="0" w:color="000000"/>
              <w:left w:val="nil"/>
              <w:bottom w:val="single" w:sz="4" w:space="0" w:color="auto"/>
              <w:right w:val="single" w:sz="8" w:space="0" w:color="auto"/>
            </w:tcBorders>
            <w:tcPrChange w:id="7051" w:author="Author">
              <w:tcPr>
                <w:tcW w:w="781" w:type="pct"/>
                <w:tcBorders>
                  <w:top w:val="single" w:sz="8" w:space="0" w:color="000000"/>
                  <w:left w:val="nil"/>
                  <w:bottom w:val="single" w:sz="4" w:space="0" w:color="auto"/>
                  <w:right w:val="single" w:sz="8" w:space="0" w:color="auto"/>
                </w:tcBorders>
              </w:tcPr>
            </w:tcPrChange>
          </w:tcPr>
          <w:p>
            <w:pPr>
              <w:widowControl w:val="0"/>
              <w:rPr>
                <w:rFonts w:eastAsia="Calibri"/>
                <w:noProof/>
                <w:color w:val="1A1A1A"/>
                <w:sz w:val="20"/>
                <w:lang w:val="it-IT" w:eastAsia="en-US"/>
                <w:rPrChange w:id="7052" w:author="Author">
                  <w:rPr>
                    <w:rFonts w:eastAsia="Calibri"/>
                    <w:color w:val="1A1A1A"/>
                    <w:sz w:val="21"/>
                    <w:szCs w:val="21"/>
                    <w:lang w:val="it-IT" w:eastAsia="en-US"/>
                  </w:rPr>
                </w:rPrChange>
              </w:rPr>
            </w:pPr>
          </w:p>
        </w:tc>
        <w:tc>
          <w:tcPr>
            <w:tcW w:w="628" w:type="pct"/>
            <w:tcBorders>
              <w:top w:val="single" w:sz="8" w:space="0" w:color="000000"/>
              <w:left w:val="single" w:sz="8" w:space="0" w:color="auto"/>
              <w:bottom w:val="single" w:sz="4" w:space="0" w:color="auto"/>
              <w:right w:val="single" w:sz="8" w:space="0" w:color="000000"/>
            </w:tcBorders>
            <w:tcMar>
              <w:top w:w="0" w:type="dxa"/>
              <w:left w:w="108" w:type="dxa"/>
              <w:bottom w:w="0" w:type="dxa"/>
              <w:right w:w="108" w:type="dxa"/>
            </w:tcMar>
            <w:tcPrChange w:id="7053" w:author="Author">
              <w:tcPr>
                <w:tcW w:w="814" w:type="pct"/>
                <w:tcBorders>
                  <w:top w:val="single" w:sz="8" w:space="0" w:color="000000"/>
                  <w:left w:val="single" w:sz="8" w:space="0" w:color="auto"/>
                  <w:bottom w:val="single" w:sz="4" w:space="0" w:color="auto"/>
                  <w:right w:val="single" w:sz="8" w:space="0" w:color="000000"/>
                </w:tcBorders>
                <w:tcMar>
                  <w:top w:w="0" w:type="dxa"/>
                  <w:left w:w="108" w:type="dxa"/>
                  <w:bottom w:w="0" w:type="dxa"/>
                  <w:right w:w="108" w:type="dxa"/>
                </w:tcMar>
              </w:tcPr>
            </w:tcPrChange>
          </w:tcPr>
          <w:p>
            <w:pPr>
              <w:widowControl w:val="0"/>
              <w:rPr>
                <w:noProof/>
                <w:sz w:val="20"/>
                <w:lang w:val="it-IT" w:eastAsia="en-US"/>
                <w:rPrChange w:id="7054" w:author="Author">
                  <w:rPr>
                    <w:sz w:val="21"/>
                    <w:szCs w:val="21"/>
                    <w:lang w:val="it-IT" w:eastAsia="en-US"/>
                  </w:rPr>
                </w:rPrChange>
              </w:rPr>
            </w:pPr>
            <w:r>
              <w:rPr>
                <w:rFonts w:eastAsia="Calibri"/>
                <w:noProof/>
                <w:color w:val="1A1A1A"/>
                <w:sz w:val="20"/>
                <w:lang w:val="it-IT" w:eastAsia="en-US"/>
                <w:rPrChange w:id="7055" w:author="Author">
                  <w:rPr>
                    <w:rFonts w:eastAsia="Calibri"/>
                    <w:color w:val="1A1A1A"/>
                    <w:sz w:val="21"/>
                    <w:szCs w:val="21"/>
                    <w:lang w:val="it-IT" w:eastAsia="en-US"/>
                  </w:rPr>
                </w:rPrChange>
              </w:rPr>
              <w:t> </w:t>
            </w:r>
          </w:p>
        </w:tc>
        <w:tc>
          <w:tcPr>
            <w:tcW w:w="663" w:type="pct"/>
            <w:tcBorders>
              <w:top w:val="single" w:sz="8" w:space="0" w:color="000000"/>
              <w:left w:val="single" w:sz="8" w:space="0" w:color="auto"/>
              <w:bottom w:val="single" w:sz="4" w:space="0" w:color="auto"/>
              <w:right w:val="single" w:sz="8" w:space="0" w:color="000000"/>
            </w:tcBorders>
            <w:tcPrChange w:id="7056" w:author="Author">
              <w:tcPr>
                <w:tcW w:w="813" w:type="pct"/>
                <w:tcBorders>
                  <w:top w:val="single" w:sz="8" w:space="0" w:color="000000"/>
                  <w:left w:val="single" w:sz="8" w:space="0" w:color="auto"/>
                  <w:bottom w:val="single" w:sz="4" w:space="0" w:color="auto"/>
                  <w:right w:val="single" w:sz="8" w:space="0" w:color="000000"/>
                </w:tcBorders>
              </w:tcPr>
            </w:tcPrChange>
          </w:tcPr>
          <w:p>
            <w:pPr>
              <w:widowControl w:val="0"/>
              <w:rPr>
                <w:rFonts w:eastAsia="Calibri"/>
                <w:noProof/>
                <w:color w:val="1A1A1A"/>
                <w:sz w:val="20"/>
                <w:lang w:val="it-IT" w:eastAsia="en-US"/>
                <w:rPrChange w:id="7057" w:author="Author">
                  <w:rPr>
                    <w:rFonts w:eastAsia="Calibri"/>
                    <w:color w:val="1A1A1A"/>
                    <w:sz w:val="21"/>
                    <w:szCs w:val="21"/>
                    <w:lang w:val="it-IT" w:eastAsia="en-US"/>
                  </w:rPr>
                </w:rPrChange>
              </w:rPr>
            </w:pPr>
          </w:p>
        </w:tc>
      </w:tr>
      <w:tr>
        <w:trPr>
          <w:cantSplit/>
          <w:trPrChange w:id="7058" w:author="Author">
            <w:trPr>
              <w:cantSplit/>
            </w:trPr>
          </w:trPrChange>
        </w:trPr>
        <w:tc>
          <w:tcPr>
            <w:tcW w:w="905" w:type="pct"/>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Change w:id="7059" w:author="Author">
              <w:tcPr>
                <w:tcW w:w="888" w:type="pct"/>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7060" w:author="Author">
                  <w:rPr>
                    <w:sz w:val="21"/>
                    <w:szCs w:val="21"/>
                    <w:lang w:val="it-IT" w:eastAsia="en-US"/>
                  </w:rPr>
                </w:rPrChange>
              </w:rPr>
            </w:pPr>
            <w:r>
              <w:rPr>
                <w:rFonts w:eastAsia="Calibri"/>
                <w:noProof/>
                <w:color w:val="1A1A1A"/>
                <w:sz w:val="20"/>
                <w:lang w:val="it-IT" w:eastAsia="en-US"/>
                <w:rPrChange w:id="7061" w:author="Author">
                  <w:rPr>
                    <w:rFonts w:eastAsia="Calibri"/>
                    <w:color w:val="1A1A1A"/>
                    <w:sz w:val="21"/>
                    <w:szCs w:val="21"/>
                    <w:lang w:val="it-IT" w:eastAsia="en-US"/>
                  </w:rPr>
                </w:rPrChange>
              </w:rPr>
              <w:t>Esami diagnostici</w:t>
            </w:r>
          </w:p>
        </w:tc>
        <w:tc>
          <w:tcPr>
            <w:tcW w:w="997" w:type="pct"/>
            <w:tcBorders>
              <w:top w:val="single" w:sz="4" w:space="0" w:color="auto"/>
              <w:left w:val="nil"/>
              <w:bottom w:val="single" w:sz="8" w:space="0" w:color="000000"/>
              <w:right w:val="single" w:sz="8" w:space="0" w:color="000000"/>
            </w:tcBorders>
            <w:tcMar>
              <w:top w:w="0" w:type="dxa"/>
              <w:left w:w="108" w:type="dxa"/>
              <w:bottom w:w="0" w:type="dxa"/>
              <w:right w:w="108" w:type="dxa"/>
            </w:tcMar>
            <w:tcPrChange w:id="7062" w:author="Author">
              <w:tcPr>
                <w:tcW w:w="862" w:type="pct"/>
                <w:tcBorders>
                  <w:top w:val="single" w:sz="4" w:space="0" w:color="auto"/>
                  <w:left w:val="nil"/>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7063" w:author="Author">
                  <w:rPr>
                    <w:sz w:val="21"/>
                    <w:szCs w:val="21"/>
                    <w:lang w:val="it-IT" w:eastAsia="en-US"/>
                  </w:rPr>
                </w:rPrChange>
              </w:rPr>
            </w:pPr>
            <w:r>
              <w:rPr>
                <w:rFonts w:eastAsia="Calibri"/>
                <w:noProof/>
                <w:color w:val="1A1A1A"/>
                <w:sz w:val="20"/>
                <w:lang w:val="it-IT" w:eastAsia="en-US"/>
                <w:rPrChange w:id="7064" w:author="Author">
                  <w:rPr>
                    <w:rFonts w:eastAsia="Calibri"/>
                    <w:color w:val="1A1A1A"/>
                    <w:sz w:val="21"/>
                    <w:szCs w:val="21"/>
                    <w:lang w:val="it-IT" w:eastAsia="en-US"/>
                  </w:rPr>
                </w:rPrChange>
              </w:rPr>
              <w:t> </w:t>
            </w:r>
          </w:p>
        </w:tc>
        <w:tc>
          <w:tcPr>
            <w:tcW w:w="936" w:type="pct"/>
            <w:tcBorders>
              <w:top w:val="single" w:sz="4" w:space="0" w:color="auto"/>
              <w:left w:val="nil"/>
              <w:bottom w:val="single" w:sz="8" w:space="0" w:color="000000"/>
              <w:right w:val="single" w:sz="8" w:space="0" w:color="000000"/>
            </w:tcBorders>
            <w:tcMar>
              <w:top w:w="0" w:type="dxa"/>
              <w:left w:w="108" w:type="dxa"/>
              <w:bottom w:w="0" w:type="dxa"/>
              <w:right w:w="108" w:type="dxa"/>
            </w:tcMar>
            <w:tcPrChange w:id="7065" w:author="Author">
              <w:tcPr>
                <w:tcW w:w="842" w:type="pct"/>
                <w:tcBorders>
                  <w:top w:val="single" w:sz="4" w:space="0" w:color="auto"/>
                  <w:left w:val="nil"/>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7066" w:author="Author">
                  <w:rPr>
                    <w:sz w:val="21"/>
                    <w:szCs w:val="21"/>
                    <w:lang w:val="it-IT" w:eastAsia="en-US"/>
                  </w:rPr>
                </w:rPrChange>
              </w:rPr>
            </w:pPr>
            <w:r>
              <w:rPr>
                <w:rFonts w:eastAsia="Calibri"/>
                <w:noProof/>
                <w:color w:val="1A1A1A"/>
                <w:sz w:val="20"/>
                <w:lang w:val="it-IT" w:eastAsia="en-US"/>
                <w:rPrChange w:id="7067" w:author="Author">
                  <w:rPr>
                    <w:rFonts w:eastAsia="Calibri"/>
                    <w:color w:val="1A1A1A"/>
                    <w:sz w:val="21"/>
                    <w:szCs w:val="21"/>
                    <w:lang w:val="it-IT" w:eastAsia="en-US"/>
                  </w:rPr>
                </w:rPrChange>
              </w:rPr>
              <w:t>Transaminasi epatiche aumentate, peso aumentato, bilirubina totale aumentata*</w:t>
            </w:r>
          </w:p>
        </w:tc>
        <w:tc>
          <w:tcPr>
            <w:tcW w:w="871" w:type="pct"/>
            <w:tcBorders>
              <w:top w:val="single" w:sz="4" w:space="0" w:color="auto"/>
              <w:left w:val="nil"/>
              <w:bottom w:val="single" w:sz="8" w:space="0" w:color="000000"/>
              <w:right w:val="single" w:sz="8" w:space="0" w:color="auto"/>
            </w:tcBorders>
            <w:tcPrChange w:id="7068" w:author="Author">
              <w:tcPr>
                <w:tcW w:w="781" w:type="pct"/>
                <w:tcBorders>
                  <w:top w:val="single" w:sz="4" w:space="0" w:color="auto"/>
                  <w:left w:val="nil"/>
                  <w:bottom w:val="single" w:sz="8" w:space="0" w:color="000000"/>
                  <w:right w:val="single" w:sz="8" w:space="0" w:color="auto"/>
                </w:tcBorders>
              </w:tcPr>
            </w:tcPrChange>
          </w:tcPr>
          <w:p>
            <w:pPr>
              <w:widowControl w:val="0"/>
              <w:rPr>
                <w:rFonts w:eastAsia="Calibri"/>
                <w:noProof/>
                <w:color w:val="1A1A1A"/>
                <w:sz w:val="20"/>
                <w:lang w:val="it-IT" w:eastAsia="en-US"/>
                <w:rPrChange w:id="7069" w:author="Author">
                  <w:rPr>
                    <w:rFonts w:eastAsia="Calibri"/>
                    <w:color w:val="1A1A1A"/>
                    <w:sz w:val="21"/>
                    <w:szCs w:val="21"/>
                    <w:lang w:val="it-IT" w:eastAsia="en-US"/>
                  </w:rPr>
                </w:rPrChange>
              </w:rPr>
            </w:pPr>
          </w:p>
        </w:tc>
        <w:tc>
          <w:tcPr>
            <w:tcW w:w="628" w:type="pct"/>
            <w:tcBorders>
              <w:top w:val="single" w:sz="4" w:space="0" w:color="auto"/>
              <w:left w:val="single" w:sz="8" w:space="0" w:color="auto"/>
              <w:bottom w:val="single" w:sz="8" w:space="0" w:color="000000"/>
              <w:right w:val="single" w:sz="8" w:space="0" w:color="000000"/>
            </w:tcBorders>
            <w:tcMar>
              <w:top w:w="0" w:type="dxa"/>
              <w:left w:w="108" w:type="dxa"/>
              <w:bottom w:w="0" w:type="dxa"/>
              <w:right w:w="108" w:type="dxa"/>
            </w:tcMar>
            <w:tcPrChange w:id="7070" w:author="Author">
              <w:tcPr>
                <w:tcW w:w="814" w:type="pct"/>
                <w:tcBorders>
                  <w:top w:val="single" w:sz="4" w:space="0" w:color="auto"/>
                  <w:left w:val="single" w:sz="8" w:space="0" w:color="auto"/>
                  <w:bottom w:val="single" w:sz="8" w:space="0" w:color="000000"/>
                  <w:right w:val="single" w:sz="8" w:space="0" w:color="000000"/>
                </w:tcBorders>
                <w:tcMar>
                  <w:top w:w="0" w:type="dxa"/>
                  <w:left w:w="108" w:type="dxa"/>
                  <w:bottom w:w="0" w:type="dxa"/>
                  <w:right w:w="108" w:type="dxa"/>
                </w:tcMar>
              </w:tcPr>
            </w:tcPrChange>
          </w:tcPr>
          <w:p>
            <w:pPr>
              <w:widowControl w:val="0"/>
              <w:rPr>
                <w:noProof/>
                <w:sz w:val="20"/>
                <w:lang w:val="it-IT" w:eastAsia="en-US"/>
                <w:rPrChange w:id="7071" w:author="Author">
                  <w:rPr>
                    <w:sz w:val="21"/>
                    <w:szCs w:val="21"/>
                    <w:lang w:val="it-IT" w:eastAsia="en-US"/>
                  </w:rPr>
                </w:rPrChange>
              </w:rPr>
            </w:pPr>
            <w:r>
              <w:rPr>
                <w:rFonts w:eastAsia="Calibri"/>
                <w:noProof/>
                <w:color w:val="1A1A1A"/>
                <w:sz w:val="20"/>
                <w:lang w:val="it-IT" w:eastAsia="en-US"/>
                <w:rPrChange w:id="7072" w:author="Author">
                  <w:rPr>
                    <w:rFonts w:eastAsia="Calibri"/>
                    <w:color w:val="1A1A1A"/>
                    <w:sz w:val="21"/>
                    <w:szCs w:val="21"/>
                    <w:lang w:val="it-IT" w:eastAsia="en-US"/>
                  </w:rPr>
                </w:rPrChange>
              </w:rPr>
              <w:t> </w:t>
            </w:r>
          </w:p>
        </w:tc>
        <w:tc>
          <w:tcPr>
            <w:tcW w:w="663" w:type="pct"/>
            <w:tcBorders>
              <w:top w:val="single" w:sz="4" w:space="0" w:color="auto"/>
              <w:left w:val="single" w:sz="8" w:space="0" w:color="auto"/>
              <w:bottom w:val="single" w:sz="8" w:space="0" w:color="000000"/>
              <w:right w:val="single" w:sz="8" w:space="0" w:color="000000"/>
            </w:tcBorders>
            <w:tcPrChange w:id="7073" w:author="Author">
              <w:tcPr>
                <w:tcW w:w="813" w:type="pct"/>
                <w:tcBorders>
                  <w:top w:val="single" w:sz="4" w:space="0" w:color="auto"/>
                  <w:left w:val="single" w:sz="8" w:space="0" w:color="auto"/>
                  <w:bottom w:val="single" w:sz="8" w:space="0" w:color="000000"/>
                  <w:right w:val="single" w:sz="8" w:space="0" w:color="000000"/>
                </w:tcBorders>
              </w:tcPr>
            </w:tcPrChange>
          </w:tcPr>
          <w:p>
            <w:pPr>
              <w:widowControl w:val="0"/>
              <w:rPr>
                <w:rFonts w:eastAsia="Calibri"/>
                <w:noProof/>
                <w:color w:val="1A1A1A"/>
                <w:sz w:val="20"/>
                <w:lang w:val="it-IT" w:eastAsia="en-US"/>
                <w:rPrChange w:id="7074" w:author="Author">
                  <w:rPr>
                    <w:rFonts w:eastAsia="Calibri"/>
                    <w:color w:val="1A1A1A"/>
                    <w:sz w:val="21"/>
                    <w:szCs w:val="21"/>
                    <w:lang w:val="it-IT" w:eastAsia="en-US"/>
                  </w:rPr>
                </w:rPrChange>
              </w:rPr>
            </w:pPr>
          </w:p>
        </w:tc>
      </w:tr>
    </w:tbl>
    <w:p>
      <w:pPr>
        <w:pStyle w:val="Standard"/>
        <w:ind w:left="142" w:hanging="142"/>
        <w:rPr>
          <w:noProof/>
          <w:sz w:val="18"/>
          <w:szCs w:val="18"/>
          <w:lang w:val="it-IT"/>
          <w:rPrChange w:id="7075" w:author="Author">
            <w:rPr>
              <w:sz w:val="19"/>
              <w:szCs w:val="19"/>
              <w:lang w:val="it-IT"/>
            </w:rPr>
          </w:rPrChange>
        </w:rPr>
      </w:pPr>
      <w:r>
        <w:rPr>
          <w:rFonts w:eastAsia="Calibri"/>
          <w:noProof/>
          <w:sz w:val="18"/>
          <w:szCs w:val="18"/>
          <w:lang w:val="it-IT" w:eastAsia="en-US"/>
          <w:rPrChange w:id="7076" w:author="Author">
            <w:rPr>
              <w:rFonts w:eastAsia="Calibri"/>
              <w:sz w:val="19"/>
              <w:szCs w:val="19"/>
              <w:lang w:val="it-IT" w:eastAsia="en-US"/>
            </w:rPr>
          </w:rPrChange>
        </w:rPr>
        <w:t>*</w:t>
      </w:r>
      <w:ins w:id="7077" w:author="Author">
        <w:r>
          <w:rPr>
            <w:rFonts w:eastAsia="Calibri"/>
            <w:noProof/>
            <w:sz w:val="18"/>
            <w:szCs w:val="18"/>
            <w:lang w:val="it-IT" w:eastAsia="en-US"/>
          </w:rPr>
          <w:t xml:space="preserve"> </w:t>
        </w:r>
      </w:ins>
      <w:r>
        <w:rPr>
          <w:rFonts w:eastAsia="Calibri"/>
          <w:noProof/>
          <w:sz w:val="18"/>
          <w:szCs w:val="18"/>
          <w:lang w:val="it-IT" w:eastAsia="en-US"/>
          <w:rPrChange w:id="7078" w:author="Author">
            <w:rPr>
              <w:rFonts w:eastAsia="Calibri"/>
              <w:sz w:val="19"/>
              <w:szCs w:val="19"/>
              <w:lang w:val="it-IT" w:eastAsia="en-US"/>
            </w:rPr>
          </w:rPrChange>
        </w:rPr>
        <w:t xml:space="preserve">Include aumenti </w:t>
      </w:r>
      <w:del w:id="7079" w:author="Author">
        <w:r>
          <w:rPr>
            <w:rFonts w:eastAsia="Calibri"/>
            <w:noProof/>
            <w:sz w:val="18"/>
            <w:szCs w:val="18"/>
            <w:lang w:val="it-IT" w:eastAsia="en-US"/>
            <w:rPrChange w:id="7080" w:author="Author">
              <w:rPr>
                <w:rFonts w:eastAsia="Calibri"/>
                <w:sz w:val="19"/>
                <w:szCs w:val="19"/>
                <w:lang w:val="it-IT" w:eastAsia="en-US"/>
              </w:rPr>
            </w:rPrChange>
          </w:rPr>
          <w:delText xml:space="preserve">raccolti </w:delText>
        </w:r>
      </w:del>
      <w:ins w:id="7081" w:author="Author">
        <w:r>
          <w:rPr>
            <w:rFonts w:eastAsia="Calibri"/>
            <w:noProof/>
            <w:sz w:val="18"/>
            <w:szCs w:val="18"/>
            <w:lang w:val="it-IT" w:eastAsia="en-US"/>
          </w:rPr>
          <w:t>rilevati</w:t>
        </w:r>
        <w:r>
          <w:rPr>
            <w:rFonts w:eastAsia="Calibri"/>
            <w:noProof/>
            <w:sz w:val="18"/>
            <w:szCs w:val="18"/>
            <w:lang w:val="it-IT" w:eastAsia="en-US"/>
            <w:rPrChange w:id="7082" w:author="Author">
              <w:rPr>
                <w:rFonts w:eastAsia="Calibri"/>
                <w:sz w:val="19"/>
                <w:szCs w:val="19"/>
                <w:lang w:val="it-IT" w:eastAsia="en-US"/>
              </w:rPr>
            </w:rPrChange>
          </w:rPr>
          <w:t xml:space="preserve"> </w:t>
        </w:r>
      </w:ins>
      <w:r>
        <w:rPr>
          <w:rFonts w:eastAsia="Calibri"/>
          <w:noProof/>
          <w:sz w:val="18"/>
          <w:szCs w:val="18"/>
          <w:lang w:val="it-IT" w:eastAsia="en-US"/>
          <w:rPrChange w:id="7083" w:author="Author">
            <w:rPr>
              <w:rFonts w:eastAsia="Calibri"/>
              <w:sz w:val="19"/>
              <w:szCs w:val="19"/>
              <w:lang w:val="it-IT" w:eastAsia="en-US"/>
            </w:rPr>
          </w:rPrChange>
        </w:rPr>
        <w:t>nelle analisi di laboratorio abituali (vedere testo riportato sotto)</w:t>
      </w:r>
    </w:p>
    <w:p>
      <w:pPr>
        <w:pStyle w:val="Standard"/>
        <w:ind w:left="142" w:hanging="142"/>
        <w:rPr>
          <w:noProof/>
          <w:sz w:val="18"/>
          <w:szCs w:val="18"/>
          <w:lang w:val="it-IT"/>
          <w:rPrChange w:id="7084" w:author="Author">
            <w:rPr>
              <w:sz w:val="19"/>
              <w:szCs w:val="19"/>
              <w:lang w:val="it-IT"/>
            </w:rPr>
          </w:rPrChange>
        </w:rPr>
      </w:pPr>
      <w:r>
        <w:rPr>
          <w:noProof/>
          <w:sz w:val="18"/>
          <w:szCs w:val="18"/>
          <w:vertAlign w:val="superscript"/>
          <w:lang w:val="it-IT"/>
          <w:rPrChange w:id="7085" w:author="Author">
            <w:rPr>
              <w:sz w:val="19"/>
              <w:szCs w:val="19"/>
              <w:vertAlign w:val="superscript"/>
              <w:lang w:val="it-IT"/>
            </w:rPr>
          </w:rPrChange>
        </w:rPr>
        <w:t>1</w:t>
      </w:r>
      <w:r>
        <w:rPr>
          <w:noProof/>
          <w:sz w:val="18"/>
          <w:szCs w:val="18"/>
          <w:lang w:val="it-IT"/>
          <w:rPrChange w:id="7086" w:author="Author">
            <w:rPr>
              <w:sz w:val="19"/>
              <w:szCs w:val="19"/>
              <w:lang w:val="it-IT"/>
            </w:rPr>
          </w:rPrChange>
        </w:rPr>
        <w:t xml:space="preserve"> Vedere paragrafo 4.3</w:t>
      </w:r>
    </w:p>
    <w:p>
      <w:pPr>
        <w:pStyle w:val="Standard"/>
        <w:ind w:left="142" w:hanging="142"/>
        <w:rPr>
          <w:noProof/>
          <w:sz w:val="18"/>
          <w:szCs w:val="18"/>
          <w:lang w:val="it-IT"/>
          <w:rPrChange w:id="7087" w:author="Author">
            <w:rPr>
              <w:sz w:val="19"/>
              <w:szCs w:val="19"/>
              <w:lang w:val="it-IT"/>
            </w:rPr>
          </w:rPrChange>
        </w:rPr>
      </w:pPr>
      <w:r>
        <w:rPr>
          <w:noProof/>
          <w:sz w:val="18"/>
          <w:szCs w:val="18"/>
          <w:vertAlign w:val="superscript"/>
          <w:lang w:val="it-IT"/>
          <w:rPrChange w:id="7088" w:author="Author">
            <w:rPr>
              <w:sz w:val="19"/>
              <w:szCs w:val="19"/>
              <w:vertAlign w:val="superscript"/>
              <w:lang w:val="it-IT"/>
            </w:rPr>
          </w:rPrChange>
        </w:rPr>
        <w:t>2</w:t>
      </w:r>
      <w:r>
        <w:rPr>
          <w:noProof/>
          <w:sz w:val="18"/>
          <w:szCs w:val="18"/>
          <w:lang w:val="it-IT"/>
          <w:rPrChange w:id="7089" w:author="Author">
            <w:rPr>
              <w:sz w:val="19"/>
              <w:szCs w:val="19"/>
              <w:lang w:val="it-IT"/>
            </w:rPr>
          </w:rPrChange>
        </w:rPr>
        <w:t xml:space="preserve"> Vedere paragrafo 4.4</w:t>
      </w:r>
    </w:p>
    <w:p>
      <w:pPr>
        <w:rPr>
          <w:noProof/>
          <w:sz w:val="18"/>
          <w:szCs w:val="18"/>
          <w:lang w:val="it-IT" w:eastAsia="en-US"/>
          <w:rPrChange w:id="7090" w:author="Author">
            <w:rPr>
              <w:sz w:val="19"/>
              <w:szCs w:val="19"/>
              <w:lang w:val="it-IT" w:eastAsia="en-US"/>
            </w:rPr>
          </w:rPrChange>
        </w:rPr>
      </w:pPr>
      <w:r>
        <w:rPr>
          <w:noProof/>
          <w:sz w:val="18"/>
          <w:szCs w:val="18"/>
          <w:vertAlign w:val="superscript"/>
          <w:lang w:val="it-IT"/>
          <w:rPrChange w:id="7091" w:author="Author">
            <w:rPr>
              <w:sz w:val="19"/>
              <w:szCs w:val="19"/>
              <w:vertAlign w:val="superscript"/>
              <w:lang w:val="it-IT"/>
            </w:rPr>
          </w:rPrChange>
        </w:rPr>
        <w:t>3</w:t>
      </w:r>
      <w:r>
        <w:rPr>
          <w:noProof/>
          <w:sz w:val="18"/>
          <w:szCs w:val="18"/>
          <w:lang w:val="it-IT"/>
          <w:rPrChange w:id="7092" w:author="Author">
            <w:rPr>
              <w:sz w:val="19"/>
              <w:szCs w:val="19"/>
              <w:lang w:val="it-IT"/>
            </w:rPr>
          </w:rPrChange>
        </w:rPr>
        <w:t xml:space="preserve"> Questa reazione avversa è stata identificata attraverso la sorveglianza post-marketing ma non è stata osservata negli studi clinici controllati. La categoria di frequenza è stata stimata come limite superiore dell’intervallo di confidenza al 95% calcolato sulla base del numero totale di pazienti esposti a </w:t>
      </w:r>
      <w:del w:id="7093" w:author="Author">
        <w:r>
          <w:rPr>
            <w:noProof/>
            <w:sz w:val="18"/>
            <w:szCs w:val="18"/>
            <w:lang w:val="it-IT"/>
            <w:rPrChange w:id="7094" w:author="Author">
              <w:rPr>
                <w:sz w:val="19"/>
                <w:szCs w:val="19"/>
                <w:lang w:val="it-IT"/>
              </w:rPr>
            </w:rPrChange>
          </w:rPr>
          <w:delText>TCZ</w:delText>
        </w:r>
      </w:del>
      <w:ins w:id="7095" w:author="Author">
        <w:r>
          <w:rPr>
            <w:noProof/>
            <w:sz w:val="18"/>
            <w:szCs w:val="18"/>
            <w:lang w:val="it-IT"/>
            <w:rPrChange w:id="7096" w:author="Author">
              <w:rPr>
                <w:sz w:val="19"/>
                <w:szCs w:val="19"/>
                <w:lang w:val="it-IT"/>
              </w:rPr>
            </w:rPrChange>
          </w:rPr>
          <w:t>tocilizumab</w:t>
        </w:r>
      </w:ins>
      <w:r>
        <w:rPr>
          <w:noProof/>
          <w:sz w:val="18"/>
          <w:szCs w:val="18"/>
          <w:lang w:val="it-IT"/>
          <w:rPrChange w:id="7097" w:author="Author">
            <w:rPr>
              <w:sz w:val="19"/>
              <w:szCs w:val="19"/>
              <w:lang w:val="it-IT"/>
            </w:rPr>
          </w:rPrChange>
        </w:rPr>
        <w:t xml:space="preserve"> negli studi clinici.</w:t>
      </w:r>
    </w:p>
    <w:p>
      <w:pPr>
        <w:rPr>
          <w:noProof/>
          <w:szCs w:val="22"/>
          <w:lang w:val="it-IT"/>
        </w:rPr>
      </w:pPr>
    </w:p>
    <w:p>
      <w:pPr>
        <w:keepNext/>
        <w:keepLines/>
        <w:tabs>
          <w:tab w:val="left" w:pos="180"/>
        </w:tabs>
        <w:autoSpaceDE w:val="0"/>
        <w:autoSpaceDN w:val="0"/>
        <w:adjustRightInd w:val="0"/>
        <w:rPr>
          <w:del w:id="7098" w:author="Author"/>
          <w:noProof/>
          <w:szCs w:val="22"/>
          <w:u w:val="single"/>
          <w:lang w:val="it-IT"/>
        </w:rPr>
      </w:pPr>
      <w:r>
        <w:rPr>
          <w:noProof/>
          <w:szCs w:val="22"/>
          <w:u w:val="single"/>
          <w:lang w:val="it-IT"/>
        </w:rPr>
        <w:t>Descrizione delle reazioni avverse selezionate (u</w:t>
      </w:r>
      <w:ins w:id="7099" w:author="Author">
        <w:r>
          <w:rPr>
            <w:noProof/>
            <w:szCs w:val="22"/>
            <w:u w:val="single"/>
            <w:lang w:val="it-IT"/>
          </w:rPr>
          <w:t>s</w:t>
        </w:r>
      </w:ins>
      <w:r>
        <w:rPr>
          <w:noProof/>
          <w:szCs w:val="22"/>
          <w:u w:val="single"/>
          <w:lang w:val="it-IT"/>
        </w:rPr>
        <w:t>o sottocutaneo)</w:t>
      </w:r>
    </w:p>
    <w:p>
      <w:pPr>
        <w:keepNext/>
        <w:keepLines/>
        <w:tabs>
          <w:tab w:val="left" w:pos="180"/>
        </w:tabs>
        <w:autoSpaceDE w:val="0"/>
        <w:autoSpaceDN w:val="0"/>
        <w:adjustRightInd w:val="0"/>
        <w:rPr>
          <w:rFonts w:eastAsia="SimSun"/>
          <w:noProof/>
          <w:szCs w:val="22"/>
          <w:u w:val="single"/>
          <w:lang w:val="it-IT"/>
        </w:rPr>
      </w:pPr>
    </w:p>
    <w:p>
      <w:pPr>
        <w:keepNext/>
        <w:keepLines/>
        <w:tabs>
          <w:tab w:val="left" w:pos="180"/>
        </w:tabs>
        <w:rPr>
          <w:bCs/>
          <w:i/>
          <w:iCs/>
          <w:noProof/>
          <w:lang w:val="it-IT"/>
        </w:rPr>
      </w:pPr>
      <w:r>
        <w:rPr>
          <w:bCs/>
          <w:i/>
          <w:iCs/>
          <w:noProof/>
          <w:lang w:val="it-IT"/>
        </w:rPr>
        <w:t xml:space="preserve">Pazienti affetti da </w:t>
      </w:r>
      <w:r>
        <w:rPr>
          <w:bCs/>
          <w:i/>
          <w:iCs/>
          <w:noProof/>
          <w:lang w:val="it-IT"/>
          <w:rPrChange w:id="7100" w:author="Author">
            <w:rPr>
              <w:bCs/>
              <w:i/>
              <w:iCs/>
              <w:u w:val="single"/>
              <w:lang w:val="it-IT"/>
            </w:rPr>
          </w:rPrChange>
        </w:rPr>
        <w:t>AR</w:t>
      </w:r>
    </w:p>
    <w:p>
      <w:pPr>
        <w:tabs>
          <w:tab w:val="left" w:pos="180"/>
        </w:tabs>
        <w:rPr>
          <w:noProof/>
          <w:lang w:val="it-IT"/>
        </w:rPr>
      </w:pPr>
      <w:r>
        <w:rPr>
          <w:noProof/>
          <w:lang w:val="it-IT"/>
        </w:rPr>
        <w:t xml:space="preserve">La sicurezza di </w:t>
      </w:r>
      <w:r>
        <w:rPr>
          <w:noProof/>
          <w:szCs w:val="22"/>
          <w:lang w:val="it-IT"/>
        </w:rPr>
        <w:t xml:space="preserve">tocilizumab </w:t>
      </w:r>
      <w:r>
        <w:rPr>
          <w:noProof/>
          <w:lang w:val="it-IT"/>
        </w:rPr>
        <w:t xml:space="preserve">in formulazione sottocutanea nel trattamento dell’AR comprende uno studio in doppio cieco, controllato e multicentrico, denominato SC-I. SC-I è stato uno studio di non inferiorità che ha confrontato l’efficacia e la sicurezza di </w:t>
      </w:r>
      <w:r>
        <w:rPr>
          <w:noProof/>
          <w:szCs w:val="22"/>
          <w:lang w:val="it-IT"/>
        </w:rPr>
        <w:t xml:space="preserve">tocilizumab </w:t>
      </w:r>
      <w:r>
        <w:rPr>
          <w:noProof/>
          <w:lang w:val="it-IT"/>
        </w:rPr>
        <w:t xml:space="preserve">162 mg somministrato ogni settimana rispetto a </w:t>
      </w:r>
      <w:r>
        <w:rPr>
          <w:noProof/>
          <w:szCs w:val="22"/>
          <w:lang w:val="it-IT"/>
        </w:rPr>
        <w:t xml:space="preserve">tocilizumab </w:t>
      </w:r>
      <w:r>
        <w:rPr>
          <w:noProof/>
          <w:lang w:val="it-IT"/>
        </w:rPr>
        <w:t>8 mg/kg somministrato per via endovenosa in 1</w:t>
      </w:r>
      <w:ins w:id="7101" w:author="Author">
        <w:r>
          <w:rPr>
            <w:noProof/>
            <w:lang w:val="it-IT"/>
          </w:rPr>
          <w:t> </w:t>
        </w:r>
      </w:ins>
      <w:r>
        <w:rPr>
          <w:noProof/>
          <w:lang w:val="it-IT"/>
        </w:rPr>
        <w:t>262</w:t>
      </w:r>
      <w:ins w:id="7102" w:author="Author">
        <w:r>
          <w:rPr>
            <w:noProof/>
            <w:lang w:val="it-IT"/>
          </w:rPr>
          <w:t> </w:t>
        </w:r>
      </w:ins>
      <w:del w:id="7103" w:author="Author">
        <w:r>
          <w:rPr>
            <w:noProof/>
            <w:lang w:val="it-IT"/>
          </w:rPr>
          <w:delText xml:space="preserve"> </w:delText>
        </w:r>
      </w:del>
      <w:r>
        <w:rPr>
          <w:noProof/>
          <w:lang w:val="it-IT"/>
        </w:rPr>
        <w:t xml:space="preserve">pazienti affetti da AR. A tutti i pazienti sono stati somministrati DMARD non biologici come terapia di fondo. La sicurezza e l’immunogenicità osservate con </w:t>
      </w:r>
      <w:r>
        <w:rPr>
          <w:noProof/>
          <w:szCs w:val="22"/>
          <w:lang w:val="it-IT"/>
        </w:rPr>
        <w:t xml:space="preserve">tocilizumab </w:t>
      </w:r>
      <w:r>
        <w:rPr>
          <w:noProof/>
          <w:lang w:val="it-IT"/>
        </w:rPr>
        <w:t xml:space="preserve">somministrato per via sottocutanea erano in linea con il profilo di sicurezza noto di </w:t>
      </w:r>
      <w:r>
        <w:rPr>
          <w:noProof/>
          <w:szCs w:val="22"/>
          <w:lang w:val="it-IT"/>
        </w:rPr>
        <w:t xml:space="preserve">tocilizumab </w:t>
      </w:r>
      <w:r>
        <w:rPr>
          <w:noProof/>
          <w:lang w:val="it-IT"/>
        </w:rPr>
        <w:t>in formulazione endovenosa e non sono state osservate nuove o inattese reazioni avverse (vedere Tabella 1). Nei bracci s.c. è stata riscontrata una frequenza maggiore di reazioni correlate al sito di iniezione rispetto alle iniezioni sottocutanee di placebo nei bracci e.v.</w:t>
      </w:r>
    </w:p>
    <w:p>
      <w:pPr>
        <w:tabs>
          <w:tab w:val="left" w:pos="180"/>
        </w:tabs>
        <w:rPr>
          <w:noProof/>
          <w:lang w:val="it-IT"/>
        </w:rPr>
      </w:pPr>
    </w:p>
    <w:p>
      <w:pPr>
        <w:keepNext/>
        <w:tabs>
          <w:tab w:val="left" w:pos="180"/>
        </w:tabs>
        <w:spacing w:line="280" w:lineRule="atLeast"/>
        <w:rPr>
          <w:rFonts w:eastAsia="MS Mincho"/>
          <w:i/>
          <w:noProof/>
          <w:szCs w:val="22"/>
          <w:u w:val="single"/>
          <w:lang w:val="it-IT"/>
          <w:rPrChange w:id="7104" w:author="Author">
            <w:rPr>
              <w:rFonts w:eastAsia="MS Mincho"/>
              <w:i/>
              <w:szCs w:val="22"/>
              <w:lang w:val="it-IT"/>
            </w:rPr>
          </w:rPrChange>
        </w:rPr>
        <w:pPrChange w:id="7105" w:author="Author">
          <w:pPr>
            <w:tabs>
              <w:tab w:val="left" w:pos="180"/>
            </w:tabs>
            <w:spacing w:line="280" w:lineRule="atLeast"/>
          </w:pPr>
        </w:pPrChange>
      </w:pPr>
      <w:r>
        <w:rPr>
          <w:i/>
          <w:noProof/>
          <w:szCs w:val="22"/>
          <w:u w:val="single"/>
          <w:lang w:val="it-IT"/>
          <w:rPrChange w:id="7106" w:author="Author">
            <w:rPr>
              <w:i/>
              <w:szCs w:val="22"/>
              <w:lang w:val="it-IT"/>
            </w:rPr>
          </w:rPrChange>
        </w:rPr>
        <w:t>Reazioni correlate al sito di iniezione</w:t>
      </w:r>
    </w:p>
    <w:p>
      <w:pPr>
        <w:tabs>
          <w:tab w:val="left" w:pos="180"/>
        </w:tabs>
        <w:rPr>
          <w:noProof/>
          <w:lang w:val="it-IT"/>
        </w:rPr>
      </w:pPr>
      <w:r>
        <w:rPr>
          <w:noProof/>
          <w:lang w:val="it-IT"/>
        </w:rPr>
        <w:t xml:space="preserve">Nello </w:t>
      </w:r>
      <w:del w:id="7107" w:author="Author">
        <w:r>
          <w:rPr>
            <w:noProof/>
            <w:lang w:val="it-IT"/>
          </w:rPr>
          <w:delText xml:space="preserve">studio </w:delText>
        </w:r>
      </w:del>
      <w:ins w:id="7108" w:author="Author">
        <w:r>
          <w:rPr>
            <w:noProof/>
            <w:lang w:val="it-IT"/>
          </w:rPr>
          <w:t xml:space="preserve">Studio </w:t>
        </w:r>
      </w:ins>
      <w:r>
        <w:rPr>
          <w:noProof/>
          <w:lang w:val="it-IT"/>
        </w:rPr>
        <w:t>SC-I, durante la fase controllata di 6</w:t>
      </w:r>
      <w:del w:id="7109" w:author="Author">
        <w:r>
          <w:rPr>
            <w:noProof/>
            <w:lang w:val="it-IT"/>
          </w:rPr>
          <w:delText xml:space="preserve"> </w:delText>
        </w:r>
      </w:del>
      <w:ins w:id="7110" w:author="Author">
        <w:r>
          <w:rPr>
            <w:noProof/>
            <w:lang w:val="it-IT"/>
          </w:rPr>
          <w:t> </w:t>
        </w:r>
      </w:ins>
      <w:r>
        <w:rPr>
          <w:noProof/>
          <w:lang w:val="it-IT"/>
        </w:rPr>
        <w:t xml:space="preserve">mesi, la frequenza delle reazioni correlate al sito di iniezione è risultata pari al 10,1% (64/631) e al 2,4% (15/631) rispettivamente per le iniezioni settimanali di </w:t>
      </w:r>
      <w:r>
        <w:rPr>
          <w:noProof/>
          <w:szCs w:val="22"/>
          <w:lang w:val="it-IT"/>
        </w:rPr>
        <w:t xml:space="preserve">tocilizumab </w:t>
      </w:r>
      <w:r>
        <w:rPr>
          <w:noProof/>
          <w:lang w:val="it-IT"/>
        </w:rPr>
        <w:t>in formulazione sottocutanea e di placebo in formulazione sottocutanea (gruppo e.v.). Tali reazioni (comprendenti eritema, prurito, dolore ed ematoma) sono state di gravità da lieve a moderata. Per la maggior parte si sono risolte senza ricorrere ad alcun trattamento e per nessuna di queste si è resa necessaria l’interruzione della terapia.</w:t>
      </w:r>
    </w:p>
    <w:p>
      <w:pPr>
        <w:tabs>
          <w:tab w:val="left" w:pos="180"/>
        </w:tabs>
        <w:rPr>
          <w:noProof/>
          <w:lang w:val="it-IT"/>
        </w:rPr>
      </w:pPr>
    </w:p>
    <w:p>
      <w:pPr>
        <w:keepNext/>
        <w:keepLines/>
        <w:tabs>
          <w:tab w:val="left" w:pos="180"/>
        </w:tabs>
        <w:spacing w:line="280" w:lineRule="atLeast"/>
        <w:rPr>
          <w:rFonts w:eastAsia="MS Mincho"/>
          <w:i/>
          <w:noProof/>
          <w:szCs w:val="22"/>
          <w:u w:val="single"/>
          <w:lang w:val="it-IT"/>
        </w:rPr>
      </w:pPr>
      <w:r>
        <w:rPr>
          <w:i/>
          <w:noProof/>
          <w:szCs w:val="22"/>
          <w:u w:val="single"/>
          <w:lang w:val="it-IT"/>
        </w:rPr>
        <w:t>Immunogenicità</w:t>
      </w:r>
    </w:p>
    <w:p>
      <w:pPr>
        <w:tabs>
          <w:tab w:val="left" w:pos="180"/>
        </w:tabs>
        <w:rPr>
          <w:noProof/>
          <w:lang w:val="it-IT"/>
        </w:rPr>
      </w:pPr>
      <w:r>
        <w:rPr>
          <w:noProof/>
          <w:lang w:val="it-IT"/>
        </w:rPr>
        <w:t xml:space="preserve">Nello </w:t>
      </w:r>
      <w:del w:id="7111" w:author="Author">
        <w:r>
          <w:rPr>
            <w:noProof/>
            <w:lang w:val="it-IT"/>
          </w:rPr>
          <w:delText xml:space="preserve">studio </w:delText>
        </w:r>
      </w:del>
      <w:ins w:id="7112" w:author="Author">
        <w:r>
          <w:rPr>
            <w:noProof/>
            <w:lang w:val="it-IT"/>
          </w:rPr>
          <w:t xml:space="preserve">Studio </w:t>
        </w:r>
      </w:ins>
      <w:r>
        <w:rPr>
          <w:noProof/>
          <w:lang w:val="it-IT"/>
        </w:rPr>
        <w:t xml:space="preserve">SC-I, durante la fase controllata di 6 mesi, sono stati complessivamente analizzati 625 pazienti trattati con </w:t>
      </w:r>
      <w:r>
        <w:rPr>
          <w:noProof/>
          <w:szCs w:val="22"/>
          <w:lang w:val="it-IT"/>
        </w:rPr>
        <w:t xml:space="preserve">tocilizumab </w:t>
      </w:r>
      <w:r>
        <w:rPr>
          <w:noProof/>
          <w:lang w:val="it-IT"/>
        </w:rPr>
        <w:t xml:space="preserve">162 mg </w:t>
      </w:r>
      <w:del w:id="7113" w:author="Author">
        <w:r>
          <w:rPr>
            <w:noProof/>
            <w:lang w:val="it-IT"/>
          </w:rPr>
          <w:delText xml:space="preserve">ogni </w:delText>
        </w:r>
      </w:del>
      <w:ins w:id="7114" w:author="Author">
        <w:r>
          <w:rPr>
            <w:noProof/>
            <w:lang w:val="it-IT"/>
          </w:rPr>
          <w:t xml:space="preserve">una volta a </w:t>
        </w:r>
      </w:ins>
      <w:r>
        <w:rPr>
          <w:noProof/>
          <w:lang w:val="it-IT"/>
        </w:rPr>
        <w:t>settimana al fine di rilevare anticorpi anti-</w:t>
      </w:r>
      <w:r>
        <w:rPr>
          <w:noProof/>
          <w:szCs w:val="22"/>
          <w:lang w:val="it-IT"/>
        </w:rPr>
        <w:t xml:space="preserve"> tocilizumab</w:t>
      </w:r>
      <w:r>
        <w:rPr>
          <w:noProof/>
          <w:lang w:val="it-IT"/>
        </w:rPr>
        <w:t>. Dei cinque pazienti (0,8%) che hanno presentato positività agli anticorpi anti-</w:t>
      </w:r>
      <w:r>
        <w:rPr>
          <w:noProof/>
          <w:szCs w:val="22"/>
          <w:lang w:val="it-IT"/>
        </w:rPr>
        <w:t xml:space="preserve"> tocilizumab</w:t>
      </w:r>
      <w:r>
        <w:rPr>
          <w:noProof/>
          <w:lang w:val="it-IT"/>
        </w:rPr>
        <w:t>, tutti hanno sviluppato anticorpi neutralizzanti anti-</w:t>
      </w:r>
      <w:del w:id="7115" w:author="Author">
        <w:r>
          <w:rPr>
            <w:noProof/>
            <w:szCs w:val="22"/>
            <w:lang w:val="it-IT"/>
          </w:rPr>
          <w:delText xml:space="preserve"> </w:delText>
        </w:r>
      </w:del>
      <w:r>
        <w:rPr>
          <w:noProof/>
          <w:szCs w:val="22"/>
          <w:lang w:val="it-IT"/>
        </w:rPr>
        <w:t>tocilizumab</w:t>
      </w:r>
      <w:r>
        <w:rPr>
          <w:noProof/>
          <w:lang w:val="it-IT"/>
        </w:rPr>
        <w:t>. Un paziente è risultato positivo al test per l’isotipo IgE (0,2%).</w:t>
      </w:r>
    </w:p>
    <w:p>
      <w:pPr>
        <w:tabs>
          <w:tab w:val="left" w:pos="180"/>
        </w:tabs>
        <w:rPr>
          <w:noProof/>
          <w:lang w:val="it-IT"/>
        </w:rPr>
      </w:pPr>
    </w:p>
    <w:p>
      <w:pPr>
        <w:tabs>
          <w:tab w:val="left" w:pos="180"/>
        </w:tabs>
        <w:rPr>
          <w:noProof/>
          <w:lang w:val="it-IT"/>
        </w:rPr>
      </w:pPr>
      <w:r>
        <w:rPr>
          <w:noProof/>
          <w:lang w:val="it-IT"/>
        </w:rPr>
        <w:lastRenderedPageBreak/>
        <w:t xml:space="preserve">Nello </w:t>
      </w:r>
      <w:del w:id="7116" w:author="Author">
        <w:r>
          <w:rPr>
            <w:noProof/>
            <w:lang w:val="it-IT"/>
          </w:rPr>
          <w:delText xml:space="preserve">studio </w:delText>
        </w:r>
      </w:del>
      <w:ins w:id="7117" w:author="Author">
        <w:r>
          <w:rPr>
            <w:noProof/>
            <w:lang w:val="it-IT"/>
          </w:rPr>
          <w:t xml:space="preserve">Studio </w:t>
        </w:r>
      </w:ins>
      <w:r>
        <w:rPr>
          <w:noProof/>
          <w:lang w:val="it-IT"/>
        </w:rPr>
        <w:t xml:space="preserve">SC-II, durante la fase controllata di 6 mesi, sono stati complessivamente analizzati 434 pazienti trattati con </w:t>
      </w:r>
      <w:r>
        <w:rPr>
          <w:noProof/>
          <w:szCs w:val="22"/>
          <w:lang w:val="it-IT"/>
        </w:rPr>
        <w:t xml:space="preserve">tocilizumab </w:t>
      </w:r>
      <w:r>
        <w:rPr>
          <w:noProof/>
          <w:lang w:val="it-IT"/>
        </w:rPr>
        <w:t xml:space="preserve">162 mg </w:t>
      </w:r>
      <w:ins w:id="7118" w:author="Author">
        <w:r>
          <w:rPr>
            <w:noProof/>
            <w:lang w:val="it-IT"/>
          </w:rPr>
          <w:t>ogni due</w:t>
        </w:r>
      </w:ins>
      <w:del w:id="7119" w:author="Author">
        <w:r>
          <w:rPr>
            <w:noProof/>
            <w:lang w:val="it-IT"/>
          </w:rPr>
          <w:delText>a</w:delText>
        </w:r>
      </w:del>
      <w:r>
        <w:rPr>
          <w:noProof/>
          <w:lang w:val="it-IT"/>
        </w:rPr>
        <w:t xml:space="preserve"> settimane </w:t>
      </w:r>
      <w:del w:id="7120" w:author="Author">
        <w:r>
          <w:rPr>
            <w:noProof/>
            <w:lang w:val="it-IT"/>
          </w:rPr>
          <w:delText xml:space="preserve">alterne </w:delText>
        </w:r>
      </w:del>
      <w:r>
        <w:rPr>
          <w:noProof/>
          <w:lang w:val="it-IT"/>
        </w:rPr>
        <w:t>al fine di rilevare anticorpi anti-</w:t>
      </w:r>
      <w:r>
        <w:rPr>
          <w:noProof/>
          <w:szCs w:val="22"/>
          <w:lang w:val="it-IT"/>
        </w:rPr>
        <w:t xml:space="preserve"> tocilizumab</w:t>
      </w:r>
      <w:r>
        <w:rPr>
          <w:noProof/>
          <w:lang w:val="it-IT"/>
        </w:rPr>
        <w:t>. Dei sette pazienti (1,6%) che hanno presentato positività agli anticorpi anti-</w:t>
      </w:r>
      <w:del w:id="7121" w:author="Author">
        <w:r>
          <w:rPr>
            <w:noProof/>
            <w:szCs w:val="22"/>
            <w:lang w:val="it-IT"/>
          </w:rPr>
          <w:delText xml:space="preserve"> </w:delText>
        </w:r>
      </w:del>
      <w:r>
        <w:rPr>
          <w:noProof/>
          <w:szCs w:val="22"/>
          <w:lang w:val="it-IT"/>
        </w:rPr>
        <w:t>tocilizumab</w:t>
      </w:r>
      <w:r>
        <w:rPr>
          <w:noProof/>
          <w:lang w:val="it-IT"/>
        </w:rPr>
        <w:t>, sei (1,4%) hanno sviluppato anticorpi neutralizzanti anti-</w:t>
      </w:r>
      <w:del w:id="7122" w:author="Author">
        <w:r>
          <w:rPr>
            <w:noProof/>
            <w:szCs w:val="22"/>
            <w:lang w:val="it-IT"/>
          </w:rPr>
          <w:delText xml:space="preserve"> </w:delText>
        </w:r>
      </w:del>
      <w:r>
        <w:rPr>
          <w:noProof/>
          <w:szCs w:val="22"/>
          <w:lang w:val="it-IT"/>
        </w:rPr>
        <w:t>tocilizumab</w:t>
      </w:r>
      <w:r>
        <w:rPr>
          <w:noProof/>
          <w:lang w:val="it-IT"/>
        </w:rPr>
        <w:t>. Quattro pazienti sono risultati positivi al test per l’isotipo IgE (0,9%).</w:t>
      </w:r>
    </w:p>
    <w:p>
      <w:pPr>
        <w:tabs>
          <w:tab w:val="left" w:pos="180"/>
        </w:tabs>
        <w:rPr>
          <w:noProof/>
          <w:lang w:val="it-IT"/>
        </w:rPr>
      </w:pPr>
    </w:p>
    <w:p>
      <w:pPr>
        <w:tabs>
          <w:tab w:val="left" w:pos="180"/>
        </w:tabs>
        <w:rPr>
          <w:noProof/>
          <w:lang w:val="it-IT"/>
        </w:rPr>
      </w:pPr>
      <w:r>
        <w:rPr>
          <w:noProof/>
          <w:lang w:val="it-IT"/>
        </w:rPr>
        <w:t>Non è stata osservata alcuna correlazione tra la produzione di anticorpi e la risposta clinica o gli eventi avversi.</w:t>
      </w:r>
    </w:p>
    <w:p>
      <w:pPr>
        <w:tabs>
          <w:tab w:val="left" w:pos="180"/>
        </w:tabs>
        <w:ind w:left="567" w:hanging="567"/>
        <w:outlineLvl w:val="0"/>
        <w:rPr>
          <w:rFonts w:eastAsia="MS Mincho"/>
          <w:noProof/>
          <w:szCs w:val="22"/>
          <w:lang w:val="it-IT" w:eastAsia="zh-CN"/>
        </w:rPr>
      </w:pPr>
    </w:p>
    <w:p>
      <w:pPr>
        <w:keepNext/>
        <w:keepLines/>
        <w:tabs>
          <w:tab w:val="left" w:pos="180"/>
        </w:tabs>
        <w:autoSpaceDE w:val="0"/>
        <w:autoSpaceDN w:val="0"/>
        <w:adjustRightInd w:val="0"/>
        <w:rPr>
          <w:rFonts w:eastAsia="SimSun"/>
          <w:noProof/>
          <w:szCs w:val="22"/>
          <w:u w:val="single"/>
          <w:lang w:val="it-IT"/>
        </w:rPr>
      </w:pPr>
      <w:r>
        <w:rPr>
          <w:i/>
          <w:noProof/>
          <w:szCs w:val="22"/>
          <w:u w:val="single"/>
          <w:lang w:val="it-IT"/>
        </w:rPr>
        <w:t>Neutrofili</w:t>
      </w:r>
    </w:p>
    <w:p>
      <w:pPr>
        <w:tabs>
          <w:tab w:val="left" w:pos="180"/>
        </w:tabs>
        <w:rPr>
          <w:noProof/>
          <w:szCs w:val="22"/>
          <w:lang w:val="it-IT"/>
        </w:rPr>
        <w:pPrChange w:id="7123" w:author="Author">
          <w:pPr>
            <w:keepNext/>
            <w:keepLines/>
            <w:tabs>
              <w:tab w:val="left" w:pos="180"/>
            </w:tabs>
            <w:spacing w:line="0" w:lineRule="atLeast"/>
          </w:pPr>
        </w:pPrChange>
      </w:pPr>
      <w:r>
        <w:rPr>
          <w:noProof/>
          <w:szCs w:val="22"/>
          <w:lang w:val="it-IT"/>
        </w:rPr>
        <w:t xml:space="preserve">Durante il monitoraggio di routine degli esami di laboratorio eseguito </w:t>
      </w:r>
      <w:r>
        <w:rPr>
          <w:noProof/>
          <w:lang w:val="it-IT"/>
        </w:rPr>
        <w:t>nello studio clinico SC-I controllato di 6</w:t>
      </w:r>
      <w:del w:id="7124" w:author="Author">
        <w:r>
          <w:rPr>
            <w:noProof/>
            <w:lang w:val="it-IT"/>
          </w:rPr>
          <w:delText xml:space="preserve"> </w:delText>
        </w:r>
      </w:del>
      <w:ins w:id="7125" w:author="Author">
        <w:r>
          <w:rPr>
            <w:noProof/>
            <w:lang w:val="it-IT"/>
          </w:rPr>
          <w:t> </w:t>
        </w:r>
      </w:ins>
      <w:r>
        <w:rPr>
          <w:noProof/>
          <w:lang w:val="it-IT"/>
        </w:rPr>
        <w:t xml:space="preserve">mesi su </w:t>
      </w:r>
      <w:r>
        <w:rPr>
          <w:noProof/>
          <w:szCs w:val="22"/>
          <w:lang w:val="it-IT"/>
        </w:rPr>
        <w:t xml:space="preserve">tocilizumab, è stata registrata una riduzione della conta dei neutrofili al di sotto di 1 </w:t>
      </w:r>
      <w:r>
        <w:rPr>
          <w:noProof/>
          <w:szCs w:val="22"/>
          <w:lang w:val="it-IT"/>
        </w:rPr>
        <w:sym w:font="Symbol" w:char="F0B4"/>
      </w:r>
      <w:r>
        <w:rPr>
          <w:noProof/>
          <w:szCs w:val="22"/>
          <w:lang w:val="it-IT"/>
        </w:rPr>
        <w:t>10</w:t>
      </w:r>
      <w:r>
        <w:rPr>
          <w:noProof/>
          <w:szCs w:val="22"/>
          <w:vertAlign w:val="superscript"/>
          <w:lang w:val="it-IT"/>
        </w:rPr>
        <w:t>9</w:t>
      </w:r>
      <w:r>
        <w:rPr>
          <w:noProof/>
          <w:szCs w:val="22"/>
          <w:lang w:val="it-IT"/>
        </w:rPr>
        <w:t xml:space="preserve">/L nel 2,9% dei pazienti </w:t>
      </w:r>
      <w:r>
        <w:rPr>
          <w:noProof/>
          <w:lang w:val="it-IT"/>
        </w:rPr>
        <w:t>in trattamento con la dose sottocutanea settimanale.</w:t>
      </w:r>
    </w:p>
    <w:p>
      <w:pPr>
        <w:tabs>
          <w:tab w:val="left" w:pos="180"/>
        </w:tabs>
        <w:spacing w:line="0" w:lineRule="atLeast"/>
        <w:rPr>
          <w:noProof/>
          <w:szCs w:val="22"/>
          <w:lang w:val="it-IT" w:eastAsia="de-DE"/>
        </w:rPr>
      </w:pPr>
    </w:p>
    <w:p>
      <w:pPr>
        <w:tabs>
          <w:tab w:val="left" w:pos="180"/>
        </w:tabs>
        <w:spacing w:line="0" w:lineRule="atLeast"/>
        <w:rPr>
          <w:noProof/>
          <w:szCs w:val="22"/>
          <w:lang w:val="it-IT"/>
        </w:rPr>
      </w:pPr>
      <w:r>
        <w:rPr>
          <w:noProof/>
          <w:szCs w:val="22"/>
          <w:lang w:val="it-IT"/>
        </w:rPr>
        <w:t xml:space="preserve">Non è emersa una chiara associazione tra le riduzioni della conta dei neutrofili al di sotto di 1 </w:t>
      </w:r>
      <w:r>
        <w:rPr>
          <w:noProof/>
          <w:szCs w:val="22"/>
          <w:lang w:val="it-IT"/>
        </w:rPr>
        <w:sym w:font="Symbol" w:char="F0B4"/>
      </w:r>
      <w:r>
        <w:rPr>
          <w:noProof/>
          <w:szCs w:val="22"/>
          <w:lang w:val="it-IT"/>
        </w:rPr>
        <w:t>10</w:t>
      </w:r>
      <w:r>
        <w:rPr>
          <w:noProof/>
          <w:szCs w:val="22"/>
          <w:vertAlign w:val="superscript"/>
          <w:lang w:val="it-IT"/>
        </w:rPr>
        <w:t>9</w:t>
      </w:r>
      <w:r>
        <w:rPr>
          <w:noProof/>
          <w:szCs w:val="22"/>
          <w:lang w:val="it-IT"/>
        </w:rPr>
        <w:t>/L e la comparsa di infezioni gravi.</w:t>
      </w:r>
    </w:p>
    <w:p>
      <w:pPr>
        <w:tabs>
          <w:tab w:val="left" w:pos="180"/>
        </w:tabs>
        <w:spacing w:line="0" w:lineRule="atLeast"/>
        <w:rPr>
          <w:i/>
          <w:noProof/>
          <w:szCs w:val="22"/>
          <w:lang w:val="it-IT" w:eastAsia="de-DE"/>
        </w:rPr>
      </w:pPr>
    </w:p>
    <w:p>
      <w:pPr>
        <w:tabs>
          <w:tab w:val="left" w:pos="180"/>
        </w:tabs>
        <w:spacing w:line="0" w:lineRule="atLeast"/>
        <w:rPr>
          <w:i/>
          <w:noProof/>
          <w:szCs w:val="22"/>
          <w:u w:val="single"/>
          <w:lang w:val="it-IT"/>
        </w:rPr>
      </w:pPr>
      <w:r>
        <w:rPr>
          <w:i/>
          <w:noProof/>
          <w:szCs w:val="22"/>
          <w:u w:val="single"/>
          <w:lang w:val="it-IT"/>
        </w:rPr>
        <w:t>Piastrine</w:t>
      </w:r>
    </w:p>
    <w:p>
      <w:pPr>
        <w:tabs>
          <w:tab w:val="left" w:pos="180"/>
        </w:tabs>
        <w:rPr>
          <w:noProof/>
          <w:lang w:val="it-IT"/>
        </w:rPr>
      </w:pPr>
      <w:r>
        <w:rPr>
          <w:noProof/>
          <w:lang w:val="it-IT"/>
        </w:rPr>
        <w:t xml:space="preserve">Durante il monitoraggio di routine degli esami di laboratorio eseguito nello studio clinico SC-I controllato di 6 mesi su </w:t>
      </w:r>
      <w:r>
        <w:rPr>
          <w:noProof/>
          <w:szCs w:val="22"/>
          <w:lang w:val="it-IT"/>
        </w:rPr>
        <w:t>tocilizumab</w:t>
      </w:r>
      <w:r>
        <w:rPr>
          <w:noProof/>
          <w:lang w:val="it-IT"/>
        </w:rPr>
        <w:t xml:space="preserve">, in nessuno dei pazienti in trattamento con la dose sottocutanea settimanale si è verificata una riduzione della conta piastrinica </w:t>
      </w:r>
      <w:del w:id="7126" w:author="Author">
        <w:r>
          <w:rPr>
            <w:noProof/>
            <w:szCs w:val="22"/>
            <w:lang w:val="it-IT" w:eastAsia="de-DE"/>
          </w:rPr>
          <w:delText> </w:delText>
        </w:r>
      </w:del>
      <w:r>
        <w:rPr>
          <w:noProof/>
          <w:szCs w:val="22"/>
          <w:lang w:val="it-IT" w:eastAsia="de-DE"/>
        </w:rPr>
        <w:t>≤ </w:t>
      </w:r>
      <w:r>
        <w:rPr>
          <w:noProof/>
          <w:lang w:val="it-IT"/>
        </w:rPr>
        <w:t xml:space="preserve">50 </w:t>
      </w:r>
      <w:r>
        <w:rPr>
          <w:noProof/>
          <w:szCs w:val="22"/>
          <w:lang w:val="it-IT"/>
        </w:rPr>
        <w:sym w:font="Symbol" w:char="F0B4"/>
      </w:r>
      <w:r>
        <w:rPr>
          <w:noProof/>
          <w:lang w:val="it-IT"/>
        </w:rPr>
        <w:t>10</w:t>
      </w:r>
      <w:r>
        <w:rPr>
          <w:noProof/>
          <w:vertAlign w:val="superscript"/>
          <w:lang w:val="it-IT"/>
        </w:rPr>
        <w:t>3</w:t>
      </w:r>
      <w:r>
        <w:rPr>
          <w:noProof/>
          <w:lang w:val="it-IT"/>
        </w:rPr>
        <w:t>/μL.</w:t>
      </w:r>
    </w:p>
    <w:p>
      <w:pPr>
        <w:tabs>
          <w:tab w:val="left" w:pos="180"/>
        </w:tabs>
        <w:spacing w:line="0" w:lineRule="atLeast"/>
        <w:rPr>
          <w:noProof/>
          <w:szCs w:val="22"/>
          <w:lang w:val="it-IT" w:eastAsia="de-DE"/>
        </w:rPr>
      </w:pPr>
    </w:p>
    <w:p>
      <w:pPr>
        <w:keepNext/>
        <w:keepLines/>
        <w:tabs>
          <w:tab w:val="left" w:pos="180"/>
        </w:tabs>
        <w:rPr>
          <w:i/>
          <w:noProof/>
          <w:szCs w:val="22"/>
          <w:u w:val="single"/>
          <w:lang w:val="it-IT"/>
        </w:rPr>
      </w:pPr>
      <w:r>
        <w:rPr>
          <w:i/>
          <w:noProof/>
          <w:szCs w:val="22"/>
          <w:u w:val="single"/>
          <w:lang w:val="it-IT"/>
        </w:rPr>
        <w:t>Aumenti delle transaminasi epatiche</w:t>
      </w:r>
    </w:p>
    <w:p>
      <w:pPr>
        <w:tabs>
          <w:tab w:val="left" w:pos="180"/>
        </w:tabs>
        <w:autoSpaceDE w:val="0"/>
        <w:autoSpaceDN w:val="0"/>
        <w:adjustRightInd w:val="0"/>
        <w:rPr>
          <w:noProof/>
          <w:lang w:val="it-IT"/>
        </w:rPr>
      </w:pPr>
      <w:r>
        <w:rPr>
          <w:noProof/>
          <w:lang w:val="it-IT"/>
        </w:rPr>
        <w:t>Durante il monitoraggio di routine degli esami di laboratorio eseguito nello studio clinico SC-I controllato di 6</w:t>
      </w:r>
      <w:ins w:id="7127" w:author="Author">
        <w:r>
          <w:rPr>
            <w:noProof/>
            <w:lang w:val="it-IT"/>
          </w:rPr>
          <w:t> </w:t>
        </w:r>
      </w:ins>
      <w:del w:id="7128" w:author="Author">
        <w:r>
          <w:rPr>
            <w:noProof/>
            <w:lang w:val="it-IT"/>
          </w:rPr>
          <w:delText xml:space="preserve"> </w:delText>
        </w:r>
      </w:del>
      <w:r>
        <w:rPr>
          <w:noProof/>
          <w:lang w:val="it-IT"/>
        </w:rPr>
        <w:t xml:space="preserve">mesi su </w:t>
      </w:r>
      <w:r>
        <w:rPr>
          <w:noProof/>
          <w:szCs w:val="22"/>
          <w:lang w:val="it-IT"/>
        </w:rPr>
        <w:t>tocilizumab</w:t>
      </w:r>
      <w:r>
        <w:rPr>
          <w:noProof/>
          <w:lang w:val="it-IT"/>
        </w:rPr>
        <w:t xml:space="preserve">, è stato registrato un aumento di ALT e AST </w:t>
      </w:r>
      <w:r>
        <w:rPr>
          <w:noProof/>
          <w:szCs w:val="22"/>
          <w:lang w:val="it-IT" w:eastAsia="de-DE"/>
        </w:rPr>
        <w:t>≥</w:t>
      </w:r>
      <w:r>
        <w:rPr>
          <w:noProof/>
          <w:lang w:val="it-IT"/>
        </w:rPr>
        <w:t>3 volte ULN rispettivamente nel 6,5% e nell’1,4% dei pazienti in trattamento con la dose sottocutanea settimanale.</w:t>
      </w:r>
    </w:p>
    <w:p>
      <w:pPr>
        <w:tabs>
          <w:tab w:val="left" w:pos="180"/>
        </w:tabs>
        <w:autoSpaceDE w:val="0"/>
        <w:autoSpaceDN w:val="0"/>
        <w:adjustRightInd w:val="0"/>
        <w:rPr>
          <w:noProof/>
          <w:szCs w:val="22"/>
          <w:lang w:val="it-IT" w:eastAsia="de-DE"/>
        </w:rPr>
      </w:pPr>
    </w:p>
    <w:p>
      <w:pPr>
        <w:keepNext/>
        <w:keepLines/>
        <w:tabs>
          <w:tab w:val="left" w:pos="180"/>
        </w:tabs>
        <w:autoSpaceDE w:val="0"/>
        <w:autoSpaceDN w:val="0"/>
        <w:adjustRightInd w:val="0"/>
        <w:rPr>
          <w:i/>
          <w:noProof/>
          <w:szCs w:val="22"/>
          <w:u w:val="single"/>
          <w:lang w:val="it-IT"/>
        </w:rPr>
      </w:pPr>
      <w:r>
        <w:rPr>
          <w:i/>
          <w:noProof/>
          <w:szCs w:val="22"/>
          <w:u w:val="single"/>
          <w:lang w:val="it-IT"/>
        </w:rPr>
        <w:t>Parametri lipidici</w:t>
      </w:r>
    </w:p>
    <w:p>
      <w:pPr>
        <w:keepNext/>
        <w:keepLines/>
        <w:tabs>
          <w:tab w:val="left" w:pos="180"/>
        </w:tabs>
        <w:autoSpaceDE w:val="0"/>
        <w:autoSpaceDN w:val="0"/>
        <w:adjustRightInd w:val="0"/>
        <w:rPr>
          <w:noProof/>
          <w:lang w:val="it-IT"/>
        </w:rPr>
      </w:pPr>
      <w:r>
        <w:rPr>
          <w:noProof/>
          <w:lang w:val="it-IT"/>
        </w:rPr>
        <w:t>Durante il monitoraggio di routine degli esami di laboratorio eseguito nello studio clinico SC-I controllato di 6</w:t>
      </w:r>
      <w:ins w:id="7129" w:author="Author">
        <w:r>
          <w:rPr>
            <w:noProof/>
            <w:lang w:val="it-IT"/>
          </w:rPr>
          <w:t> </w:t>
        </w:r>
      </w:ins>
      <w:del w:id="7130" w:author="Author">
        <w:r>
          <w:rPr>
            <w:noProof/>
            <w:lang w:val="it-IT"/>
          </w:rPr>
          <w:delText xml:space="preserve"> </w:delText>
        </w:r>
      </w:del>
      <w:r>
        <w:rPr>
          <w:noProof/>
          <w:lang w:val="it-IT"/>
        </w:rPr>
        <w:t xml:space="preserve">mesi su </w:t>
      </w:r>
      <w:r>
        <w:rPr>
          <w:noProof/>
          <w:szCs w:val="22"/>
          <w:lang w:val="it-IT"/>
        </w:rPr>
        <w:t>tocilizumab</w:t>
      </w:r>
      <w:r>
        <w:rPr>
          <w:noProof/>
          <w:lang w:val="it-IT"/>
        </w:rPr>
        <w:t xml:space="preserve">, il 19% dei pazienti ha presentato aumenti sostenuti del colesterolo totale </w:t>
      </w:r>
      <w:r>
        <w:rPr>
          <w:noProof/>
          <w:lang w:val="it-IT"/>
        </w:rPr>
        <w:sym w:font="Symbol" w:char="F03E"/>
      </w:r>
      <w:r>
        <w:rPr>
          <w:noProof/>
          <w:lang w:val="it-IT"/>
        </w:rPr>
        <w:t xml:space="preserve">6,2 mmol/L (240 mg/dL), con un 9% in trattamento con la dose sottocutanea settimanale che ha manifestato un incremento sostenuto dell’LDL </w:t>
      </w:r>
      <w:r>
        <w:rPr>
          <w:noProof/>
          <w:szCs w:val="22"/>
          <w:lang w:val="it-IT" w:eastAsia="de-DE"/>
        </w:rPr>
        <w:t>≥</w:t>
      </w:r>
      <w:r>
        <w:rPr>
          <w:noProof/>
          <w:lang w:val="it-IT"/>
        </w:rPr>
        <w:t>4,1 mmol/L (160 mg/dL).</w:t>
      </w:r>
    </w:p>
    <w:p>
      <w:pPr>
        <w:tabs>
          <w:tab w:val="left" w:pos="180"/>
        </w:tabs>
        <w:autoSpaceDE w:val="0"/>
        <w:autoSpaceDN w:val="0"/>
        <w:adjustRightInd w:val="0"/>
        <w:rPr>
          <w:noProof/>
          <w:lang w:val="it-IT"/>
        </w:rPr>
        <w:pPrChange w:id="7131" w:author="Author">
          <w:pPr>
            <w:keepNext/>
            <w:keepLines/>
            <w:tabs>
              <w:tab w:val="left" w:pos="180"/>
            </w:tabs>
            <w:autoSpaceDE w:val="0"/>
            <w:autoSpaceDN w:val="0"/>
            <w:adjustRightInd w:val="0"/>
          </w:pPr>
        </w:pPrChange>
      </w:pPr>
    </w:p>
    <w:p>
      <w:pPr>
        <w:keepNext/>
        <w:keepLines/>
        <w:autoSpaceDE w:val="0"/>
        <w:autoSpaceDN w:val="0"/>
        <w:adjustRightInd w:val="0"/>
        <w:rPr>
          <w:rFonts w:eastAsia="SimSun"/>
          <w:bCs/>
          <w:i/>
          <w:iCs/>
          <w:noProof/>
          <w:szCs w:val="22"/>
          <w:lang w:val="it-IT" w:eastAsia="zh-CN"/>
        </w:rPr>
      </w:pPr>
      <w:r>
        <w:rPr>
          <w:rFonts w:eastAsia="SimSun"/>
          <w:bCs/>
          <w:i/>
          <w:iCs/>
          <w:noProof/>
          <w:szCs w:val="22"/>
          <w:lang w:val="it-IT" w:eastAsia="zh-CN"/>
        </w:rPr>
        <w:t>Pazienti affetti da AIGs</w:t>
      </w:r>
    </w:p>
    <w:p>
      <w:pPr>
        <w:keepNext/>
        <w:keepLines/>
        <w:rPr>
          <w:noProof/>
          <w:lang w:val="it-IT"/>
        </w:rPr>
      </w:pPr>
      <w:r>
        <w:rPr>
          <w:noProof/>
          <w:lang w:val="it-IT"/>
        </w:rPr>
        <w:t xml:space="preserve">Il profilo di sicurezza di </w:t>
      </w:r>
      <w:r>
        <w:rPr>
          <w:noProof/>
          <w:szCs w:val="22"/>
          <w:lang w:val="it-IT"/>
        </w:rPr>
        <w:t xml:space="preserve">tocilizumab </w:t>
      </w:r>
      <w:r>
        <w:rPr>
          <w:noProof/>
          <w:lang w:val="it-IT"/>
        </w:rPr>
        <w:t xml:space="preserve">in formulazione sottocutanea è stato valutato in 51 pazienti pediatrici (di età compresa tra 1 e 17 anni) affetti da AIGs. In generale, i tipi di reazioni avverse registrate nei pazienti affetti da AIGs sono risultati simili a quelli osservati nei pazienti affetti da AR (vedere paragrafo </w:t>
      </w:r>
      <w:del w:id="7132" w:author="Author">
        <w:r>
          <w:rPr>
            <w:noProof/>
            <w:lang w:val="it-IT"/>
          </w:rPr>
          <w:delText xml:space="preserve"> </w:delText>
        </w:r>
      </w:del>
      <w:r>
        <w:rPr>
          <w:noProof/>
          <w:lang w:val="it-IT"/>
        </w:rPr>
        <w:t xml:space="preserve">4.8). </w:t>
      </w:r>
    </w:p>
    <w:p>
      <w:pPr>
        <w:rPr>
          <w:noProof/>
          <w:lang w:val="it-IT"/>
        </w:rPr>
      </w:pPr>
      <w:del w:id="7133" w:author="Author">
        <w:r>
          <w:rPr>
            <w:noProof/>
            <w:lang w:val="it-IT"/>
          </w:rPr>
          <w:delText xml:space="preserve"> </w:delText>
        </w:r>
      </w:del>
    </w:p>
    <w:p>
      <w:pPr>
        <w:rPr>
          <w:i/>
          <w:noProof/>
          <w:u w:val="single"/>
          <w:lang w:val="it-IT"/>
        </w:rPr>
      </w:pPr>
      <w:r>
        <w:rPr>
          <w:i/>
          <w:noProof/>
          <w:u w:val="single"/>
          <w:lang w:val="it-IT"/>
        </w:rPr>
        <w:t>Infezioni</w:t>
      </w:r>
    </w:p>
    <w:p>
      <w:pPr>
        <w:rPr>
          <w:noProof/>
          <w:lang w:val="it-IT"/>
        </w:rPr>
      </w:pPr>
      <w:r>
        <w:rPr>
          <w:noProof/>
          <w:lang w:val="it-IT"/>
        </w:rPr>
        <w:t xml:space="preserve">Il tasso di infezioni nei pazienti affetti da AIGs trattati contocilizumab formulazione sottocutanea è risultato sovrapponibile a quello dei pazienti affetti da AIGs trattati con tocilizumab formulazione </w:t>
      </w:r>
      <w:del w:id="7134" w:author="Author">
        <w:r>
          <w:rPr>
            <w:noProof/>
            <w:lang w:val="it-IT"/>
          </w:rPr>
          <w:delText>endovenoca</w:delText>
        </w:r>
      </w:del>
      <w:ins w:id="7135" w:author="Author">
        <w:r>
          <w:rPr>
            <w:noProof/>
            <w:lang w:val="it-IT"/>
          </w:rPr>
          <w:t>endovenosa,</w:t>
        </w:r>
      </w:ins>
    </w:p>
    <w:p>
      <w:pPr>
        <w:rPr>
          <w:noProof/>
          <w:lang w:val="it-IT"/>
        </w:rPr>
      </w:pPr>
    </w:p>
    <w:p>
      <w:pPr>
        <w:rPr>
          <w:i/>
          <w:noProof/>
          <w:u w:val="single"/>
          <w:lang w:val="it-IT"/>
        </w:rPr>
      </w:pPr>
      <w:r>
        <w:rPr>
          <w:i/>
          <w:noProof/>
          <w:u w:val="single"/>
          <w:lang w:val="it-IT"/>
        </w:rPr>
        <w:t>Reazioni correlate al sito di iniezione (ISR)</w:t>
      </w:r>
    </w:p>
    <w:p>
      <w:pPr>
        <w:rPr>
          <w:noProof/>
          <w:lang w:val="it-IT"/>
        </w:rPr>
      </w:pPr>
      <w:r>
        <w:rPr>
          <w:noProof/>
          <w:lang w:val="it-IT"/>
        </w:rPr>
        <w:t>Nello studio</w:t>
      </w:r>
      <w:ins w:id="7136" w:author="Author">
        <w:r>
          <w:rPr>
            <w:noProof/>
            <w:lang w:val="it-IT"/>
          </w:rPr>
          <w:t xml:space="preserve"> clinico</w:t>
        </w:r>
      </w:ins>
      <w:r>
        <w:rPr>
          <w:noProof/>
          <w:lang w:val="it-IT"/>
        </w:rPr>
        <w:t xml:space="preserve"> sulla formulazione sottocutanea (WA28118), complessivamente il 41,2% </w:t>
      </w:r>
      <w:r>
        <w:rPr>
          <w:rFonts w:eastAsia="MS Mincho"/>
          <w:noProof/>
          <w:lang w:val="it-IT" w:eastAsia="zh-CN"/>
        </w:rPr>
        <w:t xml:space="preserve">(21/51) dei pazienti affetti da AIGs ha manifestato ISR a </w:t>
      </w:r>
      <w:r>
        <w:rPr>
          <w:noProof/>
          <w:lang w:val="it-IT"/>
        </w:rPr>
        <w:t>tocilizumab formulazione sottocutaneaLe ISR più comuni sono state eritema, prurito, dolore e gonfiore in corrispondenza del sito di iniezione. La maggior parte delle ISR segnalate era rappresentata da eventi di grado 1. Tutte le ISR riferite sono state non gravi e nessuna di esse ha richiesto che il paziente interrompesse il trattamento o sospendesse il dosaggio.</w:t>
      </w:r>
    </w:p>
    <w:p>
      <w:pPr>
        <w:rPr>
          <w:noProof/>
          <w:lang w:val="it-IT"/>
        </w:rPr>
      </w:pPr>
    </w:p>
    <w:p>
      <w:pPr>
        <w:rPr>
          <w:i/>
          <w:noProof/>
          <w:u w:val="single"/>
          <w:lang w:val="it-IT"/>
        </w:rPr>
      </w:pPr>
      <w:r>
        <w:rPr>
          <w:i/>
          <w:noProof/>
          <w:u w:val="single"/>
          <w:lang w:val="it-IT"/>
        </w:rPr>
        <w:t>Immunogenicità</w:t>
      </w:r>
    </w:p>
    <w:p>
      <w:pPr>
        <w:rPr>
          <w:noProof/>
          <w:lang w:val="it-IT"/>
        </w:rPr>
      </w:pPr>
      <w:r>
        <w:rPr>
          <w:noProof/>
          <w:lang w:val="it-IT"/>
        </w:rPr>
        <w:t xml:space="preserve">Nello studio </w:t>
      </w:r>
      <w:ins w:id="7137" w:author="Author">
        <w:r>
          <w:rPr>
            <w:noProof/>
            <w:lang w:val="it-IT"/>
          </w:rPr>
          <w:t xml:space="preserve">clinico </w:t>
        </w:r>
      </w:ins>
      <w:r>
        <w:rPr>
          <w:noProof/>
          <w:lang w:val="it-IT"/>
        </w:rPr>
        <w:t>sulla formulazione sottocutanea (WA28118), 46 dei 51 (90,2%) pazienti testati per gli anticorpi anti-tocilizumab al basale presentavano almeno un risultato analitico di screening post-basale. Nessun paziente ha sviluppato positività agli anticorpi anti-tocilizumab post-basale.</w:t>
      </w:r>
    </w:p>
    <w:p>
      <w:pPr>
        <w:rPr>
          <w:noProof/>
          <w:lang w:val="it-IT"/>
        </w:rPr>
      </w:pPr>
    </w:p>
    <w:p>
      <w:pPr>
        <w:keepNext/>
        <w:keepLines/>
        <w:rPr>
          <w:noProof/>
          <w:u w:val="single"/>
          <w:lang w:val="it-IT"/>
        </w:rPr>
        <w:pPrChange w:id="7138" w:author="Author">
          <w:pPr/>
        </w:pPrChange>
      </w:pPr>
      <w:r>
        <w:rPr>
          <w:i/>
          <w:noProof/>
          <w:u w:val="single"/>
          <w:lang w:val="it-IT"/>
        </w:rPr>
        <w:lastRenderedPageBreak/>
        <w:t>Anomalie di laboratorio</w:t>
      </w:r>
    </w:p>
    <w:p>
      <w:pPr>
        <w:rPr>
          <w:rFonts w:eastAsia="SimSun"/>
          <w:noProof/>
          <w:lang w:val="it-IT"/>
        </w:rPr>
      </w:pPr>
      <w:r>
        <w:rPr>
          <w:noProof/>
          <w:lang w:val="it-IT"/>
        </w:rPr>
        <w:t xml:space="preserve">Nello studio </w:t>
      </w:r>
      <w:ins w:id="7139" w:author="Author">
        <w:r>
          <w:rPr>
            <w:noProof/>
            <w:lang w:val="it-IT"/>
          </w:rPr>
          <w:t xml:space="preserve">clinico </w:t>
        </w:r>
      </w:ins>
      <w:r>
        <w:rPr>
          <w:noProof/>
          <w:lang w:val="it-IT"/>
        </w:rPr>
        <w:t xml:space="preserve">in aperto della durata di 52 settimane sulla formulazione sottocutanea (WA28118), il 23,5% dei pazienti trattati con tocilizumab formulazione sottocutanea ha evidenziato una riduzione della conta dei neutrofili al di sotto di </w:t>
      </w:r>
      <w:r>
        <w:rPr>
          <w:rFonts w:eastAsia="SimSun"/>
          <w:noProof/>
          <w:lang w:val="it-IT" w:eastAsia="zh-CN"/>
        </w:rPr>
        <w:t xml:space="preserve">1 </w:t>
      </w:r>
      <w:r>
        <w:rPr>
          <w:rFonts w:eastAsia="SimSun"/>
          <w:noProof/>
          <w:lang w:val="it-IT" w:eastAsia="zh-CN"/>
        </w:rPr>
        <w:sym w:font="Symbol" w:char="F0B4"/>
      </w:r>
      <w:r>
        <w:rPr>
          <w:rFonts w:eastAsia="SimSun"/>
          <w:noProof/>
          <w:lang w:val="it-IT" w:eastAsia="zh-CN"/>
        </w:rPr>
        <w:t>10</w:t>
      </w:r>
      <w:r>
        <w:rPr>
          <w:rFonts w:eastAsia="SimSun"/>
          <w:noProof/>
          <w:vertAlign w:val="superscript"/>
          <w:lang w:val="it-IT" w:eastAsia="zh-CN"/>
        </w:rPr>
        <w:t>9</w:t>
      </w:r>
      <w:r>
        <w:rPr>
          <w:rFonts w:eastAsia="SimSun"/>
          <w:noProof/>
          <w:lang w:val="it-IT" w:eastAsia="zh-CN"/>
        </w:rPr>
        <w:t xml:space="preserve">/L. Nel 2% </w:t>
      </w:r>
      <w:r>
        <w:rPr>
          <w:noProof/>
          <w:lang w:val="it-IT"/>
        </w:rPr>
        <w:t xml:space="preserve">dei pazienti trattati con tocilizumab formulazione sottocutaneasono state registrate riduzioni delle conte piastriniche al di sotto di </w:t>
      </w:r>
      <w:r>
        <w:rPr>
          <w:rFonts w:eastAsia="SimSun"/>
          <w:noProof/>
          <w:lang w:val="it-IT"/>
        </w:rPr>
        <w:t xml:space="preserve">100 </w:t>
      </w:r>
      <w:r>
        <w:rPr>
          <w:rFonts w:eastAsia="SimSun"/>
          <w:noProof/>
          <w:lang w:val="it-IT"/>
        </w:rPr>
        <w:sym w:font="Symbol" w:char="F0B4"/>
      </w:r>
      <w:r>
        <w:rPr>
          <w:rFonts w:eastAsia="SimSun"/>
          <w:noProof/>
          <w:lang w:val="it-IT"/>
        </w:rPr>
        <w:t>10</w:t>
      </w:r>
      <w:r>
        <w:rPr>
          <w:rFonts w:eastAsia="SimSun"/>
          <w:noProof/>
          <w:vertAlign w:val="superscript"/>
          <w:lang w:val="it-IT"/>
        </w:rPr>
        <w:t>3</w:t>
      </w:r>
      <w:r>
        <w:rPr>
          <w:rFonts w:eastAsia="SimSun"/>
          <w:noProof/>
          <w:lang w:val="it-IT"/>
        </w:rPr>
        <w:t xml:space="preserve">/μL. Il 9,8% e il 4,0% dei pazienti </w:t>
      </w:r>
      <w:r>
        <w:rPr>
          <w:noProof/>
          <w:lang w:val="it-IT"/>
        </w:rPr>
        <w:t xml:space="preserve">trattati con tocilizumab formulazione sottocutaneahanno manifestato un aumento rispettivamente di ALT o AST </w:t>
      </w:r>
      <w:r>
        <w:rPr>
          <w:rFonts w:eastAsia="SimSun"/>
          <w:noProof/>
          <w:lang w:val="it-IT"/>
        </w:rPr>
        <w:t>≥ 3 volte ULN.</w:t>
      </w:r>
    </w:p>
    <w:p>
      <w:pPr>
        <w:rPr>
          <w:rFonts w:eastAsia="SimSun"/>
          <w:noProof/>
          <w:lang w:val="it-IT"/>
        </w:rPr>
      </w:pPr>
    </w:p>
    <w:p>
      <w:pPr>
        <w:keepNext/>
        <w:rPr>
          <w:rFonts w:eastAsia="SimSun"/>
          <w:i/>
          <w:noProof/>
          <w:u w:val="single"/>
          <w:lang w:val="it-IT"/>
        </w:rPr>
      </w:pPr>
      <w:r>
        <w:rPr>
          <w:rFonts w:eastAsia="SimSun"/>
          <w:i/>
          <w:noProof/>
          <w:u w:val="single"/>
          <w:lang w:val="it-IT"/>
        </w:rPr>
        <w:t>Parametri lipidici</w:t>
      </w:r>
    </w:p>
    <w:p>
      <w:pPr>
        <w:rPr>
          <w:rFonts w:eastAsia="SimSun"/>
          <w:noProof/>
          <w:szCs w:val="22"/>
          <w:lang w:val="it-IT" w:eastAsia="zh-CN"/>
        </w:rPr>
      </w:pPr>
      <w:r>
        <w:rPr>
          <w:noProof/>
          <w:lang w:val="it-IT"/>
        </w:rPr>
        <w:t>Nello studio</w:t>
      </w:r>
      <w:ins w:id="7140" w:author="Author">
        <w:r>
          <w:rPr>
            <w:noProof/>
            <w:lang w:val="it-IT"/>
          </w:rPr>
          <w:t xml:space="preserve"> clinico</w:t>
        </w:r>
      </w:ins>
      <w:r>
        <w:rPr>
          <w:noProof/>
          <w:lang w:val="it-IT"/>
        </w:rPr>
        <w:t xml:space="preserve"> in aperto della durata di 52 settimane sulla formulazione sottocutanea</w:t>
      </w:r>
      <w:ins w:id="7141" w:author="Author">
        <w:r>
          <w:rPr>
            <w:noProof/>
            <w:lang w:val="it-IT"/>
          </w:rPr>
          <w:t xml:space="preserve"> </w:t>
        </w:r>
      </w:ins>
      <w:r>
        <w:rPr>
          <w:noProof/>
          <w:lang w:val="it-IT"/>
        </w:rPr>
        <w:t xml:space="preserve">(WA28118), </w:t>
      </w:r>
      <w:r>
        <w:rPr>
          <w:rFonts w:eastAsia="SimSun"/>
          <w:noProof/>
          <w:szCs w:val="22"/>
          <w:lang w:val="it-IT" w:eastAsia="zh-CN"/>
        </w:rPr>
        <w:t xml:space="preserve">il 23,4% e il 35,4% dei pazienti hanno manifestato un aumento post-basale del valore rispettivamente di colesterolo LDL </w:t>
      </w:r>
      <w:r>
        <w:rPr>
          <w:noProof/>
          <w:szCs w:val="22"/>
          <w:lang w:val="it-IT"/>
        </w:rPr>
        <w:t>≥</w:t>
      </w:r>
      <w:r>
        <w:rPr>
          <w:rFonts w:eastAsia="SimSun"/>
          <w:noProof/>
          <w:szCs w:val="22"/>
          <w:lang w:val="it-IT" w:eastAsia="zh-CN"/>
        </w:rPr>
        <w:t>130</w:t>
      </w:r>
      <w:ins w:id="7142" w:author="Author">
        <w:r>
          <w:rPr>
            <w:rFonts w:eastAsia="SimSun"/>
            <w:noProof/>
            <w:szCs w:val="22"/>
            <w:lang w:val="it-IT" w:eastAsia="zh-CN"/>
          </w:rPr>
          <w:t> </w:t>
        </w:r>
      </w:ins>
      <w:del w:id="7143" w:author="Author">
        <w:r>
          <w:rPr>
            <w:rFonts w:eastAsia="SimSun"/>
            <w:noProof/>
            <w:szCs w:val="22"/>
            <w:lang w:val="it-IT" w:eastAsia="zh-CN"/>
          </w:rPr>
          <w:delText xml:space="preserve"> </w:delText>
        </w:r>
      </w:del>
      <w:r>
        <w:rPr>
          <w:rFonts w:eastAsia="SimSun"/>
          <w:noProof/>
          <w:szCs w:val="22"/>
          <w:lang w:val="it-IT" w:eastAsia="zh-CN"/>
        </w:rPr>
        <w:t xml:space="preserve">mg/dL e di colesterolo totale </w:t>
      </w:r>
      <w:r>
        <w:rPr>
          <w:noProof/>
          <w:szCs w:val="22"/>
          <w:lang w:val="it-IT"/>
        </w:rPr>
        <w:t>≥</w:t>
      </w:r>
      <w:r>
        <w:rPr>
          <w:rFonts w:eastAsia="SimSun"/>
          <w:noProof/>
          <w:szCs w:val="22"/>
          <w:lang w:val="it-IT" w:eastAsia="zh-CN"/>
        </w:rPr>
        <w:t>200 mg/dL in qualsiasi momento nel corso del trattamento in studio.</w:t>
      </w:r>
    </w:p>
    <w:p>
      <w:pPr>
        <w:rPr>
          <w:rFonts w:eastAsia="SimSun"/>
          <w:noProof/>
          <w:szCs w:val="22"/>
          <w:u w:val="single"/>
          <w:lang w:val="it-IT" w:eastAsia="zh-CN"/>
        </w:rPr>
      </w:pPr>
    </w:p>
    <w:p>
      <w:pPr>
        <w:keepNext/>
        <w:keepLines/>
        <w:autoSpaceDE w:val="0"/>
        <w:autoSpaceDN w:val="0"/>
        <w:adjustRightInd w:val="0"/>
        <w:rPr>
          <w:rFonts w:eastAsia="SimSun"/>
          <w:bCs/>
          <w:i/>
          <w:iCs/>
          <w:noProof/>
          <w:szCs w:val="22"/>
          <w:lang w:val="it-IT" w:eastAsia="zh-CN"/>
        </w:rPr>
      </w:pPr>
      <w:r>
        <w:rPr>
          <w:rFonts w:eastAsia="SimSun"/>
          <w:bCs/>
          <w:i/>
          <w:iCs/>
          <w:noProof/>
          <w:szCs w:val="22"/>
          <w:lang w:val="it-IT" w:eastAsia="zh-CN"/>
        </w:rPr>
        <w:t xml:space="preserve">Pazienti affetti da AIGp </w:t>
      </w:r>
    </w:p>
    <w:p>
      <w:pPr>
        <w:tabs>
          <w:tab w:val="left" w:pos="180"/>
        </w:tabs>
        <w:autoSpaceDE w:val="0"/>
        <w:autoSpaceDN w:val="0"/>
        <w:adjustRightInd w:val="0"/>
        <w:rPr>
          <w:noProof/>
          <w:lang w:val="it-IT"/>
        </w:rPr>
      </w:pPr>
      <w:r>
        <w:rPr>
          <w:noProof/>
          <w:szCs w:val="22"/>
          <w:lang w:val="it-IT"/>
        </w:rPr>
        <w:t xml:space="preserve">Il profilo di sicurezza di tocilizumab in formulazione sottocutanea è stato anche valutato in 52 pazienti pediatrici affetti da AIGp. L’esposizione totale dei pazienti a tocilizumab </w:t>
      </w:r>
      <w:r>
        <w:rPr>
          <w:noProof/>
          <w:lang w:val="it-IT"/>
        </w:rPr>
        <w:t>in tutta la popolazione esposta affetta da AIGp si è attestata a 184,4</w:t>
      </w:r>
      <w:ins w:id="7144" w:author="Author">
        <w:r>
          <w:rPr>
            <w:noProof/>
            <w:lang w:val="it-IT"/>
          </w:rPr>
          <w:t> </w:t>
        </w:r>
      </w:ins>
      <w:del w:id="7145" w:author="Author">
        <w:r>
          <w:rPr>
            <w:noProof/>
            <w:lang w:val="it-IT"/>
          </w:rPr>
          <w:delText xml:space="preserve"> </w:delText>
        </w:r>
      </w:del>
      <w:r>
        <w:rPr>
          <w:noProof/>
          <w:lang w:val="it-IT"/>
        </w:rPr>
        <w:t>anni-paziente per tocilizumab formulazione endovenosa e a 50,4</w:t>
      </w:r>
      <w:ins w:id="7146" w:author="Author">
        <w:r>
          <w:rPr>
            <w:noProof/>
            <w:lang w:val="it-IT"/>
          </w:rPr>
          <w:t> </w:t>
        </w:r>
      </w:ins>
      <w:del w:id="7147" w:author="Author">
        <w:r>
          <w:rPr>
            <w:noProof/>
            <w:lang w:val="it-IT"/>
          </w:rPr>
          <w:delText xml:space="preserve"> </w:delText>
        </w:r>
      </w:del>
      <w:r>
        <w:rPr>
          <w:noProof/>
          <w:lang w:val="it-IT"/>
        </w:rPr>
        <w:t xml:space="preserve">anni-paziente per tocilizumab formulazione sottocutanea. In generale, il profilo di sicurezza osservato nei pazienti affetti da AIGp è risultato in linea con il profilo di sicurezza noto di </w:t>
      </w:r>
      <w:r>
        <w:rPr>
          <w:noProof/>
          <w:szCs w:val="22"/>
          <w:lang w:val="it-IT"/>
        </w:rPr>
        <w:t>tocilizumab</w:t>
      </w:r>
      <w:r>
        <w:rPr>
          <w:noProof/>
          <w:lang w:val="it-IT"/>
        </w:rPr>
        <w:t xml:space="preserve">, fatta eccezione per le ISR (vedere Tabella 1). I pazienti affetti da AIGp hanno manifestato ISR dopo le iniezioni di </w:t>
      </w:r>
      <w:r>
        <w:rPr>
          <w:noProof/>
          <w:szCs w:val="22"/>
          <w:lang w:val="it-IT"/>
        </w:rPr>
        <w:t>tocilizumab formulazione sottocutanea</w:t>
      </w:r>
      <w:r>
        <w:rPr>
          <w:noProof/>
          <w:lang w:val="it-IT"/>
        </w:rPr>
        <w:t>con maggiore frequenza rispetto ai pazienti affetti da AR dell’adulto.</w:t>
      </w:r>
    </w:p>
    <w:p>
      <w:pPr>
        <w:tabs>
          <w:tab w:val="left" w:pos="180"/>
        </w:tabs>
        <w:autoSpaceDE w:val="0"/>
        <w:autoSpaceDN w:val="0"/>
        <w:adjustRightInd w:val="0"/>
        <w:rPr>
          <w:noProof/>
          <w:lang w:val="it-IT"/>
        </w:rPr>
      </w:pPr>
    </w:p>
    <w:p>
      <w:pPr>
        <w:keepNext/>
        <w:keepLines/>
        <w:tabs>
          <w:tab w:val="left" w:pos="180"/>
        </w:tabs>
        <w:autoSpaceDE w:val="0"/>
        <w:autoSpaceDN w:val="0"/>
        <w:adjustRightInd w:val="0"/>
        <w:rPr>
          <w:i/>
          <w:noProof/>
          <w:u w:val="single"/>
          <w:lang w:val="it-IT"/>
        </w:rPr>
        <w:pPrChange w:id="7148" w:author="Author">
          <w:pPr>
            <w:tabs>
              <w:tab w:val="left" w:pos="180"/>
            </w:tabs>
            <w:autoSpaceDE w:val="0"/>
            <w:autoSpaceDN w:val="0"/>
            <w:adjustRightInd w:val="0"/>
          </w:pPr>
        </w:pPrChange>
      </w:pPr>
      <w:r>
        <w:rPr>
          <w:i/>
          <w:noProof/>
          <w:u w:val="single"/>
          <w:lang w:val="it-IT"/>
        </w:rPr>
        <w:t>Infezioni</w:t>
      </w:r>
    </w:p>
    <w:p>
      <w:pPr>
        <w:tabs>
          <w:tab w:val="left" w:pos="180"/>
        </w:tabs>
        <w:autoSpaceDE w:val="0"/>
        <w:autoSpaceDN w:val="0"/>
        <w:adjustRightInd w:val="0"/>
        <w:rPr>
          <w:noProof/>
          <w:lang w:val="it-IT"/>
        </w:rPr>
      </w:pPr>
      <w:r>
        <w:rPr>
          <w:noProof/>
          <w:lang w:val="it-IT"/>
        </w:rPr>
        <w:t xml:space="preserve">Nello studio </w:t>
      </w:r>
      <w:ins w:id="7149" w:author="Author">
        <w:del w:id="7150" w:author="Author">
          <w:r>
            <w:rPr>
              <w:noProof/>
              <w:lang w:val="it-IT"/>
            </w:rPr>
            <w:delText xml:space="preserve">clinico </w:delText>
          </w:r>
        </w:del>
      </w:ins>
      <w:r>
        <w:rPr>
          <w:noProof/>
          <w:lang w:val="it-IT"/>
        </w:rPr>
        <w:t xml:space="preserve">su tocilizumab </w:t>
      </w:r>
      <w:ins w:id="7151" w:author="Author">
        <w:r>
          <w:rPr>
            <w:noProof/>
            <w:lang w:val="it-IT"/>
          </w:rPr>
          <w:t xml:space="preserve">in </w:t>
        </w:r>
      </w:ins>
      <w:r>
        <w:rPr>
          <w:noProof/>
          <w:lang w:val="it-IT"/>
        </w:rPr>
        <w:t>formulazione sottocutanea, il tasso di infezioni nei pazienti affetti da AIGp trattati con tocilizumab formulazione sottocutanea è risultato sovrapponibile a quello dei pazienti affetti da AIGp trattati con tocilizumab formulazione endovenosa.</w:t>
      </w:r>
    </w:p>
    <w:p>
      <w:pPr>
        <w:keepNext/>
        <w:keepLines/>
        <w:tabs>
          <w:tab w:val="left" w:pos="180"/>
        </w:tabs>
        <w:autoSpaceDE w:val="0"/>
        <w:autoSpaceDN w:val="0"/>
        <w:adjustRightInd w:val="0"/>
        <w:rPr>
          <w:noProof/>
          <w:lang w:val="it-IT"/>
        </w:rPr>
      </w:pPr>
    </w:p>
    <w:p>
      <w:pPr>
        <w:tabs>
          <w:tab w:val="left" w:pos="180"/>
        </w:tabs>
        <w:autoSpaceDE w:val="0"/>
        <w:autoSpaceDN w:val="0"/>
        <w:adjustRightInd w:val="0"/>
        <w:rPr>
          <w:i/>
          <w:noProof/>
          <w:u w:val="single"/>
          <w:lang w:val="it-IT"/>
        </w:rPr>
      </w:pPr>
      <w:r>
        <w:rPr>
          <w:i/>
          <w:noProof/>
          <w:u w:val="single"/>
          <w:lang w:val="it-IT"/>
        </w:rPr>
        <w:t>Reazioni correlate al sito di iniezione</w:t>
      </w:r>
    </w:p>
    <w:p>
      <w:pPr>
        <w:tabs>
          <w:tab w:val="left" w:pos="180"/>
        </w:tabs>
        <w:autoSpaceDE w:val="0"/>
        <w:autoSpaceDN w:val="0"/>
        <w:adjustRightInd w:val="0"/>
        <w:rPr>
          <w:noProof/>
          <w:lang w:val="it-IT"/>
        </w:rPr>
      </w:pPr>
      <w:r>
        <w:rPr>
          <w:noProof/>
          <w:lang w:val="it-IT"/>
        </w:rPr>
        <w:t>Nel complesso, il 28,8% (15/52) dei pazienti affetti da AIGp ha manifestato ISR a tocilizumab formulazione sottocutanea.Queste ISR si sono verificate nel 44% dei pazienti di peso ≥30</w:t>
      </w:r>
      <w:ins w:id="7152" w:author="Author">
        <w:r>
          <w:rPr>
            <w:noProof/>
            <w:lang w:val="it-IT"/>
          </w:rPr>
          <w:t> </w:t>
        </w:r>
      </w:ins>
      <w:del w:id="7153" w:author="Author">
        <w:r>
          <w:rPr>
            <w:noProof/>
            <w:lang w:val="it-IT"/>
          </w:rPr>
          <w:delText xml:space="preserve"> </w:delText>
        </w:r>
      </w:del>
      <w:r>
        <w:rPr>
          <w:noProof/>
          <w:lang w:val="it-IT"/>
        </w:rPr>
        <w:t xml:space="preserve">kg, </w:t>
      </w:r>
      <w:del w:id="7154" w:author="Author">
        <w:r>
          <w:rPr>
            <w:noProof/>
            <w:lang w:val="it-IT"/>
          </w:rPr>
          <w:delText xml:space="preserve"> </w:delText>
        </w:r>
      </w:del>
      <w:r>
        <w:rPr>
          <w:noProof/>
          <w:lang w:val="it-IT"/>
        </w:rPr>
        <w:t>rispetto al 14,8% dei pazienti di peso inferiore a 30</w:t>
      </w:r>
      <w:ins w:id="7155" w:author="Author">
        <w:r>
          <w:rPr>
            <w:noProof/>
            <w:lang w:val="it-IT"/>
          </w:rPr>
          <w:t> </w:t>
        </w:r>
      </w:ins>
      <w:del w:id="7156" w:author="Author">
        <w:r>
          <w:rPr>
            <w:noProof/>
            <w:lang w:val="it-IT"/>
          </w:rPr>
          <w:delText xml:space="preserve"> </w:delText>
        </w:r>
      </w:del>
      <w:r>
        <w:rPr>
          <w:noProof/>
          <w:lang w:val="it-IT"/>
        </w:rPr>
        <w:t>kg. Le ISR più comuni sono state eritema, gonfiore, ematoma, dolore e prurito in corrispondenza del sito di iniezione. Tutte le ISR segnalate erano eventi non gravi di Grado 1 e nessuna di esse ha richiesto che il paziente interrompesse il trattamento o sospendesse la somministrazione.</w:t>
      </w:r>
    </w:p>
    <w:p>
      <w:pPr>
        <w:tabs>
          <w:tab w:val="left" w:pos="180"/>
        </w:tabs>
        <w:autoSpaceDE w:val="0"/>
        <w:autoSpaceDN w:val="0"/>
        <w:adjustRightInd w:val="0"/>
        <w:rPr>
          <w:noProof/>
          <w:lang w:val="it-IT"/>
        </w:rPr>
      </w:pPr>
    </w:p>
    <w:p>
      <w:pPr>
        <w:tabs>
          <w:tab w:val="left" w:pos="180"/>
        </w:tabs>
        <w:autoSpaceDE w:val="0"/>
        <w:autoSpaceDN w:val="0"/>
        <w:adjustRightInd w:val="0"/>
        <w:rPr>
          <w:i/>
          <w:noProof/>
          <w:u w:val="single"/>
          <w:lang w:val="it-IT"/>
        </w:rPr>
      </w:pPr>
      <w:r>
        <w:rPr>
          <w:i/>
          <w:noProof/>
          <w:u w:val="single"/>
          <w:lang w:val="it-IT"/>
        </w:rPr>
        <w:t>Immunogenicità</w:t>
      </w:r>
    </w:p>
    <w:p>
      <w:pPr>
        <w:tabs>
          <w:tab w:val="left" w:pos="180"/>
        </w:tabs>
        <w:autoSpaceDE w:val="0"/>
        <w:autoSpaceDN w:val="0"/>
        <w:adjustRightInd w:val="0"/>
        <w:rPr>
          <w:noProof/>
          <w:lang w:val="it-IT"/>
        </w:rPr>
      </w:pPr>
      <w:r>
        <w:rPr>
          <w:noProof/>
          <w:lang w:val="it-IT"/>
        </w:rPr>
        <w:t xml:space="preserve">Nello studio </w:t>
      </w:r>
      <w:ins w:id="7157" w:author="Author">
        <w:r>
          <w:rPr>
            <w:noProof/>
            <w:lang w:val="it-IT"/>
          </w:rPr>
          <w:t xml:space="preserve">clinico </w:t>
        </w:r>
      </w:ins>
      <w:r>
        <w:rPr>
          <w:noProof/>
          <w:lang w:val="it-IT"/>
        </w:rPr>
        <w:t>sulla formulazione sottocutanea, il 5,8% [3/52] dei pazienti ha sviluppato positività agli anticorpi neutralizzanti anti-tocilizumab senza manifestare una reazione di ipersensibilità severa o clinicamente significativa. Di questi 3 pazienti, 1 si è successivamente ritirato dallo studio. Non è stata osservata alcuna correlazione tra la produzione di anticorpi e la risposta clinica o gli eventi avversi.</w:t>
      </w:r>
    </w:p>
    <w:p>
      <w:pPr>
        <w:tabs>
          <w:tab w:val="left" w:pos="180"/>
        </w:tabs>
        <w:autoSpaceDE w:val="0"/>
        <w:autoSpaceDN w:val="0"/>
        <w:adjustRightInd w:val="0"/>
        <w:rPr>
          <w:noProof/>
          <w:lang w:val="it-IT"/>
        </w:rPr>
      </w:pPr>
    </w:p>
    <w:p>
      <w:pPr>
        <w:tabs>
          <w:tab w:val="left" w:pos="180"/>
        </w:tabs>
        <w:autoSpaceDE w:val="0"/>
        <w:autoSpaceDN w:val="0"/>
        <w:adjustRightInd w:val="0"/>
        <w:rPr>
          <w:i/>
          <w:noProof/>
          <w:u w:val="single"/>
          <w:lang w:val="it-IT"/>
        </w:rPr>
      </w:pPr>
      <w:r>
        <w:rPr>
          <w:i/>
          <w:noProof/>
          <w:u w:val="single"/>
          <w:lang w:val="it-IT"/>
        </w:rPr>
        <w:t>Anomalie di laboratorio</w:t>
      </w:r>
    </w:p>
    <w:p>
      <w:pPr>
        <w:tabs>
          <w:tab w:val="left" w:pos="180"/>
        </w:tabs>
        <w:autoSpaceDE w:val="0"/>
        <w:autoSpaceDN w:val="0"/>
        <w:adjustRightInd w:val="0"/>
        <w:rPr>
          <w:noProof/>
          <w:lang w:val="it-IT"/>
        </w:rPr>
      </w:pPr>
      <w:r>
        <w:rPr>
          <w:noProof/>
          <w:lang w:val="it-IT"/>
        </w:rPr>
        <w:t xml:space="preserve">Durante il monitoraggio di routine degli esami di laboratorio eseguito in tutta la popolazione esposta a tocilizumab è stata registrata una riduzione della conta dei neutrofili al di sotto di 1 </w:t>
      </w:r>
      <w:r>
        <w:rPr>
          <w:noProof/>
          <w:lang w:val="it-IT"/>
        </w:rPr>
        <w:sym w:font="Symbol" w:char="F0B4"/>
      </w:r>
      <w:r>
        <w:rPr>
          <w:noProof/>
          <w:lang w:val="it-IT"/>
        </w:rPr>
        <w:t xml:space="preserve"> 10</w:t>
      </w:r>
      <w:r>
        <w:rPr>
          <w:noProof/>
          <w:vertAlign w:val="superscript"/>
          <w:lang w:val="it-IT"/>
        </w:rPr>
        <w:t>9</w:t>
      </w:r>
      <w:r>
        <w:rPr>
          <w:noProof/>
          <w:lang w:val="it-IT"/>
        </w:rPr>
        <w:t xml:space="preserve">/L nel 15,4% dei pazienti trattati con tocilizumab formulazione sottocutanea Il 9,6% e il 3,8% dei pazienti trattati con tocilizumab formulazione sottocutanea. hanno manifestato un aumento rispettivamente di ALT o AST ≥ 3 volte ULN. Nessun paziente trattato con tocilizumab formulazione sottocutanea ha evidenziato una riduzione della conta piastrinica ≤ 50 </w:t>
      </w:r>
      <w:r>
        <w:rPr>
          <w:noProof/>
          <w:lang w:val="it-IT"/>
        </w:rPr>
        <w:sym w:font="Symbol" w:char="F0B4"/>
      </w:r>
      <w:r>
        <w:rPr>
          <w:noProof/>
          <w:lang w:val="it-IT"/>
        </w:rPr>
        <w:t>10</w:t>
      </w:r>
      <w:r>
        <w:rPr>
          <w:noProof/>
          <w:vertAlign w:val="superscript"/>
          <w:lang w:val="it-IT"/>
        </w:rPr>
        <w:t>3</w:t>
      </w:r>
      <w:r>
        <w:rPr>
          <w:noProof/>
          <w:lang w:val="it-IT"/>
        </w:rPr>
        <w:t>/μL.</w:t>
      </w:r>
    </w:p>
    <w:p>
      <w:pPr>
        <w:tabs>
          <w:tab w:val="left" w:pos="180"/>
        </w:tabs>
        <w:autoSpaceDE w:val="0"/>
        <w:autoSpaceDN w:val="0"/>
        <w:adjustRightInd w:val="0"/>
        <w:rPr>
          <w:noProof/>
          <w:lang w:val="it-IT"/>
        </w:rPr>
      </w:pPr>
    </w:p>
    <w:p>
      <w:pPr>
        <w:keepNext/>
        <w:keepLines/>
        <w:tabs>
          <w:tab w:val="left" w:pos="180"/>
        </w:tabs>
        <w:autoSpaceDE w:val="0"/>
        <w:autoSpaceDN w:val="0"/>
        <w:adjustRightInd w:val="0"/>
        <w:rPr>
          <w:i/>
          <w:noProof/>
          <w:u w:val="single"/>
          <w:lang w:val="it-IT"/>
          <w:rPrChange w:id="7158" w:author="Author">
            <w:rPr>
              <w:i/>
              <w:lang w:val="it-IT"/>
            </w:rPr>
          </w:rPrChange>
        </w:rPr>
      </w:pPr>
      <w:r>
        <w:rPr>
          <w:i/>
          <w:noProof/>
          <w:u w:val="single"/>
          <w:lang w:val="it-IT"/>
          <w:rPrChange w:id="7159" w:author="Author">
            <w:rPr>
              <w:i/>
              <w:lang w:val="it-IT"/>
            </w:rPr>
          </w:rPrChange>
        </w:rPr>
        <w:t>Parametri lipidici</w:t>
      </w:r>
    </w:p>
    <w:p>
      <w:pPr>
        <w:keepNext/>
        <w:keepLines/>
        <w:spacing w:line="0" w:lineRule="atLeast"/>
        <w:rPr>
          <w:noProof/>
          <w:lang w:val="it-IT"/>
        </w:rPr>
      </w:pPr>
      <w:r>
        <w:rPr>
          <w:noProof/>
          <w:lang w:val="it-IT"/>
        </w:rPr>
        <w:t xml:space="preserve">Nello studio </w:t>
      </w:r>
      <w:ins w:id="7160" w:author="Author">
        <w:del w:id="7161" w:author="Author">
          <w:r>
            <w:rPr>
              <w:noProof/>
              <w:lang w:val="it-IT"/>
            </w:rPr>
            <w:delText xml:space="preserve">clinico </w:delText>
          </w:r>
        </w:del>
      </w:ins>
      <w:r>
        <w:rPr>
          <w:noProof/>
          <w:lang w:val="it-IT"/>
        </w:rPr>
        <w:t xml:space="preserve">sulla formulazione s.c., il 14,3% e il 12,8% dei pazienti </w:t>
      </w:r>
      <w:r>
        <w:rPr>
          <w:rFonts w:eastAsia="SimSun"/>
          <w:noProof/>
          <w:szCs w:val="22"/>
          <w:lang w:val="it-IT" w:eastAsia="zh-CN"/>
        </w:rPr>
        <w:t>hanno manifestato un aumento post-basale del valore rispettivamente di</w:t>
      </w:r>
      <w:r>
        <w:rPr>
          <w:noProof/>
          <w:lang w:val="it-IT"/>
        </w:rPr>
        <w:t xml:space="preserve"> colesterolo LDL </w:t>
      </w:r>
      <w:r>
        <w:rPr>
          <w:noProof/>
          <w:lang w:val="it-IT"/>
        </w:rPr>
        <w:sym w:font="Symbol" w:char="F0B3"/>
      </w:r>
      <w:r>
        <w:rPr>
          <w:noProof/>
          <w:lang w:val="it-IT"/>
        </w:rPr>
        <w:t>130</w:t>
      </w:r>
      <w:ins w:id="7162" w:author="Author">
        <w:r>
          <w:rPr>
            <w:noProof/>
            <w:lang w:val="it-IT"/>
          </w:rPr>
          <w:t> </w:t>
        </w:r>
      </w:ins>
      <w:del w:id="7163" w:author="Author">
        <w:r>
          <w:rPr>
            <w:noProof/>
            <w:lang w:val="it-IT"/>
          </w:rPr>
          <w:delText xml:space="preserve"> </w:delText>
        </w:r>
      </w:del>
      <w:r>
        <w:rPr>
          <w:noProof/>
          <w:lang w:val="it-IT"/>
        </w:rPr>
        <w:t>mg/dL e di colesterolo totale ≥200 mg/dL in qualsiasi momento durante il trattamento in studio.</w:t>
      </w:r>
    </w:p>
    <w:p>
      <w:pPr>
        <w:tabs>
          <w:tab w:val="left" w:pos="180"/>
        </w:tabs>
        <w:autoSpaceDE w:val="0"/>
        <w:autoSpaceDN w:val="0"/>
        <w:adjustRightInd w:val="0"/>
        <w:rPr>
          <w:noProof/>
          <w:lang w:val="it-IT"/>
        </w:rPr>
        <w:pPrChange w:id="7164" w:author="Author">
          <w:pPr>
            <w:keepNext/>
            <w:keepLines/>
            <w:tabs>
              <w:tab w:val="left" w:pos="180"/>
            </w:tabs>
            <w:autoSpaceDE w:val="0"/>
            <w:autoSpaceDN w:val="0"/>
            <w:adjustRightInd w:val="0"/>
          </w:pPr>
        </w:pPrChange>
      </w:pPr>
    </w:p>
    <w:p>
      <w:pPr>
        <w:keepNext/>
        <w:keepLines/>
        <w:autoSpaceDE w:val="0"/>
        <w:autoSpaceDN w:val="0"/>
        <w:adjustRightInd w:val="0"/>
        <w:rPr>
          <w:rFonts w:eastAsia="SimSun"/>
          <w:bCs/>
          <w:i/>
          <w:iCs/>
          <w:noProof/>
          <w:lang w:val="it-IT"/>
        </w:rPr>
        <w:pPrChange w:id="7165" w:author="Author">
          <w:pPr>
            <w:autoSpaceDE w:val="0"/>
            <w:autoSpaceDN w:val="0"/>
            <w:adjustRightInd w:val="0"/>
          </w:pPr>
        </w:pPrChange>
      </w:pPr>
      <w:r>
        <w:rPr>
          <w:bCs/>
          <w:i/>
          <w:iCs/>
          <w:noProof/>
          <w:lang w:val="it-IT"/>
        </w:rPr>
        <w:lastRenderedPageBreak/>
        <w:t>Pazienti affetti da</w:t>
      </w:r>
      <w:r>
        <w:rPr>
          <w:bCs/>
          <w:i/>
          <w:iCs/>
          <w:noProof/>
          <w:lang w:val="it-IT"/>
          <w:rPrChange w:id="7166" w:author="Author">
            <w:rPr>
              <w:bCs/>
              <w:i/>
              <w:iCs/>
              <w:u w:val="single"/>
              <w:lang w:val="it-IT"/>
            </w:rPr>
          </w:rPrChange>
        </w:rPr>
        <w:t xml:space="preserve"> ACG</w:t>
      </w:r>
    </w:p>
    <w:p>
      <w:pPr>
        <w:autoSpaceDE w:val="0"/>
        <w:autoSpaceDN w:val="0"/>
        <w:adjustRightInd w:val="0"/>
        <w:rPr>
          <w:rFonts w:eastAsia="SimSun"/>
          <w:noProof/>
          <w:lang w:val="it-IT"/>
        </w:rPr>
      </w:pPr>
      <w:r>
        <w:rPr>
          <w:noProof/>
          <w:lang w:val="it-IT"/>
        </w:rPr>
        <w:t>La sicurezza di tocilizumab in formulazione sottocutanea è stata valutata in uno studio di fase III (WA28119) condotto su 251 pazienti affetti da ACG. La durata totale in anni-paziente nell’intera popolazione esposta a</w:t>
      </w:r>
      <w:del w:id="7167" w:author="Author">
        <w:r>
          <w:rPr>
            <w:noProof/>
            <w:lang w:val="it-IT"/>
          </w:rPr>
          <w:delText>l</w:delText>
        </w:r>
      </w:del>
      <w:r>
        <w:rPr>
          <w:noProof/>
          <w:lang w:val="it-IT"/>
        </w:rPr>
        <w:t xml:space="preserve"> </w:t>
      </w:r>
      <w:del w:id="7168" w:author="Author">
        <w:r>
          <w:rPr>
            <w:noProof/>
            <w:lang w:val="it-IT"/>
          </w:rPr>
          <w:delText>trattamento</w:delText>
        </w:r>
      </w:del>
      <w:ins w:id="7169" w:author="Author">
        <w:r>
          <w:rPr>
            <w:noProof/>
            <w:lang w:val="it-IT"/>
          </w:rPr>
          <w:t>tocilizumab</w:t>
        </w:r>
      </w:ins>
      <w:r>
        <w:rPr>
          <w:noProof/>
          <w:lang w:val="it-IT"/>
        </w:rPr>
        <w:t xml:space="preserve"> è stata di 138,5 anni-paziente durante la fase dello studio controllata con placebo e in doppio cieco della durata di 12 mesi. Il profilo di sicurezza complessivo osservato nei gruppi trattati è risultato in linea con il profilo di sicurezza noto di tocilizumab (vedere Tabella 1).</w:t>
      </w:r>
    </w:p>
    <w:p>
      <w:pPr>
        <w:autoSpaceDE w:val="0"/>
        <w:autoSpaceDN w:val="0"/>
        <w:adjustRightInd w:val="0"/>
        <w:rPr>
          <w:rFonts w:eastAsia="SimSun"/>
          <w:noProof/>
          <w:u w:val="single"/>
          <w:lang w:val="it-IT" w:eastAsia="zh-CN"/>
        </w:rPr>
      </w:pPr>
    </w:p>
    <w:p>
      <w:pPr>
        <w:keepNext/>
        <w:rPr>
          <w:i/>
          <w:noProof/>
          <w:u w:val="single"/>
          <w:lang w:val="it-IT"/>
        </w:rPr>
      </w:pPr>
      <w:r>
        <w:rPr>
          <w:i/>
          <w:noProof/>
          <w:u w:val="single"/>
          <w:lang w:val="it-IT"/>
        </w:rPr>
        <w:t>Infezioni</w:t>
      </w:r>
    </w:p>
    <w:p>
      <w:pPr>
        <w:rPr>
          <w:noProof/>
          <w:lang w:val="it-IT"/>
        </w:rPr>
      </w:pPr>
      <w:r>
        <w:rPr>
          <w:noProof/>
          <w:lang w:val="it-IT"/>
        </w:rPr>
        <w:t>La frequenza di eventi di infezione/infezione severa è risultata ben bilanciata tra il gruppo RoActemra settimanale (200,2/9,7 eventi ogni 100 anni-paziente) vs. gruppo placebo più 26 settimane di prednisone a scalare (156,0/4,2 eventi ogni 100 anni-paziente) e il gruppo placebo più 52 settimane di prednisone a scalare (210,2/12,5 eventi ogni 100 anni paziente).</w:t>
      </w:r>
    </w:p>
    <w:p>
      <w:pPr>
        <w:rPr>
          <w:b/>
          <w:noProof/>
          <w:lang w:val="it-IT" w:eastAsia="de-DE"/>
        </w:rPr>
      </w:pPr>
    </w:p>
    <w:p>
      <w:pPr>
        <w:keepNext/>
        <w:keepLines/>
        <w:rPr>
          <w:i/>
          <w:noProof/>
          <w:u w:val="single"/>
          <w:lang w:val="it-IT"/>
        </w:rPr>
      </w:pPr>
      <w:r>
        <w:rPr>
          <w:i/>
          <w:noProof/>
          <w:u w:val="single"/>
          <w:lang w:val="it-IT"/>
        </w:rPr>
        <w:t>Reazioni correlate al sito di iniezione</w:t>
      </w:r>
    </w:p>
    <w:p>
      <w:pPr>
        <w:keepNext/>
        <w:keepLines/>
        <w:rPr>
          <w:noProof/>
          <w:lang w:val="it-IT"/>
        </w:rPr>
      </w:pPr>
      <w:r>
        <w:rPr>
          <w:noProof/>
          <w:lang w:val="it-IT"/>
        </w:rPr>
        <w:t>Nel gruppo tocilizumab in formulazione sottocutanea settimanale, complessivamente il 6% (6/100) dei pazienti ha segnalato una reazione avversa in corrispondenza del sito dell’iniezione sottocutanea. Nessuna reazione correlata al sito di iniezione è stata riferita come evento avverso severa o ha imposto l’interruzione del trattamento.</w:t>
      </w:r>
    </w:p>
    <w:p>
      <w:pPr>
        <w:rPr>
          <w:noProof/>
          <w:lang w:val="it-IT" w:eastAsia="de-DE"/>
        </w:rPr>
      </w:pPr>
    </w:p>
    <w:p>
      <w:pPr>
        <w:spacing w:line="280" w:lineRule="atLeast"/>
        <w:jc w:val="both"/>
        <w:rPr>
          <w:i/>
          <w:noProof/>
          <w:u w:val="single"/>
          <w:lang w:val="it-IT"/>
        </w:rPr>
      </w:pPr>
      <w:r>
        <w:rPr>
          <w:i/>
          <w:noProof/>
          <w:u w:val="single"/>
          <w:lang w:val="it-IT"/>
        </w:rPr>
        <w:t>Immunogenicità</w:t>
      </w:r>
    </w:p>
    <w:p>
      <w:pPr>
        <w:rPr>
          <w:noProof/>
          <w:lang w:val="it-IT"/>
        </w:rPr>
      </w:pPr>
      <w:r>
        <w:rPr>
          <w:noProof/>
          <w:lang w:val="it-IT"/>
        </w:rPr>
        <w:t>Nel gruppo tocilizumab in formulazione sottocutanea settimanale, un paziente (1,1%, 1/95) è risultato positivo agli anticorpi neutralizzanti anti- tocilizumab, sebbene non dell’isotipo IgE. Questo paziente non ha manifestato una reazione di ipersensibilità né una reazione correlata al sito di iniezione.</w:t>
      </w:r>
    </w:p>
    <w:p>
      <w:pPr>
        <w:rPr>
          <w:noProof/>
          <w:lang w:val="it-IT" w:eastAsia="de-DE"/>
        </w:rPr>
      </w:pPr>
    </w:p>
    <w:p>
      <w:pPr>
        <w:keepNext/>
        <w:keepLines/>
        <w:autoSpaceDE w:val="0"/>
        <w:autoSpaceDN w:val="0"/>
        <w:adjustRightInd w:val="0"/>
        <w:rPr>
          <w:rFonts w:eastAsia="SimSun"/>
          <w:noProof/>
          <w:u w:val="single"/>
          <w:lang w:val="it-IT"/>
        </w:rPr>
      </w:pPr>
      <w:r>
        <w:rPr>
          <w:i/>
          <w:noProof/>
          <w:u w:val="single"/>
          <w:lang w:val="it-IT"/>
        </w:rPr>
        <w:t>Neutrofili</w:t>
      </w:r>
    </w:p>
    <w:p>
      <w:pPr>
        <w:keepNext/>
        <w:keepLines/>
        <w:spacing w:line="0" w:lineRule="atLeast"/>
        <w:rPr>
          <w:noProof/>
          <w:lang w:val="it-IT"/>
        </w:rPr>
      </w:pPr>
      <w:r>
        <w:rPr>
          <w:noProof/>
          <w:lang w:val="it-IT"/>
        </w:rPr>
        <w:t>Durante il monitoraggio di routine degli esami di laboratorio eseguito nello studio clinico controllato di 12 mesi su tocilizumab, è stata rilevata una riduzione della conta dei neutrofili al di sotto di 1 × 10</w:t>
      </w:r>
      <w:r>
        <w:rPr>
          <w:noProof/>
          <w:vertAlign w:val="superscript"/>
          <w:lang w:val="it-IT"/>
        </w:rPr>
        <w:t>9</w:t>
      </w:r>
      <w:r>
        <w:rPr>
          <w:noProof/>
          <w:lang w:val="it-IT"/>
        </w:rPr>
        <w:t>/L nel 4% dei pazienti del gruppo tocilizumab in formulazione sottocutanea settimanale. Questo dato non è stato osservato in nessuno dei gruppi placebo più prednisone a scalare.</w:t>
      </w:r>
    </w:p>
    <w:p>
      <w:pPr>
        <w:spacing w:line="0" w:lineRule="atLeast"/>
        <w:rPr>
          <w:noProof/>
          <w:lang w:val="it-IT" w:eastAsia="de-DE"/>
        </w:rPr>
      </w:pPr>
    </w:p>
    <w:p>
      <w:pPr>
        <w:spacing w:line="0" w:lineRule="atLeast"/>
        <w:rPr>
          <w:i/>
          <w:noProof/>
          <w:u w:val="single"/>
          <w:lang w:val="it-IT"/>
        </w:rPr>
      </w:pPr>
      <w:r>
        <w:rPr>
          <w:i/>
          <w:noProof/>
          <w:u w:val="single"/>
          <w:lang w:val="it-IT"/>
        </w:rPr>
        <w:t>Piastrine</w:t>
      </w:r>
    </w:p>
    <w:p>
      <w:pPr>
        <w:spacing w:line="0" w:lineRule="atLeast"/>
        <w:rPr>
          <w:noProof/>
          <w:lang w:val="it-IT"/>
        </w:rPr>
      </w:pPr>
      <w:r>
        <w:rPr>
          <w:noProof/>
          <w:lang w:val="it-IT"/>
        </w:rPr>
        <w:t xml:space="preserve">Durante il monitoraggio di routine degli esami di laboratorio eseguito nello studio clinico controllato di 12 mesi su tocilizumab, un paziente (1%, 1/100) del gruppo tocilizumab in formulazione sottocutanea settimanale ha fatto rilevare un singolo evento transitorio di riduzione della conta piastrinica </w:t>
      </w:r>
      <w:r>
        <w:rPr>
          <w:noProof/>
          <w:lang w:val="it-IT"/>
        </w:rPr>
        <w:sym w:font="Symbol" w:char="F03C"/>
      </w:r>
      <w:r>
        <w:rPr>
          <w:noProof/>
          <w:lang w:val="it-IT"/>
        </w:rPr>
        <w:t xml:space="preserve">100 </w:t>
      </w:r>
      <w:r>
        <w:rPr>
          <w:noProof/>
          <w:lang w:val="it-IT"/>
        </w:rPr>
        <w:sym w:font="Symbol" w:char="F0B4"/>
      </w:r>
      <w:r>
        <w:rPr>
          <w:noProof/>
          <w:lang w:val="it-IT"/>
        </w:rPr>
        <w:t>10</w:t>
      </w:r>
      <w:r>
        <w:rPr>
          <w:noProof/>
          <w:vertAlign w:val="superscript"/>
          <w:lang w:val="it-IT"/>
        </w:rPr>
        <w:t>3</w:t>
      </w:r>
      <w:r>
        <w:rPr>
          <w:noProof/>
          <w:lang w:val="it-IT"/>
        </w:rPr>
        <w:t xml:space="preserve">/μL che non si è associato a eventi emorragici. La riduzione della conta piastrinica al di sotto di 100 </w:t>
      </w:r>
      <w:r>
        <w:rPr>
          <w:noProof/>
          <w:lang w:val="it-IT"/>
        </w:rPr>
        <w:sym w:font="Symbol" w:char="F0B4"/>
      </w:r>
      <w:r>
        <w:rPr>
          <w:noProof/>
          <w:lang w:val="it-IT"/>
        </w:rPr>
        <w:t>10</w:t>
      </w:r>
      <w:r>
        <w:rPr>
          <w:noProof/>
          <w:vertAlign w:val="superscript"/>
          <w:lang w:val="it-IT"/>
        </w:rPr>
        <w:t>3</w:t>
      </w:r>
      <w:r>
        <w:rPr>
          <w:noProof/>
          <w:lang w:val="it-IT"/>
        </w:rPr>
        <w:t>/μL non è stata osservata in nessuno dei gruppi placebo più prednisone a scalare.</w:t>
      </w:r>
    </w:p>
    <w:p>
      <w:pPr>
        <w:spacing w:line="0" w:lineRule="atLeast"/>
        <w:rPr>
          <w:noProof/>
          <w:lang w:val="it-IT" w:eastAsia="de-DE"/>
        </w:rPr>
      </w:pPr>
    </w:p>
    <w:p>
      <w:pPr>
        <w:rPr>
          <w:i/>
          <w:noProof/>
          <w:u w:val="single"/>
          <w:lang w:val="it-IT"/>
        </w:rPr>
      </w:pPr>
      <w:r>
        <w:rPr>
          <w:i/>
          <w:noProof/>
          <w:u w:val="single"/>
          <w:lang w:val="it-IT"/>
        </w:rPr>
        <w:t>Aumenti delle transaminasi epatiche</w:t>
      </w:r>
    </w:p>
    <w:p>
      <w:pPr>
        <w:autoSpaceDE w:val="0"/>
        <w:autoSpaceDN w:val="0"/>
        <w:adjustRightInd w:val="0"/>
        <w:rPr>
          <w:noProof/>
          <w:lang w:val="it-IT"/>
        </w:rPr>
      </w:pPr>
      <w:r>
        <w:rPr>
          <w:noProof/>
          <w:lang w:val="it-IT"/>
        </w:rPr>
        <w:t xml:space="preserve">Durante il monitoraggio di routine degli esami di laboratorio eseguito nello studio clinico controllato di 12 mesi su tocilizumab, il 3% dei pazienti del gruppo tocilizumab in formulazione sottocutanea settimanale ha evidenziato un aumento di ALT </w:t>
      </w:r>
      <w:r>
        <w:rPr>
          <w:noProof/>
          <w:lang w:val="it-IT" w:eastAsia="de-DE"/>
        </w:rPr>
        <w:t>≥</w:t>
      </w:r>
      <w:r>
        <w:rPr>
          <w:noProof/>
          <w:lang w:val="it-IT"/>
        </w:rPr>
        <w:t xml:space="preserve">3 volte ULN, contro il 2% dei pazienti del gruppo placebo più 52 settimane di prednisone a scalare e nessun paziente del gruppo placebo più 26 settimane di prednisone a scalare. L’1% dei pazienti del gruppo tocilizumab in formulazione sottocutanea settimanale ha evidenziato un aumento di AST </w:t>
      </w:r>
      <w:r>
        <w:rPr>
          <w:noProof/>
          <w:lang w:val="it-IT"/>
        </w:rPr>
        <w:sym w:font="Symbol" w:char="F03E"/>
      </w:r>
      <w:r>
        <w:rPr>
          <w:noProof/>
          <w:lang w:val="it-IT"/>
        </w:rPr>
        <w:t xml:space="preserve"> 3 volte ULN, contro nessun paziente dei gruppi placebo più prednisone a scalare.</w:t>
      </w:r>
    </w:p>
    <w:p>
      <w:pPr>
        <w:rPr>
          <w:i/>
          <w:noProof/>
          <w:lang w:val="it-IT"/>
        </w:rPr>
      </w:pPr>
    </w:p>
    <w:p>
      <w:pPr>
        <w:keepNext/>
        <w:keepLines/>
        <w:autoSpaceDE w:val="0"/>
        <w:autoSpaceDN w:val="0"/>
        <w:adjustRightInd w:val="0"/>
        <w:rPr>
          <w:i/>
          <w:noProof/>
          <w:u w:val="single"/>
          <w:lang w:val="it-IT"/>
        </w:rPr>
      </w:pPr>
      <w:r>
        <w:rPr>
          <w:i/>
          <w:noProof/>
          <w:u w:val="single"/>
          <w:lang w:val="it-IT"/>
        </w:rPr>
        <w:t>Parametri lipidici</w:t>
      </w:r>
    </w:p>
    <w:p>
      <w:pPr>
        <w:keepNext/>
        <w:keepLines/>
        <w:spacing w:line="0" w:lineRule="atLeast"/>
        <w:rPr>
          <w:noProof/>
          <w:lang w:val="it-IT"/>
        </w:rPr>
      </w:pPr>
      <w:r>
        <w:rPr>
          <w:noProof/>
          <w:lang w:val="it-IT"/>
        </w:rPr>
        <w:t xml:space="preserve">Durante il monitoraggio di routine degli esami di laboratorio eseguito nello studio clinico controllato di 12 mesi su tocilizumab, il 34% dei pazienti ha presentato aumenti sostenuti del colesterolo totale </w:t>
      </w:r>
      <w:r>
        <w:rPr>
          <w:rFonts w:eastAsia="MS Mincho"/>
          <w:noProof/>
          <w:szCs w:val="22"/>
          <w:lang w:val="it-IT"/>
        </w:rPr>
        <w:sym w:font="Symbol" w:char="F03E"/>
      </w:r>
      <w:r>
        <w:rPr>
          <w:noProof/>
          <w:lang w:val="it-IT"/>
        </w:rPr>
        <w:t xml:space="preserve"> 6,2 mmol/L (240 mg/dL), con un 15% che ha manifestato un incremento sostenuto dell’LDL </w:t>
      </w:r>
      <w:r>
        <w:rPr>
          <w:rFonts w:eastAsia="PMingLiU"/>
          <w:noProof/>
          <w:szCs w:val="22"/>
          <w:lang w:val="it-IT" w:eastAsia="de-DE"/>
        </w:rPr>
        <w:t>≥</w:t>
      </w:r>
      <w:r>
        <w:rPr>
          <w:noProof/>
          <w:lang w:val="it-IT"/>
        </w:rPr>
        <w:t xml:space="preserve"> 4,1 mmol/L (160 mg/dL) nel braccio tocilizumab in formulazione sottocutanea settimanale. </w:t>
      </w:r>
    </w:p>
    <w:p>
      <w:pPr>
        <w:rPr>
          <w:noProof/>
          <w:szCs w:val="22"/>
          <w:lang w:val="it-IT"/>
        </w:rPr>
      </w:pPr>
    </w:p>
    <w:p>
      <w:pPr>
        <w:keepNext/>
        <w:rPr>
          <w:del w:id="7170" w:author="Author"/>
          <w:rFonts w:eastAsia="Calibri"/>
          <w:noProof/>
          <w:szCs w:val="22"/>
          <w:u w:val="single"/>
          <w:lang w:val="it-IT" w:eastAsia="en-US"/>
        </w:rPr>
        <w:pPrChange w:id="7171" w:author="Author">
          <w:pPr/>
        </w:pPrChange>
      </w:pPr>
      <w:r>
        <w:rPr>
          <w:rFonts w:eastAsia="Calibri"/>
          <w:noProof/>
          <w:szCs w:val="22"/>
          <w:u w:val="single"/>
          <w:lang w:val="it-IT" w:eastAsia="en-US"/>
        </w:rPr>
        <w:lastRenderedPageBreak/>
        <w:t>Descrizione delle reaizoni avverse selezionate (uso endovenoso)</w:t>
      </w:r>
    </w:p>
    <w:p>
      <w:pPr>
        <w:keepNext/>
        <w:rPr>
          <w:noProof/>
          <w:szCs w:val="22"/>
          <w:u w:val="single"/>
          <w:lang w:val="it-IT" w:eastAsia="en-US"/>
        </w:rPr>
        <w:pPrChange w:id="7172" w:author="Author">
          <w:pPr/>
        </w:pPrChange>
      </w:pPr>
    </w:p>
    <w:p>
      <w:pPr>
        <w:keepNext/>
        <w:ind w:left="567" w:hanging="567"/>
        <w:outlineLvl w:val="0"/>
        <w:rPr>
          <w:bCs/>
          <w:i/>
          <w:iCs/>
          <w:noProof/>
          <w:szCs w:val="22"/>
          <w:lang w:val="it-IT" w:eastAsia="en-US"/>
        </w:rPr>
        <w:pPrChange w:id="7173" w:author="Author">
          <w:pPr>
            <w:ind w:left="567" w:hanging="567"/>
            <w:outlineLvl w:val="0"/>
          </w:pPr>
        </w:pPrChange>
      </w:pPr>
      <w:r>
        <w:rPr>
          <w:rFonts w:eastAsia="Calibri"/>
          <w:bCs/>
          <w:i/>
          <w:iCs/>
          <w:noProof/>
          <w:szCs w:val="22"/>
          <w:lang w:val="it-IT" w:eastAsia="en-US"/>
        </w:rPr>
        <w:t xml:space="preserve">Pazienti affetti da </w:t>
      </w:r>
      <w:r>
        <w:rPr>
          <w:rFonts w:eastAsia="Calibri"/>
          <w:bCs/>
          <w:i/>
          <w:iCs/>
          <w:noProof/>
          <w:szCs w:val="22"/>
          <w:lang w:val="it-IT" w:eastAsia="en-US"/>
          <w:rPrChange w:id="7174" w:author="Author">
            <w:rPr>
              <w:rFonts w:eastAsia="Calibri"/>
              <w:bCs/>
              <w:i/>
              <w:iCs/>
              <w:szCs w:val="22"/>
              <w:u w:val="single"/>
              <w:lang w:val="it-IT" w:eastAsia="en-US"/>
            </w:rPr>
          </w:rPrChange>
        </w:rPr>
        <w:t>AR</w:t>
      </w:r>
    </w:p>
    <w:p>
      <w:pPr>
        <w:rPr>
          <w:rFonts w:eastAsia="Calibri"/>
          <w:noProof/>
          <w:szCs w:val="22"/>
          <w:lang w:val="it-IT" w:eastAsia="en-US"/>
        </w:rPr>
      </w:pPr>
      <w:r>
        <w:rPr>
          <w:rFonts w:eastAsia="Calibri"/>
          <w:noProof/>
          <w:szCs w:val="22"/>
          <w:lang w:val="it-IT" w:eastAsia="en-US"/>
        </w:rPr>
        <w:t>La sicurezza di tocilizumab è stata studiata in</w:t>
      </w:r>
      <w:ins w:id="7175" w:author="Author">
        <w:r>
          <w:rPr>
            <w:rFonts w:eastAsia="Calibri"/>
            <w:noProof/>
            <w:szCs w:val="22"/>
            <w:lang w:val="it-IT" w:eastAsia="en-US"/>
          </w:rPr>
          <w:t xml:space="preserve"> </w:t>
        </w:r>
      </w:ins>
      <w:del w:id="7176" w:author="Author">
        <w:r>
          <w:rPr>
            <w:rFonts w:eastAsia="Calibri"/>
            <w:noProof/>
            <w:szCs w:val="22"/>
            <w:lang w:val="it-IT" w:eastAsia="en-US"/>
          </w:rPr>
          <w:delText xml:space="preserve"> 4 studi controllati con placebo (studi II, III, IV e V), 1 studio controllato con MTX (studio I)</w:delText>
        </w:r>
      </w:del>
      <w:ins w:id="7177" w:author="Author">
        <w:r>
          <w:rPr>
            <w:rFonts w:eastAsia="Calibri"/>
            <w:noProof/>
            <w:szCs w:val="22"/>
            <w:lang w:val="it-IT" w:eastAsia="en-US"/>
          </w:rPr>
          <w:t>5 studi clinici di Fase III, controllati in doppio cieco</w:t>
        </w:r>
      </w:ins>
      <w:r>
        <w:rPr>
          <w:rFonts w:eastAsia="Calibri"/>
          <w:noProof/>
          <w:szCs w:val="22"/>
          <w:lang w:val="it-IT" w:eastAsia="en-US"/>
        </w:rPr>
        <w:t xml:space="preserve"> e nei rispettivi periodi di estensione (vedere paragrafo 5.1).</w:t>
      </w:r>
    </w:p>
    <w:p>
      <w:pPr>
        <w:rPr>
          <w:noProof/>
          <w:szCs w:val="22"/>
          <w:lang w:val="it-IT"/>
        </w:rPr>
      </w:pPr>
    </w:p>
    <w:p>
      <w:pPr>
        <w:rPr>
          <w:rFonts w:eastAsia="Calibri"/>
          <w:noProof/>
          <w:szCs w:val="22"/>
          <w:lang w:val="it-IT" w:eastAsia="en-US"/>
        </w:rPr>
      </w:pPr>
      <w:del w:id="7178" w:author="Author">
        <w:r>
          <w:rPr>
            <w:rFonts w:eastAsia="Calibri"/>
            <w:noProof/>
            <w:szCs w:val="22"/>
            <w:lang w:val="it-IT" w:eastAsia="en-US"/>
          </w:rPr>
          <w:delText xml:space="preserve">Il periodo controllato in doppio cieco </w:delText>
        </w:r>
      </w:del>
      <w:ins w:id="7179" w:author="Author">
        <w:r>
          <w:rPr>
            <w:noProof/>
            <w:szCs w:val="22"/>
            <w:lang w:val="it-IT"/>
          </w:rPr>
          <w:t xml:space="preserve">L’intera popolazione </w:t>
        </w:r>
        <w:r>
          <w:rPr>
            <w:noProof/>
            <w:szCs w:val="22"/>
            <w:lang w:val="it-IT"/>
            <w:rPrChange w:id="7180" w:author="Author">
              <w:rPr>
                <w:i/>
                <w:noProof/>
                <w:szCs w:val="22"/>
                <w:lang w:val="it-IT"/>
              </w:rPr>
            </w:rPrChange>
          </w:rPr>
          <w:t>di controllo</w:t>
        </w:r>
        <w:r>
          <w:rPr>
            <w:noProof/>
            <w:szCs w:val="22"/>
            <w:lang w:val="it-IT"/>
          </w:rPr>
          <w:t xml:space="preserve"> comprende tutti i pazienti dalle fasi in doppio cieco di ciascuno studio principale dalla randomizzazione fino al raggiungimento del primo cambiamento nel regime di trattamento o ai 2 anni. Il periodo di controllo in 4 degli studi </w:t>
        </w:r>
      </w:ins>
      <w:del w:id="7181" w:author="Author">
        <w:r>
          <w:rPr>
            <w:rFonts w:eastAsia="Calibri"/>
            <w:noProof/>
            <w:szCs w:val="22"/>
            <w:lang w:val="it-IT" w:eastAsia="en-US"/>
          </w:rPr>
          <w:delText>è stato</w:delText>
        </w:r>
      </w:del>
      <w:ins w:id="7182" w:author="Author">
        <w:r>
          <w:rPr>
            <w:rFonts w:eastAsia="Calibri"/>
            <w:noProof/>
            <w:szCs w:val="22"/>
            <w:lang w:val="it-IT" w:eastAsia="en-US"/>
          </w:rPr>
          <w:t>era</w:t>
        </w:r>
      </w:ins>
      <w:r>
        <w:rPr>
          <w:rFonts w:eastAsia="Calibri"/>
          <w:noProof/>
          <w:szCs w:val="22"/>
          <w:lang w:val="it-IT" w:eastAsia="en-US"/>
        </w:rPr>
        <w:t xml:space="preserve"> di 6 mesi </w:t>
      </w:r>
      <w:del w:id="7183" w:author="Author">
        <w:r>
          <w:rPr>
            <w:rFonts w:eastAsia="Calibri"/>
            <w:noProof/>
            <w:szCs w:val="22"/>
            <w:lang w:val="it-IT" w:eastAsia="en-US"/>
          </w:rPr>
          <w:delText xml:space="preserve">in quattro studi (studi I, III, IV e V) ed è stato </w:delText>
        </w:r>
      </w:del>
      <w:ins w:id="7184" w:author="Author">
        <w:r>
          <w:rPr>
            <w:rFonts w:eastAsia="Calibri"/>
            <w:noProof/>
            <w:szCs w:val="22"/>
            <w:lang w:val="it-IT" w:eastAsia="en-US"/>
          </w:rPr>
          <w:t>e in 1 studio era di</w:t>
        </w:r>
      </w:ins>
      <w:del w:id="7185" w:author="Author">
        <w:r>
          <w:rPr>
            <w:rFonts w:eastAsia="Calibri"/>
            <w:noProof/>
            <w:szCs w:val="22"/>
            <w:lang w:val="it-IT" w:eastAsia="en-US"/>
          </w:rPr>
          <w:delText>fino a</w:delText>
        </w:r>
      </w:del>
      <w:r>
        <w:rPr>
          <w:rFonts w:eastAsia="Calibri"/>
          <w:noProof/>
          <w:szCs w:val="22"/>
          <w:lang w:val="it-IT" w:eastAsia="en-US"/>
        </w:rPr>
        <w:t xml:space="preserve"> 2 anni</w:t>
      </w:r>
      <w:del w:id="7186" w:author="Author">
        <w:r>
          <w:rPr>
            <w:rFonts w:eastAsia="Calibri"/>
            <w:noProof/>
            <w:szCs w:val="22"/>
            <w:lang w:val="it-IT" w:eastAsia="en-US"/>
          </w:rPr>
          <w:delText xml:space="preserve"> in uno studio (studio II)</w:delText>
        </w:r>
      </w:del>
      <w:r>
        <w:rPr>
          <w:rFonts w:eastAsia="Calibri"/>
          <w:noProof/>
          <w:szCs w:val="22"/>
          <w:lang w:val="it-IT" w:eastAsia="en-US"/>
        </w:rPr>
        <w:t>. Negli studi controllati in doppio cieco, 774 pazienti hanno ricevuto tocilizumab 4 mg/kg in associazione a MTX, 1</w:t>
      </w:r>
      <w:ins w:id="7187" w:author="Author">
        <w:r>
          <w:rPr>
            <w:rFonts w:eastAsia="Calibri"/>
            <w:noProof/>
            <w:szCs w:val="22"/>
            <w:lang w:val="it-IT" w:eastAsia="en-US"/>
          </w:rPr>
          <w:t> </w:t>
        </w:r>
      </w:ins>
      <w:r>
        <w:rPr>
          <w:rFonts w:eastAsia="Calibri"/>
          <w:noProof/>
          <w:szCs w:val="22"/>
          <w:lang w:val="it-IT" w:eastAsia="en-US"/>
        </w:rPr>
        <w:t>870 pazienti hanno ricevuto tocilizumab 8 mg/kg in associazione a MTX</w:t>
      </w:r>
      <w:ins w:id="7188" w:author="Author">
        <w:r>
          <w:rPr>
            <w:rFonts w:eastAsia="Calibri"/>
            <w:noProof/>
            <w:szCs w:val="22"/>
            <w:lang w:val="it-IT" w:eastAsia="en-US"/>
          </w:rPr>
          <w:t>/</w:t>
        </w:r>
      </w:ins>
      <w:del w:id="7189" w:author="Author">
        <w:r>
          <w:rPr>
            <w:rFonts w:eastAsia="Calibri"/>
            <w:noProof/>
            <w:szCs w:val="22"/>
            <w:lang w:val="it-IT" w:eastAsia="en-US"/>
          </w:rPr>
          <w:delText xml:space="preserve"> o </w:delText>
        </w:r>
      </w:del>
      <w:r>
        <w:rPr>
          <w:rFonts w:eastAsia="Calibri"/>
          <w:noProof/>
          <w:szCs w:val="22"/>
          <w:lang w:val="it-IT" w:eastAsia="en-US"/>
        </w:rPr>
        <w:t>altri DMARD e 288 pazienti hanno ricevuto tocilizumab 8 mg/kg in monoterapia.</w:t>
      </w:r>
    </w:p>
    <w:p>
      <w:pPr>
        <w:rPr>
          <w:noProof/>
          <w:szCs w:val="22"/>
          <w:lang w:val="it-IT"/>
        </w:rPr>
      </w:pPr>
    </w:p>
    <w:p>
      <w:pPr>
        <w:rPr>
          <w:noProof/>
          <w:szCs w:val="22"/>
          <w:u w:val="single"/>
          <w:lang w:val="it-IT"/>
        </w:rPr>
      </w:pPr>
      <w:r>
        <w:rPr>
          <w:rFonts w:eastAsia="Calibri"/>
          <w:noProof/>
          <w:szCs w:val="22"/>
          <w:lang w:val="it-IT" w:eastAsia="en-US"/>
        </w:rPr>
        <w:t>L</w:t>
      </w:r>
      <w:ins w:id="7190" w:author="Author">
        <w:r>
          <w:rPr>
            <w:rFonts w:eastAsia="Calibri"/>
            <w:noProof/>
            <w:szCs w:val="22"/>
            <w:lang w:val="it-IT" w:eastAsia="en-US"/>
          </w:rPr>
          <w:t>’inter</w:t>
        </w:r>
      </w:ins>
      <w:r>
        <w:rPr>
          <w:rFonts w:eastAsia="Calibri"/>
          <w:noProof/>
          <w:szCs w:val="22"/>
          <w:lang w:val="it-IT" w:eastAsia="en-US"/>
        </w:rPr>
        <w:t xml:space="preserve">a popolazione </w:t>
      </w:r>
      <w:del w:id="7191" w:author="Author">
        <w:r>
          <w:rPr>
            <w:rFonts w:eastAsia="Calibri"/>
            <w:noProof/>
            <w:szCs w:val="22"/>
            <w:lang w:val="it-IT" w:eastAsia="en-US"/>
          </w:rPr>
          <w:delText>esposta a lungo termine</w:delText>
        </w:r>
      </w:del>
      <w:ins w:id="7192" w:author="Author">
        <w:r>
          <w:rPr>
            <w:rFonts w:eastAsia="Calibri"/>
            <w:noProof/>
            <w:szCs w:val="22"/>
            <w:lang w:val="it-IT" w:eastAsia="en-US"/>
          </w:rPr>
          <w:t xml:space="preserve"> esposta</w:t>
        </w:r>
      </w:ins>
      <w:del w:id="7193" w:author="Author">
        <w:r>
          <w:rPr>
            <w:rFonts w:eastAsia="Calibri"/>
            <w:noProof/>
            <w:szCs w:val="22"/>
            <w:lang w:val="it-IT" w:eastAsia="en-US"/>
          </w:rPr>
          <w:delText xml:space="preserve"> </w:delText>
        </w:r>
      </w:del>
      <w:r>
        <w:rPr>
          <w:rFonts w:eastAsia="Calibri"/>
          <w:noProof/>
          <w:szCs w:val="22"/>
          <w:lang w:val="it-IT" w:eastAsia="en-US"/>
        </w:rPr>
        <w:t>include tutti i pazienti che hanno ricevuto almeno una dose di tocilizumab o nel periodo di controllo in doppio cieco o nella fase di estensione in aperto degli studi. Dei 4</w:t>
      </w:r>
      <w:ins w:id="7194" w:author="Author">
        <w:r>
          <w:rPr>
            <w:rFonts w:eastAsia="Calibri"/>
            <w:noProof/>
            <w:szCs w:val="22"/>
            <w:lang w:val="it-IT" w:eastAsia="en-US"/>
          </w:rPr>
          <w:t> </w:t>
        </w:r>
      </w:ins>
      <w:r>
        <w:rPr>
          <w:rFonts w:eastAsia="Calibri"/>
          <w:noProof/>
          <w:szCs w:val="22"/>
          <w:lang w:val="it-IT" w:eastAsia="en-US"/>
        </w:rPr>
        <w:t>009 pazienti inclusi in questa popolazione, 3</w:t>
      </w:r>
      <w:ins w:id="7195" w:author="Author">
        <w:r>
          <w:rPr>
            <w:rFonts w:eastAsia="Calibri"/>
            <w:noProof/>
            <w:szCs w:val="22"/>
            <w:lang w:val="it-IT" w:eastAsia="en-US"/>
          </w:rPr>
          <w:t> </w:t>
        </w:r>
      </w:ins>
      <w:r>
        <w:rPr>
          <w:rFonts w:eastAsia="Calibri"/>
          <w:noProof/>
          <w:szCs w:val="22"/>
          <w:lang w:val="it-IT" w:eastAsia="en-US"/>
        </w:rPr>
        <w:t>577 hanno ricevuto il trattamento per almeno 6 mesi, 3</w:t>
      </w:r>
      <w:ins w:id="7196" w:author="Author">
        <w:r>
          <w:rPr>
            <w:rFonts w:eastAsia="Calibri"/>
            <w:noProof/>
            <w:szCs w:val="22"/>
            <w:lang w:val="it-IT" w:eastAsia="en-US"/>
          </w:rPr>
          <w:t> </w:t>
        </w:r>
      </w:ins>
      <w:r>
        <w:rPr>
          <w:rFonts w:eastAsia="Calibri"/>
          <w:noProof/>
          <w:szCs w:val="22"/>
          <w:lang w:val="it-IT" w:eastAsia="en-US"/>
        </w:rPr>
        <w:t>296 per almeno un anno, 2</w:t>
      </w:r>
      <w:ins w:id="7197" w:author="Author">
        <w:r>
          <w:rPr>
            <w:rFonts w:eastAsia="Calibri"/>
            <w:noProof/>
            <w:szCs w:val="22"/>
            <w:lang w:val="it-IT" w:eastAsia="en-US"/>
          </w:rPr>
          <w:t> </w:t>
        </w:r>
      </w:ins>
      <w:r>
        <w:rPr>
          <w:rFonts w:eastAsia="Calibri"/>
          <w:noProof/>
          <w:szCs w:val="22"/>
          <w:lang w:val="it-IT" w:eastAsia="en-US"/>
        </w:rPr>
        <w:t>806 hanno ricevuto il trattamento per almeno 2 anni e 1</w:t>
      </w:r>
      <w:ins w:id="7198" w:author="Author">
        <w:r>
          <w:rPr>
            <w:rFonts w:eastAsia="Calibri"/>
            <w:noProof/>
            <w:szCs w:val="22"/>
            <w:lang w:val="it-IT" w:eastAsia="en-US"/>
          </w:rPr>
          <w:t> </w:t>
        </w:r>
      </w:ins>
      <w:r>
        <w:rPr>
          <w:rFonts w:eastAsia="Calibri"/>
          <w:noProof/>
          <w:szCs w:val="22"/>
          <w:lang w:val="it-IT" w:eastAsia="en-US"/>
        </w:rPr>
        <w:t>222 per 3 anni.</w:t>
      </w:r>
    </w:p>
    <w:p>
      <w:pPr>
        <w:rPr>
          <w:noProof/>
          <w:szCs w:val="22"/>
          <w:lang w:val="it-IT"/>
        </w:rPr>
      </w:pPr>
    </w:p>
    <w:p>
      <w:pPr>
        <w:ind w:left="567" w:hanging="567"/>
        <w:outlineLvl w:val="0"/>
        <w:rPr>
          <w:rFonts w:eastAsia="Calibri"/>
          <w:i/>
          <w:noProof/>
          <w:szCs w:val="22"/>
          <w:u w:val="single"/>
          <w:lang w:val="it-IT" w:eastAsia="en-US"/>
        </w:rPr>
      </w:pPr>
      <w:r>
        <w:rPr>
          <w:rFonts w:eastAsia="Calibri"/>
          <w:i/>
          <w:noProof/>
          <w:szCs w:val="22"/>
          <w:u w:val="single"/>
          <w:lang w:val="it-IT" w:eastAsia="en-US"/>
        </w:rPr>
        <w:t>Infezioni</w:t>
      </w:r>
    </w:p>
    <w:p>
      <w:pPr>
        <w:rPr>
          <w:noProof/>
          <w:szCs w:val="22"/>
          <w:lang w:val="it-IT" w:eastAsia="en-US"/>
        </w:rPr>
      </w:pPr>
      <w:r>
        <w:rPr>
          <w:rFonts w:eastAsia="Calibri"/>
          <w:noProof/>
          <w:szCs w:val="22"/>
          <w:lang w:val="it-IT" w:eastAsia="en-US"/>
        </w:rPr>
        <w:t>Negli studi controllati a 6 mesi, la frequenza di infezioni di tutti i tipi riferite con tocilizumab alla dose di 8 mg/kg associato al trattamento con un DMARD è stata di 127 eventi ogni 100 anni-paziente rispetto a 112 eventi ogni 100 anni-paziente nel gruppo trattato con placebo più DMARD. Nella popolazione esposta a lungo termine, la frequenza complessiva di infezioni associate all’utilizzo di tocilizumab è stata di 108 eventi ogni 100 anni-paziente.</w:t>
      </w:r>
    </w:p>
    <w:p>
      <w:pPr>
        <w:rPr>
          <w:noProof/>
          <w:szCs w:val="22"/>
          <w:lang w:val="it-IT"/>
        </w:rPr>
      </w:pPr>
    </w:p>
    <w:p>
      <w:pPr>
        <w:rPr>
          <w:rFonts w:eastAsia="Calibri"/>
          <w:noProof/>
          <w:szCs w:val="22"/>
          <w:lang w:val="it-IT" w:eastAsia="en-US"/>
        </w:rPr>
      </w:pPr>
      <w:r>
        <w:rPr>
          <w:rFonts w:eastAsia="Calibri"/>
          <w:noProof/>
          <w:szCs w:val="22"/>
          <w:lang w:val="it-IT" w:eastAsia="en-US"/>
        </w:rPr>
        <w:t>Negli studi clinici controllati a sei mesi, la frequenza di infezioni gravi riferite con tocilizumab alla dose di 8 mg/kg associato al trattamento con DMARD è stata di 5,3 eventi ogni 100 anni-paziente rispetto a 3,9 eventi ogni 100 anni-paziente nel gruppo trattato con placebo più DMARD. Nello studio sulla monoterapia, la frequenza di infezioni gravi è stata di 3,6 eventi ogni 100 anni-paziente nel gruppo trattato con tocilizumab e di 1,5 eventi ogni 100 anni-paziente nel gruppo trattato con MTX.</w:t>
      </w:r>
    </w:p>
    <w:p>
      <w:pPr>
        <w:rPr>
          <w:noProof/>
          <w:szCs w:val="22"/>
          <w:lang w:val="it-IT"/>
        </w:rPr>
      </w:pPr>
    </w:p>
    <w:p>
      <w:pPr>
        <w:rPr>
          <w:noProof/>
          <w:szCs w:val="22"/>
          <w:lang w:val="it-IT" w:eastAsia="en-US"/>
        </w:rPr>
      </w:pPr>
      <w:r>
        <w:rPr>
          <w:rFonts w:eastAsia="Calibri"/>
          <w:noProof/>
          <w:szCs w:val="22"/>
          <w:lang w:val="it-IT" w:eastAsia="en-US"/>
        </w:rPr>
        <w:t xml:space="preserve">Nella popolazione esposta a lungo termine, la frequenza complessiva di infezioni gravi (batteriche, virali e fungine) è stata di 4,7 eventi ogni 100 anni-paziente. </w:t>
      </w:r>
      <w:ins w:id="7199" w:author="Author">
        <w:r>
          <w:rPr>
            <w:rFonts w:eastAsia="Calibri"/>
            <w:noProof/>
            <w:szCs w:val="22"/>
            <w:lang w:val="it-IT" w:eastAsia="en-US"/>
          </w:rPr>
          <w:t>L</w:t>
        </w:r>
      </w:ins>
      <w:del w:id="7200" w:author="Author">
        <w:r>
          <w:rPr>
            <w:rFonts w:eastAsia="Calibri"/>
            <w:noProof/>
            <w:szCs w:val="22"/>
            <w:lang w:val="it-IT" w:eastAsia="en-US"/>
          </w:rPr>
          <w:delText>Tra l</w:delText>
        </w:r>
      </w:del>
      <w:r>
        <w:rPr>
          <w:rFonts w:eastAsia="Calibri"/>
          <w:noProof/>
          <w:szCs w:val="22"/>
          <w:lang w:val="it-IT" w:eastAsia="en-US"/>
        </w:rPr>
        <w:t xml:space="preserve">e infezioni gravi </w:t>
      </w:r>
      <w:del w:id="7201" w:author="Author">
        <w:r>
          <w:rPr>
            <w:rFonts w:eastAsia="Calibri"/>
            <w:noProof/>
            <w:szCs w:val="22"/>
            <w:lang w:val="it-IT" w:eastAsia="en-US"/>
          </w:rPr>
          <w:delText>riferite</w:delText>
        </w:r>
      </w:del>
      <w:ins w:id="7202" w:author="Author">
        <w:r>
          <w:rPr>
            <w:rFonts w:eastAsia="Calibri"/>
            <w:noProof/>
            <w:szCs w:val="22"/>
            <w:lang w:val="it-IT" w:eastAsia="en-US"/>
          </w:rPr>
          <w:t>riportate</w:t>
        </w:r>
      </w:ins>
      <w:r>
        <w:rPr>
          <w:rFonts w:eastAsia="Calibri"/>
          <w:noProof/>
          <w:szCs w:val="22"/>
          <w:lang w:val="it-IT" w:eastAsia="en-US"/>
        </w:rPr>
        <w:t>, alcune con esito fatale,</w:t>
      </w:r>
      <w:del w:id="7203" w:author="Author">
        <w:r>
          <w:rPr>
            <w:rFonts w:eastAsia="Calibri"/>
            <w:noProof/>
            <w:szCs w:val="22"/>
            <w:lang w:val="it-IT" w:eastAsia="en-US"/>
          </w:rPr>
          <w:delText xml:space="preserve"> vi</w:delText>
        </w:r>
      </w:del>
      <w:r>
        <w:rPr>
          <w:rFonts w:eastAsia="Calibri"/>
          <w:noProof/>
          <w:szCs w:val="22"/>
          <w:lang w:val="it-IT" w:eastAsia="en-US"/>
        </w:rPr>
        <w:t xml:space="preserve"> sono state tubercolosi attiva, che si poteva presentare con malattia intrapolmonare o extrapolmonare, infezioni polmonari invasive, incluse candidosi, aspergillosi, coccidioidomicosi e pneumocistosi, polmonite, cellulite, herpes zoster, gastroenterite, diverticolite, sepsi e artrite batterica. Sono stati riferiti </w:t>
      </w:r>
      <w:ins w:id="7204" w:author="Author">
        <w:r>
          <w:rPr>
            <w:rFonts w:eastAsia="Calibri"/>
            <w:noProof/>
            <w:szCs w:val="22"/>
            <w:lang w:val="it-IT" w:eastAsia="en-US"/>
          </w:rPr>
          <w:t xml:space="preserve">anche </w:t>
        </w:r>
      </w:ins>
      <w:r>
        <w:rPr>
          <w:rFonts w:eastAsia="Calibri"/>
          <w:noProof/>
          <w:szCs w:val="22"/>
          <w:lang w:val="it-IT" w:eastAsia="en-US"/>
        </w:rPr>
        <w:t>casi di infezioni opportunistiche.</w:t>
      </w:r>
    </w:p>
    <w:p>
      <w:pPr>
        <w:rPr>
          <w:noProof/>
          <w:szCs w:val="22"/>
          <w:lang w:val="it-IT"/>
        </w:rPr>
      </w:pPr>
    </w:p>
    <w:p>
      <w:pPr>
        <w:autoSpaceDE w:val="0"/>
        <w:autoSpaceDN w:val="0"/>
        <w:adjustRightInd w:val="0"/>
        <w:rPr>
          <w:rFonts w:eastAsia="SimSun"/>
          <w:i/>
          <w:noProof/>
          <w:szCs w:val="22"/>
          <w:u w:val="single"/>
          <w:lang w:val="it-IT" w:eastAsia="en-US"/>
        </w:rPr>
      </w:pPr>
      <w:r>
        <w:rPr>
          <w:rFonts w:eastAsia="Calibri"/>
          <w:i/>
          <w:noProof/>
          <w:szCs w:val="22"/>
          <w:u w:val="single"/>
          <w:lang w:val="it-IT" w:eastAsia="en-US"/>
        </w:rPr>
        <w:t>Patologia polmonare interstiziale</w:t>
      </w:r>
    </w:p>
    <w:p>
      <w:pPr>
        <w:autoSpaceDE w:val="0"/>
        <w:autoSpaceDN w:val="0"/>
        <w:adjustRightInd w:val="0"/>
        <w:rPr>
          <w:rFonts w:eastAsia="SimSun"/>
          <w:noProof/>
          <w:szCs w:val="22"/>
          <w:lang w:val="it-IT" w:eastAsia="en-US"/>
        </w:rPr>
      </w:pPr>
      <w:r>
        <w:rPr>
          <w:rFonts w:eastAsia="Calibri"/>
          <w:noProof/>
          <w:szCs w:val="22"/>
          <w:lang w:val="it-IT" w:eastAsia="en-US"/>
        </w:rPr>
        <w:t>La funzionalità polmonare compromessa può aumentare il rischio di sviluppare infezioni. Vi sono state segnalazioni post-marketing di patologie polmonari interstiziali (incluse polmonite e fibrosi polmonare), alcune delle quali con esito fatale.</w:t>
      </w:r>
    </w:p>
    <w:p>
      <w:pPr>
        <w:rPr>
          <w:noProof/>
          <w:szCs w:val="22"/>
          <w:lang w:val="it-IT"/>
        </w:rPr>
      </w:pPr>
    </w:p>
    <w:p>
      <w:pPr>
        <w:rPr>
          <w:i/>
          <w:noProof/>
          <w:szCs w:val="22"/>
          <w:u w:val="single"/>
          <w:lang w:val="it-IT" w:eastAsia="en-US"/>
        </w:rPr>
      </w:pPr>
      <w:r>
        <w:rPr>
          <w:rFonts w:eastAsia="Calibri"/>
          <w:i/>
          <w:noProof/>
          <w:szCs w:val="22"/>
          <w:u w:val="single"/>
          <w:lang w:val="it-IT" w:eastAsia="en-US"/>
        </w:rPr>
        <w:t>Perforazione gastrointestinale</w:t>
      </w:r>
    </w:p>
    <w:p>
      <w:pPr>
        <w:rPr>
          <w:noProof/>
          <w:szCs w:val="22"/>
          <w:lang w:val="it-IT" w:eastAsia="en-US"/>
        </w:rPr>
      </w:pPr>
      <w:r>
        <w:rPr>
          <w:rFonts w:eastAsia="Calibri"/>
          <w:noProof/>
          <w:szCs w:val="22"/>
          <w:lang w:val="it-IT" w:eastAsia="en-US"/>
        </w:rPr>
        <w:t>Durante gli studi clinici controllati a 6 mesi, la frequenza complessiva di perforazione gastrointestinale è stata di 0,26 eventi per 100 anni-paziente in corso di terapia con tocilizumab. Nella popolazione esposta a lungo termine, la frequenza complessiva di perforazione gastrointestinale è stata di 0,28 eventi per 100 anni-paziente. I casi di perforazione gastrointestinale con il trattamento sono stati principalmente riportati come complicanze della diverticolite, tra cui peritonite purulenta generalizzata, perforazione del tratto gastrointestinale inferiore, fistole e ascessi.</w:t>
      </w:r>
    </w:p>
    <w:p>
      <w:pPr>
        <w:rPr>
          <w:noProof/>
          <w:szCs w:val="22"/>
          <w:lang w:val="it-IT"/>
        </w:rPr>
      </w:pPr>
    </w:p>
    <w:p>
      <w:pPr>
        <w:ind w:left="567" w:hanging="567"/>
        <w:outlineLvl w:val="0"/>
        <w:rPr>
          <w:rFonts w:eastAsia="Calibri"/>
          <w:i/>
          <w:noProof/>
          <w:szCs w:val="22"/>
          <w:u w:val="single"/>
          <w:lang w:val="it-IT" w:eastAsia="en-US"/>
        </w:rPr>
      </w:pPr>
      <w:r>
        <w:rPr>
          <w:rFonts w:eastAsia="Calibri"/>
          <w:i/>
          <w:noProof/>
          <w:szCs w:val="22"/>
          <w:u w:val="single"/>
          <w:lang w:val="it-IT" w:eastAsia="en-US"/>
        </w:rPr>
        <w:t>Reazioni correlate all’infusione</w:t>
      </w:r>
    </w:p>
    <w:p>
      <w:pPr>
        <w:rPr>
          <w:noProof/>
          <w:szCs w:val="22"/>
          <w:lang w:val="it-IT" w:eastAsia="en-US"/>
        </w:rPr>
      </w:pPr>
      <w:r>
        <w:rPr>
          <w:rFonts w:eastAsia="Calibri"/>
          <w:noProof/>
          <w:szCs w:val="22"/>
          <w:lang w:val="it-IT" w:eastAsia="en-US"/>
        </w:rPr>
        <w:t xml:space="preserve">Negli studi clinici controllati a sei mesi, eventi avversi associati all’infusione (eventi selezionati verificatisi durante l’infusione o entro 24 ore dall’infusione) sono stati riferiti dal 6,9% dei pazienti del gruppo trattato con tocilizumab alla dose di 8 mg/kg più DMARD e dal 5,1% dei pazienti del gruppo trattato con placebo più DMARD. Gli eventi rilevati durante l’infusione sono stati principalmente </w:t>
      </w:r>
      <w:r>
        <w:rPr>
          <w:rFonts w:eastAsia="Calibri"/>
          <w:noProof/>
          <w:szCs w:val="22"/>
          <w:lang w:val="it-IT" w:eastAsia="en-US"/>
        </w:rPr>
        <w:lastRenderedPageBreak/>
        <w:t>episodi di ipertensione; gli eventi rilevati entro 24 ore dalla fine dell’infusione sono stati cefalea e reazioni cutanee (rash, orticaria). Tali eventi non hanno determinato limitazioni al trattamento.</w:t>
      </w:r>
    </w:p>
    <w:p>
      <w:pPr>
        <w:rPr>
          <w:noProof/>
          <w:szCs w:val="22"/>
          <w:lang w:val="it-IT"/>
        </w:rPr>
      </w:pPr>
    </w:p>
    <w:p>
      <w:pPr>
        <w:rPr>
          <w:rFonts w:eastAsia="Calibri"/>
          <w:noProof/>
          <w:szCs w:val="22"/>
          <w:lang w:val="it-IT" w:eastAsia="en-US"/>
          <w:rPrChange w:id="7205" w:author="Author">
            <w:rPr>
              <w:szCs w:val="22"/>
              <w:lang w:val="it-IT" w:eastAsia="en-US"/>
            </w:rPr>
          </w:rPrChange>
        </w:rPr>
      </w:pPr>
      <w:r>
        <w:rPr>
          <w:rFonts w:eastAsia="Calibri"/>
          <w:noProof/>
          <w:szCs w:val="22"/>
          <w:lang w:val="it-IT" w:eastAsia="en-US"/>
        </w:rPr>
        <w:t>La frequenza di reazioni anafilattiche (verificatesi in un totale di 8 pazienti su 4</w:t>
      </w:r>
      <w:ins w:id="7206" w:author="Author">
        <w:r>
          <w:rPr>
            <w:rFonts w:eastAsia="Calibri"/>
            <w:noProof/>
            <w:szCs w:val="22"/>
            <w:lang w:val="it-IT" w:eastAsia="en-US"/>
          </w:rPr>
          <w:t> </w:t>
        </w:r>
      </w:ins>
      <w:del w:id="7207" w:author="Author">
        <w:r>
          <w:rPr>
            <w:rFonts w:eastAsia="Calibri"/>
            <w:noProof/>
            <w:szCs w:val="22"/>
            <w:lang w:val="it-IT" w:eastAsia="en-US"/>
          </w:rPr>
          <w:delText>.</w:delText>
        </w:r>
      </w:del>
      <w:r>
        <w:rPr>
          <w:rFonts w:eastAsia="Calibri"/>
          <w:noProof/>
          <w:szCs w:val="22"/>
          <w:lang w:val="it-IT" w:eastAsia="en-US"/>
        </w:rPr>
        <w:t>009, 0,2%) è risultata di diverse volte maggiore con la dose di 4 mg/kg rispetto alla dose di 8 mg/kg. Reazioni di ipersensibilità clinicamente significative associate a tocilizumab e che hanno richiesto l’interruzione del trattamento sono state riferite in un totale di 56 pazienti su 4</w:t>
      </w:r>
      <w:ins w:id="7208" w:author="Author">
        <w:r>
          <w:rPr>
            <w:rFonts w:eastAsia="Calibri"/>
            <w:noProof/>
            <w:szCs w:val="22"/>
            <w:lang w:val="it-IT" w:eastAsia="en-US"/>
          </w:rPr>
          <w:t> </w:t>
        </w:r>
      </w:ins>
      <w:del w:id="7209" w:author="Author">
        <w:r>
          <w:rPr>
            <w:rFonts w:eastAsia="Calibri"/>
            <w:noProof/>
            <w:szCs w:val="22"/>
            <w:lang w:val="it-IT" w:eastAsia="en-US"/>
          </w:rPr>
          <w:delText>.</w:delText>
        </w:r>
      </w:del>
      <w:r>
        <w:rPr>
          <w:rFonts w:eastAsia="Calibri"/>
          <w:noProof/>
          <w:szCs w:val="22"/>
          <w:lang w:val="it-IT" w:eastAsia="en-US"/>
        </w:rPr>
        <w:t>009 (1,4%) trattati nel corso degli studi clinici controllati e in aperto. Tali reazioni sono state osservate generalmente dalla seconda alla quinta infusione di tocilizumab (vedere paragrafo 4.4). Dopo l’autorizzazione al commercio del prodotto è stato riportato un caso di anafilassi fatale durante il trattamento con tocilizumab</w:t>
      </w:r>
      <w:del w:id="7210" w:author="Author">
        <w:r>
          <w:rPr>
            <w:rFonts w:eastAsia="Calibri"/>
            <w:noProof/>
            <w:szCs w:val="22"/>
            <w:lang w:val="it-IT" w:eastAsia="en-US"/>
          </w:rPr>
          <w:delText xml:space="preserve"> </w:delText>
        </w:r>
      </w:del>
      <w:r>
        <w:rPr>
          <w:rFonts w:eastAsia="Calibri"/>
          <w:noProof/>
          <w:szCs w:val="22"/>
          <w:lang w:val="it-IT" w:eastAsia="en-US"/>
        </w:rPr>
        <w:t xml:space="preserve"> formulazione endovenosa(vedere paragrafo 4.4).</w:t>
      </w:r>
    </w:p>
    <w:p>
      <w:pPr>
        <w:rPr>
          <w:noProof/>
          <w:szCs w:val="22"/>
          <w:lang w:val="it-IT"/>
        </w:rPr>
      </w:pPr>
    </w:p>
    <w:p>
      <w:pPr>
        <w:ind w:left="567" w:hanging="567"/>
        <w:outlineLvl w:val="0"/>
        <w:rPr>
          <w:rFonts w:eastAsia="Calibri"/>
          <w:i/>
          <w:noProof/>
          <w:szCs w:val="22"/>
          <w:u w:val="single"/>
          <w:lang w:val="it-IT" w:eastAsia="en-US"/>
        </w:rPr>
      </w:pPr>
      <w:r>
        <w:rPr>
          <w:rFonts w:eastAsia="Calibri"/>
          <w:i/>
          <w:noProof/>
          <w:szCs w:val="22"/>
          <w:u w:val="single"/>
          <w:lang w:val="it-IT" w:eastAsia="en-US"/>
        </w:rPr>
        <w:t>Immunogenicità</w:t>
      </w:r>
    </w:p>
    <w:p>
      <w:pPr>
        <w:outlineLvl w:val="0"/>
        <w:rPr>
          <w:rFonts w:eastAsia="Calibri"/>
          <w:noProof/>
          <w:szCs w:val="22"/>
          <w:lang w:val="it-IT" w:eastAsia="en-US"/>
        </w:rPr>
      </w:pPr>
      <w:r>
        <w:rPr>
          <w:rFonts w:eastAsia="Calibri"/>
          <w:noProof/>
          <w:szCs w:val="22"/>
          <w:lang w:val="it-IT" w:eastAsia="en-US"/>
        </w:rPr>
        <w:t>Un totale di 2</w:t>
      </w:r>
      <w:del w:id="7211" w:author="Author">
        <w:r>
          <w:rPr>
            <w:rFonts w:eastAsia="Calibri"/>
            <w:noProof/>
            <w:szCs w:val="22"/>
            <w:lang w:val="it-IT" w:eastAsia="en-US"/>
          </w:rPr>
          <w:delText>.</w:delText>
        </w:r>
      </w:del>
      <w:ins w:id="7212" w:author="Author">
        <w:r>
          <w:rPr>
            <w:rFonts w:eastAsia="Calibri"/>
            <w:noProof/>
            <w:szCs w:val="22"/>
            <w:lang w:val="it-IT" w:eastAsia="en-US"/>
          </w:rPr>
          <w:t> </w:t>
        </w:r>
      </w:ins>
      <w:r>
        <w:rPr>
          <w:rFonts w:eastAsia="Calibri"/>
          <w:noProof/>
          <w:szCs w:val="22"/>
          <w:lang w:val="it-IT" w:eastAsia="en-US"/>
        </w:rPr>
        <w:t>876 pazienti sono stati analizzati per rilevare anticorpi anti-</w:t>
      </w:r>
      <w:del w:id="7213" w:author="Author">
        <w:r>
          <w:rPr>
            <w:rFonts w:eastAsia="Calibri"/>
            <w:noProof/>
            <w:szCs w:val="22"/>
            <w:lang w:val="it-IT" w:eastAsia="en-US"/>
          </w:rPr>
          <w:delText xml:space="preserve"> </w:delText>
        </w:r>
      </w:del>
      <w:r>
        <w:rPr>
          <w:rFonts w:eastAsia="Calibri"/>
          <w:noProof/>
          <w:szCs w:val="22"/>
          <w:lang w:val="it-IT" w:eastAsia="en-US"/>
        </w:rPr>
        <w:t>tocilizumab negli studi clinici controllati a sei mesi. Dei 46 pazienti (1,6%) che hanno sviluppato anticorpi anti-</w:t>
      </w:r>
      <w:del w:id="7214" w:author="Author">
        <w:r>
          <w:rPr>
            <w:rFonts w:eastAsia="Calibri"/>
            <w:noProof/>
            <w:szCs w:val="22"/>
            <w:lang w:val="it-IT" w:eastAsia="en-US"/>
          </w:rPr>
          <w:delText xml:space="preserve"> </w:delText>
        </w:r>
      </w:del>
      <w:r>
        <w:rPr>
          <w:rFonts w:eastAsia="Calibri"/>
          <w:noProof/>
          <w:szCs w:val="22"/>
          <w:lang w:val="it-IT" w:eastAsia="en-US"/>
        </w:rPr>
        <w:t>tocilizumab, 6 hanno avuto una reazione di ipersensibilità clinicamente significativa che in 5 casi ha portato alla sospensione definitiva del trattamento. Trenta pazienti (1,1%) hanno sviluppato anticorpi neutralizzanti.</w:t>
      </w:r>
    </w:p>
    <w:p>
      <w:pPr>
        <w:outlineLvl w:val="0"/>
        <w:rPr>
          <w:noProof/>
          <w:szCs w:val="22"/>
          <w:lang w:val="it-IT"/>
        </w:rPr>
      </w:pPr>
    </w:p>
    <w:p>
      <w:pPr>
        <w:rPr>
          <w:i/>
          <w:noProof/>
          <w:szCs w:val="22"/>
          <w:u w:val="single"/>
          <w:lang w:val="it-IT" w:eastAsia="en-US"/>
        </w:rPr>
      </w:pPr>
      <w:r>
        <w:rPr>
          <w:rFonts w:eastAsia="Calibri"/>
          <w:i/>
          <w:noProof/>
          <w:szCs w:val="22"/>
          <w:u w:val="single"/>
          <w:lang w:val="it-IT" w:eastAsia="en-US"/>
        </w:rPr>
        <w:t>Neutrofili</w:t>
      </w:r>
    </w:p>
    <w:p>
      <w:pPr>
        <w:rPr>
          <w:rFonts w:eastAsia="Calibri"/>
          <w:noProof/>
          <w:szCs w:val="22"/>
          <w:lang w:val="it-IT" w:eastAsia="en-US"/>
        </w:rPr>
      </w:pPr>
      <w:r>
        <w:rPr>
          <w:rFonts w:eastAsia="Calibri"/>
          <w:noProof/>
          <w:szCs w:val="22"/>
          <w:lang w:val="it-IT" w:eastAsia="en-US"/>
        </w:rPr>
        <w:t xml:space="preserve">Negli studi </w:t>
      </w:r>
      <w:ins w:id="7215" w:author="Author">
        <w:del w:id="7216" w:author="Author">
          <w:r>
            <w:rPr>
              <w:rFonts w:eastAsia="Calibri"/>
              <w:noProof/>
              <w:szCs w:val="22"/>
              <w:lang w:val="it-IT" w:eastAsia="en-US"/>
            </w:rPr>
            <w:delText xml:space="preserve">clinici </w:delText>
          </w:r>
        </w:del>
      </w:ins>
      <w:r>
        <w:rPr>
          <w:rFonts w:eastAsia="Calibri"/>
          <w:noProof/>
          <w:szCs w:val="22"/>
          <w:lang w:val="it-IT" w:eastAsia="en-US"/>
        </w:rPr>
        <w:t xml:space="preserve">controllati a sei mesi, una riduzione della conta dei neutrofili al di sotto di 1 </w:t>
      </w:r>
      <w:r>
        <w:rPr>
          <w:rFonts w:eastAsia="Calibri"/>
          <w:noProof/>
          <w:szCs w:val="22"/>
          <w:lang w:val="it-IT" w:eastAsia="en-US"/>
        </w:rPr>
        <w:sym w:font="Symbol" w:char="F0B4"/>
      </w:r>
      <w:ins w:id="7217" w:author="Author">
        <w:r>
          <w:rPr>
            <w:rFonts w:eastAsia="Calibri"/>
            <w:noProof/>
            <w:szCs w:val="22"/>
            <w:lang w:val="it-IT" w:eastAsia="en-US"/>
          </w:rPr>
          <w:t xml:space="preserve"> </w:t>
        </w:r>
      </w:ins>
      <w:r>
        <w:rPr>
          <w:rFonts w:eastAsia="Calibri"/>
          <w:noProof/>
          <w:szCs w:val="22"/>
          <w:lang w:val="it-IT" w:eastAsia="en-US"/>
        </w:rPr>
        <w:t>10</w:t>
      </w:r>
      <w:r>
        <w:rPr>
          <w:rFonts w:eastAsia="Calibri"/>
          <w:noProof/>
          <w:szCs w:val="22"/>
          <w:vertAlign w:val="superscript"/>
          <w:lang w:val="it-IT" w:eastAsia="en-US"/>
        </w:rPr>
        <w:t>9</w:t>
      </w:r>
      <w:r>
        <w:rPr>
          <w:rFonts w:eastAsia="Calibri"/>
          <w:noProof/>
          <w:szCs w:val="22"/>
          <w:lang w:val="it-IT" w:eastAsia="en-US"/>
        </w:rPr>
        <w:t xml:space="preserve">/L si è verificata nel 3,4% dei pazienti del gruppo trattato con tocilizumab alla dose di 8 mg/kg più DMARD rispetto a </w:t>
      </w:r>
      <w:r>
        <w:rPr>
          <w:rFonts w:eastAsia="MS Mincho"/>
          <w:noProof/>
          <w:szCs w:val="22"/>
          <w:lang w:val="it-IT"/>
        </w:rPr>
        <w:sym w:font="Symbol" w:char="F03C"/>
      </w:r>
      <w:r>
        <w:rPr>
          <w:rFonts w:eastAsia="Calibri"/>
          <w:noProof/>
          <w:szCs w:val="22"/>
          <w:lang w:val="it-IT" w:eastAsia="en-US"/>
        </w:rPr>
        <w:t xml:space="preserve">0,1% dei pazienti trattati con placebo più DMARD. Nella metà circa dei pazienti nei quali si è riscontrata una ANC </w:t>
      </w:r>
      <w:r>
        <w:rPr>
          <w:rFonts w:eastAsia="MS Mincho"/>
          <w:noProof/>
          <w:szCs w:val="22"/>
          <w:lang w:val="it-IT"/>
        </w:rPr>
        <w:sym w:font="Symbol" w:char="F03C"/>
      </w:r>
      <w:r>
        <w:rPr>
          <w:rFonts w:eastAsia="Calibri"/>
          <w:noProof/>
          <w:szCs w:val="22"/>
          <w:lang w:val="it-IT" w:eastAsia="en-US"/>
        </w:rPr>
        <w:t xml:space="preserve">1 </w:t>
      </w:r>
      <w:del w:id="7218" w:author="Author">
        <w:r>
          <w:rPr>
            <w:rFonts w:eastAsia="Calibri"/>
            <w:noProof/>
            <w:szCs w:val="22"/>
            <w:lang w:val="it-IT" w:eastAsia="en-US"/>
          </w:rPr>
          <w:delText xml:space="preserve"> </w:delText>
        </w:r>
      </w:del>
      <w:r>
        <w:rPr>
          <w:rFonts w:eastAsia="Calibri"/>
          <w:noProof/>
          <w:szCs w:val="22"/>
          <w:lang w:val="it-IT" w:eastAsia="en-US"/>
        </w:rPr>
        <w:sym w:font="Symbol" w:char="F0B4"/>
      </w:r>
      <w:ins w:id="7219" w:author="Author">
        <w:r>
          <w:rPr>
            <w:rFonts w:eastAsia="Calibri"/>
            <w:noProof/>
            <w:szCs w:val="22"/>
            <w:lang w:val="it-IT" w:eastAsia="en-US"/>
          </w:rPr>
          <w:t xml:space="preserve"> </w:t>
        </w:r>
      </w:ins>
      <w:r>
        <w:rPr>
          <w:rFonts w:eastAsia="Calibri"/>
          <w:noProof/>
          <w:szCs w:val="22"/>
          <w:lang w:val="it-IT" w:eastAsia="en-US"/>
        </w:rPr>
        <w:t>10</w:t>
      </w:r>
      <w:r>
        <w:rPr>
          <w:rFonts w:eastAsia="Calibri"/>
          <w:noProof/>
          <w:szCs w:val="22"/>
          <w:vertAlign w:val="superscript"/>
          <w:lang w:val="it-IT" w:eastAsia="en-US"/>
        </w:rPr>
        <w:t>9</w:t>
      </w:r>
      <w:r>
        <w:rPr>
          <w:rFonts w:eastAsia="Calibri"/>
          <w:noProof/>
          <w:szCs w:val="22"/>
          <w:lang w:val="it-IT" w:eastAsia="en-US"/>
        </w:rPr>
        <w:t>/L tale rilevazione è avvenuta nell’arco di 8 settimane dall’inizio della terapia. Riduzioni al di sotto di 0,5</w:t>
      </w:r>
      <w:del w:id="7220" w:author="Author">
        <w:r>
          <w:rPr>
            <w:rFonts w:eastAsia="Calibri"/>
            <w:noProof/>
            <w:szCs w:val="22"/>
            <w:lang w:val="it-IT" w:eastAsia="en-US"/>
          </w:rPr>
          <w:delText xml:space="preserve"> </w:delText>
        </w:r>
      </w:del>
      <w:r>
        <w:rPr>
          <w:rFonts w:eastAsia="Calibri"/>
          <w:noProof/>
          <w:szCs w:val="22"/>
          <w:lang w:val="it-IT" w:eastAsia="en-US"/>
        </w:rPr>
        <w:t xml:space="preserve"> </w:t>
      </w:r>
      <w:r>
        <w:rPr>
          <w:rFonts w:eastAsia="Calibri"/>
          <w:noProof/>
          <w:szCs w:val="22"/>
          <w:lang w:val="it-IT" w:eastAsia="en-US"/>
        </w:rPr>
        <w:sym w:font="Symbol" w:char="F0B4"/>
      </w:r>
      <w:r>
        <w:rPr>
          <w:rFonts w:eastAsia="Calibri"/>
          <w:noProof/>
          <w:szCs w:val="22"/>
          <w:lang w:val="it-IT" w:eastAsia="en-US"/>
        </w:rPr>
        <w:t>10</w:t>
      </w:r>
      <w:r>
        <w:rPr>
          <w:rFonts w:eastAsia="Calibri"/>
          <w:noProof/>
          <w:szCs w:val="22"/>
          <w:vertAlign w:val="superscript"/>
          <w:lang w:val="it-IT" w:eastAsia="en-US"/>
        </w:rPr>
        <w:t>9</w:t>
      </w:r>
      <w:r>
        <w:rPr>
          <w:rFonts w:eastAsia="Calibri"/>
          <w:noProof/>
          <w:szCs w:val="22"/>
          <w:lang w:val="it-IT" w:eastAsia="en-US"/>
        </w:rPr>
        <w:t>/L sono state riportate nello 0,3% dei pazienti trattati con tocilizumab alla dose di 8 mg/kg più DMARD. Sono state riportate infezioni associate a neutropenia.</w:t>
      </w:r>
    </w:p>
    <w:p>
      <w:pPr>
        <w:autoSpaceDE w:val="0"/>
        <w:autoSpaceDN w:val="0"/>
        <w:adjustRightInd w:val="0"/>
        <w:rPr>
          <w:noProof/>
          <w:szCs w:val="22"/>
          <w:lang w:val="it-IT"/>
        </w:rPr>
      </w:pPr>
    </w:p>
    <w:p>
      <w:pPr>
        <w:autoSpaceDE w:val="0"/>
        <w:autoSpaceDN w:val="0"/>
        <w:adjustRightInd w:val="0"/>
        <w:rPr>
          <w:noProof/>
          <w:szCs w:val="22"/>
          <w:lang w:val="it-IT" w:eastAsia="en-US"/>
        </w:rPr>
      </w:pPr>
      <w:r>
        <w:rPr>
          <w:rFonts w:eastAsia="Calibri"/>
          <w:noProof/>
          <w:szCs w:val="22"/>
          <w:lang w:val="it-IT" w:eastAsia="en-US"/>
        </w:rPr>
        <w:t>Durante il periodo di doppio cieco controllato e nella fase di esposizione a lungo termine, il grado e l’incidenza della riduzione della conta dei neutrofili sono rimasti invariati rispetto a quanto è stato osservato negli studi controllati a sei mesi.</w:t>
      </w:r>
    </w:p>
    <w:p>
      <w:pPr>
        <w:autoSpaceDE w:val="0"/>
        <w:autoSpaceDN w:val="0"/>
        <w:adjustRightInd w:val="0"/>
        <w:rPr>
          <w:noProof/>
          <w:szCs w:val="22"/>
          <w:lang w:val="it-IT"/>
        </w:rPr>
      </w:pPr>
    </w:p>
    <w:p>
      <w:pPr>
        <w:autoSpaceDE w:val="0"/>
        <w:autoSpaceDN w:val="0"/>
        <w:adjustRightInd w:val="0"/>
        <w:rPr>
          <w:i/>
          <w:noProof/>
          <w:szCs w:val="22"/>
          <w:u w:val="single"/>
          <w:lang w:val="it-IT" w:eastAsia="en-US"/>
        </w:rPr>
      </w:pPr>
      <w:r>
        <w:rPr>
          <w:rFonts w:eastAsia="Calibri"/>
          <w:i/>
          <w:noProof/>
          <w:szCs w:val="22"/>
          <w:u w:val="single"/>
          <w:lang w:val="it-IT" w:eastAsia="en-US"/>
        </w:rPr>
        <w:t>Piastrine</w:t>
      </w:r>
    </w:p>
    <w:p>
      <w:pPr>
        <w:autoSpaceDE w:val="0"/>
        <w:autoSpaceDN w:val="0"/>
        <w:adjustRightInd w:val="0"/>
        <w:rPr>
          <w:rFonts w:eastAsia="SimSun"/>
          <w:noProof/>
          <w:szCs w:val="22"/>
          <w:lang w:val="it-IT" w:eastAsia="en-US"/>
        </w:rPr>
      </w:pPr>
      <w:r>
        <w:rPr>
          <w:rFonts w:eastAsia="Calibri"/>
          <w:noProof/>
          <w:szCs w:val="22"/>
          <w:lang w:val="it-IT" w:eastAsia="en-US"/>
        </w:rPr>
        <w:t>Negli studi controllati a sei mesi, una riduzione della conta piastrinica al di sotto di 100 x 10</w:t>
      </w:r>
      <w:r>
        <w:rPr>
          <w:rFonts w:eastAsia="Calibri"/>
          <w:noProof/>
          <w:szCs w:val="22"/>
          <w:vertAlign w:val="superscript"/>
          <w:lang w:val="it-IT" w:eastAsia="en-US"/>
        </w:rPr>
        <w:t>3</w:t>
      </w:r>
      <w:r>
        <w:rPr>
          <w:rFonts w:eastAsia="Calibri"/>
          <w:noProof/>
          <w:szCs w:val="22"/>
          <w:lang w:val="it-IT" w:eastAsia="en-US"/>
        </w:rPr>
        <w:t>/μL si è verificata nell’1,7% dei pazienti del gruppo trattato con tocilizumab alla dose di 8 mg/kg più DMARD rispetto a &lt;1% dei pazienti trattati con placebo più DMARD. Tali riduzioni si sono manifestate senza correlazione con eventi emorragici.</w:t>
      </w:r>
    </w:p>
    <w:p>
      <w:pPr>
        <w:rPr>
          <w:noProof/>
          <w:szCs w:val="22"/>
          <w:lang w:val="it-IT"/>
        </w:rPr>
      </w:pPr>
    </w:p>
    <w:p>
      <w:pPr>
        <w:rPr>
          <w:noProof/>
          <w:szCs w:val="22"/>
          <w:lang w:val="it-IT" w:eastAsia="en-US"/>
        </w:rPr>
      </w:pPr>
      <w:r>
        <w:rPr>
          <w:rFonts w:eastAsia="Calibri"/>
          <w:noProof/>
          <w:szCs w:val="22"/>
          <w:lang w:val="it-IT" w:eastAsia="en-US"/>
        </w:rPr>
        <w:t>Durante il periodo di doppio cieco controllato e nella fase di esposizione a lungo termine, il grado e l’incidenza della riduzione della conta delle piastrine sono rimasti invariati rispetto a quanto è stato osservato negli studi controllati a sei mesi.</w:t>
      </w:r>
    </w:p>
    <w:p>
      <w:pPr>
        <w:rPr>
          <w:noProof/>
          <w:szCs w:val="22"/>
          <w:lang w:val="it-IT"/>
        </w:rPr>
      </w:pPr>
    </w:p>
    <w:p>
      <w:pPr>
        <w:rPr>
          <w:iCs/>
          <w:noProof/>
          <w:szCs w:val="22"/>
          <w:lang w:val="it-IT" w:eastAsia="en-US"/>
        </w:rPr>
      </w:pPr>
      <w:r>
        <w:rPr>
          <w:rFonts w:eastAsia="Calibri"/>
          <w:iCs/>
          <w:noProof/>
          <w:szCs w:val="22"/>
          <w:lang w:val="it-IT" w:eastAsia="en-US"/>
        </w:rPr>
        <w:t>Nella fase successiva alla commercializzazione sono emerse segnalazioni molto rare di pancitopenia.</w:t>
      </w:r>
    </w:p>
    <w:p>
      <w:pPr>
        <w:rPr>
          <w:i/>
          <w:noProof/>
          <w:szCs w:val="22"/>
          <w:lang w:val="it-IT"/>
        </w:rPr>
      </w:pPr>
    </w:p>
    <w:p>
      <w:pPr>
        <w:rPr>
          <w:i/>
          <w:noProof/>
          <w:szCs w:val="22"/>
          <w:u w:val="single"/>
          <w:lang w:val="it-IT" w:eastAsia="en-US"/>
        </w:rPr>
      </w:pPr>
      <w:r>
        <w:rPr>
          <w:rFonts w:eastAsia="Calibri"/>
          <w:i/>
          <w:noProof/>
          <w:szCs w:val="22"/>
          <w:u w:val="single"/>
          <w:lang w:val="it-IT" w:eastAsia="en-US"/>
        </w:rPr>
        <w:t>Aumenti delle transaminasi epatiche</w:t>
      </w:r>
    </w:p>
    <w:p>
      <w:pPr>
        <w:rPr>
          <w:noProof/>
          <w:szCs w:val="22"/>
          <w:lang w:val="it-IT" w:eastAsia="en-US"/>
        </w:rPr>
      </w:pPr>
      <w:r>
        <w:rPr>
          <w:rFonts w:eastAsia="Calibri"/>
          <w:noProof/>
          <w:szCs w:val="22"/>
          <w:lang w:val="it-IT" w:eastAsia="en-US"/>
        </w:rPr>
        <w:t>Negli studi controllati a sei mesi, aumenti transitori di ALT/AST &gt;</w:t>
      </w:r>
      <w:ins w:id="7221" w:author="Author">
        <w:r>
          <w:rPr>
            <w:rFonts w:eastAsia="Calibri"/>
            <w:noProof/>
            <w:szCs w:val="22"/>
            <w:lang w:val="it-IT" w:eastAsia="en-US"/>
          </w:rPr>
          <w:t xml:space="preserve"> </w:t>
        </w:r>
      </w:ins>
      <w:r>
        <w:rPr>
          <w:rFonts w:eastAsia="Calibri"/>
          <w:noProof/>
          <w:szCs w:val="22"/>
          <w:lang w:val="it-IT" w:eastAsia="en-US"/>
        </w:rPr>
        <w:t>3 volte ULN sono stati osservati nel 2,1% dei pazienti trattati con tocilizumab alla dose di 8 mg/kg rispetto al 4,9% dei pazienti trattati con MTX e nel 6,5% dei pazienti trattati con 8 mg/kg di tocilizumab più DMARD rispetto all’1,5% dei pazienti trattati con l’associazione placebo più DMARD.</w:t>
      </w:r>
    </w:p>
    <w:p>
      <w:pPr>
        <w:rPr>
          <w:noProof/>
          <w:szCs w:val="22"/>
          <w:lang w:val="it-IT"/>
        </w:rPr>
      </w:pPr>
    </w:p>
    <w:p>
      <w:pPr>
        <w:rPr>
          <w:noProof/>
          <w:szCs w:val="22"/>
          <w:lang w:val="it-IT" w:eastAsia="en-US"/>
        </w:rPr>
      </w:pPr>
      <w:r>
        <w:rPr>
          <w:rFonts w:eastAsia="Calibri"/>
          <w:noProof/>
          <w:szCs w:val="22"/>
          <w:lang w:val="it-IT" w:eastAsia="en-US"/>
        </w:rPr>
        <w:t>L’aggiunta di medicinali potenzialmente epatotossici (ad esempio MTX) a tocilizumab in monoterapia ha determinato una maggiore frequenza di tali aumenti. Aumenti di ALT/AST &gt;</w:t>
      </w:r>
      <w:ins w:id="7222" w:author="Author">
        <w:r>
          <w:rPr>
            <w:rFonts w:eastAsia="Calibri"/>
            <w:noProof/>
            <w:szCs w:val="22"/>
            <w:lang w:val="it-IT" w:eastAsia="en-US"/>
          </w:rPr>
          <w:t xml:space="preserve"> </w:t>
        </w:r>
      </w:ins>
      <w:r>
        <w:rPr>
          <w:rFonts w:eastAsia="Calibri"/>
          <w:noProof/>
          <w:szCs w:val="22"/>
          <w:lang w:val="it-IT" w:eastAsia="en-US"/>
        </w:rPr>
        <w:t>5 volte ULN sono stati osservati nello 0,7% dei pazienti trattati con</w:t>
      </w:r>
      <w:del w:id="7223" w:author="Author">
        <w:r>
          <w:rPr>
            <w:rFonts w:eastAsia="Calibri"/>
            <w:noProof/>
            <w:szCs w:val="22"/>
            <w:lang w:val="it-IT" w:eastAsia="en-US"/>
          </w:rPr>
          <w:delText xml:space="preserve"> </w:delText>
        </w:r>
      </w:del>
      <w:r>
        <w:rPr>
          <w:rFonts w:eastAsia="Calibri"/>
          <w:noProof/>
          <w:szCs w:val="22"/>
          <w:lang w:val="it-IT" w:eastAsia="en-US"/>
        </w:rPr>
        <w:t xml:space="preserve"> tocilizumabin monoterapia e nell’1,4% dei pazienti trattati con tocilizumab più DMARD, la maggior parte dei quali ha dovuto sospendere definitivamente il trattamento con tocilizumab. Durante il periodo di RoActemra doppio cieco controllato, l’incidenza di bilirubina indiretta più alta rispetto al limite superiore del valore normale, rilevata come parametro di laboratorio abituale, è del 6,2% nei pazienti trattati con 8 mg/kg di tocilizumab + DMARD. Un </w:t>
      </w:r>
      <w:r>
        <w:rPr>
          <w:rFonts w:eastAsia="Calibri"/>
          <w:noProof/>
          <w:szCs w:val="22"/>
          <w:lang w:val="it-IT" w:eastAsia="en-US"/>
        </w:rPr>
        <w:lastRenderedPageBreak/>
        <w:t>totale di 5,8% dei pazienti ha sperimentato un aumento della bilirubina indiretta da &gt;</w:t>
      </w:r>
      <w:ins w:id="7224" w:author="Author">
        <w:r>
          <w:rPr>
            <w:rFonts w:eastAsia="Calibri"/>
            <w:noProof/>
            <w:szCs w:val="22"/>
            <w:lang w:val="it-IT" w:eastAsia="en-US"/>
          </w:rPr>
          <w:t xml:space="preserve"> </w:t>
        </w:r>
      </w:ins>
      <w:r>
        <w:rPr>
          <w:rFonts w:eastAsia="Calibri"/>
          <w:noProof/>
          <w:szCs w:val="22"/>
          <w:lang w:val="it-IT" w:eastAsia="en-US"/>
        </w:rPr>
        <w:t xml:space="preserve">1 a 2 </w:t>
      </w:r>
      <w:r>
        <w:rPr>
          <w:rFonts w:eastAsia="Calibri"/>
          <w:noProof/>
          <w:szCs w:val="22"/>
          <w:lang w:val="it-IT" w:eastAsia="en-US"/>
        </w:rPr>
        <w:sym w:font="Symbol" w:char="F0B4"/>
      </w:r>
      <w:r>
        <w:rPr>
          <w:rFonts w:eastAsia="Calibri"/>
          <w:noProof/>
          <w:szCs w:val="22"/>
          <w:lang w:val="it-IT" w:eastAsia="en-US"/>
        </w:rPr>
        <w:t>ULN e lo 0,4% ha avuto un rialzo di &gt;</w:t>
      </w:r>
      <w:ins w:id="7225" w:author="Author">
        <w:r>
          <w:rPr>
            <w:rFonts w:eastAsia="Calibri"/>
            <w:noProof/>
            <w:szCs w:val="22"/>
            <w:lang w:val="it-IT" w:eastAsia="en-US"/>
          </w:rPr>
          <w:t xml:space="preserve"> </w:t>
        </w:r>
      </w:ins>
      <w:r>
        <w:rPr>
          <w:rFonts w:eastAsia="Calibri"/>
          <w:noProof/>
          <w:szCs w:val="22"/>
          <w:lang w:val="it-IT" w:eastAsia="en-US"/>
        </w:rPr>
        <w:t xml:space="preserve">2 </w:t>
      </w:r>
      <w:r>
        <w:rPr>
          <w:rFonts w:eastAsia="Calibri"/>
          <w:noProof/>
          <w:szCs w:val="22"/>
          <w:lang w:val="it-IT" w:eastAsia="en-US"/>
        </w:rPr>
        <w:sym w:font="Symbol" w:char="F0B4"/>
      </w:r>
      <w:r>
        <w:rPr>
          <w:rFonts w:eastAsia="Calibri"/>
          <w:noProof/>
          <w:szCs w:val="22"/>
          <w:lang w:val="it-IT" w:eastAsia="en-US"/>
        </w:rPr>
        <w:t>ULN.</w:t>
      </w:r>
    </w:p>
    <w:p>
      <w:pPr>
        <w:rPr>
          <w:noProof/>
          <w:szCs w:val="22"/>
          <w:lang w:val="it-IT"/>
        </w:rPr>
      </w:pPr>
    </w:p>
    <w:p>
      <w:pPr>
        <w:rPr>
          <w:noProof/>
          <w:szCs w:val="22"/>
          <w:lang w:val="it-IT" w:eastAsia="en-US"/>
        </w:rPr>
      </w:pPr>
      <w:r>
        <w:rPr>
          <w:rFonts w:eastAsia="Calibri"/>
          <w:noProof/>
          <w:szCs w:val="22"/>
          <w:lang w:val="it-IT" w:eastAsia="en-US"/>
        </w:rPr>
        <w:t>Durante il periodo di doppio cieco controllato e nella fase di esposizione a lungo termine, il grado e l’incidenza degli aumenti delle ALT/AST sono rimasti invariati rispetto a quanto è stato osservato negli studi controllati a sei mesi.</w:t>
      </w:r>
    </w:p>
    <w:p>
      <w:pPr>
        <w:rPr>
          <w:noProof/>
          <w:szCs w:val="22"/>
          <w:lang w:val="it-IT"/>
        </w:rPr>
      </w:pPr>
    </w:p>
    <w:p>
      <w:pPr>
        <w:keepNext/>
        <w:keepLines/>
        <w:ind w:left="567" w:hanging="567"/>
        <w:outlineLvl w:val="0"/>
        <w:rPr>
          <w:i/>
          <w:noProof/>
          <w:szCs w:val="22"/>
          <w:u w:val="single"/>
          <w:lang w:val="it-IT" w:eastAsia="en-US"/>
        </w:rPr>
      </w:pPr>
      <w:r>
        <w:rPr>
          <w:rFonts w:eastAsia="Calibri"/>
          <w:i/>
          <w:noProof/>
          <w:szCs w:val="22"/>
          <w:u w:val="single"/>
          <w:lang w:val="it-IT" w:eastAsia="en-US"/>
        </w:rPr>
        <w:t>Parametri lipidici</w:t>
      </w:r>
    </w:p>
    <w:p>
      <w:pPr>
        <w:rPr>
          <w:rFonts w:eastAsia="PMingLiU"/>
          <w:noProof/>
          <w:szCs w:val="22"/>
          <w:lang w:val="it-IT" w:eastAsia="en-US"/>
        </w:rPr>
        <w:pPrChange w:id="7226" w:author="Author">
          <w:pPr>
            <w:keepNext/>
            <w:keepLines/>
          </w:pPr>
        </w:pPrChange>
      </w:pPr>
      <w:r>
        <w:rPr>
          <w:rFonts w:eastAsia="Calibri"/>
          <w:noProof/>
          <w:szCs w:val="22"/>
          <w:lang w:val="it-IT" w:eastAsia="en-US"/>
        </w:rPr>
        <w:t>Negli studi clinici controllati a sei mesi, sono stati riportati comunemente incrementi dei parametri lipidici quali colesterolo totale, trigliceridi, colesterolo LDL e/o colesterolo HDL. Mediante analisi di laboratorio abituali, è stato osservato che approssimativamente il 24% dei pazienti che hanno ricevuto tocilizumab negli studi clinici hanno sperimentato incrementi sostenuti nel colesterolo totale ≥6,2 mmol/L, con un 15% che ha sperimentato incrementi sostenuti dell’LDL fino a ≥4,1 mmo/L. Gli incrementi dei parametri lipidici hanno risposto al trattamento con agenti ipolipemizzanti.</w:t>
      </w:r>
    </w:p>
    <w:p>
      <w:pPr>
        <w:rPr>
          <w:rFonts w:eastAsia="PMingLiU"/>
          <w:noProof/>
          <w:szCs w:val="22"/>
          <w:lang w:val="it-IT" w:eastAsia="zh-CN"/>
        </w:rPr>
      </w:pPr>
    </w:p>
    <w:p>
      <w:pPr>
        <w:rPr>
          <w:rFonts w:eastAsia="PMingLiU"/>
          <w:noProof/>
          <w:szCs w:val="22"/>
          <w:lang w:val="it-IT" w:eastAsia="zh-CN"/>
        </w:rPr>
      </w:pPr>
      <w:r>
        <w:rPr>
          <w:rFonts w:eastAsia="Calibri"/>
          <w:noProof/>
          <w:szCs w:val="22"/>
          <w:lang w:val="it-IT" w:eastAsia="en-US"/>
        </w:rPr>
        <w:t>Durante il periodo di doppio cieco controllato e nella fase di esposizione a lungo termine, il grado e l’incidenza degli incrementi dei parametri lipidici sono rimasti invariati rispetto a quanto è stato osservato negli studi controllati a sei mesi.</w:t>
      </w:r>
    </w:p>
    <w:p>
      <w:pPr>
        <w:autoSpaceDE w:val="0"/>
        <w:autoSpaceDN w:val="0"/>
        <w:adjustRightInd w:val="0"/>
        <w:rPr>
          <w:rFonts w:eastAsia="SimSun"/>
          <w:noProof/>
          <w:szCs w:val="22"/>
          <w:lang w:val="it-IT" w:eastAsia="zh-CN"/>
        </w:rPr>
      </w:pPr>
    </w:p>
    <w:p>
      <w:pPr>
        <w:shd w:val="clear" w:color="auto" w:fill="FFFFFF"/>
        <w:rPr>
          <w:noProof/>
          <w:color w:val="222222"/>
          <w:szCs w:val="22"/>
          <w:u w:val="single"/>
          <w:lang w:val="it-IT" w:eastAsia="en-US"/>
        </w:rPr>
      </w:pPr>
      <w:r>
        <w:rPr>
          <w:rFonts w:eastAsia="Calibri"/>
          <w:bCs/>
          <w:i/>
          <w:iCs/>
          <w:noProof/>
          <w:color w:val="222222"/>
          <w:szCs w:val="22"/>
          <w:u w:val="single"/>
          <w:lang w:val="it-IT" w:eastAsia="en-US"/>
        </w:rPr>
        <w:t>Reazioni cutanee</w:t>
      </w:r>
    </w:p>
    <w:p>
      <w:pPr>
        <w:shd w:val="clear" w:color="auto" w:fill="FFFFFF"/>
        <w:rPr>
          <w:noProof/>
          <w:color w:val="222222"/>
          <w:szCs w:val="22"/>
          <w:lang w:val="it-IT" w:eastAsia="en-US"/>
        </w:rPr>
      </w:pPr>
      <w:r>
        <w:rPr>
          <w:rFonts w:eastAsia="Calibri"/>
          <w:iCs/>
          <w:noProof/>
          <w:color w:val="222222"/>
          <w:szCs w:val="22"/>
          <w:lang w:val="it-IT" w:eastAsia="en-US"/>
        </w:rPr>
        <w:t>Nell’utilizzo successivo alla commercializzazione sono state riportate segnalazioni rare di Sindrome di Stevens-Johnson.</w:t>
      </w:r>
    </w:p>
    <w:p>
      <w:pPr>
        <w:autoSpaceDE w:val="0"/>
        <w:autoSpaceDN w:val="0"/>
        <w:adjustRightInd w:val="0"/>
        <w:rPr>
          <w:rFonts w:eastAsia="SimSun"/>
          <w:noProof/>
          <w:szCs w:val="22"/>
          <w:lang w:val="it-IT" w:eastAsia="zh-CN"/>
        </w:rPr>
      </w:pPr>
    </w:p>
    <w:p>
      <w:pPr>
        <w:keepNext/>
        <w:keepLines/>
        <w:autoSpaceDE w:val="0"/>
        <w:autoSpaceDN w:val="0"/>
        <w:adjustRightInd w:val="0"/>
        <w:rPr>
          <w:rFonts w:eastAsia="SimSun"/>
          <w:noProof/>
          <w:szCs w:val="22"/>
          <w:u w:val="single"/>
          <w:lang w:val="it-IT" w:eastAsia="en-US"/>
        </w:rPr>
      </w:pPr>
      <w:r>
        <w:rPr>
          <w:rFonts w:eastAsia="Calibri"/>
          <w:noProof/>
          <w:szCs w:val="22"/>
          <w:u w:val="single"/>
          <w:lang w:val="it-IT" w:eastAsia="en-US"/>
        </w:rPr>
        <w:t>Segnalazione delle reazioni avverse sospette</w:t>
      </w:r>
    </w:p>
    <w:p>
      <w:pPr>
        <w:keepNext/>
        <w:keepLines/>
        <w:autoSpaceDE w:val="0"/>
        <w:autoSpaceDN w:val="0"/>
        <w:adjustRightInd w:val="0"/>
        <w:rPr>
          <w:rFonts w:eastAsia="SimSun"/>
          <w:noProof/>
          <w:szCs w:val="22"/>
          <w:lang w:val="it-IT" w:eastAsia="en-US"/>
        </w:rPr>
      </w:pPr>
      <w:r>
        <w:rPr>
          <w:rFonts w:eastAsia="Calibri"/>
          <w:noProof/>
          <w:szCs w:val="22"/>
          <w:lang w:val="it-IT" w:eastAsia="en-US"/>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w:t>
      </w:r>
      <w:r>
        <w:rPr>
          <w:rFonts w:eastAsia="Calibri"/>
          <w:noProof/>
          <w:szCs w:val="22"/>
          <w:highlight w:val="lightGray"/>
          <w:lang w:val="it-IT" w:eastAsia="en-US"/>
        </w:rPr>
        <w:t>tramite il sistema nazionale di segnalazione riportato nell’</w:t>
      </w:r>
      <w:r>
        <w:rPr>
          <w:noProof/>
          <w:highlight w:val="lightGray"/>
          <w:lang w:val="it-IT"/>
          <w:rPrChange w:id="7227" w:author="Author">
            <w:rPr/>
          </w:rPrChange>
        </w:rPr>
        <w:fldChar w:fldCharType="begin"/>
      </w:r>
      <w:ins w:id="7228" w:author="Author">
        <w:r>
          <w:rPr>
            <w:noProof/>
            <w:highlight w:val="lightGray"/>
            <w:lang w:val="it-IT"/>
            <w:rPrChange w:id="7229" w:author="Author">
              <w:rPr/>
            </w:rPrChange>
          </w:rPr>
          <w:instrText>HYPERLINK "https://www.ema.europa.eu/documents/template-form/qrd-appendix-v-adverse-drug-reaction-reporting-details_en.docx"</w:instrText>
        </w:r>
      </w:ins>
      <w:del w:id="7230" w:author="Author">
        <w:r>
          <w:rPr>
            <w:noProof/>
            <w:highlight w:val="lightGray"/>
            <w:lang w:val="it-IT"/>
            <w:rPrChange w:id="7231" w:author="Author">
              <w:rPr/>
            </w:rPrChange>
          </w:rPr>
          <w:delInstrText>HYPERLINK "https://www.ema.europa.eu/documents/template-form/qrd-appendix-v-adverse-drug-reaction-reporting-details_en.docx"</w:delInstrText>
        </w:r>
      </w:del>
      <w:r>
        <w:rPr>
          <w:noProof/>
          <w:highlight w:val="lightGray"/>
          <w:lang w:val="it-IT"/>
          <w:rPrChange w:id="7232" w:author="Author">
            <w:rPr/>
          </w:rPrChange>
        </w:rPr>
        <w:fldChar w:fldCharType="separate"/>
      </w:r>
      <w:del w:id="7233" w:author="Author">
        <w:r>
          <w:rPr>
            <w:rStyle w:val="Hyperlink"/>
            <w:rFonts w:eastAsia="Calibri"/>
            <w:noProof/>
            <w:highlight w:val="lightGray"/>
            <w:lang w:val="it-IT" w:eastAsia="en-US"/>
          </w:rPr>
          <w:delText>Allegato V</w:delText>
        </w:r>
        <w:r>
          <w:rPr>
            <w:rStyle w:val="Hyperlink"/>
            <w:rFonts w:eastAsia="Calibri"/>
            <w:noProof/>
            <w:szCs w:val="22"/>
            <w:highlight w:val="lightGray"/>
            <w:lang w:val="it-IT" w:eastAsia="en-US"/>
            <w:rPrChange w:id="7234" w:author="Author">
              <w:rPr>
                <w:rStyle w:val="Hyperlink"/>
                <w:rFonts w:eastAsia="Calibri"/>
                <w:szCs w:val="22"/>
                <w:lang w:val="it-IT" w:eastAsia="en-US"/>
              </w:rPr>
            </w:rPrChange>
          </w:rPr>
          <w:delText>.</w:delText>
        </w:r>
      </w:del>
      <w:ins w:id="7235" w:author="Author">
        <w:r>
          <w:rPr>
            <w:rStyle w:val="Hyperlink"/>
            <w:rFonts w:eastAsia="Calibri"/>
            <w:noProof/>
            <w:szCs w:val="22"/>
            <w:highlight w:val="lightGray"/>
            <w:lang w:val="it-IT" w:eastAsia="en-US"/>
            <w:rPrChange w:id="7236" w:author="Author">
              <w:rPr>
                <w:rStyle w:val="Hyperlink"/>
                <w:rFonts w:eastAsia="Calibri"/>
                <w:szCs w:val="22"/>
                <w:lang w:val="it-IT" w:eastAsia="en-US"/>
              </w:rPr>
            </w:rPrChange>
          </w:rPr>
          <w:t>Allegato V</w:t>
        </w:r>
      </w:ins>
      <w:r>
        <w:rPr>
          <w:noProof/>
          <w:highlight w:val="lightGray"/>
          <w:lang w:val="it-IT"/>
          <w:rPrChange w:id="7237" w:author="Author">
            <w:rPr/>
          </w:rPrChange>
        </w:rPr>
        <w:fldChar w:fldCharType="end"/>
      </w:r>
      <w:ins w:id="7238" w:author="Author">
        <w:r>
          <w:rPr>
            <w:noProof/>
            <w:lang w:val="it-IT"/>
          </w:rPr>
          <w:t>.</w:t>
        </w:r>
      </w:ins>
    </w:p>
    <w:p>
      <w:pPr>
        <w:autoSpaceDE w:val="0"/>
        <w:autoSpaceDN w:val="0"/>
        <w:adjustRightInd w:val="0"/>
        <w:rPr>
          <w:rFonts w:eastAsia="SimSun"/>
          <w:noProof/>
          <w:szCs w:val="22"/>
          <w:lang w:val="it-IT" w:eastAsia="zh-CN"/>
        </w:rPr>
      </w:pPr>
    </w:p>
    <w:p>
      <w:pPr>
        <w:ind w:left="567" w:hanging="567"/>
        <w:outlineLvl w:val="0"/>
        <w:rPr>
          <w:noProof/>
          <w:szCs w:val="22"/>
          <w:lang w:val="it-IT" w:eastAsia="en-US"/>
        </w:rPr>
      </w:pPr>
      <w:r>
        <w:rPr>
          <w:rFonts w:eastAsia="Calibri"/>
          <w:b/>
          <w:noProof/>
          <w:szCs w:val="22"/>
          <w:lang w:val="it-IT" w:eastAsia="en-US"/>
        </w:rPr>
        <w:t>4.9</w:t>
      </w:r>
      <w:r>
        <w:rPr>
          <w:rFonts w:eastAsia="Calibri"/>
          <w:b/>
          <w:noProof/>
          <w:szCs w:val="22"/>
          <w:lang w:val="it-IT" w:eastAsia="en-US"/>
        </w:rPr>
        <w:tab/>
        <w:t>Sovradosaggio</w:t>
      </w:r>
    </w:p>
    <w:p>
      <w:pPr>
        <w:rPr>
          <w:noProof/>
          <w:szCs w:val="22"/>
          <w:lang w:val="it-IT"/>
        </w:rPr>
      </w:pPr>
    </w:p>
    <w:p>
      <w:pPr>
        <w:rPr>
          <w:rFonts w:eastAsia="Calibri"/>
          <w:noProof/>
          <w:szCs w:val="22"/>
          <w:lang w:val="it-IT" w:eastAsia="en-US"/>
        </w:rPr>
      </w:pPr>
      <w:r>
        <w:rPr>
          <w:rFonts w:eastAsia="Calibri"/>
          <w:noProof/>
          <w:szCs w:val="22"/>
          <w:lang w:val="it-IT" w:eastAsia="en-US"/>
        </w:rPr>
        <w:t>I dati disponibili sul sovradosaggio di tocilizumab sono limitati. È stato riportato un caso di sovradosaggio accidentale, nel quale un paziente affetto da mieloma multiplo ha ricevuto una singola dose da 40 mg/kg per via endovenosa. Non sono state osservate reazioni avverse.</w:t>
      </w:r>
    </w:p>
    <w:p>
      <w:pPr>
        <w:rPr>
          <w:noProof/>
          <w:szCs w:val="22"/>
          <w:lang w:val="it-IT"/>
        </w:rPr>
      </w:pPr>
    </w:p>
    <w:p>
      <w:pPr>
        <w:rPr>
          <w:noProof/>
          <w:szCs w:val="22"/>
          <w:lang w:val="it-IT" w:eastAsia="en-US"/>
        </w:rPr>
      </w:pPr>
      <w:r>
        <w:rPr>
          <w:rFonts w:eastAsia="Calibri"/>
          <w:noProof/>
          <w:szCs w:val="22"/>
          <w:lang w:val="it-IT" w:eastAsia="en-US"/>
        </w:rPr>
        <w:t>Nei volontari sani che hanno ricevuto una dose singola fino a 28 mg/kg non sono state osservate gravi reazioni avverse, benché si sia osservata una neutropenia dose-limitante.</w:t>
      </w:r>
    </w:p>
    <w:p>
      <w:pPr>
        <w:rPr>
          <w:noProof/>
          <w:szCs w:val="22"/>
          <w:lang w:val="it-IT"/>
        </w:rPr>
      </w:pPr>
    </w:p>
    <w:p>
      <w:pPr>
        <w:rPr>
          <w:noProof/>
          <w:szCs w:val="22"/>
          <w:lang w:val="it-IT"/>
        </w:rPr>
      </w:pPr>
    </w:p>
    <w:p>
      <w:pPr>
        <w:ind w:left="567" w:hanging="567"/>
        <w:rPr>
          <w:noProof/>
          <w:szCs w:val="22"/>
          <w:lang w:val="it-IT" w:eastAsia="en-US"/>
        </w:rPr>
      </w:pPr>
      <w:r>
        <w:rPr>
          <w:rFonts w:eastAsia="Calibri"/>
          <w:b/>
          <w:noProof/>
          <w:szCs w:val="22"/>
          <w:lang w:val="it-IT" w:eastAsia="en-US"/>
        </w:rPr>
        <w:t>5.</w:t>
      </w:r>
      <w:r>
        <w:rPr>
          <w:rFonts w:eastAsia="Calibri"/>
          <w:b/>
          <w:noProof/>
          <w:szCs w:val="22"/>
          <w:lang w:val="it-IT" w:eastAsia="en-US"/>
        </w:rPr>
        <w:tab/>
        <w:t>PROPRIETÀ FARMACOLOGICHE</w:t>
      </w:r>
    </w:p>
    <w:p>
      <w:pPr>
        <w:rPr>
          <w:noProof/>
          <w:szCs w:val="22"/>
          <w:lang w:val="it-IT"/>
        </w:rPr>
      </w:pPr>
    </w:p>
    <w:p>
      <w:pPr>
        <w:ind w:left="567" w:hanging="567"/>
        <w:outlineLvl w:val="0"/>
        <w:rPr>
          <w:noProof/>
          <w:szCs w:val="22"/>
          <w:lang w:val="it-IT" w:eastAsia="en-US"/>
        </w:rPr>
      </w:pPr>
      <w:r>
        <w:rPr>
          <w:rFonts w:eastAsia="Calibri"/>
          <w:b/>
          <w:noProof/>
          <w:szCs w:val="22"/>
          <w:lang w:val="it-IT" w:eastAsia="en-US"/>
        </w:rPr>
        <w:t>5.1</w:t>
      </w:r>
      <w:r>
        <w:rPr>
          <w:rFonts w:eastAsia="Calibri"/>
          <w:b/>
          <w:noProof/>
          <w:szCs w:val="22"/>
          <w:lang w:val="it-IT" w:eastAsia="en-US"/>
        </w:rPr>
        <w:tab/>
        <w:t>Proprietà farmacodinamiche</w:t>
      </w:r>
    </w:p>
    <w:p>
      <w:pPr>
        <w:rPr>
          <w:noProof/>
          <w:szCs w:val="22"/>
          <w:lang w:val="it-IT"/>
        </w:rPr>
      </w:pPr>
    </w:p>
    <w:p>
      <w:pPr>
        <w:numPr>
          <w:ilvl w:val="12"/>
          <w:numId w:val="0"/>
        </w:numPr>
        <w:ind w:right="-2"/>
        <w:rPr>
          <w:noProof/>
          <w:szCs w:val="22"/>
          <w:lang w:val="it-IT" w:eastAsia="en-US"/>
        </w:rPr>
      </w:pPr>
      <w:r>
        <w:rPr>
          <w:rFonts w:eastAsia="Calibri"/>
          <w:noProof/>
          <w:szCs w:val="22"/>
          <w:lang w:val="it-IT" w:eastAsia="en-US"/>
        </w:rPr>
        <w:t>Categoria farmacoterapeutica: immunosoppressori, inibitori di interleuchine; codice ATC: L04AC07.</w:t>
      </w:r>
    </w:p>
    <w:p>
      <w:pPr>
        <w:numPr>
          <w:ilvl w:val="12"/>
          <w:numId w:val="0"/>
        </w:numPr>
        <w:ind w:right="-2"/>
        <w:rPr>
          <w:noProof/>
          <w:szCs w:val="22"/>
          <w:lang w:val="it-IT"/>
        </w:rPr>
      </w:pPr>
    </w:p>
    <w:p>
      <w:pPr>
        <w:keepNext/>
        <w:keepLines/>
        <w:numPr>
          <w:ilvl w:val="12"/>
          <w:numId w:val="0"/>
        </w:numPr>
        <w:rPr>
          <w:noProof/>
          <w:szCs w:val="22"/>
          <w:u w:val="single"/>
          <w:lang w:val="it-IT" w:eastAsia="en-US"/>
        </w:rPr>
      </w:pPr>
      <w:r>
        <w:rPr>
          <w:rFonts w:eastAsia="Calibri"/>
          <w:noProof/>
          <w:szCs w:val="22"/>
          <w:u w:val="single"/>
          <w:lang w:val="it-IT" w:eastAsia="en-US"/>
        </w:rPr>
        <w:t>Meccanismo d’azione</w:t>
      </w:r>
    </w:p>
    <w:p>
      <w:pPr>
        <w:numPr>
          <w:ilvl w:val="12"/>
          <w:numId w:val="0"/>
        </w:numPr>
        <w:ind w:right="-2"/>
        <w:rPr>
          <w:rFonts w:eastAsia="Calibri"/>
          <w:noProof/>
          <w:szCs w:val="22"/>
          <w:lang w:val="it-IT" w:eastAsia="en-US"/>
        </w:rPr>
      </w:pPr>
      <w:r>
        <w:rPr>
          <w:rFonts w:eastAsia="Calibri"/>
          <w:noProof/>
          <w:szCs w:val="22"/>
          <w:lang w:val="it-IT" w:eastAsia="en-US"/>
        </w:rPr>
        <w:t>Tocilizumab si lega in modo specifico ai recettori di IL-6 sia solubili che di membrana (sIL-6R e mIL-6R). Tocilizumab ha dimostrato di inibire i segnali mediati da sIL 6R e mIL 6R. IL-6 è una citochina proinfiammatoria pleiotropica prodotta da diverse tipologie cellulari, tra cui cellule T e B, monociti e fibroblasti. IL-6 è coinvolta in diversi processi fisiologici, quali l’attivazione delle cellule T, l’induzione della secrezione delle immunoglobuline, l’induzione della sintesi epatica delle proteine di fase acuta e la stimolazione dell’emopoiesi. IL-6 è coinvolta nella patogenesi di malattie, tra cui malattie infiammatorie, osteoporosi e neoplasie.</w:t>
      </w:r>
    </w:p>
    <w:p>
      <w:pPr>
        <w:numPr>
          <w:ilvl w:val="12"/>
          <w:numId w:val="0"/>
        </w:numPr>
        <w:ind w:right="-2"/>
        <w:rPr>
          <w:noProof/>
          <w:szCs w:val="22"/>
          <w:lang w:val="it-IT"/>
        </w:rPr>
      </w:pPr>
    </w:p>
    <w:p>
      <w:pPr>
        <w:autoSpaceDE w:val="0"/>
        <w:autoSpaceDN w:val="0"/>
        <w:adjustRightInd w:val="0"/>
        <w:rPr>
          <w:noProof/>
          <w:szCs w:val="22"/>
          <w:lang w:val="it-IT" w:eastAsia="en-US"/>
        </w:rPr>
      </w:pPr>
      <w:r>
        <w:rPr>
          <w:rFonts w:eastAsia="Calibri"/>
          <w:noProof/>
          <w:szCs w:val="22"/>
          <w:u w:val="single"/>
          <w:lang w:val="it-IT" w:eastAsia="en-US"/>
        </w:rPr>
        <w:t>Effetti farmacodinamici</w:t>
      </w:r>
    </w:p>
    <w:p>
      <w:pPr>
        <w:numPr>
          <w:ilvl w:val="12"/>
          <w:numId w:val="0"/>
        </w:numPr>
        <w:ind w:right="-2"/>
        <w:rPr>
          <w:noProof/>
          <w:szCs w:val="22"/>
          <w:lang w:val="it-IT" w:eastAsia="en-US"/>
        </w:rPr>
      </w:pPr>
      <w:r>
        <w:rPr>
          <w:rFonts w:eastAsia="Calibri"/>
          <w:noProof/>
          <w:szCs w:val="22"/>
          <w:lang w:val="it-IT" w:eastAsia="en-US"/>
        </w:rPr>
        <w:t>Negli studi clinici sull’uso di tocilizumab</w:t>
      </w:r>
      <w:del w:id="7239" w:author="Author">
        <w:r>
          <w:rPr>
            <w:rFonts w:eastAsia="Calibri"/>
            <w:noProof/>
            <w:szCs w:val="22"/>
            <w:lang w:val="it-IT" w:eastAsia="en-US"/>
          </w:rPr>
          <w:delText xml:space="preserve"> </w:delText>
        </w:r>
      </w:del>
      <w:r>
        <w:rPr>
          <w:rFonts w:eastAsia="Calibri"/>
          <w:noProof/>
          <w:szCs w:val="22"/>
          <w:lang w:val="it-IT" w:eastAsia="en-US"/>
        </w:rPr>
        <w:t xml:space="preserve"> nella AR sono state osservate rapide riduzioni dei livelli di proteina C reattiva (PCR), della velocità di sedimentazione degli eritrociti (VES), della amiloide A </w:t>
      </w:r>
      <w:r>
        <w:rPr>
          <w:rFonts w:eastAsia="Calibri"/>
          <w:noProof/>
          <w:szCs w:val="22"/>
          <w:lang w:val="it-IT" w:eastAsia="en-US"/>
        </w:rPr>
        <w:lastRenderedPageBreak/>
        <w:t>sierica (SAA) e del fibrinogeno.</w:t>
      </w:r>
      <w:r>
        <w:rPr>
          <w:rFonts w:eastAsia="Calibri"/>
          <w:bCs/>
          <w:noProof/>
          <w:szCs w:val="22"/>
          <w:lang w:val="it-IT" w:eastAsia="en-US"/>
        </w:rPr>
        <w:t xml:space="preserve"> In linea con l’effetto sui reagenti di fase acuta, il trattamento con tocilizumab si è associato a una riduzione della conta piastrinica all’interno dell’intervallo di normalità. </w:t>
      </w:r>
      <w:r>
        <w:rPr>
          <w:rFonts w:eastAsia="Calibri"/>
          <w:noProof/>
          <w:szCs w:val="22"/>
          <w:lang w:val="it-IT" w:eastAsia="en-US"/>
        </w:rPr>
        <w:t xml:space="preserve">Sono stati osservati incrementi dei livelli di emoglobina, dovuti alla riduzione determinata da </w:t>
      </w:r>
      <w:r>
        <w:rPr>
          <w:rFonts w:eastAsia="Calibri"/>
          <w:bCs/>
          <w:noProof/>
          <w:szCs w:val="22"/>
          <w:lang w:val="it-IT" w:eastAsia="en-US"/>
        </w:rPr>
        <w:t xml:space="preserve">tocilizumab </w:t>
      </w:r>
      <w:r>
        <w:rPr>
          <w:rFonts w:eastAsia="Calibri"/>
          <w:noProof/>
          <w:szCs w:val="22"/>
          <w:lang w:val="it-IT" w:eastAsia="en-US"/>
        </w:rPr>
        <w:t>degli effetti mediati da IL-6 sulla produzione di epcidina con aumento della disponibilità di ferro. Nei pazienti trattati</w:t>
      </w:r>
      <w:del w:id="7240" w:author="Author">
        <w:r>
          <w:rPr>
            <w:rFonts w:eastAsia="Calibri"/>
            <w:noProof/>
            <w:szCs w:val="22"/>
            <w:lang w:val="it-IT" w:eastAsia="en-US"/>
          </w:rPr>
          <w:delText xml:space="preserve"> </w:delText>
        </w:r>
      </w:del>
      <w:r>
        <w:rPr>
          <w:rFonts w:eastAsia="Calibri"/>
          <w:noProof/>
          <w:szCs w:val="22"/>
          <w:lang w:val="it-IT" w:eastAsia="en-US"/>
        </w:rPr>
        <w:t>, già alla settimana 2 sono state rilevate riduzioni dei livelli della PCR all’interno dell’intervallo di normalità, che si sono poi mantenute durante il trattamento.</w:t>
      </w:r>
    </w:p>
    <w:p>
      <w:pPr>
        <w:numPr>
          <w:ilvl w:val="12"/>
          <w:numId w:val="0"/>
        </w:numPr>
        <w:ind w:right="-2"/>
        <w:rPr>
          <w:noProof/>
          <w:szCs w:val="22"/>
          <w:lang w:val="it-IT"/>
        </w:rPr>
      </w:pPr>
    </w:p>
    <w:p>
      <w:pPr>
        <w:numPr>
          <w:ilvl w:val="12"/>
          <w:numId w:val="0"/>
        </w:numPr>
        <w:ind w:right="-2"/>
        <w:rPr>
          <w:ins w:id="7241" w:author="Author"/>
          <w:rFonts w:eastAsia="Calibri"/>
          <w:noProof/>
          <w:szCs w:val="22"/>
          <w:lang w:val="it-IT" w:eastAsia="en-US"/>
        </w:rPr>
      </w:pPr>
      <w:r>
        <w:rPr>
          <w:rFonts w:eastAsia="Calibri"/>
          <w:noProof/>
          <w:lang w:val="it-IT" w:eastAsia="en-US"/>
        </w:rPr>
        <w:t>Nello studio clinico</w:t>
      </w:r>
      <w:ins w:id="7242" w:author="Author">
        <w:r>
          <w:rPr>
            <w:rFonts w:eastAsia="Calibri"/>
            <w:noProof/>
            <w:lang w:val="it-IT" w:eastAsia="en-US"/>
          </w:rPr>
          <w:t xml:space="preserve"> WA28119</w:t>
        </w:r>
      </w:ins>
      <w:r>
        <w:rPr>
          <w:rFonts w:eastAsia="Calibri"/>
          <w:noProof/>
          <w:lang w:val="it-IT" w:eastAsia="en-US"/>
        </w:rPr>
        <w:t xml:space="preserve"> sulla ACG</w:t>
      </w:r>
      <w:del w:id="7243" w:author="Author">
        <w:r>
          <w:rPr>
            <w:rFonts w:eastAsia="Calibri"/>
            <w:noProof/>
            <w:lang w:val="it-IT" w:eastAsia="en-US"/>
          </w:rPr>
          <w:delText xml:space="preserve"> WA28119</w:delText>
        </w:r>
      </w:del>
      <w:r>
        <w:rPr>
          <w:rFonts w:eastAsia="Calibri"/>
          <w:noProof/>
          <w:lang w:val="it-IT" w:eastAsia="en-US"/>
        </w:rPr>
        <w:t xml:space="preserve">, sono state osservate analoghe riduzioni rapide dei livelli di PCR e VES, unitamente a lievi incrementi della concentrazione emoglobinica corpuscolare media. </w:t>
      </w:r>
      <w:r>
        <w:rPr>
          <w:rFonts w:eastAsia="Calibri"/>
          <w:noProof/>
          <w:szCs w:val="22"/>
          <w:lang w:val="it-IT" w:eastAsia="en-US"/>
        </w:rPr>
        <w:t xml:space="preserve">Nei soggetti sani che hanno ricevuto </w:t>
      </w:r>
      <w:r>
        <w:rPr>
          <w:rFonts w:eastAsia="Calibri"/>
          <w:bCs/>
          <w:noProof/>
          <w:szCs w:val="22"/>
          <w:lang w:val="it-IT" w:eastAsia="en-US"/>
        </w:rPr>
        <w:t xml:space="preserve">tocilizumab </w:t>
      </w:r>
      <w:r>
        <w:rPr>
          <w:rFonts w:eastAsia="Calibri"/>
          <w:noProof/>
          <w:szCs w:val="22"/>
          <w:lang w:val="it-IT" w:eastAsia="en-US"/>
        </w:rPr>
        <w:t xml:space="preserve">in dosi da 2 a 28 mg/kg per via endovenosa e da 81 a 162 mg per via sottocutanea, la conta assoluta dei neutrofili ha raggiunto livelli più bassi dal giorno 2 al giorno 5 successivi alla somministrazione. Successivamente i neutrofili sono tornati verso i livelli del basale in modo dose dipendente. </w:t>
      </w:r>
    </w:p>
    <w:p>
      <w:pPr>
        <w:numPr>
          <w:ilvl w:val="12"/>
          <w:numId w:val="0"/>
        </w:numPr>
        <w:ind w:right="-2"/>
        <w:rPr>
          <w:ins w:id="7244" w:author="Author"/>
          <w:rFonts w:eastAsia="Calibri"/>
          <w:noProof/>
          <w:szCs w:val="22"/>
          <w:lang w:val="it-IT" w:eastAsia="en-US"/>
        </w:rPr>
      </w:pPr>
    </w:p>
    <w:p>
      <w:pPr>
        <w:numPr>
          <w:ilvl w:val="12"/>
          <w:numId w:val="0"/>
        </w:numPr>
        <w:ind w:right="-2"/>
        <w:rPr>
          <w:rFonts w:eastAsia="Calibri"/>
          <w:noProof/>
          <w:szCs w:val="22"/>
          <w:lang w:val="it-IT" w:eastAsia="en-US"/>
        </w:rPr>
      </w:pPr>
      <w:r>
        <w:rPr>
          <w:rFonts w:eastAsia="Calibri"/>
          <w:noProof/>
          <w:szCs w:val="22"/>
          <w:lang w:val="it-IT" w:eastAsia="en-US"/>
        </w:rPr>
        <w:t xml:space="preserve">I pazienti affetti da AR e ACG hanno manifestato una diminuzione simile (rispetto ai soggetti sani) della conta assoluta dei neutrofili a seguito della somministrazione di </w:t>
      </w:r>
      <w:r>
        <w:rPr>
          <w:rFonts w:eastAsia="Calibri"/>
          <w:bCs/>
          <w:noProof/>
          <w:szCs w:val="22"/>
          <w:lang w:val="it-IT" w:eastAsia="en-US"/>
        </w:rPr>
        <w:t xml:space="preserve">tocilizumab </w:t>
      </w:r>
      <w:r>
        <w:rPr>
          <w:rFonts w:eastAsia="Calibri"/>
          <w:noProof/>
          <w:szCs w:val="22"/>
          <w:lang w:val="it-IT" w:eastAsia="en-US"/>
        </w:rPr>
        <w:t>(vedere paragrafo 4.8).</w:t>
      </w:r>
    </w:p>
    <w:p>
      <w:pPr>
        <w:numPr>
          <w:ilvl w:val="12"/>
          <w:numId w:val="0"/>
        </w:numPr>
        <w:ind w:right="-2"/>
        <w:rPr>
          <w:rFonts w:eastAsia="Calibri"/>
          <w:noProof/>
          <w:szCs w:val="22"/>
          <w:lang w:val="it-IT" w:eastAsia="en-US"/>
        </w:rPr>
      </w:pPr>
    </w:p>
    <w:p>
      <w:pPr>
        <w:keepNext/>
        <w:keepLines/>
        <w:numPr>
          <w:ilvl w:val="12"/>
          <w:numId w:val="0"/>
        </w:numPr>
        <w:tabs>
          <w:tab w:val="left" w:pos="180"/>
        </w:tabs>
        <w:rPr>
          <w:del w:id="7245" w:author="Author"/>
          <w:noProof/>
          <w:szCs w:val="22"/>
          <w:u w:val="single"/>
          <w:lang w:val="it-IT"/>
        </w:rPr>
      </w:pPr>
      <w:r>
        <w:rPr>
          <w:noProof/>
          <w:szCs w:val="22"/>
          <w:u w:val="single"/>
          <w:lang w:val="it-IT"/>
        </w:rPr>
        <w:t>Uso sottocutaneo</w:t>
      </w:r>
    </w:p>
    <w:p>
      <w:pPr>
        <w:keepNext/>
        <w:keepLines/>
        <w:numPr>
          <w:ilvl w:val="12"/>
          <w:numId w:val="0"/>
        </w:numPr>
        <w:tabs>
          <w:tab w:val="left" w:pos="180"/>
        </w:tabs>
        <w:rPr>
          <w:noProof/>
          <w:szCs w:val="22"/>
          <w:u w:val="single"/>
          <w:lang w:val="it-IT"/>
        </w:rPr>
      </w:pPr>
    </w:p>
    <w:p>
      <w:pPr>
        <w:keepNext/>
        <w:keepLines/>
        <w:numPr>
          <w:ilvl w:val="12"/>
          <w:numId w:val="0"/>
        </w:numPr>
        <w:tabs>
          <w:tab w:val="left" w:pos="180"/>
        </w:tabs>
        <w:rPr>
          <w:ins w:id="7246" w:author="Author"/>
          <w:bCs/>
          <w:i/>
          <w:iCs/>
          <w:noProof/>
          <w:szCs w:val="22"/>
          <w:lang w:val="it-IT"/>
        </w:rPr>
      </w:pPr>
      <w:r>
        <w:rPr>
          <w:bCs/>
          <w:i/>
          <w:iCs/>
          <w:noProof/>
          <w:szCs w:val="22"/>
          <w:lang w:val="it-IT"/>
        </w:rPr>
        <w:t>Pazienti affetti da AR</w:t>
      </w:r>
    </w:p>
    <w:p>
      <w:pPr>
        <w:keepNext/>
        <w:keepLines/>
        <w:numPr>
          <w:ilvl w:val="12"/>
          <w:numId w:val="0"/>
        </w:numPr>
        <w:tabs>
          <w:tab w:val="left" w:pos="180"/>
        </w:tabs>
        <w:rPr>
          <w:bCs/>
          <w:i/>
          <w:iCs/>
          <w:noProof/>
          <w:szCs w:val="22"/>
          <w:lang w:val="it-IT"/>
        </w:rPr>
      </w:pPr>
    </w:p>
    <w:p>
      <w:pPr>
        <w:keepNext/>
        <w:keepLines/>
        <w:numPr>
          <w:ilvl w:val="12"/>
          <w:numId w:val="0"/>
        </w:numPr>
        <w:tabs>
          <w:tab w:val="left" w:pos="180"/>
        </w:tabs>
        <w:rPr>
          <w:i/>
          <w:iCs/>
          <w:noProof/>
          <w:szCs w:val="22"/>
          <w:u w:val="single"/>
          <w:lang w:val="it-IT"/>
        </w:rPr>
      </w:pPr>
      <w:r>
        <w:rPr>
          <w:i/>
          <w:iCs/>
          <w:noProof/>
          <w:szCs w:val="22"/>
          <w:u w:val="single"/>
          <w:lang w:val="it-IT"/>
        </w:rPr>
        <w:t xml:space="preserve">Efficacia clinica </w:t>
      </w:r>
    </w:p>
    <w:p>
      <w:pPr>
        <w:keepNext/>
        <w:keepLines/>
        <w:tabs>
          <w:tab w:val="left" w:pos="180"/>
        </w:tabs>
        <w:rPr>
          <w:noProof/>
          <w:lang w:val="it-IT"/>
        </w:rPr>
      </w:pPr>
      <w:r>
        <w:rPr>
          <w:noProof/>
          <w:lang w:val="it-IT"/>
        </w:rPr>
        <w:t xml:space="preserve">L’efficacia di </w:t>
      </w:r>
      <w:r>
        <w:rPr>
          <w:rFonts w:eastAsia="Calibri"/>
          <w:bCs/>
          <w:noProof/>
          <w:szCs w:val="22"/>
          <w:lang w:val="it-IT" w:eastAsia="en-US"/>
        </w:rPr>
        <w:t xml:space="preserve">tocilizumab </w:t>
      </w:r>
      <w:r>
        <w:rPr>
          <w:noProof/>
          <w:lang w:val="it-IT"/>
        </w:rPr>
        <w:t xml:space="preserve">somministrato per via sottocutanea nel ridurre segni e sintomi dell’AR e la risposta radiografica sono state valutate in due studi </w:t>
      </w:r>
      <w:ins w:id="7247" w:author="Author">
        <w:r>
          <w:rPr>
            <w:noProof/>
            <w:lang w:val="it-IT"/>
          </w:rPr>
          <w:t xml:space="preserve">clinici </w:t>
        </w:r>
      </w:ins>
      <w:r>
        <w:rPr>
          <w:noProof/>
          <w:lang w:val="it-IT"/>
        </w:rPr>
        <w:t xml:space="preserve">multicentrici, randomizzati, controllati e in doppio cieco. Per lo </w:t>
      </w:r>
      <w:del w:id="7248" w:author="Author">
        <w:r>
          <w:rPr>
            <w:noProof/>
            <w:lang w:val="it-IT"/>
          </w:rPr>
          <w:delText xml:space="preserve">studio </w:delText>
        </w:r>
      </w:del>
      <w:ins w:id="7249" w:author="Author">
        <w:r>
          <w:rPr>
            <w:noProof/>
            <w:lang w:val="it-IT"/>
          </w:rPr>
          <w:t xml:space="preserve">Studio </w:t>
        </w:r>
      </w:ins>
      <w:r>
        <w:rPr>
          <w:noProof/>
          <w:lang w:val="it-IT"/>
        </w:rPr>
        <w:t>I (SC-I), i pazienti dovevano essere di età &gt;</w:t>
      </w:r>
      <w:ins w:id="7250" w:author="Author">
        <w:r>
          <w:rPr>
            <w:noProof/>
            <w:lang w:val="it-IT"/>
          </w:rPr>
          <w:t xml:space="preserve"> </w:t>
        </w:r>
      </w:ins>
      <w:r>
        <w:rPr>
          <w:noProof/>
          <w:lang w:val="it-IT"/>
        </w:rPr>
        <w:t xml:space="preserve">18 anni, affetti da AR attiva da moderata a severa diagnosticata in base ai criteri dell’American College of Rheumatology (ACR) e presentare almeno 4 articolazioni dolenti e 4 articolazioni tumefatte al basale. A tutti i pazienti sono stati somministrati DMARD non biologici come terapia di fondo. Per lo </w:t>
      </w:r>
      <w:del w:id="7251" w:author="Author">
        <w:r>
          <w:rPr>
            <w:noProof/>
            <w:lang w:val="it-IT"/>
          </w:rPr>
          <w:delText xml:space="preserve">studio </w:delText>
        </w:r>
      </w:del>
      <w:ins w:id="7252" w:author="Author">
        <w:r>
          <w:rPr>
            <w:noProof/>
            <w:lang w:val="it-IT"/>
          </w:rPr>
          <w:t xml:space="preserve">Studio </w:t>
        </w:r>
      </w:ins>
      <w:r>
        <w:rPr>
          <w:noProof/>
          <w:lang w:val="it-IT"/>
        </w:rPr>
        <w:t>II (SC-II), i pazienti dovevano essere di età &gt;</w:t>
      </w:r>
      <w:ins w:id="7253" w:author="Author">
        <w:r>
          <w:rPr>
            <w:noProof/>
            <w:lang w:val="it-IT"/>
          </w:rPr>
          <w:t xml:space="preserve"> </w:t>
        </w:r>
      </w:ins>
      <w:r>
        <w:rPr>
          <w:noProof/>
          <w:lang w:val="it-IT"/>
        </w:rPr>
        <w:t>18 anni, affetti da AR attiva da moderata a severa diagnosticata in base ai criteri ACR e presentare almeno 8 articolazioni dolenti e 6 articolazioni tumefatte al basale.</w:t>
      </w:r>
    </w:p>
    <w:p>
      <w:pPr>
        <w:numPr>
          <w:ilvl w:val="12"/>
          <w:numId w:val="0"/>
        </w:numPr>
        <w:tabs>
          <w:tab w:val="left" w:pos="180"/>
        </w:tabs>
        <w:ind w:right="-2"/>
        <w:rPr>
          <w:i/>
          <w:noProof/>
          <w:szCs w:val="22"/>
          <w:lang w:val="it-IT"/>
        </w:rPr>
      </w:pPr>
    </w:p>
    <w:p>
      <w:pPr>
        <w:tabs>
          <w:tab w:val="left" w:pos="180"/>
        </w:tabs>
        <w:rPr>
          <w:noProof/>
          <w:lang w:val="it-IT"/>
        </w:rPr>
      </w:pPr>
      <w:r>
        <w:rPr>
          <w:noProof/>
          <w:lang w:val="it-IT"/>
        </w:rPr>
        <w:t xml:space="preserve">Il passaggio dalla formulazione endovenosa con dose di 8 mg/kg una volta ogni 4 settimane alla formulazione sottocutanea con dose di 162 mg </w:t>
      </w:r>
      <w:ins w:id="7254" w:author="Author">
        <w:r>
          <w:rPr>
            <w:noProof/>
            <w:lang w:val="it-IT"/>
          </w:rPr>
          <w:t xml:space="preserve">una volta ogni due settimane </w:t>
        </w:r>
      </w:ins>
      <w:del w:id="7255" w:author="Author">
        <w:r>
          <w:rPr>
            <w:noProof/>
            <w:lang w:val="it-IT"/>
          </w:rPr>
          <w:delText xml:space="preserve">a settimane alterne </w:delText>
        </w:r>
      </w:del>
      <w:r>
        <w:rPr>
          <w:noProof/>
          <w:lang w:val="it-IT"/>
        </w:rPr>
        <w:t>comporta un’alterazione dell’esposizione nel paziente. Benché il grado vari in funzione del peso corporeo del paziente (aumento nei pazienti con peso corporeo ridotto e diminuzione nei pazienti con peso corporeo elevato), l’esito clinico è in linea con quello osservato nei pazienti trattati per via endovenosa.</w:t>
      </w:r>
    </w:p>
    <w:p>
      <w:pPr>
        <w:numPr>
          <w:ilvl w:val="12"/>
          <w:numId w:val="0"/>
        </w:numPr>
        <w:tabs>
          <w:tab w:val="left" w:pos="180"/>
        </w:tabs>
        <w:ind w:right="-2"/>
        <w:rPr>
          <w:i/>
          <w:noProof/>
          <w:szCs w:val="22"/>
          <w:lang w:val="it-IT"/>
        </w:rPr>
      </w:pPr>
    </w:p>
    <w:p>
      <w:pPr>
        <w:tabs>
          <w:tab w:val="left" w:pos="180"/>
        </w:tabs>
        <w:spacing w:line="280" w:lineRule="atLeast"/>
        <w:rPr>
          <w:i/>
          <w:iCs/>
          <w:noProof/>
          <w:szCs w:val="22"/>
          <w:u w:val="single"/>
          <w:lang w:val="it-IT"/>
        </w:rPr>
      </w:pPr>
      <w:r>
        <w:rPr>
          <w:i/>
          <w:iCs/>
          <w:noProof/>
          <w:szCs w:val="22"/>
          <w:u w:val="single"/>
          <w:lang w:val="it-IT"/>
        </w:rPr>
        <w:t>Risposta clinica</w:t>
      </w:r>
    </w:p>
    <w:p>
      <w:pPr>
        <w:numPr>
          <w:ilvl w:val="12"/>
          <w:numId w:val="0"/>
        </w:numPr>
        <w:tabs>
          <w:tab w:val="left" w:pos="180"/>
        </w:tabs>
        <w:ind w:right="-2"/>
        <w:rPr>
          <w:noProof/>
          <w:lang w:val="it-IT"/>
        </w:rPr>
      </w:pPr>
      <w:r>
        <w:rPr>
          <w:noProof/>
          <w:lang w:val="it-IT"/>
        </w:rPr>
        <w:t xml:space="preserve">Lo </w:t>
      </w:r>
      <w:del w:id="7256" w:author="Author">
        <w:r>
          <w:rPr>
            <w:noProof/>
            <w:lang w:val="it-IT"/>
          </w:rPr>
          <w:delText xml:space="preserve">studio </w:delText>
        </w:r>
      </w:del>
      <w:ins w:id="7257" w:author="Author">
        <w:r>
          <w:rPr>
            <w:noProof/>
            <w:lang w:val="it-IT"/>
          </w:rPr>
          <w:t xml:space="preserve">Studio </w:t>
        </w:r>
      </w:ins>
      <w:r>
        <w:rPr>
          <w:noProof/>
          <w:lang w:val="it-IT"/>
        </w:rPr>
        <w:t xml:space="preserve">SC-I ha valutato pazienti affetti da AR attiva da moderata a severa con una risposta clinica inadeguata alla terapia reumatologica in atto, inclusi uno o più DMARD, dei quali il 20% circa presentava una storia di risposta inadeguata ad almeno un inibitore del TNF. Nello </w:t>
      </w:r>
      <w:del w:id="7258" w:author="Author">
        <w:r>
          <w:rPr>
            <w:noProof/>
            <w:lang w:val="it-IT"/>
          </w:rPr>
          <w:delText xml:space="preserve">studio </w:delText>
        </w:r>
      </w:del>
      <w:ins w:id="7259" w:author="Author">
        <w:r>
          <w:rPr>
            <w:noProof/>
            <w:lang w:val="it-IT"/>
          </w:rPr>
          <w:t xml:space="preserve">Studio </w:t>
        </w:r>
      </w:ins>
      <w:r>
        <w:rPr>
          <w:noProof/>
          <w:lang w:val="it-IT"/>
        </w:rPr>
        <w:t>SC-I, 1</w:t>
      </w:r>
      <w:ins w:id="7260" w:author="Author">
        <w:r>
          <w:rPr>
            <w:noProof/>
            <w:lang w:val="it-IT"/>
          </w:rPr>
          <w:t> </w:t>
        </w:r>
      </w:ins>
      <w:r>
        <w:rPr>
          <w:noProof/>
          <w:lang w:val="it-IT"/>
        </w:rPr>
        <w:t>262</w:t>
      </w:r>
      <w:ins w:id="7261" w:author="Author">
        <w:r>
          <w:rPr>
            <w:noProof/>
            <w:lang w:val="it-IT"/>
          </w:rPr>
          <w:t> </w:t>
        </w:r>
      </w:ins>
      <w:del w:id="7262" w:author="Author">
        <w:r>
          <w:rPr>
            <w:noProof/>
            <w:lang w:val="it-IT"/>
          </w:rPr>
          <w:delText xml:space="preserve"> </w:delText>
        </w:r>
      </w:del>
      <w:r>
        <w:rPr>
          <w:noProof/>
          <w:lang w:val="it-IT"/>
        </w:rPr>
        <w:t xml:space="preserve">pazienti sono stati randomizzati in rapporto 1:1 al trattamento con 162 mg di </w:t>
      </w:r>
      <w:r>
        <w:rPr>
          <w:rFonts w:eastAsia="Calibri"/>
          <w:bCs/>
          <w:noProof/>
          <w:szCs w:val="22"/>
          <w:lang w:val="it-IT" w:eastAsia="en-US"/>
        </w:rPr>
        <w:t xml:space="preserve">tocilizumab </w:t>
      </w:r>
      <w:r>
        <w:rPr>
          <w:noProof/>
          <w:lang w:val="it-IT"/>
        </w:rPr>
        <w:t xml:space="preserve">per via sottocutanea </w:t>
      </w:r>
      <w:ins w:id="7263" w:author="Author">
        <w:r>
          <w:rPr>
            <w:noProof/>
            <w:lang w:val="it-IT"/>
          </w:rPr>
          <w:t>una volta a settimana</w:t>
        </w:r>
      </w:ins>
      <w:del w:id="7264" w:author="Author">
        <w:r>
          <w:rPr>
            <w:noProof/>
            <w:lang w:val="it-IT"/>
          </w:rPr>
          <w:delText xml:space="preserve">ogni settimana </w:delText>
        </w:r>
      </w:del>
      <w:r>
        <w:rPr>
          <w:noProof/>
          <w:lang w:val="it-IT"/>
        </w:rPr>
        <w:t xml:space="preserve">o con 8 mg/kg di </w:t>
      </w:r>
      <w:r>
        <w:rPr>
          <w:rFonts w:eastAsia="Calibri"/>
          <w:bCs/>
          <w:noProof/>
          <w:szCs w:val="22"/>
          <w:lang w:val="it-IT" w:eastAsia="en-US"/>
        </w:rPr>
        <w:t xml:space="preserve">tocilizumab </w:t>
      </w:r>
      <w:r>
        <w:rPr>
          <w:noProof/>
          <w:lang w:val="it-IT"/>
        </w:rPr>
        <w:t>per via endovenosa ogni quattro settimane in associazione a DMARD non biologici. L’endpoint primario dello studio</w:t>
      </w:r>
      <w:ins w:id="7265" w:author="Author">
        <w:r>
          <w:rPr>
            <w:noProof/>
            <w:lang w:val="it-IT"/>
          </w:rPr>
          <w:t xml:space="preserve"> clinico</w:t>
        </w:r>
      </w:ins>
      <w:r>
        <w:rPr>
          <w:noProof/>
          <w:lang w:val="it-IT"/>
        </w:rPr>
        <w:t xml:space="preserve"> era la differenza nella percentuale di pazienti che hanno conseguito una risposta ACR20 alla settimana 24. I risultati dello </w:t>
      </w:r>
      <w:del w:id="7266" w:author="Author">
        <w:r>
          <w:rPr>
            <w:noProof/>
            <w:lang w:val="it-IT"/>
          </w:rPr>
          <w:delText xml:space="preserve">studio </w:delText>
        </w:r>
      </w:del>
      <w:ins w:id="7267" w:author="Author">
        <w:r>
          <w:rPr>
            <w:noProof/>
            <w:lang w:val="it-IT"/>
          </w:rPr>
          <w:t xml:space="preserve">Studio </w:t>
        </w:r>
      </w:ins>
      <w:r>
        <w:rPr>
          <w:noProof/>
          <w:szCs w:val="22"/>
          <w:lang w:val="it-IT"/>
        </w:rPr>
        <w:t xml:space="preserve">SC-I </w:t>
      </w:r>
      <w:r>
        <w:rPr>
          <w:noProof/>
          <w:lang w:val="it-IT"/>
        </w:rPr>
        <w:t>sono illustrati nella Tabella 2.</w:t>
      </w:r>
    </w:p>
    <w:p>
      <w:pPr>
        <w:numPr>
          <w:ilvl w:val="12"/>
          <w:numId w:val="0"/>
        </w:numPr>
        <w:tabs>
          <w:tab w:val="left" w:pos="180"/>
        </w:tabs>
        <w:ind w:right="-2"/>
        <w:rPr>
          <w:noProof/>
          <w:lang w:val="it-IT"/>
        </w:rPr>
      </w:pPr>
    </w:p>
    <w:p>
      <w:pPr>
        <w:keepNext/>
        <w:keepLines/>
        <w:numPr>
          <w:ilvl w:val="12"/>
          <w:numId w:val="0"/>
        </w:numPr>
        <w:tabs>
          <w:tab w:val="left" w:pos="180"/>
        </w:tabs>
        <w:ind w:right="-2"/>
        <w:rPr>
          <w:bCs/>
          <w:i/>
          <w:noProof/>
          <w:lang w:val="it-IT"/>
        </w:rPr>
      </w:pPr>
      <w:r>
        <w:rPr>
          <w:bCs/>
          <w:i/>
          <w:noProof/>
          <w:lang w:val="it-IT"/>
        </w:rPr>
        <w:lastRenderedPageBreak/>
        <w:t xml:space="preserve">Tabella 2. Risposte ACR nello </w:t>
      </w:r>
      <w:del w:id="7268" w:author="Author">
        <w:r>
          <w:rPr>
            <w:bCs/>
            <w:i/>
            <w:noProof/>
            <w:lang w:val="it-IT"/>
          </w:rPr>
          <w:delText xml:space="preserve">studio </w:delText>
        </w:r>
      </w:del>
      <w:ins w:id="7269" w:author="Author">
        <w:r>
          <w:rPr>
            <w:bCs/>
            <w:i/>
            <w:noProof/>
            <w:lang w:val="it-IT"/>
          </w:rPr>
          <w:t xml:space="preserve">Studio </w:t>
        </w:r>
      </w:ins>
      <w:r>
        <w:rPr>
          <w:bCs/>
          <w:i/>
          <w:noProof/>
          <w:lang w:val="it-IT"/>
        </w:rPr>
        <w:t>SC-I (% di pazienti) alla settimana 24</w:t>
      </w:r>
    </w:p>
    <w:p>
      <w:pPr>
        <w:keepNext/>
        <w:keepLines/>
        <w:numPr>
          <w:ilvl w:val="12"/>
          <w:numId w:val="0"/>
        </w:numPr>
        <w:tabs>
          <w:tab w:val="left" w:pos="180"/>
        </w:tabs>
        <w:ind w:right="-2"/>
        <w:rPr>
          <w:i/>
          <w:noProof/>
          <w:lang w:val="it-IT"/>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7270"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415"/>
        <w:gridCol w:w="2826"/>
        <w:gridCol w:w="2826"/>
        <w:tblGridChange w:id="7271">
          <w:tblGrid>
            <w:gridCol w:w="2718"/>
            <w:gridCol w:w="396"/>
            <w:gridCol w:w="1530"/>
            <w:gridCol w:w="454"/>
            <w:gridCol w:w="2523"/>
          </w:tblGrid>
        </w:tblGridChange>
      </w:tblGrid>
      <w:tr>
        <w:trPr>
          <w:cantSplit/>
          <w:tblHeader/>
          <w:trPrChange w:id="7272" w:author="Author">
            <w:trPr>
              <w:tblHeader/>
            </w:trPr>
          </w:trPrChange>
        </w:trPr>
        <w:tc>
          <w:tcPr>
            <w:tcW w:w="3415" w:type="dxa"/>
            <w:tcPrChange w:id="7273" w:author="Author">
              <w:tcPr>
                <w:tcW w:w="2718" w:type="dxa"/>
              </w:tcPr>
            </w:tcPrChange>
          </w:tcPr>
          <w:p>
            <w:pPr>
              <w:keepNext/>
              <w:tabs>
                <w:tab w:val="left" w:pos="180"/>
              </w:tabs>
              <w:suppressAutoHyphens/>
              <w:rPr>
                <w:noProof/>
                <w:sz w:val="20"/>
                <w:lang w:val="it-IT" w:eastAsia="de-DE"/>
                <w:rPrChange w:id="7274" w:author="Author">
                  <w:rPr>
                    <w:szCs w:val="22"/>
                    <w:lang w:val="it-IT" w:eastAsia="de-DE"/>
                  </w:rPr>
                </w:rPrChange>
              </w:rPr>
              <w:pPrChange w:id="7275" w:author="Author">
                <w:pPr>
                  <w:keepNext/>
                  <w:keepLines/>
                  <w:tabs>
                    <w:tab w:val="left" w:pos="180"/>
                  </w:tabs>
                  <w:spacing w:line="280" w:lineRule="atLeast"/>
                </w:pPr>
              </w:pPrChange>
            </w:pPr>
          </w:p>
        </w:tc>
        <w:tc>
          <w:tcPr>
            <w:tcW w:w="5652" w:type="dxa"/>
            <w:gridSpan w:val="2"/>
            <w:tcPrChange w:id="7276" w:author="Author">
              <w:tcPr>
                <w:tcW w:w="4903" w:type="dxa"/>
                <w:gridSpan w:val="4"/>
              </w:tcPr>
            </w:tcPrChange>
          </w:tcPr>
          <w:p>
            <w:pPr>
              <w:keepNext/>
              <w:tabs>
                <w:tab w:val="left" w:pos="180"/>
              </w:tabs>
              <w:suppressAutoHyphens/>
              <w:jc w:val="center"/>
              <w:rPr>
                <w:noProof/>
                <w:sz w:val="20"/>
                <w:lang w:val="it-IT"/>
                <w:rPrChange w:id="7277" w:author="Author">
                  <w:rPr>
                    <w:szCs w:val="22"/>
                    <w:lang w:val="it-IT"/>
                  </w:rPr>
                </w:rPrChange>
              </w:rPr>
              <w:pPrChange w:id="7278" w:author="Author">
                <w:pPr>
                  <w:keepNext/>
                  <w:keepLines/>
                  <w:tabs>
                    <w:tab w:val="left" w:pos="180"/>
                  </w:tabs>
                  <w:spacing w:line="280" w:lineRule="atLeast"/>
                  <w:jc w:val="center"/>
                </w:pPr>
              </w:pPrChange>
            </w:pPr>
            <w:r>
              <w:rPr>
                <w:noProof/>
                <w:sz w:val="20"/>
                <w:lang w:val="it-IT"/>
                <w:rPrChange w:id="7279" w:author="Author">
                  <w:rPr>
                    <w:szCs w:val="22"/>
                    <w:lang w:val="it-IT"/>
                  </w:rPr>
                </w:rPrChange>
              </w:rPr>
              <w:t>SC-I</w:t>
            </w:r>
            <w:r>
              <w:rPr>
                <w:noProof/>
                <w:sz w:val="20"/>
                <w:vertAlign w:val="superscript"/>
                <w:lang w:val="it-IT"/>
                <w:rPrChange w:id="7280" w:author="Author">
                  <w:rPr>
                    <w:szCs w:val="22"/>
                    <w:vertAlign w:val="superscript"/>
                    <w:lang w:val="it-IT"/>
                  </w:rPr>
                </w:rPrChange>
              </w:rPr>
              <w:t>a</w:t>
            </w:r>
          </w:p>
        </w:tc>
      </w:tr>
      <w:tr>
        <w:tblPrEx>
          <w:tblPrExChange w:id="7281" w:author="Author">
            <w:tblPrEx>
              <w:tblLayout w:type="fixed"/>
              <w:tblCellMar>
                <w:top w:w="28" w:type="dxa"/>
                <w:bottom w:w="28" w:type="dxa"/>
              </w:tblCellMar>
            </w:tblPrEx>
          </w:tblPrExChange>
        </w:tblPrEx>
        <w:trPr>
          <w:cantSplit/>
          <w:tblHeader/>
          <w:trPrChange w:id="7282" w:author="Author">
            <w:trPr>
              <w:cantSplit/>
              <w:tblHeader/>
            </w:trPr>
          </w:trPrChange>
        </w:trPr>
        <w:tc>
          <w:tcPr>
            <w:tcW w:w="3415" w:type="dxa"/>
            <w:tcPrChange w:id="7283" w:author="Author">
              <w:tcPr>
                <w:tcW w:w="3114" w:type="dxa"/>
                <w:gridSpan w:val="2"/>
              </w:tcPr>
            </w:tcPrChange>
          </w:tcPr>
          <w:p>
            <w:pPr>
              <w:keepNext/>
              <w:tabs>
                <w:tab w:val="left" w:pos="180"/>
              </w:tabs>
              <w:suppressAutoHyphens/>
              <w:rPr>
                <w:noProof/>
                <w:sz w:val="20"/>
                <w:lang w:val="it-IT" w:eastAsia="de-DE"/>
                <w:rPrChange w:id="7284" w:author="Author">
                  <w:rPr>
                    <w:szCs w:val="22"/>
                    <w:lang w:val="it-IT" w:eastAsia="de-DE"/>
                  </w:rPr>
                </w:rPrChange>
              </w:rPr>
              <w:pPrChange w:id="7285" w:author="Author">
                <w:pPr>
                  <w:keepNext/>
                  <w:keepLines/>
                  <w:tabs>
                    <w:tab w:val="left" w:pos="180"/>
                  </w:tabs>
                  <w:spacing w:line="280" w:lineRule="atLeast"/>
                </w:pPr>
              </w:pPrChange>
            </w:pPr>
          </w:p>
        </w:tc>
        <w:tc>
          <w:tcPr>
            <w:tcW w:w="2826" w:type="dxa"/>
            <w:tcPrChange w:id="7286" w:author="Author">
              <w:tcPr>
                <w:tcW w:w="1984" w:type="dxa"/>
                <w:gridSpan w:val="2"/>
              </w:tcPr>
            </w:tcPrChange>
          </w:tcPr>
          <w:p>
            <w:pPr>
              <w:keepNext/>
              <w:tabs>
                <w:tab w:val="left" w:pos="180"/>
              </w:tabs>
              <w:suppressAutoHyphens/>
              <w:jc w:val="center"/>
              <w:rPr>
                <w:noProof/>
                <w:sz w:val="20"/>
                <w:lang w:val="it-IT"/>
                <w:rPrChange w:id="7287" w:author="Author">
                  <w:rPr>
                    <w:szCs w:val="22"/>
                    <w:lang w:val="it-IT"/>
                  </w:rPr>
                </w:rPrChange>
              </w:rPr>
              <w:pPrChange w:id="7288" w:author="Author">
                <w:pPr>
                  <w:keepNext/>
                  <w:keepLines/>
                  <w:tabs>
                    <w:tab w:val="left" w:pos="180"/>
                  </w:tabs>
                  <w:spacing w:line="280" w:lineRule="atLeast"/>
                  <w:jc w:val="center"/>
                </w:pPr>
              </w:pPrChange>
            </w:pPr>
            <w:r>
              <w:rPr>
                <w:noProof/>
                <w:sz w:val="20"/>
                <w:lang w:val="it-IT"/>
                <w:rPrChange w:id="7289" w:author="Author">
                  <w:rPr>
                    <w:szCs w:val="22"/>
                    <w:lang w:val="it-IT"/>
                  </w:rPr>
                </w:rPrChange>
              </w:rPr>
              <w:t xml:space="preserve">TCZ s.c. 162 mg </w:t>
            </w:r>
            <w:del w:id="7290" w:author="Author">
              <w:r>
                <w:rPr>
                  <w:noProof/>
                  <w:sz w:val="20"/>
                  <w:lang w:val="it-IT"/>
                  <w:rPrChange w:id="7291" w:author="Author">
                    <w:rPr>
                      <w:szCs w:val="22"/>
                      <w:lang w:val="it-IT"/>
                    </w:rPr>
                  </w:rPrChange>
                </w:rPr>
                <w:delText xml:space="preserve">ogni </w:delText>
              </w:r>
            </w:del>
            <w:ins w:id="7292" w:author="Author">
              <w:r>
                <w:rPr>
                  <w:noProof/>
                  <w:sz w:val="20"/>
                  <w:lang w:val="it-IT"/>
                </w:rPr>
                <w:t>una volta a</w:t>
              </w:r>
              <w:r>
                <w:rPr>
                  <w:noProof/>
                  <w:sz w:val="20"/>
                  <w:lang w:val="it-IT"/>
                  <w:rPrChange w:id="7293" w:author="Author">
                    <w:rPr>
                      <w:szCs w:val="22"/>
                      <w:lang w:val="it-IT"/>
                    </w:rPr>
                  </w:rPrChange>
                </w:rPr>
                <w:t xml:space="preserve"> </w:t>
              </w:r>
            </w:ins>
            <w:r>
              <w:rPr>
                <w:noProof/>
                <w:sz w:val="20"/>
                <w:lang w:val="it-IT"/>
                <w:rPrChange w:id="7294" w:author="Author">
                  <w:rPr>
                    <w:szCs w:val="22"/>
                    <w:lang w:val="it-IT"/>
                  </w:rPr>
                </w:rPrChange>
              </w:rPr>
              <w:t>settimana</w:t>
            </w:r>
          </w:p>
          <w:p>
            <w:pPr>
              <w:keepNext/>
              <w:tabs>
                <w:tab w:val="left" w:pos="180"/>
              </w:tabs>
              <w:suppressAutoHyphens/>
              <w:jc w:val="center"/>
              <w:rPr>
                <w:noProof/>
                <w:sz w:val="20"/>
                <w:lang w:val="it-IT"/>
                <w:rPrChange w:id="7295" w:author="Author">
                  <w:rPr>
                    <w:szCs w:val="22"/>
                    <w:lang w:val="it-IT"/>
                  </w:rPr>
                </w:rPrChange>
              </w:rPr>
              <w:pPrChange w:id="7296" w:author="Author">
                <w:pPr>
                  <w:keepNext/>
                  <w:keepLines/>
                  <w:tabs>
                    <w:tab w:val="left" w:pos="180"/>
                  </w:tabs>
                  <w:spacing w:line="280" w:lineRule="atLeast"/>
                  <w:jc w:val="center"/>
                </w:pPr>
              </w:pPrChange>
            </w:pPr>
            <w:r>
              <w:rPr>
                <w:noProof/>
                <w:sz w:val="20"/>
                <w:lang w:val="it-IT"/>
                <w:rPrChange w:id="7297" w:author="Author">
                  <w:rPr>
                    <w:szCs w:val="22"/>
                    <w:lang w:val="it-IT"/>
                  </w:rPr>
                </w:rPrChange>
              </w:rPr>
              <w:t>+ DMARD</w:t>
            </w:r>
          </w:p>
          <w:p>
            <w:pPr>
              <w:keepNext/>
              <w:tabs>
                <w:tab w:val="left" w:pos="180"/>
              </w:tabs>
              <w:suppressAutoHyphens/>
              <w:jc w:val="center"/>
              <w:rPr>
                <w:noProof/>
                <w:sz w:val="20"/>
                <w:lang w:val="it-IT"/>
                <w:rPrChange w:id="7298" w:author="Author">
                  <w:rPr>
                    <w:szCs w:val="22"/>
                    <w:lang w:val="it-IT"/>
                  </w:rPr>
                </w:rPrChange>
              </w:rPr>
              <w:pPrChange w:id="7299" w:author="Author">
                <w:pPr>
                  <w:keepNext/>
                  <w:keepLines/>
                  <w:tabs>
                    <w:tab w:val="left" w:pos="180"/>
                  </w:tabs>
                  <w:spacing w:line="280" w:lineRule="atLeast"/>
                  <w:jc w:val="center"/>
                </w:pPr>
              </w:pPrChange>
            </w:pPr>
            <w:del w:id="7300" w:author="Author">
              <w:r>
                <w:rPr>
                  <w:noProof/>
                  <w:sz w:val="20"/>
                  <w:lang w:val="it-IT"/>
                  <w:rPrChange w:id="7301" w:author="Author">
                    <w:rPr>
                      <w:szCs w:val="22"/>
                      <w:lang w:val="it-IT"/>
                    </w:rPr>
                  </w:rPrChange>
                </w:rPr>
                <w:delText xml:space="preserve">N </w:delText>
              </w:r>
            </w:del>
            <w:ins w:id="7302" w:author="Author">
              <w:r>
                <w:rPr>
                  <w:noProof/>
                  <w:sz w:val="20"/>
                  <w:lang w:val="it-IT"/>
                  <w:rPrChange w:id="7303" w:author="Author">
                    <w:rPr>
                      <w:szCs w:val="22"/>
                      <w:lang w:val="it-IT"/>
                    </w:rPr>
                  </w:rPrChange>
                </w:rPr>
                <w:t>n </w:t>
              </w:r>
            </w:ins>
            <w:r>
              <w:rPr>
                <w:noProof/>
                <w:sz w:val="20"/>
                <w:lang w:val="it-IT"/>
                <w:rPrChange w:id="7304" w:author="Author">
                  <w:rPr>
                    <w:szCs w:val="22"/>
                    <w:lang w:val="it-IT"/>
                  </w:rPr>
                </w:rPrChange>
              </w:rPr>
              <w:t>=</w:t>
            </w:r>
            <w:ins w:id="7305" w:author="Author">
              <w:r>
                <w:rPr>
                  <w:noProof/>
                  <w:sz w:val="20"/>
                  <w:lang w:val="it-IT"/>
                  <w:rPrChange w:id="7306" w:author="Author">
                    <w:rPr>
                      <w:szCs w:val="22"/>
                      <w:lang w:val="it-IT"/>
                    </w:rPr>
                  </w:rPrChange>
                </w:rPr>
                <w:t> </w:t>
              </w:r>
            </w:ins>
            <w:del w:id="7307" w:author="Author">
              <w:r>
                <w:rPr>
                  <w:noProof/>
                  <w:sz w:val="20"/>
                  <w:lang w:val="it-IT"/>
                  <w:rPrChange w:id="7308" w:author="Author">
                    <w:rPr>
                      <w:szCs w:val="22"/>
                      <w:lang w:val="it-IT"/>
                    </w:rPr>
                  </w:rPrChange>
                </w:rPr>
                <w:delText xml:space="preserve"> </w:delText>
              </w:r>
            </w:del>
            <w:r>
              <w:rPr>
                <w:noProof/>
                <w:sz w:val="20"/>
                <w:lang w:val="it-IT"/>
                <w:rPrChange w:id="7309" w:author="Author">
                  <w:rPr>
                    <w:szCs w:val="22"/>
                    <w:lang w:val="it-IT"/>
                  </w:rPr>
                </w:rPrChange>
              </w:rPr>
              <w:t>558</w:t>
            </w:r>
          </w:p>
        </w:tc>
        <w:tc>
          <w:tcPr>
            <w:tcW w:w="2826" w:type="dxa"/>
            <w:tcPrChange w:id="7310" w:author="Author">
              <w:tcPr>
                <w:tcW w:w="2523" w:type="dxa"/>
              </w:tcPr>
            </w:tcPrChange>
          </w:tcPr>
          <w:p>
            <w:pPr>
              <w:keepNext/>
              <w:tabs>
                <w:tab w:val="left" w:pos="180"/>
              </w:tabs>
              <w:suppressAutoHyphens/>
              <w:jc w:val="center"/>
              <w:rPr>
                <w:noProof/>
                <w:sz w:val="20"/>
                <w:lang w:val="it-IT"/>
                <w:rPrChange w:id="7311" w:author="Author">
                  <w:rPr>
                    <w:szCs w:val="22"/>
                    <w:lang w:val="it-IT"/>
                  </w:rPr>
                </w:rPrChange>
              </w:rPr>
              <w:pPrChange w:id="7312" w:author="Author">
                <w:pPr>
                  <w:keepNext/>
                  <w:keepLines/>
                  <w:tabs>
                    <w:tab w:val="left" w:pos="180"/>
                  </w:tabs>
                  <w:spacing w:line="280" w:lineRule="atLeast"/>
                  <w:jc w:val="center"/>
                </w:pPr>
              </w:pPrChange>
            </w:pPr>
            <w:r>
              <w:rPr>
                <w:noProof/>
                <w:sz w:val="20"/>
                <w:lang w:val="it-IT"/>
                <w:rPrChange w:id="7313" w:author="Author">
                  <w:rPr>
                    <w:szCs w:val="22"/>
                    <w:lang w:val="it-IT"/>
                  </w:rPr>
                </w:rPrChange>
              </w:rPr>
              <w:t>TCZ e.v. 8 mg/kg</w:t>
            </w:r>
          </w:p>
          <w:p>
            <w:pPr>
              <w:keepNext/>
              <w:tabs>
                <w:tab w:val="left" w:pos="180"/>
              </w:tabs>
              <w:suppressAutoHyphens/>
              <w:jc w:val="center"/>
              <w:rPr>
                <w:noProof/>
                <w:sz w:val="20"/>
                <w:lang w:val="it-IT"/>
                <w:rPrChange w:id="7314" w:author="Author">
                  <w:rPr>
                    <w:szCs w:val="22"/>
                    <w:lang w:val="it-IT"/>
                  </w:rPr>
                </w:rPrChange>
              </w:rPr>
              <w:pPrChange w:id="7315" w:author="Author">
                <w:pPr>
                  <w:keepNext/>
                  <w:keepLines/>
                  <w:tabs>
                    <w:tab w:val="left" w:pos="180"/>
                  </w:tabs>
                  <w:spacing w:line="280" w:lineRule="atLeast"/>
                  <w:jc w:val="center"/>
                </w:pPr>
              </w:pPrChange>
            </w:pPr>
            <w:r>
              <w:rPr>
                <w:noProof/>
                <w:sz w:val="20"/>
                <w:lang w:val="it-IT"/>
                <w:rPrChange w:id="7316" w:author="Author">
                  <w:rPr>
                    <w:szCs w:val="22"/>
                    <w:lang w:val="it-IT"/>
                  </w:rPr>
                </w:rPrChange>
              </w:rPr>
              <w:t>+ DMARD</w:t>
            </w:r>
          </w:p>
          <w:p>
            <w:pPr>
              <w:keepNext/>
              <w:tabs>
                <w:tab w:val="left" w:pos="180"/>
              </w:tabs>
              <w:suppressAutoHyphens/>
              <w:jc w:val="center"/>
              <w:rPr>
                <w:del w:id="7317" w:author="Author"/>
                <w:noProof/>
                <w:sz w:val="20"/>
                <w:lang w:val="it-IT" w:eastAsia="de-DE"/>
                <w:rPrChange w:id="7318" w:author="Author">
                  <w:rPr>
                    <w:del w:id="7319" w:author="Author"/>
                    <w:szCs w:val="22"/>
                    <w:lang w:val="it-IT" w:eastAsia="de-DE"/>
                  </w:rPr>
                </w:rPrChange>
              </w:rPr>
              <w:pPrChange w:id="7320" w:author="Author">
                <w:pPr>
                  <w:keepNext/>
                  <w:keepLines/>
                  <w:tabs>
                    <w:tab w:val="left" w:pos="180"/>
                  </w:tabs>
                  <w:spacing w:line="280" w:lineRule="atLeast"/>
                  <w:jc w:val="center"/>
                </w:pPr>
              </w:pPrChange>
            </w:pPr>
          </w:p>
          <w:p>
            <w:pPr>
              <w:keepNext/>
              <w:tabs>
                <w:tab w:val="left" w:pos="180"/>
              </w:tabs>
              <w:suppressAutoHyphens/>
              <w:jc w:val="center"/>
              <w:rPr>
                <w:noProof/>
                <w:sz w:val="20"/>
                <w:lang w:val="it-IT"/>
                <w:rPrChange w:id="7321" w:author="Author">
                  <w:rPr>
                    <w:szCs w:val="22"/>
                    <w:lang w:val="it-IT"/>
                  </w:rPr>
                </w:rPrChange>
              </w:rPr>
              <w:pPrChange w:id="7322" w:author="Author">
                <w:pPr>
                  <w:keepNext/>
                  <w:keepLines/>
                  <w:tabs>
                    <w:tab w:val="left" w:pos="180"/>
                  </w:tabs>
                  <w:spacing w:line="280" w:lineRule="atLeast"/>
                  <w:jc w:val="center"/>
                </w:pPr>
              </w:pPrChange>
            </w:pPr>
            <w:del w:id="7323" w:author="Author">
              <w:r>
                <w:rPr>
                  <w:noProof/>
                  <w:sz w:val="20"/>
                  <w:lang w:val="it-IT"/>
                  <w:rPrChange w:id="7324" w:author="Author">
                    <w:rPr>
                      <w:szCs w:val="22"/>
                      <w:lang w:val="it-IT"/>
                    </w:rPr>
                  </w:rPrChange>
                </w:rPr>
                <w:delText xml:space="preserve">N </w:delText>
              </w:r>
            </w:del>
            <w:ins w:id="7325" w:author="Author">
              <w:r>
                <w:rPr>
                  <w:noProof/>
                  <w:sz w:val="20"/>
                  <w:lang w:val="it-IT"/>
                  <w:rPrChange w:id="7326" w:author="Author">
                    <w:rPr>
                      <w:szCs w:val="22"/>
                      <w:lang w:val="it-IT"/>
                    </w:rPr>
                  </w:rPrChange>
                </w:rPr>
                <w:t>n </w:t>
              </w:r>
            </w:ins>
            <w:r>
              <w:rPr>
                <w:noProof/>
                <w:sz w:val="20"/>
                <w:lang w:val="it-IT"/>
                <w:rPrChange w:id="7327" w:author="Author">
                  <w:rPr>
                    <w:szCs w:val="22"/>
                    <w:lang w:val="it-IT"/>
                  </w:rPr>
                </w:rPrChange>
              </w:rPr>
              <w:t>=</w:t>
            </w:r>
            <w:ins w:id="7328" w:author="Author">
              <w:r>
                <w:rPr>
                  <w:noProof/>
                  <w:sz w:val="20"/>
                  <w:lang w:val="it-IT"/>
                  <w:rPrChange w:id="7329" w:author="Author">
                    <w:rPr>
                      <w:szCs w:val="22"/>
                      <w:lang w:val="it-IT"/>
                    </w:rPr>
                  </w:rPrChange>
                </w:rPr>
                <w:t> </w:t>
              </w:r>
            </w:ins>
            <w:del w:id="7330" w:author="Author">
              <w:r>
                <w:rPr>
                  <w:noProof/>
                  <w:sz w:val="20"/>
                  <w:lang w:val="it-IT"/>
                  <w:rPrChange w:id="7331" w:author="Author">
                    <w:rPr>
                      <w:szCs w:val="22"/>
                      <w:lang w:val="it-IT"/>
                    </w:rPr>
                  </w:rPrChange>
                </w:rPr>
                <w:delText xml:space="preserve"> </w:delText>
              </w:r>
            </w:del>
            <w:r>
              <w:rPr>
                <w:noProof/>
                <w:sz w:val="20"/>
                <w:lang w:val="it-IT"/>
                <w:rPrChange w:id="7332" w:author="Author">
                  <w:rPr>
                    <w:szCs w:val="22"/>
                    <w:lang w:val="it-IT"/>
                  </w:rPr>
                </w:rPrChange>
              </w:rPr>
              <w:t>537</w:t>
            </w:r>
          </w:p>
        </w:tc>
      </w:tr>
      <w:tr>
        <w:trPr>
          <w:cantSplit/>
        </w:trPr>
        <w:tc>
          <w:tcPr>
            <w:tcW w:w="3415" w:type="dxa"/>
            <w:tcPrChange w:id="7333" w:author="Author">
              <w:tcPr>
                <w:tcW w:w="2718" w:type="dxa"/>
              </w:tcPr>
            </w:tcPrChange>
          </w:tcPr>
          <w:p>
            <w:pPr>
              <w:keepNext/>
              <w:tabs>
                <w:tab w:val="left" w:pos="180"/>
              </w:tabs>
              <w:suppressAutoHyphens/>
              <w:jc w:val="right"/>
              <w:rPr>
                <w:noProof/>
                <w:sz w:val="20"/>
                <w:lang w:val="it-IT"/>
                <w:rPrChange w:id="7334" w:author="Author">
                  <w:rPr>
                    <w:szCs w:val="22"/>
                    <w:lang w:val="it-IT"/>
                  </w:rPr>
                </w:rPrChange>
              </w:rPr>
              <w:pPrChange w:id="7335" w:author="Author">
                <w:pPr>
                  <w:keepNext/>
                  <w:keepLines/>
                  <w:tabs>
                    <w:tab w:val="left" w:pos="180"/>
                  </w:tabs>
                  <w:spacing w:line="280" w:lineRule="atLeast"/>
                  <w:jc w:val="right"/>
                </w:pPr>
              </w:pPrChange>
            </w:pPr>
            <w:r>
              <w:rPr>
                <w:noProof/>
                <w:sz w:val="20"/>
                <w:lang w:val="it-IT"/>
                <w:rPrChange w:id="7336" w:author="Author">
                  <w:rPr>
                    <w:szCs w:val="22"/>
                    <w:lang w:val="it-IT"/>
                  </w:rPr>
                </w:rPrChange>
              </w:rPr>
              <w:t>ACR20 alla settimana 24</w:t>
            </w:r>
          </w:p>
        </w:tc>
        <w:tc>
          <w:tcPr>
            <w:tcW w:w="2826" w:type="dxa"/>
            <w:tcPrChange w:id="7337" w:author="Author">
              <w:tcPr>
                <w:tcW w:w="1926" w:type="dxa"/>
                <w:gridSpan w:val="2"/>
              </w:tcPr>
            </w:tcPrChange>
          </w:tcPr>
          <w:p>
            <w:pPr>
              <w:keepNext/>
              <w:tabs>
                <w:tab w:val="left" w:pos="180"/>
              </w:tabs>
              <w:suppressAutoHyphens/>
              <w:jc w:val="center"/>
              <w:rPr>
                <w:noProof/>
                <w:sz w:val="20"/>
                <w:lang w:val="it-IT"/>
                <w:rPrChange w:id="7338" w:author="Author">
                  <w:rPr>
                    <w:szCs w:val="22"/>
                    <w:lang w:val="it-IT"/>
                  </w:rPr>
                </w:rPrChange>
              </w:rPr>
              <w:pPrChange w:id="7339" w:author="Author">
                <w:pPr>
                  <w:keepNext/>
                  <w:keepLines/>
                  <w:tabs>
                    <w:tab w:val="left" w:pos="180"/>
                  </w:tabs>
                  <w:spacing w:line="280" w:lineRule="atLeast"/>
                  <w:jc w:val="center"/>
                </w:pPr>
              </w:pPrChange>
            </w:pPr>
            <w:r>
              <w:rPr>
                <w:noProof/>
                <w:sz w:val="20"/>
                <w:lang w:val="it-IT"/>
                <w:rPrChange w:id="7340" w:author="Author">
                  <w:rPr>
                    <w:szCs w:val="22"/>
                    <w:lang w:val="it-IT"/>
                  </w:rPr>
                </w:rPrChange>
              </w:rPr>
              <w:t>69,4%</w:t>
            </w:r>
          </w:p>
        </w:tc>
        <w:tc>
          <w:tcPr>
            <w:tcW w:w="2826" w:type="dxa"/>
            <w:tcPrChange w:id="7341" w:author="Author">
              <w:tcPr>
                <w:tcW w:w="2977" w:type="dxa"/>
                <w:gridSpan w:val="2"/>
              </w:tcPr>
            </w:tcPrChange>
          </w:tcPr>
          <w:p>
            <w:pPr>
              <w:keepNext/>
              <w:tabs>
                <w:tab w:val="left" w:pos="180"/>
              </w:tabs>
              <w:suppressAutoHyphens/>
              <w:jc w:val="center"/>
              <w:rPr>
                <w:noProof/>
                <w:sz w:val="20"/>
                <w:lang w:val="it-IT"/>
                <w:rPrChange w:id="7342" w:author="Author">
                  <w:rPr>
                    <w:szCs w:val="22"/>
                    <w:lang w:val="it-IT"/>
                  </w:rPr>
                </w:rPrChange>
              </w:rPr>
              <w:pPrChange w:id="7343" w:author="Author">
                <w:pPr>
                  <w:keepNext/>
                  <w:keepLines/>
                  <w:tabs>
                    <w:tab w:val="left" w:pos="180"/>
                  </w:tabs>
                  <w:spacing w:line="280" w:lineRule="atLeast"/>
                  <w:jc w:val="center"/>
                </w:pPr>
              </w:pPrChange>
            </w:pPr>
            <w:r>
              <w:rPr>
                <w:noProof/>
                <w:sz w:val="20"/>
                <w:lang w:val="it-IT"/>
                <w:rPrChange w:id="7344" w:author="Author">
                  <w:rPr>
                    <w:szCs w:val="22"/>
                    <w:lang w:val="it-IT"/>
                  </w:rPr>
                </w:rPrChange>
              </w:rPr>
              <w:t>73,4%</w:t>
            </w:r>
          </w:p>
        </w:tc>
      </w:tr>
      <w:tr>
        <w:trPr>
          <w:cantSplit/>
        </w:trPr>
        <w:tc>
          <w:tcPr>
            <w:tcW w:w="3415" w:type="dxa"/>
            <w:tcPrChange w:id="7345" w:author="Author">
              <w:tcPr>
                <w:tcW w:w="2718" w:type="dxa"/>
              </w:tcPr>
            </w:tcPrChange>
          </w:tcPr>
          <w:p>
            <w:pPr>
              <w:keepNext/>
              <w:tabs>
                <w:tab w:val="left" w:pos="180"/>
              </w:tabs>
              <w:suppressAutoHyphens/>
              <w:jc w:val="right"/>
              <w:rPr>
                <w:noProof/>
                <w:sz w:val="20"/>
                <w:lang w:val="it-IT"/>
                <w:rPrChange w:id="7346" w:author="Author">
                  <w:rPr>
                    <w:szCs w:val="22"/>
                    <w:lang w:val="it-IT"/>
                  </w:rPr>
                </w:rPrChange>
              </w:rPr>
              <w:pPrChange w:id="7347" w:author="Author">
                <w:pPr>
                  <w:keepNext/>
                  <w:keepLines/>
                  <w:tabs>
                    <w:tab w:val="left" w:pos="180"/>
                  </w:tabs>
                  <w:spacing w:line="280" w:lineRule="atLeast"/>
                  <w:jc w:val="right"/>
                </w:pPr>
              </w:pPrChange>
            </w:pPr>
            <w:r>
              <w:rPr>
                <w:noProof/>
                <w:sz w:val="20"/>
                <w:lang w:val="it-IT"/>
                <w:rPrChange w:id="7348" w:author="Author">
                  <w:rPr>
                    <w:szCs w:val="22"/>
                    <w:lang w:val="it-IT"/>
                  </w:rPr>
                </w:rPrChange>
              </w:rPr>
              <w:t>Differenza ponderata (IC al 95%)</w:t>
            </w:r>
          </w:p>
        </w:tc>
        <w:tc>
          <w:tcPr>
            <w:tcW w:w="5652" w:type="dxa"/>
            <w:gridSpan w:val="2"/>
            <w:tcPrChange w:id="7349" w:author="Author">
              <w:tcPr>
                <w:tcW w:w="4903" w:type="dxa"/>
                <w:gridSpan w:val="4"/>
              </w:tcPr>
            </w:tcPrChange>
          </w:tcPr>
          <w:p>
            <w:pPr>
              <w:keepNext/>
              <w:tabs>
                <w:tab w:val="left" w:pos="180"/>
              </w:tabs>
              <w:suppressAutoHyphens/>
              <w:jc w:val="center"/>
              <w:rPr>
                <w:noProof/>
                <w:sz w:val="20"/>
                <w:lang w:val="it-IT"/>
                <w:rPrChange w:id="7350" w:author="Author">
                  <w:rPr>
                    <w:szCs w:val="22"/>
                    <w:lang w:val="it-IT"/>
                  </w:rPr>
                </w:rPrChange>
              </w:rPr>
              <w:pPrChange w:id="7351" w:author="Author">
                <w:pPr>
                  <w:keepNext/>
                  <w:keepLines/>
                  <w:tabs>
                    <w:tab w:val="left" w:pos="180"/>
                  </w:tabs>
                  <w:spacing w:line="280" w:lineRule="atLeast"/>
                  <w:jc w:val="center"/>
                </w:pPr>
              </w:pPrChange>
            </w:pPr>
            <w:r>
              <w:rPr>
                <w:noProof/>
                <w:sz w:val="20"/>
                <w:lang w:val="it-IT"/>
                <w:rPrChange w:id="7352" w:author="Author">
                  <w:rPr>
                    <w:szCs w:val="22"/>
                    <w:lang w:val="it-IT"/>
                  </w:rPr>
                </w:rPrChange>
              </w:rPr>
              <w:t>-4,0 (-9,2; 1,2)</w:t>
            </w:r>
          </w:p>
        </w:tc>
      </w:tr>
      <w:tr>
        <w:trPr>
          <w:cantSplit/>
        </w:trPr>
        <w:tc>
          <w:tcPr>
            <w:tcW w:w="3415" w:type="dxa"/>
            <w:tcPrChange w:id="7353" w:author="Author">
              <w:tcPr>
                <w:tcW w:w="2718" w:type="dxa"/>
              </w:tcPr>
            </w:tcPrChange>
          </w:tcPr>
          <w:p>
            <w:pPr>
              <w:keepNext/>
              <w:tabs>
                <w:tab w:val="left" w:pos="180"/>
              </w:tabs>
              <w:suppressAutoHyphens/>
              <w:jc w:val="right"/>
              <w:rPr>
                <w:noProof/>
                <w:sz w:val="20"/>
                <w:lang w:val="it-IT"/>
                <w:rPrChange w:id="7354" w:author="Author">
                  <w:rPr>
                    <w:szCs w:val="22"/>
                    <w:lang w:val="it-IT"/>
                  </w:rPr>
                </w:rPrChange>
              </w:rPr>
              <w:pPrChange w:id="7355" w:author="Author">
                <w:pPr>
                  <w:keepNext/>
                  <w:keepLines/>
                  <w:tabs>
                    <w:tab w:val="left" w:pos="180"/>
                  </w:tabs>
                  <w:spacing w:line="280" w:lineRule="atLeast"/>
                  <w:jc w:val="right"/>
                </w:pPr>
              </w:pPrChange>
            </w:pPr>
            <w:r>
              <w:rPr>
                <w:noProof/>
                <w:sz w:val="20"/>
                <w:lang w:val="it-IT"/>
                <w:rPrChange w:id="7356" w:author="Author">
                  <w:rPr>
                    <w:szCs w:val="22"/>
                    <w:lang w:val="it-IT"/>
                  </w:rPr>
                </w:rPrChange>
              </w:rPr>
              <w:t>ACR50 alla settimana 24</w:t>
            </w:r>
          </w:p>
        </w:tc>
        <w:tc>
          <w:tcPr>
            <w:tcW w:w="2826" w:type="dxa"/>
            <w:tcPrChange w:id="7357" w:author="Author">
              <w:tcPr>
                <w:tcW w:w="1926" w:type="dxa"/>
                <w:gridSpan w:val="2"/>
              </w:tcPr>
            </w:tcPrChange>
          </w:tcPr>
          <w:p>
            <w:pPr>
              <w:keepNext/>
              <w:tabs>
                <w:tab w:val="left" w:pos="180"/>
              </w:tabs>
              <w:suppressAutoHyphens/>
              <w:jc w:val="center"/>
              <w:rPr>
                <w:noProof/>
                <w:sz w:val="20"/>
                <w:lang w:val="it-IT"/>
                <w:rPrChange w:id="7358" w:author="Author">
                  <w:rPr>
                    <w:szCs w:val="22"/>
                    <w:lang w:val="it-IT"/>
                  </w:rPr>
                </w:rPrChange>
              </w:rPr>
              <w:pPrChange w:id="7359" w:author="Author">
                <w:pPr>
                  <w:keepNext/>
                  <w:keepLines/>
                  <w:tabs>
                    <w:tab w:val="left" w:pos="180"/>
                  </w:tabs>
                  <w:spacing w:line="280" w:lineRule="atLeast"/>
                  <w:jc w:val="center"/>
                </w:pPr>
              </w:pPrChange>
            </w:pPr>
            <w:r>
              <w:rPr>
                <w:noProof/>
                <w:sz w:val="20"/>
                <w:lang w:val="it-IT"/>
                <w:rPrChange w:id="7360" w:author="Author">
                  <w:rPr>
                    <w:szCs w:val="22"/>
                    <w:lang w:val="it-IT"/>
                  </w:rPr>
                </w:rPrChange>
              </w:rPr>
              <w:t>47,0%</w:t>
            </w:r>
          </w:p>
        </w:tc>
        <w:tc>
          <w:tcPr>
            <w:tcW w:w="2826" w:type="dxa"/>
            <w:tcPrChange w:id="7361" w:author="Author">
              <w:tcPr>
                <w:tcW w:w="2977" w:type="dxa"/>
                <w:gridSpan w:val="2"/>
              </w:tcPr>
            </w:tcPrChange>
          </w:tcPr>
          <w:p>
            <w:pPr>
              <w:keepNext/>
              <w:tabs>
                <w:tab w:val="left" w:pos="180"/>
              </w:tabs>
              <w:suppressAutoHyphens/>
              <w:jc w:val="center"/>
              <w:rPr>
                <w:noProof/>
                <w:sz w:val="20"/>
                <w:lang w:val="it-IT"/>
                <w:rPrChange w:id="7362" w:author="Author">
                  <w:rPr>
                    <w:szCs w:val="22"/>
                    <w:lang w:val="it-IT"/>
                  </w:rPr>
                </w:rPrChange>
              </w:rPr>
              <w:pPrChange w:id="7363" w:author="Author">
                <w:pPr>
                  <w:keepNext/>
                  <w:keepLines/>
                  <w:tabs>
                    <w:tab w:val="left" w:pos="180"/>
                  </w:tabs>
                  <w:spacing w:line="280" w:lineRule="atLeast"/>
                  <w:jc w:val="center"/>
                </w:pPr>
              </w:pPrChange>
            </w:pPr>
            <w:r>
              <w:rPr>
                <w:noProof/>
                <w:sz w:val="20"/>
                <w:lang w:val="it-IT"/>
                <w:rPrChange w:id="7364" w:author="Author">
                  <w:rPr>
                    <w:szCs w:val="22"/>
                    <w:lang w:val="it-IT"/>
                  </w:rPr>
                </w:rPrChange>
              </w:rPr>
              <w:t>48,6%</w:t>
            </w:r>
          </w:p>
        </w:tc>
      </w:tr>
      <w:tr>
        <w:trPr>
          <w:cantSplit/>
        </w:trPr>
        <w:tc>
          <w:tcPr>
            <w:tcW w:w="3415" w:type="dxa"/>
            <w:tcPrChange w:id="7365" w:author="Author">
              <w:tcPr>
                <w:tcW w:w="2718" w:type="dxa"/>
              </w:tcPr>
            </w:tcPrChange>
          </w:tcPr>
          <w:p>
            <w:pPr>
              <w:keepNext/>
              <w:tabs>
                <w:tab w:val="left" w:pos="180"/>
              </w:tabs>
              <w:suppressAutoHyphens/>
              <w:jc w:val="right"/>
              <w:rPr>
                <w:noProof/>
                <w:sz w:val="20"/>
                <w:lang w:val="it-IT"/>
                <w:rPrChange w:id="7366" w:author="Author">
                  <w:rPr>
                    <w:szCs w:val="22"/>
                    <w:lang w:val="it-IT"/>
                  </w:rPr>
                </w:rPrChange>
              </w:rPr>
              <w:pPrChange w:id="7367" w:author="Author">
                <w:pPr>
                  <w:keepNext/>
                  <w:keepLines/>
                  <w:tabs>
                    <w:tab w:val="left" w:pos="180"/>
                  </w:tabs>
                  <w:spacing w:line="280" w:lineRule="atLeast"/>
                  <w:jc w:val="right"/>
                </w:pPr>
              </w:pPrChange>
            </w:pPr>
            <w:r>
              <w:rPr>
                <w:noProof/>
                <w:sz w:val="20"/>
                <w:lang w:val="it-IT"/>
                <w:rPrChange w:id="7368" w:author="Author">
                  <w:rPr>
                    <w:szCs w:val="22"/>
                    <w:lang w:val="it-IT"/>
                  </w:rPr>
                </w:rPrChange>
              </w:rPr>
              <w:t>Differenza ponderata (IC al 95%)</w:t>
            </w:r>
          </w:p>
        </w:tc>
        <w:tc>
          <w:tcPr>
            <w:tcW w:w="5652" w:type="dxa"/>
            <w:gridSpan w:val="2"/>
            <w:tcPrChange w:id="7369" w:author="Author">
              <w:tcPr>
                <w:tcW w:w="4903" w:type="dxa"/>
                <w:gridSpan w:val="4"/>
              </w:tcPr>
            </w:tcPrChange>
          </w:tcPr>
          <w:p>
            <w:pPr>
              <w:keepNext/>
              <w:tabs>
                <w:tab w:val="left" w:pos="180"/>
              </w:tabs>
              <w:suppressAutoHyphens/>
              <w:jc w:val="center"/>
              <w:rPr>
                <w:noProof/>
                <w:sz w:val="20"/>
                <w:lang w:val="it-IT"/>
                <w:rPrChange w:id="7370" w:author="Author">
                  <w:rPr>
                    <w:szCs w:val="22"/>
                    <w:lang w:val="it-IT"/>
                  </w:rPr>
                </w:rPrChange>
              </w:rPr>
              <w:pPrChange w:id="7371" w:author="Author">
                <w:pPr>
                  <w:keepNext/>
                  <w:keepLines/>
                  <w:tabs>
                    <w:tab w:val="left" w:pos="180"/>
                  </w:tabs>
                  <w:spacing w:line="280" w:lineRule="atLeast"/>
                  <w:jc w:val="center"/>
                </w:pPr>
              </w:pPrChange>
            </w:pPr>
            <w:r>
              <w:rPr>
                <w:noProof/>
                <w:sz w:val="20"/>
                <w:lang w:val="it-IT"/>
                <w:rPrChange w:id="7372" w:author="Author">
                  <w:rPr>
                    <w:szCs w:val="22"/>
                    <w:lang w:val="it-IT"/>
                  </w:rPr>
                </w:rPrChange>
              </w:rPr>
              <w:t>-1,8 (-7,5; 4,0)</w:t>
            </w:r>
          </w:p>
        </w:tc>
      </w:tr>
      <w:tr>
        <w:trPr>
          <w:cantSplit/>
        </w:trPr>
        <w:tc>
          <w:tcPr>
            <w:tcW w:w="3415" w:type="dxa"/>
            <w:tcPrChange w:id="7373" w:author="Author">
              <w:tcPr>
                <w:tcW w:w="2718" w:type="dxa"/>
              </w:tcPr>
            </w:tcPrChange>
          </w:tcPr>
          <w:p>
            <w:pPr>
              <w:keepNext/>
              <w:tabs>
                <w:tab w:val="left" w:pos="180"/>
              </w:tabs>
              <w:suppressAutoHyphens/>
              <w:jc w:val="right"/>
              <w:rPr>
                <w:noProof/>
                <w:sz w:val="20"/>
                <w:lang w:val="it-IT"/>
                <w:rPrChange w:id="7374" w:author="Author">
                  <w:rPr>
                    <w:szCs w:val="22"/>
                    <w:lang w:val="it-IT"/>
                  </w:rPr>
                </w:rPrChange>
              </w:rPr>
              <w:pPrChange w:id="7375" w:author="Author">
                <w:pPr>
                  <w:keepNext/>
                  <w:keepLines/>
                  <w:tabs>
                    <w:tab w:val="left" w:pos="180"/>
                  </w:tabs>
                  <w:spacing w:line="280" w:lineRule="atLeast"/>
                  <w:jc w:val="right"/>
                </w:pPr>
              </w:pPrChange>
            </w:pPr>
            <w:r>
              <w:rPr>
                <w:noProof/>
                <w:sz w:val="20"/>
                <w:lang w:val="it-IT"/>
                <w:rPrChange w:id="7376" w:author="Author">
                  <w:rPr>
                    <w:szCs w:val="22"/>
                    <w:lang w:val="it-IT"/>
                  </w:rPr>
                </w:rPrChange>
              </w:rPr>
              <w:t>ACR70 alla settimana 24</w:t>
            </w:r>
          </w:p>
        </w:tc>
        <w:tc>
          <w:tcPr>
            <w:tcW w:w="2826" w:type="dxa"/>
            <w:tcPrChange w:id="7377" w:author="Author">
              <w:tcPr>
                <w:tcW w:w="1926" w:type="dxa"/>
                <w:gridSpan w:val="2"/>
              </w:tcPr>
            </w:tcPrChange>
          </w:tcPr>
          <w:p>
            <w:pPr>
              <w:keepNext/>
              <w:tabs>
                <w:tab w:val="left" w:pos="180"/>
              </w:tabs>
              <w:suppressAutoHyphens/>
              <w:jc w:val="center"/>
              <w:rPr>
                <w:noProof/>
                <w:sz w:val="20"/>
                <w:lang w:val="it-IT"/>
                <w:rPrChange w:id="7378" w:author="Author">
                  <w:rPr>
                    <w:szCs w:val="22"/>
                    <w:lang w:val="it-IT"/>
                  </w:rPr>
                </w:rPrChange>
              </w:rPr>
              <w:pPrChange w:id="7379" w:author="Author">
                <w:pPr>
                  <w:keepNext/>
                  <w:keepLines/>
                  <w:tabs>
                    <w:tab w:val="left" w:pos="180"/>
                  </w:tabs>
                  <w:spacing w:line="280" w:lineRule="atLeast"/>
                  <w:jc w:val="center"/>
                </w:pPr>
              </w:pPrChange>
            </w:pPr>
            <w:r>
              <w:rPr>
                <w:noProof/>
                <w:sz w:val="20"/>
                <w:lang w:val="it-IT"/>
                <w:rPrChange w:id="7380" w:author="Author">
                  <w:rPr>
                    <w:szCs w:val="22"/>
                    <w:lang w:val="it-IT"/>
                  </w:rPr>
                </w:rPrChange>
              </w:rPr>
              <w:t>24,0%</w:t>
            </w:r>
          </w:p>
        </w:tc>
        <w:tc>
          <w:tcPr>
            <w:tcW w:w="2826" w:type="dxa"/>
            <w:tcPrChange w:id="7381" w:author="Author">
              <w:tcPr>
                <w:tcW w:w="2977" w:type="dxa"/>
                <w:gridSpan w:val="2"/>
              </w:tcPr>
            </w:tcPrChange>
          </w:tcPr>
          <w:p>
            <w:pPr>
              <w:keepNext/>
              <w:tabs>
                <w:tab w:val="left" w:pos="180"/>
              </w:tabs>
              <w:suppressAutoHyphens/>
              <w:jc w:val="center"/>
              <w:rPr>
                <w:noProof/>
                <w:sz w:val="20"/>
                <w:lang w:val="it-IT"/>
                <w:rPrChange w:id="7382" w:author="Author">
                  <w:rPr>
                    <w:szCs w:val="22"/>
                    <w:lang w:val="it-IT"/>
                  </w:rPr>
                </w:rPrChange>
              </w:rPr>
              <w:pPrChange w:id="7383" w:author="Author">
                <w:pPr>
                  <w:keepNext/>
                  <w:keepLines/>
                  <w:tabs>
                    <w:tab w:val="left" w:pos="180"/>
                  </w:tabs>
                  <w:spacing w:line="280" w:lineRule="atLeast"/>
                  <w:jc w:val="center"/>
                </w:pPr>
              </w:pPrChange>
            </w:pPr>
            <w:r>
              <w:rPr>
                <w:noProof/>
                <w:sz w:val="20"/>
                <w:lang w:val="it-IT"/>
                <w:rPrChange w:id="7384" w:author="Author">
                  <w:rPr>
                    <w:szCs w:val="22"/>
                    <w:lang w:val="it-IT"/>
                  </w:rPr>
                </w:rPrChange>
              </w:rPr>
              <w:t>27,9%</w:t>
            </w:r>
          </w:p>
        </w:tc>
      </w:tr>
      <w:tr>
        <w:trPr>
          <w:cantSplit/>
        </w:trPr>
        <w:tc>
          <w:tcPr>
            <w:tcW w:w="3415" w:type="dxa"/>
            <w:tcPrChange w:id="7385" w:author="Author">
              <w:tcPr>
                <w:tcW w:w="2718" w:type="dxa"/>
              </w:tcPr>
            </w:tcPrChange>
          </w:tcPr>
          <w:p>
            <w:pPr>
              <w:keepNext/>
              <w:tabs>
                <w:tab w:val="left" w:pos="180"/>
              </w:tabs>
              <w:suppressAutoHyphens/>
              <w:jc w:val="right"/>
              <w:rPr>
                <w:noProof/>
                <w:sz w:val="20"/>
                <w:lang w:val="it-IT"/>
                <w:rPrChange w:id="7386" w:author="Author">
                  <w:rPr>
                    <w:szCs w:val="22"/>
                    <w:lang w:val="it-IT"/>
                  </w:rPr>
                </w:rPrChange>
              </w:rPr>
              <w:pPrChange w:id="7387" w:author="Author">
                <w:pPr>
                  <w:keepNext/>
                  <w:keepLines/>
                  <w:tabs>
                    <w:tab w:val="left" w:pos="180"/>
                  </w:tabs>
                  <w:spacing w:line="280" w:lineRule="atLeast"/>
                  <w:jc w:val="right"/>
                </w:pPr>
              </w:pPrChange>
            </w:pPr>
            <w:r>
              <w:rPr>
                <w:noProof/>
                <w:sz w:val="20"/>
                <w:lang w:val="it-IT"/>
                <w:rPrChange w:id="7388" w:author="Author">
                  <w:rPr>
                    <w:szCs w:val="22"/>
                    <w:lang w:val="it-IT"/>
                  </w:rPr>
                </w:rPrChange>
              </w:rPr>
              <w:t>Differenza ponderata (IC al 95%)</w:t>
            </w:r>
          </w:p>
        </w:tc>
        <w:tc>
          <w:tcPr>
            <w:tcW w:w="5652" w:type="dxa"/>
            <w:gridSpan w:val="2"/>
            <w:tcPrChange w:id="7389" w:author="Author">
              <w:tcPr>
                <w:tcW w:w="4903" w:type="dxa"/>
                <w:gridSpan w:val="4"/>
              </w:tcPr>
            </w:tcPrChange>
          </w:tcPr>
          <w:p>
            <w:pPr>
              <w:keepNext/>
              <w:tabs>
                <w:tab w:val="left" w:pos="180"/>
              </w:tabs>
              <w:suppressAutoHyphens/>
              <w:jc w:val="center"/>
              <w:rPr>
                <w:noProof/>
                <w:sz w:val="20"/>
                <w:lang w:val="it-IT"/>
                <w:rPrChange w:id="7390" w:author="Author">
                  <w:rPr>
                    <w:szCs w:val="22"/>
                    <w:lang w:val="it-IT"/>
                  </w:rPr>
                </w:rPrChange>
              </w:rPr>
              <w:pPrChange w:id="7391" w:author="Author">
                <w:pPr>
                  <w:keepNext/>
                  <w:keepLines/>
                  <w:tabs>
                    <w:tab w:val="left" w:pos="180"/>
                  </w:tabs>
                  <w:spacing w:line="280" w:lineRule="atLeast"/>
                  <w:jc w:val="center"/>
                </w:pPr>
              </w:pPrChange>
            </w:pPr>
            <w:r>
              <w:rPr>
                <w:noProof/>
                <w:sz w:val="20"/>
                <w:lang w:val="it-IT"/>
                <w:rPrChange w:id="7392" w:author="Author">
                  <w:rPr>
                    <w:szCs w:val="22"/>
                    <w:lang w:val="it-IT"/>
                  </w:rPr>
                </w:rPrChange>
              </w:rPr>
              <w:t>-3,8 (-9,0; 1,3)</w:t>
            </w:r>
          </w:p>
        </w:tc>
      </w:tr>
    </w:tbl>
    <w:p>
      <w:pPr>
        <w:keepNext/>
        <w:tabs>
          <w:tab w:val="left" w:pos="180"/>
        </w:tabs>
        <w:rPr>
          <w:ins w:id="7393" w:author="Author"/>
          <w:noProof/>
          <w:sz w:val="18"/>
          <w:szCs w:val="18"/>
          <w:lang w:val="it-IT"/>
        </w:rPr>
      </w:pPr>
      <w:ins w:id="7394" w:author="Author">
        <w:r>
          <w:rPr>
            <w:noProof/>
            <w:sz w:val="18"/>
            <w:szCs w:val="18"/>
            <w:lang w:val="it-IT"/>
          </w:rPr>
          <w:t>DMARD = farmaci antireumatici modificanti la malattia</w:t>
        </w:r>
      </w:ins>
    </w:p>
    <w:p>
      <w:pPr>
        <w:tabs>
          <w:tab w:val="left" w:pos="180"/>
        </w:tabs>
        <w:rPr>
          <w:noProof/>
          <w:sz w:val="18"/>
          <w:szCs w:val="18"/>
          <w:lang w:val="it-IT"/>
        </w:rPr>
      </w:pPr>
      <w:r>
        <w:rPr>
          <w:noProof/>
          <w:sz w:val="18"/>
          <w:szCs w:val="18"/>
          <w:lang w:val="it-IT"/>
        </w:rPr>
        <w:t>TCZ</w:t>
      </w:r>
      <w:del w:id="7395" w:author="Author">
        <w:r>
          <w:rPr>
            <w:noProof/>
            <w:sz w:val="18"/>
            <w:szCs w:val="18"/>
            <w:lang w:val="it-IT"/>
          </w:rPr>
          <w:delText xml:space="preserve"> </w:delText>
        </w:r>
      </w:del>
      <w:ins w:id="7396" w:author="Author">
        <w:r>
          <w:rPr>
            <w:noProof/>
            <w:sz w:val="18"/>
            <w:szCs w:val="18"/>
            <w:lang w:val="it-IT"/>
          </w:rPr>
          <w:t> </w:t>
        </w:r>
      </w:ins>
      <w:r>
        <w:rPr>
          <w:noProof/>
          <w:sz w:val="18"/>
          <w:szCs w:val="18"/>
          <w:lang w:val="it-IT"/>
        </w:rPr>
        <w:t>=</w:t>
      </w:r>
      <w:ins w:id="7397" w:author="Author">
        <w:r>
          <w:rPr>
            <w:noProof/>
            <w:sz w:val="18"/>
            <w:szCs w:val="18"/>
            <w:lang w:val="it-IT"/>
          </w:rPr>
          <w:t> </w:t>
        </w:r>
      </w:ins>
      <w:del w:id="7398" w:author="Author">
        <w:r>
          <w:rPr>
            <w:noProof/>
            <w:sz w:val="18"/>
            <w:szCs w:val="18"/>
            <w:lang w:val="it-IT"/>
          </w:rPr>
          <w:delText xml:space="preserve"> </w:delText>
        </w:r>
      </w:del>
      <w:r>
        <w:rPr>
          <w:noProof/>
          <w:sz w:val="18"/>
          <w:szCs w:val="18"/>
          <w:lang w:val="it-IT"/>
        </w:rPr>
        <w:t>tocilizumab</w:t>
      </w:r>
    </w:p>
    <w:p>
      <w:pPr>
        <w:tabs>
          <w:tab w:val="left" w:pos="180"/>
        </w:tabs>
        <w:rPr>
          <w:noProof/>
          <w:sz w:val="18"/>
          <w:szCs w:val="18"/>
          <w:lang w:val="it-IT"/>
        </w:rPr>
      </w:pPr>
      <w:r>
        <w:rPr>
          <w:noProof/>
          <w:sz w:val="18"/>
          <w:szCs w:val="18"/>
          <w:lang w:val="it-IT"/>
        </w:rPr>
        <w:t>a</w:t>
      </w:r>
      <w:del w:id="7399" w:author="Author">
        <w:r>
          <w:rPr>
            <w:noProof/>
            <w:sz w:val="18"/>
            <w:szCs w:val="18"/>
            <w:lang w:val="it-IT"/>
          </w:rPr>
          <w:delText xml:space="preserve"> </w:delText>
        </w:r>
      </w:del>
      <w:ins w:id="7400" w:author="Author">
        <w:r>
          <w:rPr>
            <w:noProof/>
            <w:sz w:val="18"/>
            <w:szCs w:val="18"/>
            <w:lang w:val="it-IT"/>
          </w:rPr>
          <w:t> </w:t>
        </w:r>
      </w:ins>
      <w:r>
        <w:rPr>
          <w:noProof/>
          <w:sz w:val="18"/>
          <w:szCs w:val="18"/>
          <w:lang w:val="it-IT"/>
        </w:rPr>
        <w:t>=</w:t>
      </w:r>
      <w:ins w:id="7401" w:author="Author">
        <w:r>
          <w:rPr>
            <w:noProof/>
            <w:sz w:val="18"/>
            <w:szCs w:val="18"/>
            <w:lang w:val="it-IT"/>
          </w:rPr>
          <w:t> </w:t>
        </w:r>
      </w:ins>
      <w:del w:id="7402" w:author="Author">
        <w:r>
          <w:rPr>
            <w:noProof/>
            <w:sz w:val="18"/>
            <w:szCs w:val="18"/>
            <w:lang w:val="it-IT"/>
          </w:rPr>
          <w:delText xml:space="preserve"> </w:delText>
        </w:r>
      </w:del>
      <w:r>
        <w:rPr>
          <w:noProof/>
          <w:sz w:val="18"/>
          <w:szCs w:val="18"/>
          <w:lang w:val="it-IT"/>
        </w:rPr>
        <w:t>popolazione per protocollo</w:t>
      </w:r>
    </w:p>
    <w:p>
      <w:pPr>
        <w:tabs>
          <w:tab w:val="left" w:pos="180"/>
        </w:tabs>
        <w:rPr>
          <w:noProof/>
          <w:sz w:val="18"/>
          <w:szCs w:val="18"/>
          <w:lang w:val="it-IT" w:eastAsia="de-DE"/>
        </w:rPr>
      </w:pPr>
      <w:r>
        <w:rPr>
          <w:noProof/>
          <w:sz w:val="18"/>
          <w:szCs w:val="18"/>
          <w:lang w:val="it-IT" w:eastAsia="de-DE"/>
        </w:rPr>
        <w:t>IV</w:t>
      </w:r>
      <w:del w:id="7403" w:author="Author">
        <w:r>
          <w:rPr>
            <w:noProof/>
            <w:sz w:val="18"/>
            <w:szCs w:val="18"/>
            <w:lang w:val="it-IT" w:eastAsia="de-DE"/>
          </w:rPr>
          <w:delText xml:space="preserve"> </w:delText>
        </w:r>
      </w:del>
      <w:ins w:id="7404" w:author="Author">
        <w:r>
          <w:rPr>
            <w:noProof/>
            <w:sz w:val="18"/>
            <w:szCs w:val="18"/>
            <w:lang w:val="it-IT" w:eastAsia="de-DE"/>
          </w:rPr>
          <w:t> </w:t>
        </w:r>
      </w:ins>
      <w:r>
        <w:rPr>
          <w:noProof/>
          <w:sz w:val="18"/>
          <w:szCs w:val="18"/>
          <w:lang w:val="it-IT" w:eastAsia="de-DE"/>
        </w:rPr>
        <w:t>=</w:t>
      </w:r>
      <w:ins w:id="7405" w:author="Author">
        <w:r>
          <w:rPr>
            <w:noProof/>
            <w:sz w:val="18"/>
            <w:szCs w:val="18"/>
            <w:lang w:val="it-IT" w:eastAsia="de-DE"/>
          </w:rPr>
          <w:t> </w:t>
        </w:r>
      </w:ins>
      <w:del w:id="7406" w:author="Author">
        <w:r>
          <w:rPr>
            <w:noProof/>
            <w:sz w:val="18"/>
            <w:szCs w:val="18"/>
            <w:lang w:val="it-IT" w:eastAsia="de-DE"/>
          </w:rPr>
          <w:delText xml:space="preserve"> </w:delText>
        </w:r>
      </w:del>
      <w:r>
        <w:rPr>
          <w:noProof/>
          <w:sz w:val="18"/>
          <w:szCs w:val="18"/>
          <w:lang w:val="it-IT" w:eastAsia="de-DE"/>
        </w:rPr>
        <w:t>endovevenosa</w:t>
      </w:r>
    </w:p>
    <w:p>
      <w:pPr>
        <w:tabs>
          <w:tab w:val="left" w:pos="180"/>
        </w:tabs>
        <w:rPr>
          <w:noProof/>
          <w:sz w:val="18"/>
          <w:szCs w:val="18"/>
          <w:lang w:val="it-IT" w:eastAsia="de-DE"/>
        </w:rPr>
      </w:pPr>
      <w:r>
        <w:rPr>
          <w:noProof/>
          <w:sz w:val="18"/>
          <w:szCs w:val="18"/>
          <w:lang w:val="it-IT" w:eastAsia="de-DE"/>
        </w:rPr>
        <w:t>SC</w:t>
      </w:r>
      <w:del w:id="7407" w:author="Author">
        <w:r>
          <w:rPr>
            <w:noProof/>
            <w:sz w:val="18"/>
            <w:szCs w:val="18"/>
            <w:lang w:val="it-IT" w:eastAsia="de-DE"/>
          </w:rPr>
          <w:delText xml:space="preserve"> </w:delText>
        </w:r>
      </w:del>
      <w:ins w:id="7408" w:author="Author">
        <w:r>
          <w:rPr>
            <w:noProof/>
            <w:sz w:val="18"/>
            <w:szCs w:val="18"/>
            <w:lang w:val="it-IT" w:eastAsia="de-DE"/>
          </w:rPr>
          <w:t> </w:t>
        </w:r>
      </w:ins>
      <w:r>
        <w:rPr>
          <w:noProof/>
          <w:sz w:val="18"/>
          <w:szCs w:val="18"/>
          <w:lang w:val="it-IT" w:eastAsia="de-DE"/>
        </w:rPr>
        <w:t>=</w:t>
      </w:r>
      <w:ins w:id="7409" w:author="Author">
        <w:r>
          <w:rPr>
            <w:noProof/>
            <w:sz w:val="18"/>
            <w:szCs w:val="18"/>
            <w:lang w:val="it-IT" w:eastAsia="de-DE"/>
          </w:rPr>
          <w:t> </w:t>
        </w:r>
      </w:ins>
      <w:del w:id="7410" w:author="Author">
        <w:r>
          <w:rPr>
            <w:noProof/>
            <w:sz w:val="18"/>
            <w:szCs w:val="18"/>
            <w:lang w:val="it-IT" w:eastAsia="de-DE"/>
          </w:rPr>
          <w:delText xml:space="preserve"> sottocutabea</w:delText>
        </w:r>
      </w:del>
      <w:ins w:id="7411" w:author="Author">
        <w:r>
          <w:rPr>
            <w:noProof/>
            <w:sz w:val="18"/>
            <w:szCs w:val="18"/>
            <w:lang w:val="it-IT" w:eastAsia="de-DE"/>
          </w:rPr>
          <w:t>sottocutanea</w:t>
        </w:r>
      </w:ins>
    </w:p>
    <w:p>
      <w:pPr>
        <w:tabs>
          <w:tab w:val="left" w:pos="180"/>
        </w:tabs>
        <w:rPr>
          <w:noProof/>
          <w:szCs w:val="22"/>
          <w:lang w:val="it-IT" w:eastAsia="de-DE"/>
          <w:rPrChange w:id="7412" w:author="Author">
            <w:rPr>
              <w:sz w:val="18"/>
              <w:szCs w:val="18"/>
              <w:lang w:val="it-IT" w:eastAsia="de-DE"/>
            </w:rPr>
          </w:rPrChange>
        </w:rPr>
      </w:pPr>
    </w:p>
    <w:p>
      <w:pPr>
        <w:tabs>
          <w:tab w:val="left" w:pos="180"/>
        </w:tabs>
        <w:rPr>
          <w:noProof/>
          <w:lang w:val="it-IT"/>
        </w:rPr>
      </w:pPr>
      <w:r>
        <w:rPr>
          <w:noProof/>
          <w:lang w:val="it-IT"/>
        </w:rPr>
        <w:t xml:space="preserve">I pazienti dello </w:t>
      </w:r>
      <w:del w:id="7413" w:author="Author">
        <w:r>
          <w:rPr>
            <w:noProof/>
            <w:lang w:val="it-IT"/>
          </w:rPr>
          <w:delText xml:space="preserve">studio </w:delText>
        </w:r>
      </w:del>
      <w:ins w:id="7414" w:author="Author">
        <w:r>
          <w:rPr>
            <w:noProof/>
            <w:lang w:val="it-IT"/>
          </w:rPr>
          <w:t xml:space="preserve">Studio </w:t>
        </w:r>
      </w:ins>
      <w:r>
        <w:rPr>
          <w:noProof/>
          <w:lang w:val="it-IT"/>
        </w:rPr>
        <w:t xml:space="preserve">SC-I hanno presentato un punteggio medio di attività di malattia (DAS28) al basale di 6,6 e 6,7 rispettivamente nel braccio s.c. e nel braccio e.v. Alla settimana 24 è stata osservata una riduzione significativa del DAS28 rispetto ai valori basali (miglioramento medio) di 3,5 in entrambi i bracci di trattamento e una percentuale sovrapponibile di pazienti ha raggiunto la remissione clinica secondo i criteri DAS28 (DAS28 &lt; 2,6) nel braccio </w:t>
      </w:r>
      <w:ins w:id="7415" w:author="Author">
        <w:r>
          <w:rPr>
            <w:noProof/>
            <w:lang w:val="it-IT"/>
          </w:rPr>
          <w:t xml:space="preserve">con </w:t>
        </w:r>
      </w:ins>
      <w:del w:id="7416" w:author="Author">
        <w:r>
          <w:rPr>
            <w:noProof/>
            <w:lang w:val="it-IT"/>
          </w:rPr>
          <w:delText xml:space="preserve">formulazione </w:delText>
        </w:r>
      </w:del>
      <w:ins w:id="7417" w:author="Author">
        <w:r>
          <w:rPr>
            <w:noProof/>
            <w:lang w:val="it-IT"/>
          </w:rPr>
          <w:t xml:space="preserve">somministrazione </w:t>
        </w:r>
      </w:ins>
      <w:r>
        <w:rPr>
          <w:noProof/>
          <w:lang w:val="it-IT"/>
        </w:rPr>
        <w:t xml:space="preserve">sottocutanea (38,4%) e nel braccio </w:t>
      </w:r>
      <w:del w:id="7418" w:author="Author">
        <w:r>
          <w:rPr>
            <w:noProof/>
            <w:lang w:val="it-IT"/>
          </w:rPr>
          <w:delText xml:space="preserve">formulazione </w:delText>
        </w:r>
      </w:del>
      <w:ins w:id="7419" w:author="Author">
        <w:r>
          <w:rPr>
            <w:noProof/>
            <w:lang w:val="it-IT"/>
          </w:rPr>
          <w:t xml:space="preserve">con somministrazione </w:t>
        </w:r>
      </w:ins>
      <w:r>
        <w:rPr>
          <w:noProof/>
          <w:lang w:val="it-IT"/>
        </w:rPr>
        <w:t>endovenosa (36,9%).</w:t>
      </w:r>
    </w:p>
    <w:p>
      <w:pPr>
        <w:numPr>
          <w:ilvl w:val="12"/>
          <w:numId w:val="0"/>
        </w:numPr>
        <w:tabs>
          <w:tab w:val="left" w:pos="180"/>
        </w:tabs>
        <w:ind w:right="-2"/>
        <w:rPr>
          <w:i/>
          <w:noProof/>
          <w:szCs w:val="22"/>
          <w:lang w:val="it-IT" w:eastAsia="de-DE"/>
        </w:rPr>
      </w:pPr>
    </w:p>
    <w:p>
      <w:pPr>
        <w:keepNext/>
        <w:keepLines/>
        <w:tabs>
          <w:tab w:val="left" w:pos="180"/>
        </w:tabs>
        <w:autoSpaceDE w:val="0"/>
        <w:autoSpaceDN w:val="0"/>
        <w:adjustRightInd w:val="0"/>
        <w:spacing w:line="280" w:lineRule="atLeast"/>
        <w:rPr>
          <w:i/>
          <w:noProof/>
          <w:szCs w:val="22"/>
          <w:u w:val="single"/>
          <w:lang w:val="it-IT"/>
        </w:rPr>
      </w:pPr>
      <w:r>
        <w:rPr>
          <w:i/>
          <w:noProof/>
          <w:szCs w:val="22"/>
          <w:u w:val="single"/>
          <w:lang w:val="it-IT"/>
        </w:rPr>
        <w:t xml:space="preserve">Risposta radiografica </w:t>
      </w:r>
    </w:p>
    <w:p>
      <w:pPr>
        <w:tabs>
          <w:tab w:val="left" w:pos="180"/>
        </w:tabs>
        <w:rPr>
          <w:noProof/>
          <w:lang w:val="it-IT"/>
        </w:rPr>
      </w:pPr>
      <w:r>
        <w:rPr>
          <w:noProof/>
          <w:lang w:val="it-IT"/>
        </w:rPr>
        <w:t xml:space="preserve">La risposta radiografica associata a </w:t>
      </w:r>
      <w:r>
        <w:rPr>
          <w:rFonts w:eastAsia="SimSun"/>
          <w:noProof/>
          <w:lang w:val="it-IT" w:eastAsia="zh-CN"/>
        </w:rPr>
        <w:t>tocilizumab</w:t>
      </w:r>
      <w:r>
        <w:rPr>
          <w:noProof/>
          <w:lang w:val="it-IT"/>
        </w:rPr>
        <w:t xml:space="preserve"> somministrato per via sottocutanea è stata valutata in uno studio in doppio cieco, controllato e multicentrico condotto su pazienti affetti da AR attiva (SC-II). Lo </w:t>
      </w:r>
      <w:del w:id="7420" w:author="Author">
        <w:r>
          <w:rPr>
            <w:noProof/>
            <w:lang w:val="it-IT"/>
          </w:rPr>
          <w:delText xml:space="preserve">studio </w:delText>
        </w:r>
      </w:del>
      <w:ins w:id="7421" w:author="Author">
        <w:r>
          <w:rPr>
            <w:noProof/>
            <w:lang w:val="it-IT"/>
          </w:rPr>
          <w:t xml:space="preserve">Studio </w:t>
        </w:r>
      </w:ins>
      <w:r>
        <w:rPr>
          <w:noProof/>
          <w:lang w:val="it-IT"/>
        </w:rPr>
        <w:t xml:space="preserve">SC-II ha valutato pazienti affetti da AR attiva da moderata a severa con una risposta clinica inadeguata alla terapia reumatologica in atto, inclusi uno o più DMARD, dei quali il 20% circa presentava una storia di risposta inadeguata ad almeno un inibitore del TNF. I pazienti dovevano essere di età &gt; 18 anni, affetti da AR attiva diagnosticata in base ai criteri ACR e presentare almeno 8 articolazioni dolenti e 6 articolazioni tumefatte al basale. Nello </w:t>
      </w:r>
      <w:del w:id="7422" w:author="Author">
        <w:r>
          <w:rPr>
            <w:noProof/>
            <w:lang w:val="it-IT"/>
          </w:rPr>
          <w:delText xml:space="preserve">studio </w:delText>
        </w:r>
      </w:del>
      <w:ins w:id="7423" w:author="Author">
        <w:r>
          <w:rPr>
            <w:noProof/>
            <w:lang w:val="it-IT"/>
          </w:rPr>
          <w:t xml:space="preserve">Studio </w:t>
        </w:r>
      </w:ins>
      <w:r>
        <w:rPr>
          <w:noProof/>
          <w:lang w:val="it-IT"/>
        </w:rPr>
        <w:t xml:space="preserve">SC-II, 656 pazienti sono stati randomizzati in rapporto 2:1 al trattamento con 162 mg di </w:t>
      </w:r>
      <w:r>
        <w:rPr>
          <w:rFonts w:eastAsia="SimSun"/>
          <w:noProof/>
          <w:lang w:val="it-IT" w:eastAsia="zh-CN"/>
        </w:rPr>
        <w:t>tocilizumab</w:t>
      </w:r>
      <w:r>
        <w:rPr>
          <w:noProof/>
          <w:lang w:val="it-IT"/>
        </w:rPr>
        <w:t xml:space="preserve"> </w:t>
      </w:r>
      <w:r>
        <w:rPr>
          <w:rFonts w:eastAsia="SimSun"/>
          <w:noProof/>
          <w:lang w:val="it-IT" w:eastAsia="zh-CN"/>
        </w:rPr>
        <w:t>per via sottocutanea</w:t>
      </w:r>
      <w:r>
        <w:rPr>
          <w:noProof/>
          <w:lang w:val="it-IT"/>
        </w:rPr>
        <w:t xml:space="preserve"> </w:t>
      </w:r>
      <w:ins w:id="7424" w:author="Author">
        <w:r>
          <w:rPr>
            <w:noProof/>
            <w:lang w:val="it-IT"/>
          </w:rPr>
          <w:t>ogni due</w:t>
        </w:r>
      </w:ins>
      <w:del w:id="7425" w:author="Author">
        <w:r>
          <w:rPr>
            <w:noProof/>
            <w:lang w:val="it-IT"/>
          </w:rPr>
          <w:delText>a</w:delText>
        </w:r>
      </w:del>
      <w:r>
        <w:rPr>
          <w:noProof/>
          <w:lang w:val="it-IT"/>
        </w:rPr>
        <w:t xml:space="preserve"> settimane </w:t>
      </w:r>
      <w:del w:id="7426" w:author="Author">
        <w:r>
          <w:rPr>
            <w:noProof/>
            <w:lang w:val="it-IT"/>
          </w:rPr>
          <w:delText xml:space="preserve">alterne </w:delText>
        </w:r>
      </w:del>
      <w:r>
        <w:rPr>
          <w:noProof/>
          <w:lang w:val="it-IT"/>
        </w:rPr>
        <w:t>o con placebo in associazione a DMARD non biologici.</w:t>
      </w:r>
    </w:p>
    <w:p>
      <w:pPr>
        <w:numPr>
          <w:ilvl w:val="12"/>
          <w:numId w:val="0"/>
        </w:numPr>
        <w:tabs>
          <w:tab w:val="left" w:pos="180"/>
        </w:tabs>
        <w:ind w:right="-2"/>
        <w:rPr>
          <w:noProof/>
          <w:lang w:val="it-IT"/>
        </w:rPr>
      </w:pPr>
    </w:p>
    <w:p>
      <w:pPr>
        <w:tabs>
          <w:tab w:val="left" w:pos="180"/>
        </w:tabs>
        <w:rPr>
          <w:noProof/>
          <w:lang w:val="it-IT"/>
        </w:rPr>
      </w:pPr>
      <w:r>
        <w:rPr>
          <w:noProof/>
          <w:lang w:val="it-IT"/>
        </w:rPr>
        <w:t xml:space="preserve">Nello </w:t>
      </w:r>
      <w:del w:id="7427" w:author="Author">
        <w:r>
          <w:rPr>
            <w:noProof/>
            <w:lang w:val="it-IT"/>
          </w:rPr>
          <w:delText xml:space="preserve">studio </w:delText>
        </w:r>
      </w:del>
      <w:ins w:id="7428" w:author="Author">
        <w:del w:id="7429" w:author="Author">
          <w:r>
            <w:rPr>
              <w:noProof/>
              <w:lang w:val="it-IT"/>
            </w:rPr>
            <w:delText>s</w:delText>
          </w:r>
        </w:del>
        <w:r>
          <w:rPr>
            <w:noProof/>
            <w:lang w:val="it-IT"/>
          </w:rPr>
          <w:t xml:space="preserve">Studio </w:t>
        </w:r>
      </w:ins>
      <w:r>
        <w:rPr>
          <w:noProof/>
          <w:lang w:val="it-IT"/>
        </w:rPr>
        <w:t xml:space="preserve">SC-II, l’inibizione del danno articolare strutturale è stata valutata radiograficamente ed espressa come variazione del punteggio totale medio di Sharp modificato secondo van der Heijde (mTSS) rispetto al basale. Alla settimana 24, nei pazienti trattati con </w:t>
      </w:r>
      <w:r>
        <w:rPr>
          <w:rFonts w:eastAsia="SimSun"/>
          <w:noProof/>
          <w:lang w:val="it-IT" w:eastAsia="zh-CN"/>
        </w:rPr>
        <w:t>tocilizumab</w:t>
      </w:r>
      <w:r>
        <w:rPr>
          <w:noProof/>
          <w:lang w:val="it-IT"/>
        </w:rPr>
        <w:t xml:space="preserve"> </w:t>
      </w:r>
      <w:r>
        <w:rPr>
          <w:noProof/>
          <w:szCs w:val="22"/>
          <w:lang w:val="it-IT"/>
        </w:rPr>
        <w:t>in formulazione</w:t>
      </w:r>
      <w:r>
        <w:rPr>
          <w:rFonts w:eastAsia="SimSun"/>
          <w:noProof/>
          <w:lang w:val="it-IT" w:eastAsia="zh-CN"/>
        </w:rPr>
        <w:t xml:space="preserve"> sottocutanea</w:t>
      </w:r>
      <w:r>
        <w:rPr>
          <w:noProof/>
          <w:lang w:val="it-IT"/>
        </w:rPr>
        <w:t xml:space="preserve"> è stata riscontrata inibizione del danno strutturale, con una progressione radiografica significativamente inferiore rispetto ai pazienti trattati con placebo (mTSS medio di 0,62 vs. 1,23, p</w:t>
      </w:r>
      <w:del w:id="7430" w:author="Author">
        <w:r>
          <w:rPr>
            <w:noProof/>
            <w:lang w:val="it-IT"/>
          </w:rPr>
          <w:delText xml:space="preserve"> </w:delText>
        </w:r>
      </w:del>
      <w:ins w:id="7431" w:author="Author">
        <w:r>
          <w:rPr>
            <w:noProof/>
            <w:lang w:val="it-IT"/>
          </w:rPr>
          <w:t> </w:t>
        </w:r>
      </w:ins>
      <w:r>
        <w:rPr>
          <w:noProof/>
          <w:lang w:val="it-IT"/>
        </w:rPr>
        <w:t>=</w:t>
      </w:r>
      <w:ins w:id="7432" w:author="Author">
        <w:r>
          <w:rPr>
            <w:noProof/>
            <w:lang w:val="it-IT"/>
          </w:rPr>
          <w:t> </w:t>
        </w:r>
      </w:ins>
      <w:del w:id="7433" w:author="Author">
        <w:r>
          <w:rPr>
            <w:noProof/>
            <w:lang w:val="it-IT"/>
          </w:rPr>
          <w:delText xml:space="preserve"> </w:delText>
        </w:r>
      </w:del>
      <w:r>
        <w:rPr>
          <w:noProof/>
          <w:lang w:val="it-IT"/>
        </w:rPr>
        <w:t xml:space="preserve">0,0149 [test di van Elteren]). Questi risultati sono in linea con quelli osservati nei pazienti trattati con </w:t>
      </w:r>
      <w:r>
        <w:rPr>
          <w:rFonts w:eastAsia="SimSun"/>
          <w:noProof/>
          <w:lang w:val="it-IT" w:eastAsia="zh-CN"/>
        </w:rPr>
        <w:t>tocilizumab</w:t>
      </w:r>
      <w:r>
        <w:rPr>
          <w:noProof/>
          <w:lang w:val="it-IT"/>
        </w:rPr>
        <w:t xml:space="preserve"> </w:t>
      </w:r>
      <w:r>
        <w:rPr>
          <w:noProof/>
          <w:szCs w:val="22"/>
          <w:lang w:val="it-IT"/>
        </w:rPr>
        <w:t>in formulazione</w:t>
      </w:r>
      <w:r>
        <w:rPr>
          <w:noProof/>
          <w:lang w:val="it-IT"/>
        </w:rPr>
        <w:t xml:space="preserve"> endovenosa.</w:t>
      </w:r>
    </w:p>
    <w:p>
      <w:pPr>
        <w:tabs>
          <w:tab w:val="left" w:pos="180"/>
        </w:tabs>
        <w:rPr>
          <w:noProof/>
          <w:lang w:val="it-IT"/>
        </w:rPr>
      </w:pPr>
    </w:p>
    <w:p>
      <w:pPr>
        <w:tabs>
          <w:tab w:val="left" w:pos="180"/>
        </w:tabs>
        <w:rPr>
          <w:noProof/>
          <w:szCs w:val="22"/>
          <w:lang w:val="it-IT"/>
        </w:rPr>
      </w:pPr>
      <w:r>
        <w:rPr>
          <w:noProof/>
          <w:szCs w:val="22"/>
          <w:lang w:val="it-IT"/>
        </w:rPr>
        <w:t xml:space="preserve">Nello </w:t>
      </w:r>
      <w:del w:id="7434" w:author="Author">
        <w:r>
          <w:rPr>
            <w:noProof/>
            <w:szCs w:val="22"/>
            <w:lang w:val="it-IT"/>
          </w:rPr>
          <w:delText xml:space="preserve">studio </w:delText>
        </w:r>
      </w:del>
      <w:ins w:id="7435" w:author="Author">
        <w:del w:id="7436" w:author="Author">
          <w:r>
            <w:rPr>
              <w:noProof/>
              <w:szCs w:val="22"/>
              <w:lang w:val="it-IT"/>
            </w:rPr>
            <w:delText>s</w:delText>
          </w:r>
        </w:del>
        <w:r>
          <w:rPr>
            <w:noProof/>
            <w:szCs w:val="22"/>
            <w:lang w:val="it-IT"/>
          </w:rPr>
          <w:t xml:space="preserve">Studio </w:t>
        </w:r>
      </w:ins>
      <w:r>
        <w:rPr>
          <w:noProof/>
          <w:szCs w:val="22"/>
          <w:lang w:val="it-IT"/>
        </w:rPr>
        <w:t xml:space="preserve">SC-II, alla settimana 24, i pazienti trattati con </w:t>
      </w:r>
      <w:r>
        <w:rPr>
          <w:rFonts w:eastAsia="SimSun"/>
          <w:noProof/>
          <w:lang w:val="it-IT" w:eastAsia="zh-CN"/>
        </w:rPr>
        <w:t>tocilizumab</w:t>
      </w:r>
      <w:r>
        <w:rPr>
          <w:noProof/>
          <w:lang w:val="it-IT"/>
        </w:rPr>
        <w:t xml:space="preserve"> </w:t>
      </w:r>
      <w:r>
        <w:rPr>
          <w:noProof/>
          <w:szCs w:val="22"/>
          <w:lang w:val="it-IT"/>
        </w:rPr>
        <w:t xml:space="preserve">in formulazione sottocutanea </w:t>
      </w:r>
      <w:ins w:id="7437" w:author="Author">
        <w:r>
          <w:rPr>
            <w:noProof/>
            <w:szCs w:val="22"/>
            <w:lang w:val="it-IT"/>
          </w:rPr>
          <w:t>ogni due</w:t>
        </w:r>
      </w:ins>
      <w:del w:id="7438" w:author="Author">
        <w:r>
          <w:rPr>
            <w:noProof/>
            <w:szCs w:val="22"/>
            <w:lang w:val="it-IT"/>
          </w:rPr>
          <w:delText>a</w:delText>
        </w:r>
      </w:del>
      <w:r>
        <w:rPr>
          <w:noProof/>
          <w:szCs w:val="22"/>
          <w:lang w:val="it-IT"/>
        </w:rPr>
        <w:t xml:space="preserve"> settimane </w:t>
      </w:r>
      <w:del w:id="7439" w:author="Author">
        <w:r>
          <w:rPr>
            <w:noProof/>
            <w:szCs w:val="22"/>
            <w:lang w:val="it-IT"/>
          </w:rPr>
          <w:delText xml:space="preserve">alterne </w:delText>
        </w:r>
      </w:del>
      <w:r>
        <w:rPr>
          <w:noProof/>
          <w:szCs w:val="22"/>
          <w:lang w:val="it-IT"/>
        </w:rPr>
        <w:t>hanno conseguito una risposta ACR20 del 60,9%, una risposta ACR50 del 39,8% e una risposta ACR70 del 19,7%, mentre i pazienti trattati con placebo hanno conseguito una risposta ACR20 del 31,5%, una risposta ACR50 del 12,3% e una risposta ACR70 del 5,0%. I pazienti presentavano un punteggio DAS28 medio al basale di 6,7 nel braccio s.c. e di 6,6 nel braccio placebo. Alla settimana 24</w:t>
      </w:r>
      <w:del w:id="7440" w:author="Author">
        <w:r>
          <w:rPr>
            <w:noProof/>
            <w:szCs w:val="22"/>
            <w:lang w:val="it-IT"/>
          </w:rPr>
          <w:delText xml:space="preserve"> si </w:delText>
        </w:r>
      </w:del>
      <w:r>
        <w:rPr>
          <w:noProof/>
          <w:szCs w:val="22"/>
          <w:lang w:val="it-IT"/>
        </w:rPr>
        <w:t xml:space="preserve">è </w:t>
      </w:r>
      <w:ins w:id="7441" w:author="Author">
        <w:r>
          <w:rPr>
            <w:noProof/>
            <w:szCs w:val="22"/>
            <w:lang w:val="it-IT"/>
          </w:rPr>
          <w:t xml:space="preserve">stata </w:t>
        </w:r>
      </w:ins>
      <w:r>
        <w:rPr>
          <w:noProof/>
          <w:szCs w:val="22"/>
          <w:lang w:val="it-IT"/>
        </w:rPr>
        <w:t xml:space="preserve">osservata una riduzione significativa del punteggio DAS28 rispetto al basale di 3,1 nel braccio s.c. e di 1,7 nel braccio placebo; </w:t>
      </w:r>
      <w:r>
        <w:rPr>
          <w:bCs/>
          <w:noProof/>
          <w:szCs w:val="22"/>
          <w:lang w:val="it-IT"/>
        </w:rPr>
        <w:t xml:space="preserve">nel 32,0% dei pazienti del braccio </w:t>
      </w:r>
      <w:r>
        <w:rPr>
          <w:noProof/>
          <w:szCs w:val="22"/>
          <w:lang w:val="it-IT"/>
        </w:rPr>
        <w:t xml:space="preserve">s.c. </w:t>
      </w:r>
      <w:r>
        <w:rPr>
          <w:bCs/>
          <w:noProof/>
          <w:szCs w:val="22"/>
          <w:lang w:val="it-IT"/>
        </w:rPr>
        <w:t>e nel 4,0% dei pazienti del braccio placebo</w:t>
      </w:r>
      <w:r>
        <w:rPr>
          <w:noProof/>
          <w:szCs w:val="22"/>
          <w:lang w:val="it-IT"/>
        </w:rPr>
        <w:t xml:space="preserve"> è stato inoltre riscontrato un punteggio </w:t>
      </w:r>
      <w:r>
        <w:rPr>
          <w:bCs/>
          <w:noProof/>
          <w:szCs w:val="22"/>
          <w:lang w:val="it-IT"/>
        </w:rPr>
        <w:t>DAS28 &lt; 2,6.</w:t>
      </w:r>
    </w:p>
    <w:p>
      <w:pPr>
        <w:numPr>
          <w:ilvl w:val="12"/>
          <w:numId w:val="0"/>
        </w:numPr>
        <w:tabs>
          <w:tab w:val="left" w:pos="180"/>
        </w:tabs>
        <w:ind w:right="-2"/>
        <w:rPr>
          <w:noProof/>
          <w:lang w:val="it-IT"/>
        </w:rPr>
      </w:pPr>
    </w:p>
    <w:p>
      <w:pPr>
        <w:keepNext/>
        <w:keepLines/>
        <w:numPr>
          <w:ilvl w:val="12"/>
          <w:numId w:val="0"/>
        </w:numPr>
        <w:tabs>
          <w:tab w:val="left" w:pos="180"/>
        </w:tabs>
        <w:ind w:right="-2"/>
        <w:rPr>
          <w:i/>
          <w:noProof/>
          <w:u w:val="single"/>
          <w:lang w:val="it-IT"/>
        </w:rPr>
      </w:pPr>
      <w:r>
        <w:rPr>
          <w:i/>
          <w:noProof/>
          <w:u w:val="single"/>
          <w:lang w:val="it-IT"/>
        </w:rPr>
        <w:lastRenderedPageBreak/>
        <w:t>Esiti correlati alla salute e alla qualità di vita</w:t>
      </w:r>
    </w:p>
    <w:p>
      <w:pPr>
        <w:keepNext/>
        <w:keepLines/>
        <w:tabs>
          <w:tab w:val="left" w:pos="180"/>
        </w:tabs>
        <w:rPr>
          <w:noProof/>
          <w:lang w:val="it-IT"/>
        </w:rPr>
      </w:pPr>
      <w:r>
        <w:rPr>
          <w:noProof/>
          <w:lang w:val="it-IT"/>
        </w:rPr>
        <w:t xml:space="preserve">Nello </w:t>
      </w:r>
      <w:del w:id="7442" w:author="Author">
        <w:r>
          <w:rPr>
            <w:noProof/>
            <w:lang w:val="it-IT"/>
          </w:rPr>
          <w:delText xml:space="preserve">studio </w:delText>
        </w:r>
      </w:del>
      <w:ins w:id="7443" w:author="Author">
        <w:del w:id="7444" w:author="Author">
          <w:r>
            <w:rPr>
              <w:noProof/>
              <w:lang w:val="it-IT"/>
            </w:rPr>
            <w:delText>s</w:delText>
          </w:r>
        </w:del>
        <w:r>
          <w:rPr>
            <w:noProof/>
            <w:lang w:val="it-IT"/>
          </w:rPr>
          <w:t xml:space="preserve">Studio </w:t>
        </w:r>
      </w:ins>
      <w:r>
        <w:rPr>
          <w:noProof/>
          <w:lang w:val="it-IT"/>
        </w:rPr>
        <w:t xml:space="preserve">SC-I, la riduzione media dei punteggi relativi al questionario HAQ-DI dal basale alla settimana 24 è stata pari a 0,6 sia nel braccio s.c. sia nel braccio e.v. La percentuale di pazienti che ha raggiunto un miglioramento clinicamente significativo dei punteggi HAQ-DI alla settimana 24 (variazione rispetto al basale di ≥ 0,3 unità) è risultata inoltre sovrapponibile nel braccio s.c. (65,2%) rispetto al braccio e.v. (67,4%), con una differenza ponderata nelle percentuali di </w:t>
      </w:r>
      <w:r>
        <w:rPr>
          <w:noProof/>
          <w:lang w:val="it-IT"/>
        </w:rPr>
        <w:noBreakHyphen/>
        <w:t xml:space="preserve">2,3% (IC al 95% </w:t>
      </w:r>
      <w:r>
        <w:rPr>
          <w:noProof/>
          <w:lang w:val="it-IT"/>
        </w:rPr>
        <w:noBreakHyphen/>
        <w:t xml:space="preserve"> 8,1; 3,4). Per quanto riguarda il questionario SF-36, la variazione media del punteggio della componente mentale dal basale alla settimana 24 è stata di 6,22 nel braccio s.c. e di 6,54 nel braccio e.v.; inoltre, tale variazione è risultata simile per il punteggio della componente fisica con 9,49 nel braccio s.c. e 9,65 nel braccio e.v.</w:t>
      </w:r>
    </w:p>
    <w:p>
      <w:pPr>
        <w:tabs>
          <w:tab w:val="left" w:pos="180"/>
        </w:tabs>
        <w:rPr>
          <w:noProof/>
          <w:lang w:val="it-IT"/>
        </w:rPr>
      </w:pPr>
    </w:p>
    <w:p>
      <w:pPr>
        <w:tabs>
          <w:tab w:val="left" w:pos="180"/>
        </w:tabs>
        <w:rPr>
          <w:noProof/>
          <w:szCs w:val="22"/>
          <w:lang w:val="it-IT"/>
        </w:rPr>
      </w:pPr>
      <w:r>
        <w:rPr>
          <w:noProof/>
          <w:szCs w:val="22"/>
          <w:lang w:val="it-IT"/>
        </w:rPr>
        <w:t xml:space="preserve">Nello </w:t>
      </w:r>
      <w:del w:id="7445" w:author="Author">
        <w:r>
          <w:rPr>
            <w:noProof/>
            <w:szCs w:val="22"/>
            <w:lang w:val="it-IT"/>
          </w:rPr>
          <w:delText xml:space="preserve">studio </w:delText>
        </w:r>
      </w:del>
      <w:ins w:id="7446" w:author="Author">
        <w:del w:id="7447" w:author="Author">
          <w:r>
            <w:rPr>
              <w:noProof/>
              <w:szCs w:val="22"/>
              <w:lang w:val="it-IT"/>
            </w:rPr>
            <w:delText>s</w:delText>
          </w:r>
        </w:del>
        <w:r>
          <w:rPr>
            <w:noProof/>
            <w:szCs w:val="22"/>
            <w:lang w:val="it-IT"/>
          </w:rPr>
          <w:t xml:space="preserve">Studio </w:t>
        </w:r>
      </w:ins>
      <w:r>
        <w:rPr>
          <w:noProof/>
          <w:szCs w:val="22"/>
          <w:lang w:val="it-IT"/>
        </w:rPr>
        <w:t xml:space="preserve">SC-II, </w:t>
      </w:r>
      <w:r>
        <w:rPr>
          <w:noProof/>
          <w:lang w:val="it-IT"/>
        </w:rPr>
        <w:t xml:space="preserve">la riduzione media dei punteggi HAQ-DI dal basale alla settimana 24 </w:t>
      </w:r>
      <w:r>
        <w:rPr>
          <w:noProof/>
          <w:szCs w:val="22"/>
          <w:lang w:val="it-IT"/>
        </w:rPr>
        <w:t xml:space="preserve">è risultata significativamente maggiore nei pazienti trattati con </w:t>
      </w:r>
      <w:r>
        <w:rPr>
          <w:rFonts w:eastAsia="SimSun"/>
          <w:noProof/>
          <w:lang w:val="it-IT" w:eastAsia="zh-CN"/>
        </w:rPr>
        <w:t>tocilizumab</w:t>
      </w:r>
      <w:r>
        <w:rPr>
          <w:noProof/>
          <w:lang w:val="it-IT"/>
        </w:rPr>
        <w:t xml:space="preserve"> </w:t>
      </w:r>
      <w:r>
        <w:rPr>
          <w:noProof/>
          <w:szCs w:val="22"/>
          <w:lang w:val="it-IT"/>
        </w:rPr>
        <w:t xml:space="preserve">in formulazione sottocutanea </w:t>
      </w:r>
      <w:ins w:id="7448" w:author="Author">
        <w:r>
          <w:rPr>
            <w:noProof/>
            <w:szCs w:val="22"/>
            <w:lang w:val="it-IT"/>
          </w:rPr>
          <w:t xml:space="preserve">ogni due </w:t>
        </w:r>
      </w:ins>
      <w:del w:id="7449" w:author="Author">
        <w:r>
          <w:rPr>
            <w:noProof/>
            <w:szCs w:val="22"/>
            <w:lang w:val="it-IT"/>
          </w:rPr>
          <w:delText>a</w:delText>
        </w:r>
      </w:del>
      <w:r>
        <w:rPr>
          <w:noProof/>
          <w:szCs w:val="22"/>
          <w:lang w:val="it-IT"/>
        </w:rPr>
        <w:t xml:space="preserve"> settimane </w:t>
      </w:r>
      <w:del w:id="7450" w:author="Author">
        <w:r>
          <w:rPr>
            <w:noProof/>
            <w:szCs w:val="22"/>
            <w:lang w:val="it-IT"/>
          </w:rPr>
          <w:delText xml:space="preserve">alterne </w:delText>
        </w:r>
      </w:del>
      <w:r>
        <w:rPr>
          <w:noProof/>
          <w:szCs w:val="22"/>
          <w:lang w:val="it-IT"/>
        </w:rPr>
        <w:t xml:space="preserve">(0,4) rispetto al placebo (0,3). La percentuale </w:t>
      </w:r>
      <w:r>
        <w:rPr>
          <w:noProof/>
          <w:lang w:val="it-IT"/>
        </w:rPr>
        <w:t xml:space="preserve">di pazienti che ha raggiunto un miglioramento clinicamente significativo dei punteggi HAQ-DI alla settimana 24 (variazione rispetto al basale di ≥0,3 unità) è risultata superiore con </w:t>
      </w:r>
      <w:del w:id="7451" w:author="Author">
        <w:r>
          <w:rPr>
            <w:rFonts w:eastAsia="SimSun"/>
            <w:noProof/>
            <w:lang w:val="it-IT" w:eastAsia="zh-CN"/>
          </w:rPr>
          <w:delText>tocilizumab</w:delText>
        </w:r>
      </w:del>
      <w:ins w:id="7452" w:author="Author">
        <w:r>
          <w:rPr>
            <w:rFonts w:eastAsia="SimSun"/>
            <w:noProof/>
            <w:lang w:val="it-IT" w:eastAsia="zh-CN"/>
          </w:rPr>
          <w:t>il trattamento</w:t>
        </w:r>
      </w:ins>
      <w:r>
        <w:rPr>
          <w:noProof/>
          <w:lang w:val="it-IT"/>
        </w:rPr>
        <w:t xml:space="preserve"> </w:t>
      </w:r>
      <w:r>
        <w:rPr>
          <w:noProof/>
          <w:szCs w:val="22"/>
          <w:lang w:val="it-IT"/>
        </w:rPr>
        <w:t xml:space="preserve">in formulazione sottocutanea </w:t>
      </w:r>
      <w:ins w:id="7453" w:author="Author">
        <w:r>
          <w:rPr>
            <w:noProof/>
            <w:szCs w:val="22"/>
            <w:lang w:val="it-IT"/>
          </w:rPr>
          <w:t>ogni due</w:t>
        </w:r>
      </w:ins>
      <w:del w:id="7454" w:author="Author">
        <w:r>
          <w:rPr>
            <w:noProof/>
            <w:szCs w:val="22"/>
            <w:lang w:val="it-IT"/>
          </w:rPr>
          <w:delText>a</w:delText>
        </w:r>
      </w:del>
      <w:r>
        <w:rPr>
          <w:noProof/>
          <w:szCs w:val="22"/>
          <w:lang w:val="it-IT"/>
        </w:rPr>
        <w:t xml:space="preserve"> settimane </w:t>
      </w:r>
      <w:del w:id="7455" w:author="Author">
        <w:r>
          <w:rPr>
            <w:noProof/>
            <w:szCs w:val="22"/>
            <w:lang w:val="it-IT"/>
          </w:rPr>
          <w:delText xml:space="preserve">alterne </w:delText>
        </w:r>
      </w:del>
      <w:r>
        <w:rPr>
          <w:noProof/>
          <w:szCs w:val="22"/>
          <w:lang w:val="it-IT"/>
        </w:rPr>
        <w:t xml:space="preserve">(58%) rispetto al placebo (46,8%). Il punteggio relativo al </w:t>
      </w:r>
      <w:r>
        <w:rPr>
          <w:noProof/>
          <w:lang w:val="it-IT"/>
        </w:rPr>
        <w:t xml:space="preserve">questionario SF-36 (variazione media nei punteggi della componente mentale e fisica) è risultato significativamente maggiore nel gruppo </w:t>
      </w:r>
      <w:r>
        <w:rPr>
          <w:rFonts w:eastAsia="SimSun"/>
          <w:noProof/>
          <w:lang w:val="it-IT" w:eastAsia="zh-CN"/>
        </w:rPr>
        <w:t>tocilizumab</w:t>
      </w:r>
      <w:r>
        <w:rPr>
          <w:noProof/>
          <w:lang w:val="it-IT"/>
        </w:rPr>
        <w:t xml:space="preserve"> </w:t>
      </w:r>
      <w:r>
        <w:rPr>
          <w:noProof/>
          <w:szCs w:val="22"/>
          <w:lang w:val="it-IT"/>
        </w:rPr>
        <w:t>in formulazione sottocutanea (6,5 e 5,3) rispetto al placebo (3,8 e 2,9).</w:t>
      </w:r>
    </w:p>
    <w:p>
      <w:pPr>
        <w:tabs>
          <w:tab w:val="left" w:pos="180"/>
        </w:tabs>
        <w:rPr>
          <w:noProof/>
          <w:szCs w:val="22"/>
          <w:lang w:val="it-IT"/>
        </w:rPr>
      </w:pPr>
    </w:p>
    <w:p>
      <w:pPr>
        <w:keepNext/>
        <w:keepLines/>
        <w:tabs>
          <w:tab w:val="left" w:pos="180"/>
        </w:tabs>
        <w:rPr>
          <w:del w:id="7456" w:author="Author"/>
          <w:noProof/>
          <w:szCs w:val="22"/>
          <w:u w:val="single"/>
          <w:lang w:val="it-IT"/>
        </w:rPr>
      </w:pPr>
      <w:r>
        <w:rPr>
          <w:noProof/>
          <w:szCs w:val="22"/>
          <w:u w:val="single"/>
          <w:lang w:val="it-IT"/>
        </w:rPr>
        <w:t>Uso sottocutaneo</w:t>
      </w:r>
    </w:p>
    <w:p>
      <w:pPr>
        <w:keepNext/>
        <w:keepLines/>
        <w:tabs>
          <w:tab w:val="left" w:pos="180"/>
        </w:tabs>
        <w:rPr>
          <w:noProof/>
          <w:szCs w:val="22"/>
          <w:u w:val="single"/>
          <w:lang w:val="it-IT"/>
        </w:rPr>
      </w:pPr>
    </w:p>
    <w:p>
      <w:pPr>
        <w:keepNext/>
        <w:keepLines/>
        <w:tabs>
          <w:tab w:val="left" w:pos="180"/>
        </w:tabs>
        <w:rPr>
          <w:bCs/>
          <w:i/>
          <w:iCs/>
          <w:noProof/>
          <w:szCs w:val="22"/>
          <w:lang w:val="it-IT"/>
          <w:rPrChange w:id="7457" w:author="Author">
            <w:rPr>
              <w:bCs/>
              <w:i/>
              <w:iCs/>
              <w:szCs w:val="22"/>
              <w:u w:val="single"/>
              <w:lang w:val="it-IT"/>
            </w:rPr>
          </w:rPrChange>
        </w:rPr>
      </w:pPr>
      <w:r>
        <w:rPr>
          <w:bCs/>
          <w:i/>
          <w:iCs/>
          <w:noProof/>
          <w:szCs w:val="22"/>
          <w:lang w:val="it-IT"/>
          <w:rPrChange w:id="7458" w:author="Author">
            <w:rPr>
              <w:bCs/>
              <w:i/>
              <w:iCs/>
              <w:szCs w:val="22"/>
              <w:u w:val="single"/>
              <w:lang w:val="it-IT"/>
            </w:rPr>
          </w:rPrChange>
        </w:rPr>
        <w:t>Pazienti affetti da AIGs</w:t>
      </w:r>
    </w:p>
    <w:p>
      <w:pPr>
        <w:keepNext/>
        <w:keepLines/>
        <w:tabs>
          <w:tab w:val="left" w:pos="180"/>
        </w:tabs>
        <w:rPr>
          <w:bCs/>
          <w:i/>
          <w:iCs/>
          <w:noProof/>
          <w:szCs w:val="22"/>
          <w:u w:val="single"/>
          <w:lang w:val="it-IT"/>
        </w:rPr>
      </w:pPr>
    </w:p>
    <w:p>
      <w:pPr>
        <w:keepNext/>
        <w:keepLines/>
        <w:tabs>
          <w:tab w:val="left" w:pos="180"/>
        </w:tabs>
        <w:rPr>
          <w:i/>
          <w:iCs/>
          <w:noProof/>
          <w:szCs w:val="22"/>
          <w:u w:val="single"/>
          <w:lang w:val="it-IT"/>
          <w:rPrChange w:id="7459" w:author="Author">
            <w:rPr>
              <w:szCs w:val="22"/>
              <w:u w:val="single"/>
              <w:lang w:val="it-IT"/>
            </w:rPr>
          </w:rPrChange>
        </w:rPr>
      </w:pPr>
      <w:r>
        <w:rPr>
          <w:i/>
          <w:iCs/>
          <w:noProof/>
          <w:szCs w:val="22"/>
          <w:u w:val="single"/>
          <w:lang w:val="it-IT"/>
          <w:rPrChange w:id="7460" w:author="Author">
            <w:rPr>
              <w:szCs w:val="22"/>
              <w:u w:val="single"/>
              <w:lang w:val="it-IT"/>
            </w:rPr>
          </w:rPrChange>
        </w:rPr>
        <w:t>Efficacia clinica</w:t>
      </w:r>
    </w:p>
    <w:p>
      <w:pPr>
        <w:keepNext/>
        <w:keepLines/>
        <w:tabs>
          <w:tab w:val="left" w:pos="180"/>
        </w:tabs>
        <w:rPr>
          <w:noProof/>
          <w:szCs w:val="22"/>
          <w:lang w:val="it-IT"/>
        </w:rPr>
      </w:pPr>
      <w:r>
        <w:rPr>
          <w:noProof/>
          <w:szCs w:val="22"/>
          <w:lang w:val="it-IT"/>
        </w:rPr>
        <w:t xml:space="preserve">Nei pazienti pediatrici affetti da AIGs di età compresa tra 1 e 17 anni è stato condotto uno studio </w:t>
      </w:r>
      <w:ins w:id="7461" w:author="Author">
        <w:r>
          <w:rPr>
            <w:noProof/>
            <w:szCs w:val="22"/>
            <w:lang w:val="it-IT"/>
          </w:rPr>
          <w:t xml:space="preserve">clinico </w:t>
        </w:r>
      </w:ins>
      <w:r>
        <w:rPr>
          <w:noProof/>
          <w:szCs w:val="22"/>
          <w:lang w:val="it-IT"/>
        </w:rPr>
        <w:t xml:space="preserve">in aperto e multicentrico della durata di 52 settimane sulla farmacocinetica/farmacodinamica (PK/PD) e sulla sicurezza (WA28118) al fine di stabilire la dose sottocutanea di </w:t>
      </w:r>
      <w:r>
        <w:rPr>
          <w:rFonts w:eastAsia="SimSun"/>
          <w:noProof/>
          <w:lang w:val="it-IT" w:eastAsia="zh-CN"/>
        </w:rPr>
        <w:t>tocilizumab</w:t>
      </w:r>
      <w:r>
        <w:rPr>
          <w:noProof/>
          <w:lang w:val="it-IT"/>
        </w:rPr>
        <w:t xml:space="preserve"> </w:t>
      </w:r>
      <w:r>
        <w:rPr>
          <w:noProof/>
          <w:szCs w:val="22"/>
          <w:lang w:val="it-IT"/>
        </w:rPr>
        <w:t>adeguata a ottenere profili di PK/PD e sicurezza sovrapponibili a quelli del regime endovenoso.</w:t>
      </w:r>
    </w:p>
    <w:p>
      <w:pPr>
        <w:tabs>
          <w:tab w:val="left" w:pos="180"/>
        </w:tabs>
        <w:rPr>
          <w:noProof/>
          <w:szCs w:val="22"/>
          <w:lang w:val="it-IT"/>
        </w:rPr>
      </w:pPr>
    </w:p>
    <w:p>
      <w:pPr>
        <w:tabs>
          <w:tab w:val="left" w:pos="180"/>
        </w:tabs>
        <w:rPr>
          <w:noProof/>
          <w:szCs w:val="22"/>
          <w:lang w:val="it-IT"/>
        </w:rPr>
      </w:pPr>
      <w:r>
        <w:rPr>
          <w:noProof/>
          <w:szCs w:val="22"/>
          <w:lang w:val="it-IT"/>
        </w:rPr>
        <w:t xml:space="preserve">I pazienti idonei sono stati trattati con </w:t>
      </w:r>
      <w:ins w:id="7462" w:author="Author">
        <w:r>
          <w:rPr>
            <w:noProof/>
            <w:szCs w:val="22"/>
            <w:lang w:val="it-IT"/>
          </w:rPr>
          <w:t xml:space="preserve">una dose di </w:t>
        </w:r>
      </w:ins>
      <w:r>
        <w:rPr>
          <w:rFonts w:eastAsia="SimSun"/>
          <w:noProof/>
          <w:lang w:val="it-IT" w:eastAsia="zh-CN"/>
        </w:rPr>
        <w:t>tocilizumab</w:t>
      </w:r>
      <w:r>
        <w:rPr>
          <w:noProof/>
          <w:lang w:val="it-IT"/>
        </w:rPr>
        <w:t xml:space="preserve"> </w:t>
      </w:r>
      <w:ins w:id="7463" w:author="Author">
        <w:r>
          <w:rPr>
            <w:noProof/>
            <w:lang w:val="it-IT"/>
          </w:rPr>
          <w:t xml:space="preserve">calcolata in base </w:t>
        </w:r>
      </w:ins>
      <w:del w:id="7464" w:author="Author">
        <w:r>
          <w:rPr>
            <w:noProof/>
            <w:szCs w:val="22"/>
            <w:lang w:val="it-IT"/>
          </w:rPr>
          <w:delText xml:space="preserve">a una dose funzionale </w:delText>
        </w:r>
      </w:del>
      <w:r>
        <w:rPr>
          <w:noProof/>
          <w:szCs w:val="22"/>
          <w:lang w:val="it-IT"/>
        </w:rPr>
        <w:t>al loro peso corporeo: ai pazienti di peso ≥ 30 kg (n</w:t>
      </w:r>
      <w:del w:id="7465" w:author="Author">
        <w:r>
          <w:rPr>
            <w:noProof/>
            <w:szCs w:val="22"/>
            <w:lang w:val="it-IT"/>
          </w:rPr>
          <w:delText xml:space="preserve"> </w:delText>
        </w:r>
      </w:del>
      <w:ins w:id="7466" w:author="Author">
        <w:r>
          <w:rPr>
            <w:noProof/>
            <w:szCs w:val="22"/>
            <w:lang w:val="it-IT"/>
          </w:rPr>
          <w:t> </w:t>
        </w:r>
      </w:ins>
      <w:r>
        <w:rPr>
          <w:noProof/>
          <w:szCs w:val="22"/>
          <w:lang w:val="it-IT"/>
        </w:rPr>
        <w:t>=</w:t>
      </w:r>
      <w:ins w:id="7467" w:author="Author">
        <w:r>
          <w:rPr>
            <w:noProof/>
            <w:szCs w:val="22"/>
            <w:lang w:val="it-IT"/>
          </w:rPr>
          <w:t> </w:t>
        </w:r>
      </w:ins>
      <w:del w:id="7468" w:author="Author">
        <w:r>
          <w:rPr>
            <w:noProof/>
            <w:szCs w:val="22"/>
            <w:lang w:val="it-IT"/>
          </w:rPr>
          <w:delText xml:space="preserve"> </w:delText>
        </w:r>
      </w:del>
      <w:r>
        <w:rPr>
          <w:noProof/>
          <w:szCs w:val="22"/>
          <w:lang w:val="it-IT"/>
        </w:rPr>
        <w:t xml:space="preserve">26) sono stati somministrati 162 mg di </w:t>
      </w:r>
      <w:r>
        <w:rPr>
          <w:rFonts w:eastAsia="SimSun"/>
          <w:noProof/>
          <w:lang w:val="it-IT" w:eastAsia="zh-CN"/>
        </w:rPr>
        <w:t>tocilizumab</w:t>
      </w:r>
      <w:r>
        <w:rPr>
          <w:noProof/>
          <w:lang w:val="it-IT"/>
        </w:rPr>
        <w:t xml:space="preserve"> </w:t>
      </w:r>
      <w:del w:id="7469" w:author="Author">
        <w:r>
          <w:rPr>
            <w:noProof/>
            <w:szCs w:val="22"/>
            <w:lang w:val="it-IT"/>
          </w:rPr>
          <w:delText xml:space="preserve">ogni </w:delText>
        </w:r>
      </w:del>
      <w:ins w:id="7470" w:author="Author">
        <w:r>
          <w:rPr>
            <w:noProof/>
            <w:szCs w:val="22"/>
            <w:lang w:val="it-IT"/>
          </w:rPr>
          <w:t xml:space="preserve">una volta a </w:t>
        </w:r>
      </w:ins>
      <w:r>
        <w:rPr>
          <w:noProof/>
          <w:szCs w:val="22"/>
          <w:lang w:val="it-IT"/>
        </w:rPr>
        <w:t>settimana (QW), mentre a quelli di peso inferiore a 30 kg (n</w:t>
      </w:r>
      <w:del w:id="7471" w:author="Author">
        <w:r>
          <w:rPr>
            <w:noProof/>
            <w:szCs w:val="22"/>
            <w:lang w:val="it-IT"/>
          </w:rPr>
          <w:delText xml:space="preserve"> </w:delText>
        </w:r>
      </w:del>
      <w:ins w:id="7472" w:author="Author">
        <w:r>
          <w:rPr>
            <w:noProof/>
            <w:szCs w:val="22"/>
            <w:lang w:val="it-IT"/>
          </w:rPr>
          <w:t> </w:t>
        </w:r>
      </w:ins>
      <w:r>
        <w:rPr>
          <w:noProof/>
          <w:szCs w:val="22"/>
          <w:lang w:val="it-IT"/>
        </w:rPr>
        <w:t>=</w:t>
      </w:r>
      <w:ins w:id="7473" w:author="Author">
        <w:r>
          <w:rPr>
            <w:noProof/>
            <w:szCs w:val="22"/>
            <w:lang w:val="it-IT"/>
          </w:rPr>
          <w:t> </w:t>
        </w:r>
      </w:ins>
      <w:del w:id="7474" w:author="Author">
        <w:r>
          <w:rPr>
            <w:noProof/>
            <w:szCs w:val="22"/>
            <w:lang w:val="it-IT"/>
          </w:rPr>
          <w:delText xml:space="preserve"> </w:delText>
        </w:r>
      </w:del>
      <w:r>
        <w:rPr>
          <w:noProof/>
          <w:szCs w:val="22"/>
          <w:lang w:val="it-IT"/>
        </w:rPr>
        <w:t xml:space="preserve">25) sono stati somministrati 162 mg di </w:t>
      </w:r>
      <w:r>
        <w:rPr>
          <w:rFonts w:eastAsia="SimSun"/>
          <w:noProof/>
          <w:lang w:val="it-IT" w:eastAsia="zh-CN"/>
        </w:rPr>
        <w:t>tocilizumab</w:t>
      </w:r>
      <w:r>
        <w:rPr>
          <w:noProof/>
          <w:lang w:val="it-IT"/>
        </w:rPr>
        <w:t xml:space="preserve"> </w:t>
      </w:r>
      <w:r>
        <w:rPr>
          <w:noProof/>
          <w:szCs w:val="22"/>
          <w:lang w:val="it-IT"/>
        </w:rPr>
        <w:t>ogni 10 giorni (Q10D; n</w:t>
      </w:r>
      <w:del w:id="7475" w:author="Author">
        <w:r>
          <w:rPr>
            <w:noProof/>
            <w:szCs w:val="22"/>
            <w:lang w:val="it-IT"/>
          </w:rPr>
          <w:delText xml:space="preserve"> </w:delText>
        </w:r>
      </w:del>
      <w:ins w:id="7476" w:author="Author">
        <w:r>
          <w:rPr>
            <w:noProof/>
            <w:szCs w:val="22"/>
            <w:lang w:val="it-IT"/>
          </w:rPr>
          <w:t> </w:t>
        </w:r>
      </w:ins>
      <w:r>
        <w:rPr>
          <w:noProof/>
          <w:szCs w:val="22"/>
          <w:lang w:val="it-IT"/>
        </w:rPr>
        <w:t>=</w:t>
      </w:r>
      <w:ins w:id="7477" w:author="Author">
        <w:r>
          <w:rPr>
            <w:noProof/>
            <w:szCs w:val="22"/>
            <w:lang w:val="it-IT"/>
          </w:rPr>
          <w:t> </w:t>
        </w:r>
      </w:ins>
      <w:del w:id="7478" w:author="Author">
        <w:r>
          <w:rPr>
            <w:noProof/>
            <w:szCs w:val="22"/>
            <w:lang w:val="it-IT"/>
          </w:rPr>
          <w:delText xml:space="preserve"> </w:delText>
        </w:r>
      </w:del>
      <w:r>
        <w:rPr>
          <w:noProof/>
          <w:szCs w:val="22"/>
          <w:lang w:val="it-IT"/>
        </w:rPr>
        <w:t>8) od ogni 2 settimane (Q2W; n</w:t>
      </w:r>
      <w:del w:id="7479" w:author="Author">
        <w:r>
          <w:rPr>
            <w:noProof/>
            <w:szCs w:val="22"/>
            <w:lang w:val="it-IT"/>
          </w:rPr>
          <w:delText xml:space="preserve"> </w:delText>
        </w:r>
      </w:del>
      <w:ins w:id="7480" w:author="Author">
        <w:r>
          <w:rPr>
            <w:noProof/>
            <w:szCs w:val="22"/>
            <w:lang w:val="it-IT"/>
          </w:rPr>
          <w:t> </w:t>
        </w:r>
      </w:ins>
      <w:r>
        <w:rPr>
          <w:noProof/>
          <w:szCs w:val="22"/>
          <w:lang w:val="it-IT"/>
        </w:rPr>
        <w:t>=</w:t>
      </w:r>
      <w:ins w:id="7481" w:author="Author">
        <w:r>
          <w:rPr>
            <w:noProof/>
            <w:szCs w:val="22"/>
            <w:lang w:val="it-IT"/>
          </w:rPr>
          <w:t> </w:t>
        </w:r>
      </w:ins>
      <w:del w:id="7482" w:author="Author">
        <w:r>
          <w:rPr>
            <w:noProof/>
            <w:szCs w:val="22"/>
            <w:lang w:val="it-IT"/>
          </w:rPr>
          <w:delText xml:space="preserve"> </w:delText>
        </w:r>
      </w:del>
      <w:r>
        <w:rPr>
          <w:noProof/>
          <w:szCs w:val="22"/>
          <w:lang w:val="it-IT"/>
        </w:rPr>
        <w:t>17) per 52 settimane. Ventisei (51%) di questi 51 pazienti erano naïve al trattamento</w:t>
      </w:r>
      <w:del w:id="7483" w:author="Author">
        <w:r>
          <w:rPr>
            <w:noProof/>
            <w:szCs w:val="22"/>
            <w:lang w:val="it-IT"/>
          </w:rPr>
          <w:delText xml:space="preserve"> </w:delText>
        </w:r>
      </w:del>
      <w:r>
        <w:rPr>
          <w:noProof/>
          <w:szCs w:val="22"/>
          <w:lang w:val="it-IT"/>
        </w:rPr>
        <w:t xml:space="preserve">, mentre 25 (49%) erano stati precedentemente sottoposti al trattamento con </w:t>
      </w:r>
      <w:r>
        <w:rPr>
          <w:rFonts w:eastAsia="SimSun"/>
          <w:noProof/>
          <w:lang w:val="it-IT" w:eastAsia="zh-CN"/>
        </w:rPr>
        <w:t>tocilizumab</w:t>
      </w:r>
      <w:r>
        <w:rPr>
          <w:noProof/>
          <w:lang w:val="it-IT"/>
        </w:rPr>
        <w:t xml:space="preserve"> in formulazione endovenosa</w:t>
      </w:r>
      <w:r>
        <w:rPr>
          <w:noProof/>
          <w:szCs w:val="22"/>
          <w:lang w:val="it-IT"/>
        </w:rPr>
        <w:t xml:space="preserve"> e sono passati alla terapia con </w:t>
      </w:r>
      <w:r>
        <w:rPr>
          <w:rFonts w:eastAsia="SimSun"/>
          <w:noProof/>
          <w:lang w:val="it-IT" w:eastAsia="zh-CN"/>
        </w:rPr>
        <w:t>tocilizumab</w:t>
      </w:r>
      <w:r>
        <w:rPr>
          <w:noProof/>
          <w:lang w:val="it-IT"/>
        </w:rPr>
        <w:t xml:space="preserve"> in formulazione sottocutanea</w:t>
      </w:r>
      <w:r>
        <w:rPr>
          <w:noProof/>
          <w:szCs w:val="22"/>
          <w:lang w:val="it-IT"/>
        </w:rPr>
        <w:t xml:space="preserve"> al basale.</w:t>
      </w:r>
    </w:p>
    <w:p>
      <w:pPr>
        <w:tabs>
          <w:tab w:val="left" w:pos="180"/>
        </w:tabs>
        <w:rPr>
          <w:noProof/>
          <w:szCs w:val="22"/>
          <w:lang w:val="it-IT"/>
        </w:rPr>
      </w:pPr>
    </w:p>
    <w:p>
      <w:pPr>
        <w:tabs>
          <w:tab w:val="left" w:pos="180"/>
        </w:tabs>
        <w:rPr>
          <w:noProof/>
          <w:szCs w:val="22"/>
          <w:lang w:val="it-IT"/>
        </w:rPr>
      </w:pPr>
      <w:r>
        <w:rPr>
          <w:noProof/>
          <w:szCs w:val="22"/>
          <w:lang w:val="it-IT"/>
        </w:rPr>
        <w:t xml:space="preserve">Dai risultati esplorativi di efficacia è emerso che </w:t>
      </w:r>
      <w:r>
        <w:rPr>
          <w:rFonts w:eastAsia="SimSun"/>
          <w:noProof/>
          <w:lang w:val="it-IT" w:eastAsia="zh-CN"/>
        </w:rPr>
        <w:t>tocilizumab</w:t>
      </w:r>
      <w:r>
        <w:rPr>
          <w:noProof/>
          <w:lang w:val="it-IT"/>
        </w:rPr>
        <w:t xml:space="preserve"> in formulazione sottocutanea</w:t>
      </w:r>
      <w:r>
        <w:rPr>
          <w:noProof/>
          <w:szCs w:val="22"/>
          <w:lang w:val="it-IT"/>
        </w:rPr>
        <w:t xml:space="preserve"> ha determinato un miglioramento di tutti i parametri esplorativi di efficacia, tra cui il punteggio JADAS-71 (Juvenile Arthritis Disease Activity Score-71), nei pazienti naïve al trattamento con </w:t>
      </w:r>
      <w:r>
        <w:rPr>
          <w:rFonts w:eastAsia="SimSun"/>
          <w:noProof/>
          <w:lang w:val="it-IT" w:eastAsia="zh-CN"/>
        </w:rPr>
        <w:t>tocilizumab</w:t>
      </w:r>
      <w:r>
        <w:rPr>
          <w:noProof/>
          <w:szCs w:val="22"/>
          <w:lang w:val="it-IT"/>
        </w:rPr>
        <w:t xml:space="preserve">e ha consentito di mantenere tutti i parametri esplorativi di efficacia nei pazienti che sono passati dal trattamento con </w:t>
      </w:r>
      <w:r>
        <w:rPr>
          <w:rFonts w:eastAsia="SimSun"/>
          <w:noProof/>
          <w:lang w:val="it-IT" w:eastAsia="zh-CN"/>
        </w:rPr>
        <w:t>tocilizumab</w:t>
      </w:r>
      <w:r>
        <w:rPr>
          <w:noProof/>
          <w:lang w:val="it-IT"/>
        </w:rPr>
        <w:t xml:space="preserve"> in formulazione endovenosa</w:t>
      </w:r>
      <w:r>
        <w:rPr>
          <w:noProof/>
          <w:szCs w:val="22"/>
          <w:lang w:val="it-IT"/>
        </w:rPr>
        <w:t>a</w:t>
      </w:r>
      <w:del w:id="7484" w:author="Author">
        <w:r>
          <w:rPr>
            <w:noProof/>
            <w:szCs w:val="22"/>
            <w:lang w:val="it-IT"/>
          </w:rPr>
          <w:delText xml:space="preserve"> </w:delText>
        </w:r>
      </w:del>
      <w:r>
        <w:rPr>
          <w:rFonts w:eastAsia="SimSun"/>
          <w:noProof/>
          <w:lang w:val="it-IT" w:eastAsia="zh-CN"/>
        </w:rPr>
        <w:t xml:space="preserve"> tocilizumab</w:t>
      </w:r>
      <w:r>
        <w:rPr>
          <w:noProof/>
          <w:lang w:val="it-IT"/>
        </w:rPr>
        <w:t xml:space="preserve"> in formulazione sottocutanea.</w:t>
      </w:r>
      <w:r>
        <w:rPr>
          <w:noProof/>
          <w:szCs w:val="22"/>
          <w:lang w:val="it-IT"/>
        </w:rPr>
        <w:t xml:space="preserve"> Tali risultati sono stati osservati per l’intera durata dello studio nei pazienti di entrambi i gruppi di peso corporeo (inferiore a 30 kg e</w:t>
      </w:r>
      <w:del w:id="7485" w:author="Author">
        <w:r>
          <w:rPr>
            <w:noProof/>
            <w:szCs w:val="22"/>
            <w:lang w:val="it-IT"/>
          </w:rPr>
          <w:delText xml:space="preserve"> </w:delText>
        </w:r>
      </w:del>
      <w:ins w:id="7486" w:author="Author">
        <w:r>
          <w:rPr>
            <w:noProof/>
            <w:szCs w:val="22"/>
            <w:lang w:val="it-IT"/>
          </w:rPr>
          <w:t> </w:t>
        </w:r>
      </w:ins>
      <w:r>
        <w:rPr>
          <w:noProof/>
          <w:szCs w:val="22"/>
          <w:lang w:val="it-IT" w:eastAsia="de-DE"/>
        </w:rPr>
        <w:t>≥</w:t>
      </w:r>
      <w:ins w:id="7487" w:author="Author">
        <w:r>
          <w:rPr>
            <w:noProof/>
            <w:szCs w:val="22"/>
            <w:lang w:val="it-IT" w:eastAsia="de-DE"/>
          </w:rPr>
          <w:t> </w:t>
        </w:r>
      </w:ins>
      <w:r>
        <w:rPr>
          <w:noProof/>
          <w:szCs w:val="22"/>
          <w:lang w:val="it-IT"/>
        </w:rPr>
        <w:t>30</w:t>
      </w:r>
      <w:ins w:id="7488" w:author="Author">
        <w:r>
          <w:rPr>
            <w:noProof/>
            <w:szCs w:val="22"/>
            <w:lang w:val="it-IT"/>
          </w:rPr>
          <w:t> </w:t>
        </w:r>
      </w:ins>
      <w:del w:id="7489" w:author="Author">
        <w:r>
          <w:rPr>
            <w:noProof/>
            <w:szCs w:val="22"/>
            <w:lang w:val="it-IT"/>
          </w:rPr>
          <w:delText xml:space="preserve"> </w:delText>
        </w:r>
      </w:del>
      <w:r>
        <w:rPr>
          <w:noProof/>
          <w:szCs w:val="22"/>
          <w:lang w:val="it-IT"/>
        </w:rPr>
        <w:t>kg).</w:t>
      </w:r>
    </w:p>
    <w:p>
      <w:pPr>
        <w:tabs>
          <w:tab w:val="left" w:pos="180"/>
        </w:tabs>
        <w:rPr>
          <w:noProof/>
          <w:szCs w:val="22"/>
          <w:lang w:val="it-IT"/>
        </w:rPr>
      </w:pPr>
    </w:p>
    <w:p>
      <w:pPr>
        <w:keepNext/>
        <w:tabs>
          <w:tab w:val="left" w:pos="180"/>
        </w:tabs>
        <w:rPr>
          <w:del w:id="7490" w:author="Author"/>
          <w:noProof/>
          <w:szCs w:val="22"/>
          <w:u w:val="single"/>
          <w:lang w:val="it-IT"/>
        </w:rPr>
        <w:pPrChange w:id="7491" w:author="Author">
          <w:pPr>
            <w:tabs>
              <w:tab w:val="left" w:pos="180"/>
            </w:tabs>
          </w:pPr>
        </w:pPrChange>
      </w:pPr>
      <w:r>
        <w:rPr>
          <w:noProof/>
          <w:szCs w:val="22"/>
          <w:u w:val="single"/>
          <w:lang w:val="it-IT"/>
        </w:rPr>
        <w:t>Uso sottocutaneo</w:t>
      </w:r>
    </w:p>
    <w:p>
      <w:pPr>
        <w:keepNext/>
        <w:tabs>
          <w:tab w:val="left" w:pos="180"/>
        </w:tabs>
        <w:rPr>
          <w:noProof/>
          <w:szCs w:val="22"/>
          <w:u w:val="single"/>
          <w:lang w:val="it-IT"/>
        </w:rPr>
        <w:pPrChange w:id="7492" w:author="Author">
          <w:pPr>
            <w:tabs>
              <w:tab w:val="left" w:pos="180"/>
            </w:tabs>
          </w:pPr>
        </w:pPrChange>
      </w:pPr>
    </w:p>
    <w:p>
      <w:pPr>
        <w:keepNext/>
        <w:tabs>
          <w:tab w:val="left" w:pos="180"/>
        </w:tabs>
        <w:rPr>
          <w:ins w:id="7493" w:author="Author"/>
          <w:bCs/>
          <w:i/>
          <w:iCs/>
          <w:noProof/>
          <w:szCs w:val="22"/>
          <w:lang w:val="it-IT"/>
        </w:rPr>
        <w:pPrChange w:id="7494" w:author="Author">
          <w:pPr>
            <w:tabs>
              <w:tab w:val="left" w:pos="180"/>
            </w:tabs>
          </w:pPr>
        </w:pPrChange>
      </w:pPr>
      <w:r>
        <w:rPr>
          <w:bCs/>
          <w:i/>
          <w:iCs/>
          <w:noProof/>
          <w:szCs w:val="22"/>
          <w:lang w:val="it-IT"/>
        </w:rPr>
        <w:t xml:space="preserve">Pazienti affetti da </w:t>
      </w:r>
      <w:r>
        <w:rPr>
          <w:bCs/>
          <w:i/>
          <w:iCs/>
          <w:noProof/>
          <w:szCs w:val="22"/>
          <w:lang w:val="it-IT"/>
          <w:rPrChange w:id="7495" w:author="Author">
            <w:rPr>
              <w:bCs/>
              <w:i/>
              <w:iCs/>
              <w:szCs w:val="22"/>
              <w:u w:val="single"/>
              <w:lang w:val="it-IT"/>
            </w:rPr>
          </w:rPrChange>
        </w:rPr>
        <w:t>AIGp</w:t>
      </w:r>
    </w:p>
    <w:p>
      <w:pPr>
        <w:keepNext/>
        <w:tabs>
          <w:tab w:val="left" w:pos="180"/>
        </w:tabs>
        <w:rPr>
          <w:bCs/>
          <w:i/>
          <w:iCs/>
          <w:noProof/>
          <w:szCs w:val="22"/>
          <w:lang w:val="it-IT"/>
        </w:rPr>
        <w:pPrChange w:id="7496" w:author="Author">
          <w:pPr>
            <w:tabs>
              <w:tab w:val="left" w:pos="180"/>
            </w:tabs>
          </w:pPr>
        </w:pPrChange>
      </w:pPr>
    </w:p>
    <w:p>
      <w:pPr>
        <w:keepNext/>
        <w:tabs>
          <w:tab w:val="left" w:pos="180"/>
        </w:tabs>
        <w:rPr>
          <w:i/>
          <w:iCs/>
          <w:noProof/>
          <w:szCs w:val="22"/>
          <w:u w:val="single"/>
          <w:lang w:val="it-IT"/>
        </w:rPr>
        <w:pPrChange w:id="7497" w:author="Author">
          <w:pPr>
            <w:tabs>
              <w:tab w:val="left" w:pos="180"/>
            </w:tabs>
          </w:pPr>
        </w:pPrChange>
      </w:pPr>
      <w:r>
        <w:rPr>
          <w:i/>
          <w:iCs/>
          <w:noProof/>
          <w:szCs w:val="22"/>
          <w:u w:val="single"/>
          <w:lang w:val="it-IT"/>
        </w:rPr>
        <w:t>Efficacia clinica</w:t>
      </w:r>
    </w:p>
    <w:p>
      <w:pPr>
        <w:tabs>
          <w:tab w:val="left" w:pos="180"/>
        </w:tabs>
        <w:rPr>
          <w:noProof/>
          <w:szCs w:val="22"/>
          <w:lang w:val="it-IT"/>
        </w:rPr>
      </w:pPr>
      <w:r>
        <w:rPr>
          <w:noProof/>
          <w:szCs w:val="22"/>
          <w:lang w:val="it-IT"/>
        </w:rPr>
        <w:t xml:space="preserve">Nei pazienti pediatrici affetti da AIGp di età compresa tra 1 e 17 anni è stato condotto uno studio </w:t>
      </w:r>
      <w:ins w:id="7498" w:author="Author">
        <w:r>
          <w:rPr>
            <w:noProof/>
            <w:szCs w:val="22"/>
            <w:lang w:val="it-IT"/>
          </w:rPr>
          <w:t xml:space="preserve">clinico </w:t>
        </w:r>
      </w:ins>
      <w:r>
        <w:rPr>
          <w:noProof/>
          <w:szCs w:val="22"/>
          <w:lang w:val="it-IT"/>
        </w:rPr>
        <w:t xml:space="preserve">in aperto e multicentrico della durata di 52 settimane </w:t>
      </w:r>
      <w:del w:id="7499" w:author="Author">
        <w:r>
          <w:rPr>
            <w:noProof/>
            <w:szCs w:val="22"/>
            <w:lang w:val="it-IT"/>
          </w:rPr>
          <w:delText xml:space="preserve">sulla </w:delText>
        </w:r>
      </w:del>
      <w:ins w:id="7500" w:author="Author">
        <w:r>
          <w:rPr>
            <w:noProof/>
            <w:szCs w:val="22"/>
            <w:lang w:val="it-IT"/>
          </w:rPr>
          <w:t xml:space="preserve">di </w:t>
        </w:r>
      </w:ins>
      <w:r>
        <w:rPr>
          <w:noProof/>
          <w:szCs w:val="22"/>
          <w:lang w:val="it-IT"/>
        </w:rPr>
        <w:t>PK</w:t>
      </w:r>
      <w:ins w:id="7501" w:author="Author">
        <w:r>
          <w:rPr>
            <w:noProof/>
            <w:szCs w:val="22"/>
            <w:lang w:val="it-IT"/>
          </w:rPr>
          <w:t>/</w:t>
        </w:r>
      </w:ins>
      <w:del w:id="7502" w:author="Author">
        <w:r>
          <w:rPr>
            <w:noProof/>
            <w:szCs w:val="22"/>
            <w:lang w:val="it-IT"/>
          </w:rPr>
          <w:delText>-</w:delText>
        </w:r>
      </w:del>
      <w:r>
        <w:rPr>
          <w:noProof/>
          <w:szCs w:val="22"/>
          <w:lang w:val="it-IT"/>
        </w:rPr>
        <w:t xml:space="preserve">PD e </w:t>
      </w:r>
      <w:del w:id="7503" w:author="Author">
        <w:r>
          <w:rPr>
            <w:noProof/>
            <w:szCs w:val="22"/>
            <w:lang w:val="it-IT"/>
          </w:rPr>
          <w:delText xml:space="preserve">sulla </w:delText>
        </w:r>
      </w:del>
      <w:ins w:id="7504" w:author="Author">
        <w:r>
          <w:rPr>
            <w:noProof/>
            <w:szCs w:val="22"/>
            <w:lang w:val="it-IT"/>
          </w:rPr>
          <w:t xml:space="preserve">di </w:t>
        </w:r>
      </w:ins>
      <w:r>
        <w:rPr>
          <w:noProof/>
          <w:szCs w:val="22"/>
          <w:lang w:val="it-IT"/>
        </w:rPr>
        <w:t xml:space="preserve">sicurezza al fine di stabilire la dose sottocutanea di </w:t>
      </w:r>
      <w:r>
        <w:rPr>
          <w:rFonts w:eastAsia="SimSun"/>
          <w:noProof/>
          <w:lang w:val="it-IT" w:eastAsia="zh-CN"/>
        </w:rPr>
        <w:t>tocilizumab</w:t>
      </w:r>
      <w:r>
        <w:rPr>
          <w:noProof/>
          <w:lang w:val="it-IT"/>
        </w:rPr>
        <w:t xml:space="preserve"> </w:t>
      </w:r>
      <w:r>
        <w:rPr>
          <w:noProof/>
          <w:szCs w:val="22"/>
          <w:lang w:val="it-IT"/>
        </w:rPr>
        <w:t>adeguata a ottenere profili di PK/PD e sicurezza sovrapponibili a quelli del regime endovenoso.</w:t>
      </w:r>
    </w:p>
    <w:p>
      <w:pPr>
        <w:tabs>
          <w:tab w:val="left" w:pos="180"/>
        </w:tabs>
        <w:rPr>
          <w:noProof/>
          <w:szCs w:val="22"/>
          <w:lang w:val="it-IT"/>
        </w:rPr>
      </w:pPr>
    </w:p>
    <w:p>
      <w:pPr>
        <w:tabs>
          <w:tab w:val="left" w:pos="180"/>
        </w:tabs>
        <w:rPr>
          <w:noProof/>
          <w:szCs w:val="22"/>
          <w:lang w:val="it-IT"/>
        </w:rPr>
      </w:pPr>
      <w:r>
        <w:rPr>
          <w:noProof/>
          <w:szCs w:val="22"/>
          <w:lang w:val="it-IT"/>
        </w:rPr>
        <w:t xml:space="preserve">I pazienti idonei sono stati trattati con </w:t>
      </w:r>
      <w:ins w:id="7505" w:author="Author">
        <w:r>
          <w:rPr>
            <w:noProof/>
            <w:szCs w:val="22"/>
            <w:lang w:val="it-IT"/>
          </w:rPr>
          <w:t xml:space="preserve">una dose di </w:t>
        </w:r>
      </w:ins>
      <w:r>
        <w:rPr>
          <w:noProof/>
          <w:szCs w:val="22"/>
          <w:lang w:val="it-IT"/>
        </w:rPr>
        <w:t xml:space="preserve">tocilizumab </w:t>
      </w:r>
      <w:ins w:id="7506" w:author="Author">
        <w:r>
          <w:rPr>
            <w:noProof/>
            <w:szCs w:val="22"/>
            <w:lang w:val="it-IT"/>
          </w:rPr>
          <w:t>calcolata in base</w:t>
        </w:r>
      </w:ins>
      <w:del w:id="7507" w:author="Author">
        <w:r>
          <w:rPr>
            <w:noProof/>
            <w:szCs w:val="22"/>
            <w:lang w:val="it-IT"/>
          </w:rPr>
          <w:delText xml:space="preserve">a una dose funzionale </w:delText>
        </w:r>
      </w:del>
      <w:r>
        <w:rPr>
          <w:noProof/>
          <w:szCs w:val="22"/>
          <w:lang w:val="it-IT"/>
        </w:rPr>
        <w:t>al loro peso corporeo</w:t>
      </w:r>
      <w:ins w:id="7508" w:author="Author">
        <w:r>
          <w:rPr>
            <w:noProof/>
            <w:szCs w:val="22"/>
            <w:lang w:val="it-IT"/>
          </w:rPr>
          <w:t>;</w:t>
        </w:r>
      </w:ins>
      <w:del w:id="7509" w:author="Author">
        <w:r>
          <w:rPr>
            <w:noProof/>
            <w:szCs w:val="22"/>
            <w:lang w:val="it-IT"/>
          </w:rPr>
          <w:delText xml:space="preserve"> :</w:delText>
        </w:r>
      </w:del>
      <w:r>
        <w:rPr>
          <w:noProof/>
          <w:szCs w:val="22"/>
          <w:lang w:val="it-IT"/>
        </w:rPr>
        <w:t xml:space="preserve"> nei pazienti di peso ≥</w:t>
      </w:r>
      <w:ins w:id="7510" w:author="Author">
        <w:r>
          <w:rPr>
            <w:noProof/>
            <w:szCs w:val="22"/>
            <w:lang w:val="it-IT"/>
          </w:rPr>
          <w:t> </w:t>
        </w:r>
      </w:ins>
      <w:del w:id="7511" w:author="Author">
        <w:r>
          <w:rPr>
            <w:noProof/>
            <w:szCs w:val="22"/>
            <w:lang w:val="it-IT"/>
          </w:rPr>
          <w:delText xml:space="preserve"> </w:delText>
        </w:r>
      </w:del>
      <w:r>
        <w:rPr>
          <w:noProof/>
          <w:szCs w:val="22"/>
          <w:lang w:val="it-IT"/>
        </w:rPr>
        <w:t>30</w:t>
      </w:r>
      <w:ins w:id="7512" w:author="Author">
        <w:r>
          <w:rPr>
            <w:noProof/>
            <w:szCs w:val="22"/>
            <w:lang w:val="it-IT"/>
          </w:rPr>
          <w:t> </w:t>
        </w:r>
      </w:ins>
      <w:del w:id="7513" w:author="Author">
        <w:r>
          <w:rPr>
            <w:noProof/>
            <w:szCs w:val="22"/>
            <w:lang w:val="it-IT"/>
          </w:rPr>
          <w:delText xml:space="preserve"> </w:delText>
        </w:r>
      </w:del>
      <w:r>
        <w:rPr>
          <w:noProof/>
          <w:szCs w:val="22"/>
          <w:lang w:val="it-IT"/>
        </w:rPr>
        <w:t xml:space="preserve">kg (n = 25) sono stati somministrati 162 mg di RoActemra ogni 2 settimane (Q2W), mentre in quelli di peso inferiore a 30 kg (n = 27) sono stati somministrati 162 mg di </w:t>
      </w:r>
      <w:r>
        <w:rPr>
          <w:noProof/>
          <w:szCs w:val="22"/>
          <w:lang w:val="it-IT"/>
        </w:rPr>
        <w:lastRenderedPageBreak/>
        <w:t>RoActemra ogni 3 settimane (Q3W) per 52 settimane. Trentasette (71%) di questi 52 pazienti erano naïve al trattamento</w:t>
      </w:r>
      <w:del w:id="7514" w:author="Author">
        <w:r>
          <w:rPr>
            <w:noProof/>
            <w:szCs w:val="22"/>
            <w:lang w:val="it-IT"/>
          </w:rPr>
          <w:delText xml:space="preserve"> con RoActemra</w:delText>
        </w:r>
      </w:del>
      <w:r>
        <w:rPr>
          <w:noProof/>
          <w:szCs w:val="22"/>
          <w:lang w:val="it-IT"/>
        </w:rPr>
        <w:t xml:space="preserve">, mentre 15 (29%) erano stati precedentemente sottoposti al trattamento </w:t>
      </w:r>
      <w:del w:id="7515" w:author="Author">
        <w:r>
          <w:rPr>
            <w:noProof/>
            <w:szCs w:val="22"/>
            <w:lang w:val="it-IT"/>
          </w:rPr>
          <w:delText xml:space="preserve">con </w:delText>
        </w:r>
        <w:r>
          <w:rPr>
            <w:rFonts w:eastAsia="SimSun"/>
            <w:noProof/>
            <w:lang w:val="it-IT" w:eastAsia="zh-CN"/>
          </w:rPr>
          <w:delText>tocilizumab</w:delText>
        </w:r>
        <w:r>
          <w:rPr>
            <w:noProof/>
            <w:lang w:val="it-IT"/>
          </w:rPr>
          <w:delText xml:space="preserve"> </w:delText>
        </w:r>
      </w:del>
      <w:r>
        <w:rPr>
          <w:noProof/>
          <w:lang w:val="it-IT"/>
        </w:rPr>
        <w:t>in formulazione endovenosa</w:t>
      </w:r>
      <w:r>
        <w:rPr>
          <w:noProof/>
          <w:szCs w:val="22"/>
          <w:lang w:val="it-IT"/>
        </w:rPr>
        <w:t xml:space="preserve"> e sono passati al</w:t>
      </w:r>
      <w:del w:id="7516" w:author="Author">
        <w:r>
          <w:rPr>
            <w:noProof/>
            <w:szCs w:val="22"/>
            <w:lang w:val="it-IT"/>
          </w:rPr>
          <w:delText>la</w:delText>
        </w:r>
      </w:del>
      <w:r>
        <w:rPr>
          <w:noProof/>
          <w:szCs w:val="22"/>
          <w:lang w:val="it-IT"/>
        </w:rPr>
        <w:t xml:space="preserve"> </w:t>
      </w:r>
      <w:ins w:id="7517" w:author="Author">
        <w:r>
          <w:rPr>
            <w:noProof/>
            <w:szCs w:val="22"/>
            <w:lang w:val="it-IT"/>
          </w:rPr>
          <w:t xml:space="preserve">trattamento in formulazione </w:t>
        </w:r>
      </w:ins>
      <w:del w:id="7518" w:author="Author">
        <w:r>
          <w:rPr>
            <w:noProof/>
            <w:szCs w:val="22"/>
            <w:lang w:val="it-IT"/>
          </w:rPr>
          <w:delText xml:space="preserve">terapia </w:delText>
        </w:r>
      </w:del>
      <w:r>
        <w:rPr>
          <w:noProof/>
          <w:szCs w:val="22"/>
          <w:lang w:val="it-IT"/>
        </w:rPr>
        <w:t>sottocutanea</w:t>
      </w:r>
      <w:del w:id="7519" w:author="Author">
        <w:r>
          <w:rPr>
            <w:noProof/>
            <w:szCs w:val="22"/>
            <w:lang w:val="it-IT"/>
          </w:rPr>
          <w:delText xml:space="preserve"> </w:delText>
        </w:r>
      </w:del>
      <w:r>
        <w:rPr>
          <w:noProof/>
          <w:szCs w:val="22"/>
          <w:lang w:val="it-IT"/>
        </w:rPr>
        <w:t xml:space="preserve"> al basale.</w:t>
      </w:r>
    </w:p>
    <w:p>
      <w:pPr>
        <w:tabs>
          <w:tab w:val="left" w:pos="180"/>
        </w:tabs>
        <w:rPr>
          <w:noProof/>
          <w:szCs w:val="22"/>
          <w:lang w:val="it-IT"/>
        </w:rPr>
      </w:pPr>
    </w:p>
    <w:p>
      <w:pPr>
        <w:tabs>
          <w:tab w:val="left" w:pos="180"/>
        </w:tabs>
        <w:rPr>
          <w:iCs/>
          <w:noProof/>
          <w:szCs w:val="22"/>
          <w:lang w:val="it-IT"/>
        </w:rPr>
      </w:pPr>
      <w:r>
        <w:rPr>
          <w:noProof/>
          <w:szCs w:val="22"/>
          <w:lang w:val="it-IT"/>
        </w:rPr>
        <w:t xml:space="preserve">I </w:t>
      </w:r>
      <w:del w:id="7520" w:author="Author">
        <w:r>
          <w:rPr>
            <w:noProof/>
            <w:szCs w:val="22"/>
            <w:lang w:val="it-IT"/>
          </w:rPr>
          <w:delText>regimi a base</w:delText>
        </w:r>
      </w:del>
      <w:ins w:id="7521" w:author="Author">
        <w:r>
          <w:rPr>
            <w:noProof/>
            <w:szCs w:val="22"/>
            <w:lang w:val="it-IT"/>
          </w:rPr>
          <w:t>dosaggi</w:t>
        </w:r>
      </w:ins>
      <w:r>
        <w:rPr>
          <w:noProof/>
          <w:szCs w:val="22"/>
          <w:lang w:val="it-IT"/>
        </w:rPr>
        <w:t xml:space="preserve"> di </w:t>
      </w:r>
      <w:r>
        <w:rPr>
          <w:rFonts w:eastAsia="SimSun"/>
          <w:noProof/>
          <w:lang w:val="it-IT" w:eastAsia="zh-CN"/>
        </w:rPr>
        <w:t>tocilizumab</w:t>
      </w:r>
      <w:r>
        <w:rPr>
          <w:noProof/>
          <w:lang w:val="it-IT"/>
        </w:rPr>
        <w:t xml:space="preserve"> in formulazione sottocutanea</w:t>
      </w:r>
      <w:r>
        <w:rPr>
          <w:noProof/>
          <w:szCs w:val="22"/>
          <w:lang w:val="it-IT"/>
        </w:rPr>
        <w:t xml:space="preserve"> </w:t>
      </w:r>
      <w:r>
        <w:rPr>
          <w:iCs/>
          <w:noProof/>
          <w:szCs w:val="22"/>
          <w:lang w:val="it-IT"/>
        </w:rPr>
        <w:t xml:space="preserve">162 mg Q3W nei pazienti di peso inferiore a 30 kg e 162 mg Q2W nei pazienti di peso ≥ 30 kg garantiscono rispettivamente un’esposizione PK e risposte PD che avvalorano esiti di efficacia e sicurezza simili a quelli ottenuti con i </w:t>
      </w:r>
      <w:del w:id="7522" w:author="Author">
        <w:r>
          <w:rPr>
            <w:iCs/>
            <w:noProof/>
            <w:szCs w:val="22"/>
            <w:lang w:val="it-IT"/>
          </w:rPr>
          <w:delText xml:space="preserve">regimi </w:delText>
        </w:r>
      </w:del>
      <w:ins w:id="7523" w:author="Author">
        <w:r>
          <w:rPr>
            <w:iCs/>
            <w:noProof/>
            <w:szCs w:val="22"/>
            <w:lang w:val="it-IT"/>
          </w:rPr>
          <w:t xml:space="preserve">dosaggi </w:t>
        </w:r>
      </w:ins>
      <w:del w:id="7524" w:author="Author">
        <w:r>
          <w:rPr>
            <w:iCs/>
            <w:noProof/>
            <w:szCs w:val="22"/>
            <w:lang w:val="it-IT"/>
          </w:rPr>
          <w:delText xml:space="preserve">a base </w:delText>
        </w:r>
      </w:del>
      <w:r>
        <w:rPr>
          <w:iCs/>
          <w:noProof/>
          <w:szCs w:val="22"/>
          <w:lang w:val="it-IT"/>
        </w:rPr>
        <w:t xml:space="preserve">di </w:t>
      </w:r>
      <w:r>
        <w:rPr>
          <w:rFonts w:eastAsia="SimSun"/>
          <w:noProof/>
          <w:lang w:val="it-IT" w:eastAsia="zh-CN"/>
        </w:rPr>
        <w:t>tocilizumab</w:t>
      </w:r>
      <w:r>
        <w:rPr>
          <w:noProof/>
          <w:lang w:val="it-IT"/>
        </w:rPr>
        <w:t xml:space="preserve"> in formulazione endovenosa</w:t>
      </w:r>
      <w:r>
        <w:rPr>
          <w:iCs/>
          <w:noProof/>
          <w:szCs w:val="22"/>
          <w:lang w:val="it-IT"/>
        </w:rPr>
        <w:t>. approvati per l’AIGp.</w:t>
      </w:r>
    </w:p>
    <w:p>
      <w:pPr>
        <w:tabs>
          <w:tab w:val="left" w:pos="180"/>
        </w:tabs>
        <w:rPr>
          <w:noProof/>
          <w:szCs w:val="22"/>
          <w:lang w:val="it-IT"/>
        </w:rPr>
      </w:pPr>
    </w:p>
    <w:p>
      <w:pPr>
        <w:tabs>
          <w:tab w:val="left" w:pos="180"/>
        </w:tabs>
        <w:rPr>
          <w:noProof/>
          <w:szCs w:val="22"/>
          <w:lang w:val="it-IT"/>
        </w:rPr>
      </w:pPr>
      <w:r>
        <w:rPr>
          <w:noProof/>
          <w:szCs w:val="22"/>
          <w:lang w:val="it-IT"/>
        </w:rPr>
        <w:t xml:space="preserve">Dai risultati esplorativi di efficacia è emerso che </w:t>
      </w:r>
      <w:r>
        <w:rPr>
          <w:rFonts w:eastAsia="SimSun"/>
          <w:noProof/>
          <w:lang w:val="it-IT" w:eastAsia="zh-CN"/>
        </w:rPr>
        <w:t>tocilizumab</w:t>
      </w:r>
      <w:r>
        <w:rPr>
          <w:noProof/>
          <w:lang w:val="it-IT"/>
        </w:rPr>
        <w:t xml:space="preserve"> in formulazione sottocutanea </w:t>
      </w:r>
      <w:r>
        <w:rPr>
          <w:noProof/>
          <w:szCs w:val="22"/>
          <w:lang w:val="it-IT"/>
        </w:rPr>
        <w:t xml:space="preserve">ha determinato un miglioramento del punteggio JADAS-71 (Juvenile Arthritis Disease Activity Score-71) mediano nei pazienti naïve al trattamento e ha consentito di mantenere il punteggio JADAS-71 mediano nei pazienti che sono passati dal trattamento con </w:t>
      </w:r>
      <w:r>
        <w:rPr>
          <w:rFonts w:eastAsia="SimSun"/>
          <w:noProof/>
          <w:lang w:val="it-IT" w:eastAsia="zh-CN"/>
        </w:rPr>
        <w:t>tocilizumab</w:t>
      </w:r>
      <w:r>
        <w:rPr>
          <w:noProof/>
          <w:lang w:val="it-IT"/>
        </w:rPr>
        <w:t xml:space="preserve"> in formulazione </w:t>
      </w:r>
      <w:del w:id="7525" w:author="Author">
        <w:r>
          <w:rPr>
            <w:noProof/>
            <w:lang w:val="it-IT"/>
          </w:rPr>
          <w:delText>endovenosa</w:delText>
        </w:r>
        <w:r>
          <w:rPr>
            <w:noProof/>
            <w:szCs w:val="22"/>
            <w:lang w:val="it-IT"/>
          </w:rPr>
          <w:delText xml:space="preserve">aformulazione </w:delText>
        </w:r>
      </w:del>
      <w:ins w:id="7526" w:author="Author">
        <w:r>
          <w:rPr>
            <w:noProof/>
            <w:lang w:val="it-IT"/>
          </w:rPr>
          <w:t>endovenosa a</w:t>
        </w:r>
        <w:r>
          <w:rPr>
            <w:noProof/>
            <w:szCs w:val="22"/>
            <w:lang w:val="it-IT"/>
          </w:rPr>
          <w:t xml:space="preserve"> formulazione </w:t>
        </w:r>
      </w:ins>
      <w:r>
        <w:rPr>
          <w:noProof/>
          <w:szCs w:val="22"/>
          <w:lang w:val="it-IT"/>
        </w:rPr>
        <w:t>sottocuta</w:t>
      </w:r>
      <w:del w:id="7527" w:author="Author">
        <w:r>
          <w:rPr>
            <w:noProof/>
            <w:szCs w:val="22"/>
            <w:lang w:val="it-IT"/>
          </w:rPr>
          <w:delText>a</w:delText>
        </w:r>
      </w:del>
      <w:r>
        <w:rPr>
          <w:noProof/>
          <w:szCs w:val="22"/>
          <w:lang w:val="it-IT"/>
        </w:rPr>
        <w:t xml:space="preserve">nea. Tali risultati sono stati osservati per l’intera durata dello studio nei pazienti di entrambi i gruppi di peso corporeo (inferiore a 30 kg e </w:t>
      </w:r>
      <w:r>
        <w:rPr>
          <w:noProof/>
          <w:szCs w:val="22"/>
          <w:lang w:val="it-IT" w:eastAsia="de-DE"/>
        </w:rPr>
        <w:t>≥</w:t>
      </w:r>
      <w:r>
        <w:rPr>
          <w:noProof/>
          <w:szCs w:val="22"/>
          <w:lang w:val="it-IT"/>
        </w:rPr>
        <w:t>30 kg).</w:t>
      </w:r>
    </w:p>
    <w:p>
      <w:pPr>
        <w:tabs>
          <w:tab w:val="left" w:pos="180"/>
        </w:tabs>
        <w:rPr>
          <w:noProof/>
          <w:szCs w:val="22"/>
          <w:lang w:val="it-IT"/>
        </w:rPr>
      </w:pPr>
    </w:p>
    <w:p>
      <w:pPr>
        <w:keepNext/>
        <w:keepLines/>
        <w:tabs>
          <w:tab w:val="left" w:pos="180"/>
        </w:tabs>
        <w:rPr>
          <w:del w:id="7528" w:author="Author"/>
          <w:noProof/>
          <w:szCs w:val="22"/>
          <w:u w:val="single"/>
          <w:lang w:val="it-IT"/>
        </w:rPr>
      </w:pPr>
      <w:r>
        <w:rPr>
          <w:noProof/>
          <w:szCs w:val="22"/>
          <w:u w:val="single"/>
          <w:lang w:val="it-IT"/>
        </w:rPr>
        <w:t>Uso sottocutaneo</w:t>
      </w:r>
    </w:p>
    <w:p>
      <w:pPr>
        <w:keepNext/>
        <w:keepLines/>
        <w:tabs>
          <w:tab w:val="left" w:pos="180"/>
        </w:tabs>
        <w:rPr>
          <w:noProof/>
          <w:szCs w:val="22"/>
          <w:u w:val="single"/>
          <w:lang w:val="it-IT"/>
        </w:rPr>
      </w:pPr>
    </w:p>
    <w:p>
      <w:pPr>
        <w:keepNext/>
        <w:keepLines/>
        <w:rPr>
          <w:ins w:id="7529" w:author="Author"/>
          <w:bCs/>
          <w:i/>
          <w:iCs/>
          <w:noProof/>
          <w:lang w:val="it-IT"/>
          <w:rPrChange w:id="7530" w:author="Author">
            <w:rPr>
              <w:ins w:id="7531" w:author="Author"/>
              <w:bCs/>
              <w:i/>
              <w:iCs/>
              <w:u w:val="single"/>
              <w:lang w:val="it-IT"/>
            </w:rPr>
          </w:rPrChange>
        </w:rPr>
      </w:pPr>
      <w:r>
        <w:rPr>
          <w:bCs/>
          <w:i/>
          <w:iCs/>
          <w:noProof/>
          <w:lang w:val="it-IT"/>
          <w:rPrChange w:id="7532" w:author="Author">
            <w:rPr>
              <w:bCs/>
              <w:i/>
              <w:iCs/>
              <w:u w:val="single"/>
              <w:lang w:val="it-IT"/>
            </w:rPr>
          </w:rPrChange>
        </w:rPr>
        <w:t>Pazienti affetti da ACG</w:t>
      </w:r>
    </w:p>
    <w:p>
      <w:pPr>
        <w:keepNext/>
        <w:keepLines/>
        <w:rPr>
          <w:rFonts w:eastAsia="MS PGothic"/>
          <w:bCs/>
          <w:i/>
          <w:iCs/>
          <w:noProof/>
          <w:u w:val="single"/>
          <w:lang w:val="it-IT"/>
        </w:rPr>
      </w:pPr>
    </w:p>
    <w:p>
      <w:pPr>
        <w:keepNext/>
        <w:keepLines/>
        <w:rPr>
          <w:rFonts w:eastAsia="MS PGothic"/>
          <w:noProof/>
          <w:u w:val="single"/>
          <w:lang w:val="it-IT"/>
        </w:rPr>
      </w:pPr>
      <w:r>
        <w:rPr>
          <w:i/>
          <w:iCs/>
          <w:noProof/>
          <w:u w:val="single"/>
          <w:lang w:val="it-IT"/>
        </w:rPr>
        <w:t>Efficacia</w:t>
      </w:r>
      <w:r>
        <w:rPr>
          <w:noProof/>
          <w:u w:val="single"/>
          <w:lang w:val="it-IT"/>
        </w:rPr>
        <w:t xml:space="preserve"> </w:t>
      </w:r>
      <w:r>
        <w:rPr>
          <w:i/>
          <w:iCs/>
          <w:noProof/>
          <w:u w:val="single"/>
          <w:lang w:val="it-IT"/>
        </w:rPr>
        <w:t>clinica</w:t>
      </w:r>
    </w:p>
    <w:p>
      <w:pPr>
        <w:rPr>
          <w:noProof/>
          <w:lang w:val="it-IT"/>
        </w:rPr>
      </w:pPr>
      <w:r>
        <w:rPr>
          <w:noProof/>
          <w:lang w:val="it-IT"/>
        </w:rPr>
        <w:t xml:space="preserve">Lo </w:t>
      </w:r>
      <w:del w:id="7533" w:author="Author">
        <w:r>
          <w:rPr>
            <w:noProof/>
            <w:lang w:val="it-IT"/>
          </w:rPr>
          <w:delText xml:space="preserve">studio </w:delText>
        </w:r>
      </w:del>
      <w:ins w:id="7534" w:author="Author">
        <w:r>
          <w:rPr>
            <w:noProof/>
            <w:lang w:val="it-IT"/>
          </w:rPr>
          <w:t xml:space="preserve">Studio </w:t>
        </w:r>
      </w:ins>
      <w:r>
        <w:rPr>
          <w:noProof/>
          <w:lang w:val="it-IT"/>
        </w:rPr>
        <w:t>WA28119 è stato uno studio di superiorità di fase III randomizzato, multicentrico, in doppio cieco e controllato con placebo condotto per valutare l’efficacia e la sicurezza di tocilizumab in pazienti affetti da ACG.</w:t>
      </w:r>
    </w:p>
    <w:p>
      <w:pPr>
        <w:rPr>
          <w:noProof/>
          <w:lang w:val="it-IT" w:eastAsia="de-DE"/>
        </w:rPr>
      </w:pPr>
    </w:p>
    <w:p>
      <w:pPr>
        <w:rPr>
          <w:noProof/>
          <w:lang w:val="it-IT"/>
        </w:rPr>
      </w:pPr>
      <w:r>
        <w:rPr>
          <w:noProof/>
          <w:lang w:val="it-IT"/>
        </w:rPr>
        <w:t>Duecentocinquantuno (251) pazienti affetti da ACG di nuova insorgenza o recidivante sono stati arruolati e assegnati a uno dei quattro bracci di trattamento. Lo studio si è articolato in un periodo di trattamento in cieco della durata di 52 settimane (Parte 1) seguito da un’estensione in aperto della durata di 104 settimane (Parte 2). Scopo della Parte 2 era delineare la sicurezza e il mantenimento dell’efficacia a lungo termine dopo 52 settimane di terapia con tocilizumab, analizzare il tasso di recidive e la necessità di trattamento oltre le 52 settimane, nonché acquisire informazioni sul potenziale effetto di risparmio degli steroidi a lungo termine del medicinale.</w:t>
      </w:r>
    </w:p>
    <w:p>
      <w:pPr>
        <w:rPr>
          <w:noProof/>
          <w:lang w:val="it-IT" w:eastAsia="de-DE"/>
        </w:rPr>
      </w:pPr>
    </w:p>
    <w:p>
      <w:pPr>
        <w:rPr>
          <w:noProof/>
          <w:lang w:val="it-IT"/>
        </w:rPr>
      </w:pPr>
      <w:r>
        <w:rPr>
          <w:noProof/>
          <w:lang w:val="it-IT"/>
        </w:rPr>
        <w:t xml:space="preserve">Due dosi sottocutanee di tocilizumab (162 mg </w:t>
      </w:r>
      <w:del w:id="7535" w:author="Author">
        <w:r>
          <w:rPr>
            <w:noProof/>
            <w:lang w:val="it-IT"/>
          </w:rPr>
          <w:delText xml:space="preserve">ogni </w:delText>
        </w:r>
      </w:del>
      <w:ins w:id="7536" w:author="Author">
        <w:r>
          <w:rPr>
            <w:noProof/>
            <w:lang w:val="it-IT"/>
          </w:rPr>
          <w:t xml:space="preserve">una volta a </w:t>
        </w:r>
      </w:ins>
      <w:r>
        <w:rPr>
          <w:noProof/>
          <w:lang w:val="it-IT"/>
        </w:rPr>
        <w:t xml:space="preserve">settimana e 162 mg </w:t>
      </w:r>
      <w:ins w:id="7537" w:author="Author">
        <w:r>
          <w:rPr>
            <w:noProof/>
            <w:lang w:val="it-IT"/>
          </w:rPr>
          <w:t>ogni 2</w:t>
        </w:r>
      </w:ins>
      <w:del w:id="7538" w:author="Author">
        <w:r>
          <w:rPr>
            <w:noProof/>
            <w:lang w:val="it-IT"/>
          </w:rPr>
          <w:delText>a</w:delText>
        </w:r>
      </w:del>
      <w:r>
        <w:rPr>
          <w:noProof/>
          <w:lang w:val="it-IT"/>
        </w:rPr>
        <w:t xml:space="preserve"> settimane</w:t>
      </w:r>
      <w:del w:id="7539" w:author="Author">
        <w:r>
          <w:rPr>
            <w:noProof/>
            <w:lang w:val="it-IT"/>
          </w:rPr>
          <w:delText xml:space="preserve"> alterne</w:delText>
        </w:r>
      </w:del>
      <w:r>
        <w:rPr>
          <w:noProof/>
          <w:lang w:val="it-IT"/>
        </w:rPr>
        <w:t>) sono state confrontate con due diversi gruppi di controllo trattati con placebo, randomizzati in rapporto 2:1:1:1.</w:t>
      </w:r>
    </w:p>
    <w:p>
      <w:pPr>
        <w:rPr>
          <w:noProof/>
          <w:lang w:val="it-IT" w:eastAsia="de-DE"/>
        </w:rPr>
      </w:pPr>
    </w:p>
    <w:p>
      <w:pPr>
        <w:rPr>
          <w:noProof/>
          <w:lang w:val="it-IT"/>
        </w:rPr>
      </w:pPr>
      <w:r>
        <w:rPr>
          <w:noProof/>
          <w:lang w:val="it-IT"/>
        </w:rPr>
        <w:t>Tutti i pazienti hanno ricevuto una terapia di fondo con glucocorticoidi (prednisone). Ciascuno dei gruppi trattati con tocilizumab e uno dei gruppi trattati con placebo hanno seguito un regime prestabilito con prednisone a scalare per 26 settimane, mentre il secondo gruppo trattato con placebo ha seguito un regime prestabilito con prednisone a scalare per 52 settimane, concepito per rispecchiare meglio la prassi standard.</w:t>
      </w:r>
    </w:p>
    <w:p>
      <w:pPr>
        <w:rPr>
          <w:noProof/>
          <w:lang w:val="it-IT" w:eastAsia="de-DE"/>
        </w:rPr>
      </w:pPr>
    </w:p>
    <w:p>
      <w:pPr>
        <w:rPr>
          <w:noProof/>
          <w:lang w:val="it-IT"/>
        </w:rPr>
      </w:pPr>
      <w:r>
        <w:rPr>
          <w:noProof/>
          <w:lang w:val="it-IT"/>
        </w:rPr>
        <w:t>La durata della terapia con glucocorticoidi durante lo screening e prima dell’inizio della somministrazione di tocilizumab (o di placebo) è stata simile in tutti e 4 i gruppi di trattamento (vedere Tabella 3).</w:t>
      </w:r>
    </w:p>
    <w:p>
      <w:pPr>
        <w:rPr>
          <w:noProof/>
          <w:lang w:val="it-IT" w:eastAsia="de-DE"/>
        </w:rPr>
      </w:pPr>
    </w:p>
    <w:p>
      <w:pPr>
        <w:keepNext/>
        <w:keepLines/>
        <w:numPr>
          <w:ilvl w:val="12"/>
          <w:numId w:val="0"/>
        </w:numPr>
        <w:ind w:right="-2"/>
        <w:rPr>
          <w:bCs/>
          <w:i/>
          <w:noProof/>
          <w:lang w:val="it-IT"/>
        </w:rPr>
      </w:pPr>
      <w:r>
        <w:rPr>
          <w:bCs/>
          <w:i/>
          <w:noProof/>
          <w:lang w:val="it-IT"/>
        </w:rPr>
        <w:lastRenderedPageBreak/>
        <w:t xml:space="preserve">Tabella 3. Durata della terapia con corticosteroidi durante lo screening nello </w:t>
      </w:r>
      <w:del w:id="7540" w:author="Author">
        <w:r>
          <w:rPr>
            <w:bCs/>
            <w:i/>
            <w:noProof/>
            <w:lang w:val="it-IT"/>
          </w:rPr>
          <w:delText xml:space="preserve">studio </w:delText>
        </w:r>
      </w:del>
      <w:ins w:id="7541" w:author="Author">
        <w:r>
          <w:rPr>
            <w:bCs/>
            <w:i/>
            <w:noProof/>
            <w:lang w:val="it-IT"/>
          </w:rPr>
          <w:t xml:space="preserve">Studio </w:t>
        </w:r>
      </w:ins>
      <w:r>
        <w:rPr>
          <w:bCs/>
          <w:i/>
          <w:noProof/>
          <w:lang w:val="it-IT"/>
        </w:rPr>
        <w:t xml:space="preserve">WA28119 </w:t>
      </w:r>
    </w:p>
    <w:p>
      <w:pPr>
        <w:keepNext/>
        <w:keepLines/>
        <w:numPr>
          <w:ilvl w:val="12"/>
          <w:numId w:val="0"/>
        </w:numPr>
        <w:ind w:right="-2"/>
        <w:rPr>
          <w:bCs/>
          <w:i/>
          <w:noProof/>
          <w:lang w:val="it-IT"/>
        </w:rPr>
      </w:pPr>
    </w:p>
    <w:tbl>
      <w:tblPr>
        <w:tblW w:w="5000" w:type="pct"/>
        <w:tblBorders>
          <w:top w:val="single" w:sz="8" w:space="0" w:color="auto"/>
          <w:left w:val="single" w:sz="4" w:space="0" w:color="auto"/>
          <w:bottom w:val="single" w:sz="4" w:space="0" w:color="auto"/>
          <w:right w:val="single" w:sz="8"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7542" w:author="Author">
          <w:tblPr>
            <w:tblW w:w="5000" w:type="pct"/>
            <w:tblBorders>
              <w:top w:val="single" w:sz="8" w:space="0" w:color="auto"/>
              <w:left w:val="single" w:sz="4" w:space="0" w:color="auto"/>
              <w:bottom w:val="single" w:sz="4" w:space="0" w:color="auto"/>
              <w:right w:val="single" w:sz="8"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PrChange>
      </w:tblPr>
      <w:tblGrid>
        <w:gridCol w:w="1528"/>
        <w:gridCol w:w="1485"/>
        <w:gridCol w:w="1485"/>
        <w:gridCol w:w="2280"/>
        <w:gridCol w:w="2278"/>
        <w:tblGridChange w:id="7543">
          <w:tblGrid>
            <w:gridCol w:w="1525"/>
            <w:gridCol w:w="1730"/>
            <w:gridCol w:w="1243"/>
            <w:gridCol w:w="162"/>
            <w:gridCol w:w="2118"/>
            <w:gridCol w:w="81"/>
            <w:gridCol w:w="2197"/>
          </w:tblGrid>
        </w:tblGridChange>
      </w:tblGrid>
      <w:tr>
        <w:trPr>
          <w:cantSplit/>
          <w:trPrChange w:id="7544" w:author="Author">
            <w:trPr>
              <w:cantSplit/>
            </w:trPr>
          </w:trPrChange>
        </w:trPr>
        <w:tc>
          <w:tcPr>
            <w:tcW w:w="843" w:type="pct"/>
            <w:tcMar>
              <w:top w:w="0" w:type="dxa"/>
              <w:left w:w="57" w:type="dxa"/>
              <w:bottom w:w="0" w:type="dxa"/>
              <w:right w:w="57" w:type="dxa"/>
            </w:tcMar>
            <w:vAlign w:val="bottom"/>
            <w:tcPrChange w:id="7545" w:author="Author">
              <w:tcPr>
                <w:tcW w:w="842" w:type="pct"/>
                <w:tcMar>
                  <w:top w:w="0" w:type="dxa"/>
                  <w:left w:w="57" w:type="dxa"/>
                  <w:bottom w:w="0" w:type="dxa"/>
                  <w:right w:w="57" w:type="dxa"/>
                </w:tcMar>
                <w:vAlign w:val="bottom"/>
              </w:tcPr>
            </w:tcPrChange>
          </w:tcPr>
          <w:p>
            <w:pPr>
              <w:pStyle w:val="Standard"/>
              <w:keepNext/>
              <w:suppressAutoHyphens/>
              <w:rPr>
                <w:rFonts w:eastAsia="SimSun"/>
                <w:strike/>
                <w:noProof/>
                <w:sz w:val="20"/>
                <w:lang w:val="it-IT" w:eastAsia="zh-CN"/>
                <w:rPrChange w:id="7546" w:author="Author">
                  <w:rPr>
                    <w:rFonts w:eastAsia="SimSun"/>
                    <w:strike/>
                    <w:sz w:val="18"/>
                    <w:szCs w:val="18"/>
                    <w:lang w:val="it-IT" w:eastAsia="zh-CN"/>
                  </w:rPr>
                </w:rPrChange>
              </w:rPr>
              <w:pPrChange w:id="7547" w:author="Author">
                <w:pPr>
                  <w:pStyle w:val="Standard"/>
                  <w:keepNext/>
                  <w:keepLines/>
                  <w:spacing w:before="50" w:after="50" w:line="240" w:lineRule="exact"/>
                </w:pPr>
              </w:pPrChange>
            </w:pPr>
          </w:p>
        </w:tc>
        <w:tc>
          <w:tcPr>
            <w:tcW w:w="820" w:type="pct"/>
            <w:tcMar>
              <w:top w:w="0" w:type="dxa"/>
              <w:left w:w="57" w:type="dxa"/>
              <w:bottom w:w="0" w:type="dxa"/>
              <w:right w:w="57" w:type="dxa"/>
            </w:tcMar>
            <w:tcPrChange w:id="7548" w:author="Author">
              <w:tcPr>
                <w:tcW w:w="955" w:type="pct"/>
                <w:tcMar>
                  <w:top w:w="0" w:type="dxa"/>
                  <w:left w:w="57" w:type="dxa"/>
                  <w:bottom w:w="0" w:type="dxa"/>
                  <w:right w:w="57" w:type="dxa"/>
                </w:tcMar>
              </w:tcPr>
            </w:tcPrChange>
          </w:tcPr>
          <w:p>
            <w:pPr>
              <w:keepNext/>
              <w:suppressAutoHyphens/>
              <w:jc w:val="center"/>
              <w:rPr>
                <w:rFonts w:eastAsia="SimSun"/>
                <w:b/>
                <w:noProof/>
                <w:sz w:val="20"/>
                <w:lang w:val="it-IT"/>
                <w:rPrChange w:id="7549" w:author="Author">
                  <w:rPr>
                    <w:rFonts w:eastAsia="SimSun"/>
                    <w:b/>
                    <w:sz w:val="18"/>
                    <w:szCs w:val="18"/>
                    <w:lang w:val="it-IT"/>
                  </w:rPr>
                </w:rPrChange>
              </w:rPr>
              <w:pPrChange w:id="7550" w:author="Author">
                <w:pPr>
                  <w:keepNext/>
                  <w:keepLines/>
                  <w:spacing w:before="50" w:after="50" w:line="240" w:lineRule="exact"/>
                  <w:jc w:val="center"/>
                </w:pPr>
              </w:pPrChange>
            </w:pPr>
            <w:r>
              <w:rPr>
                <w:b/>
                <w:noProof/>
                <w:sz w:val="20"/>
                <w:lang w:val="it-IT"/>
                <w:rPrChange w:id="7551" w:author="Author">
                  <w:rPr>
                    <w:b/>
                    <w:sz w:val="18"/>
                    <w:szCs w:val="18"/>
                    <w:lang w:val="it-IT"/>
                  </w:rPr>
                </w:rPrChange>
              </w:rPr>
              <w:t>Placebo + 26 settimane di prednisone a scalare</w:t>
            </w:r>
          </w:p>
          <w:p>
            <w:pPr>
              <w:pStyle w:val="Standard"/>
              <w:keepNext/>
              <w:suppressAutoHyphens/>
              <w:jc w:val="center"/>
              <w:rPr>
                <w:rFonts w:eastAsia="SimSun"/>
                <w:b/>
                <w:noProof/>
                <w:sz w:val="20"/>
                <w:lang w:val="it-IT" w:eastAsia="zh-CN"/>
                <w:rPrChange w:id="7552" w:author="Author">
                  <w:rPr>
                    <w:rFonts w:eastAsia="SimSun"/>
                    <w:b/>
                    <w:sz w:val="18"/>
                    <w:szCs w:val="18"/>
                    <w:lang w:val="it-IT" w:eastAsia="zh-CN"/>
                  </w:rPr>
                </w:rPrChange>
              </w:rPr>
              <w:pPrChange w:id="7553" w:author="Author">
                <w:pPr>
                  <w:pStyle w:val="Standard"/>
                  <w:keepNext/>
                  <w:keepLines/>
                  <w:spacing w:before="50" w:after="50" w:line="240" w:lineRule="exact"/>
                  <w:jc w:val="center"/>
                </w:pPr>
              </w:pPrChange>
            </w:pPr>
            <w:del w:id="7554" w:author="Author">
              <w:r>
                <w:rPr>
                  <w:b/>
                  <w:noProof/>
                  <w:sz w:val="20"/>
                  <w:lang w:val="it-IT"/>
                  <w:rPrChange w:id="7555" w:author="Author">
                    <w:rPr>
                      <w:b/>
                      <w:sz w:val="18"/>
                      <w:szCs w:val="18"/>
                      <w:lang w:val="it-IT"/>
                    </w:rPr>
                  </w:rPrChange>
                </w:rPr>
                <w:delText xml:space="preserve">N </w:delText>
              </w:r>
            </w:del>
            <w:ins w:id="7556" w:author="Author">
              <w:r>
                <w:rPr>
                  <w:b/>
                  <w:noProof/>
                  <w:sz w:val="20"/>
                  <w:lang w:val="it-IT"/>
                  <w:rPrChange w:id="7557" w:author="Author">
                    <w:rPr>
                      <w:b/>
                      <w:sz w:val="18"/>
                      <w:szCs w:val="18"/>
                      <w:lang w:val="it-IT"/>
                    </w:rPr>
                  </w:rPrChange>
                </w:rPr>
                <w:t>n </w:t>
              </w:r>
            </w:ins>
            <w:r>
              <w:rPr>
                <w:b/>
                <w:noProof/>
                <w:sz w:val="20"/>
                <w:lang w:val="it-IT"/>
                <w:rPrChange w:id="7558" w:author="Author">
                  <w:rPr>
                    <w:b/>
                    <w:sz w:val="18"/>
                    <w:szCs w:val="18"/>
                    <w:lang w:val="it-IT"/>
                  </w:rPr>
                </w:rPrChange>
              </w:rPr>
              <w:t>=</w:t>
            </w:r>
            <w:ins w:id="7559" w:author="Author">
              <w:r>
                <w:rPr>
                  <w:b/>
                  <w:noProof/>
                  <w:sz w:val="20"/>
                  <w:lang w:val="it-IT"/>
                  <w:rPrChange w:id="7560" w:author="Author">
                    <w:rPr>
                      <w:b/>
                      <w:sz w:val="18"/>
                      <w:szCs w:val="18"/>
                      <w:lang w:val="it-IT"/>
                    </w:rPr>
                  </w:rPrChange>
                </w:rPr>
                <w:t> </w:t>
              </w:r>
            </w:ins>
            <w:del w:id="7561" w:author="Author">
              <w:r>
                <w:rPr>
                  <w:b/>
                  <w:noProof/>
                  <w:sz w:val="20"/>
                  <w:lang w:val="it-IT"/>
                  <w:rPrChange w:id="7562" w:author="Author">
                    <w:rPr>
                      <w:b/>
                      <w:sz w:val="18"/>
                      <w:szCs w:val="18"/>
                      <w:lang w:val="it-IT"/>
                    </w:rPr>
                  </w:rPrChange>
                </w:rPr>
                <w:delText xml:space="preserve"> </w:delText>
              </w:r>
            </w:del>
            <w:r>
              <w:rPr>
                <w:b/>
                <w:noProof/>
                <w:sz w:val="20"/>
                <w:lang w:val="it-IT"/>
                <w:rPrChange w:id="7563" w:author="Author">
                  <w:rPr>
                    <w:b/>
                    <w:sz w:val="18"/>
                    <w:szCs w:val="18"/>
                    <w:lang w:val="it-IT"/>
                  </w:rPr>
                </w:rPrChange>
              </w:rPr>
              <w:t>50</w:t>
            </w:r>
          </w:p>
        </w:tc>
        <w:tc>
          <w:tcPr>
            <w:tcW w:w="820" w:type="pct"/>
            <w:tcMar>
              <w:top w:w="0" w:type="dxa"/>
              <w:left w:w="57" w:type="dxa"/>
              <w:bottom w:w="0" w:type="dxa"/>
              <w:right w:w="57" w:type="dxa"/>
            </w:tcMar>
            <w:tcPrChange w:id="7564" w:author="Author">
              <w:tcPr>
                <w:tcW w:w="776" w:type="pct"/>
                <w:gridSpan w:val="2"/>
                <w:tcMar>
                  <w:top w:w="0" w:type="dxa"/>
                  <w:left w:w="57" w:type="dxa"/>
                  <w:bottom w:w="0" w:type="dxa"/>
                  <w:right w:w="57" w:type="dxa"/>
                </w:tcMar>
              </w:tcPr>
            </w:tcPrChange>
          </w:tcPr>
          <w:p>
            <w:pPr>
              <w:pStyle w:val="Standard"/>
              <w:keepNext/>
              <w:suppressAutoHyphens/>
              <w:jc w:val="center"/>
              <w:rPr>
                <w:b/>
                <w:noProof/>
                <w:sz w:val="20"/>
                <w:lang w:val="it-IT"/>
                <w:rPrChange w:id="7565" w:author="Author">
                  <w:rPr>
                    <w:b/>
                    <w:sz w:val="18"/>
                    <w:szCs w:val="18"/>
                    <w:lang w:val="it-IT"/>
                  </w:rPr>
                </w:rPrChange>
              </w:rPr>
              <w:pPrChange w:id="7566" w:author="Author">
                <w:pPr>
                  <w:pStyle w:val="Standard"/>
                  <w:keepNext/>
                  <w:keepLines/>
                  <w:spacing w:before="50" w:after="50" w:line="240" w:lineRule="exact"/>
                  <w:jc w:val="center"/>
                </w:pPr>
              </w:pPrChange>
            </w:pPr>
            <w:r>
              <w:rPr>
                <w:b/>
                <w:noProof/>
                <w:sz w:val="20"/>
                <w:lang w:val="it-IT"/>
                <w:rPrChange w:id="7567" w:author="Author">
                  <w:rPr>
                    <w:b/>
                    <w:sz w:val="18"/>
                    <w:szCs w:val="18"/>
                    <w:lang w:val="it-IT"/>
                  </w:rPr>
                </w:rPrChange>
              </w:rPr>
              <w:t>Placebo + 52 settimane di prednisone a scalare</w:t>
            </w:r>
          </w:p>
          <w:p>
            <w:pPr>
              <w:pStyle w:val="Standard"/>
              <w:keepNext/>
              <w:suppressAutoHyphens/>
              <w:jc w:val="center"/>
              <w:rPr>
                <w:rFonts w:eastAsia="SimSun"/>
                <w:b/>
                <w:noProof/>
                <w:sz w:val="20"/>
                <w:lang w:val="it-IT" w:eastAsia="zh-CN"/>
                <w:rPrChange w:id="7568" w:author="Author">
                  <w:rPr>
                    <w:rFonts w:eastAsia="SimSun"/>
                    <w:b/>
                    <w:sz w:val="18"/>
                    <w:szCs w:val="18"/>
                    <w:lang w:val="it-IT" w:eastAsia="zh-CN"/>
                  </w:rPr>
                </w:rPrChange>
              </w:rPr>
              <w:pPrChange w:id="7569" w:author="Author">
                <w:pPr>
                  <w:pStyle w:val="Standard"/>
                  <w:keepNext/>
                  <w:keepLines/>
                  <w:spacing w:before="50" w:after="50" w:line="240" w:lineRule="exact"/>
                  <w:jc w:val="center"/>
                </w:pPr>
              </w:pPrChange>
            </w:pPr>
            <w:del w:id="7570" w:author="Author">
              <w:r>
                <w:rPr>
                  <w:b/>
                  <w:noProof/>
                  <w:sz w:val="20"/>
                  <w:lang w:val="it-IT"/>
                  <w:rPrChange w:id="7571" w:author="Author">
                    <w:rPr>
                      <w:b/>
                      <w:sz w:val="18"/>
                      <w:szCs w:val="18"/>
                      <w:lang w:val="it-IT"/>
                    </w:rPr>
                  </w:rPrChange>
                </w:rPr>
                <w:delText xml:space="preserve">N </w:delText>
              </w:r>
            </w:del>
            <w:ins w:id="7572" w:author="Author">
              <w:r>
                <w:rPr>
                  <w:b/>
                  <w:noProof/>
                  <w:sz w:val="20"/>
                  <w:lang w:val="it-IT"/>
                  <w:rPrChange w:id="7573" w:author="Author">
                    <w:rPr>
                      <w:b/>
                      <w:sz w:val="18"/>
                      <w:szCs w:val="18"/>
                      <w:lang w:val="it-IT"/>
                    </w:rPr>
                  </w:rPrChange>
                </w:rPr>
                <w:t>n </w:t>
              </w:r>
            </w:ins>
            <w:r>
              <w:rPr>
                <w:b/>
                <w:noProof/>
                <w:sz w:val="20"/>
                <w:lang w:val="it-IT"/>
                <w:rPrChange w:id="7574" w:author="Author">
                  <w:rPr>
                    <w:b/>
                    <w:sz w:val="18"/>
                    <w:szCs w:val="18"/>
                    <w:lang w:val="it-IT"/>
                  </w:rPr>
                </w:rPrChange>
              </w:rPr>
              <w:t>=</w:t>
            </w:r>
            <w:ins w:id="7575" w:author="Author">
              <w:r>
                <w:rPr>
                  <w:b/>
                  <w:noProof/>
                  <w:sz w:val="20"/>
                  <w:lang w:val="it-IT"/>
                  <w:rPrChange w:id="7576" w:author="Author">
                    <w:rPr>
                      <w:b/>
                      <w:sz w:val="18"/>
                      <w:szCs w:val="18"/>
                      <w:lang w:val="it-IT"/>
                    </w:rPr>
                  </w:rPrChange>
                </w:rPr>
                <w:t> </w:t>
              </w:r>
            </w:ins>
            <w:del w:id="7577" w:author="Author">
              <w:r>
                <w:rPr>
                  <w:b/>
                  <w:noProof/>
                  <w:sz w:val="20"/>
                  <w:lang w:val="it-IT"/>
                  <w:rPrChange w:id="7578" w:author="Author">
                    <w:rPr>
                      <w:b/>
                      <w:sz w:val="18"/>
                      <w:szCs w:val="18"/>
                      <w:lang w:val="it-IT"/>
                    </w:rPr>
                  </w:rPrChange>
                </w:rPr>
                <w:delText xml:space="preserve"> </w:delText>
              </w:r>
            </w:del>
            <w:r>
              <w:rPr>
                <w:b/>
                <w:noProof/>
                <w:sz w:val="20"/>
                <w:lang w:val="it-IT"/>
                <w:rPrChange w:id="7579" w:author="Author">
                  <w:rPr>
                    <w:b/>
                    <w:sz w:val="18"/>
                    <w:szCs w:val="18"/>
                    <w:lang w:val="it-IT"/>
                  </w:rPr>
                </w:rPrChange>
              </w:rPr>
              <w:t>51</w:t>
            </w:r>
          </w:p>
        </w:tc>
        <w:tc>
          <w:tcPr>
            <w:tcW w:w="1259" w:type="pct"/>
            <w:tcPrChange w:id="7580" w:author="Author">
              <w:tcPr>
                <w:tcW w:w="1214" w:type="pct"/>
                <w:gridSpan w:val="2"/>
              </w:tcPr>
            </w:tcPrChange>
          </w:tcPr>
          <w:p>
            <w:pPr>
              <w:pStyle w:val="Standard"/>
              <w:keepNext/>
              <w:suppressAutoHyphens/>
              <w:jc w:val="center"/>
              <w:rPr>
                <w:b/>
                <w:noProof/>
                <w:sz w:val="20"/>
                <w:lang w:val="it-IT"/>
                <w:rPrChange w:id="7581" w:author="Author">
                  <w:rPr>
                    <w:b/>
                    <w:sz w:val="18"/>
                    <w:szCs w:val="18"/>
                    <w:lang w:val="it-IT"/>
                  </w:rPr>
                </w:rPrChange>
              </w:rPr>
              <w:pPrChange w:id="7582" w:author="Author">
                <w:pPr>
                  <w:pStyle w:val="Standard"/>
                  <w:keepNext/>
                  <w:keepLines/>
                  <w:spacing w:before="50" w:after="50" w:line="240" w:lineRule="exact"/>
                  <w:jc w:val="center"/>
                </w:pPr>
              </w:pPrChange>
            </w:pPr>
            <w:r>
              <w:rPr>
                <w:b/>
                <w:noProof/>
                <w:sz w:val="20"/>
                <w:lang w:val="it-IT"/>
                <w:rPrChange w:id="7583" w:author="Author">
                  <w:rPr>
                    <w:b/>
                    <w:sz w:val="18"/>
                    <w:szCs w:val="18"/>
                    <w:lang w:val="it-IT"/>
                  </w:rPr>
                </w:rPrChange>
              </w:rPr>
              <w:t xml:space="preserve">Tocilizumab 162 mg s.c. </w:t>
            </w:r>
            <w:del w:id="7584" w:author="Author">
              <w:r>
                <w:rPr>
                  <w:b/>
                  <w:noProof/>
                  <w:sz w:val="20"/>
                  <w:lang w:val="it-IT"/>
                  <w:rPrChange w:id="7585" w:author="Author">
                    <w:rPr>
                      <w:b/>
                      <w:sz w:val="18"/>
                      <w:szCs w:val="18"/>
                      <w:lang w:val="it-IT"/>
                    </w:rPr>
                  </w:rPrChange>
                </w:rPr>
                <w:delText xml:space="preserve">ogni </w:delText>
              </w:r>
            </w:del>
            <w:ins w:id="7586" w:author="Author">
              <w:r>
                <w:rPr>
                  <w:b/>
                  <w:noProof/>
                  <w:sz w:val="20"/>
                  <w:lang w:val="it-IT"/>
                </w:rPr>
                <w:t>una volta a</w:t>
              </w:r>
              <w:r>
                <w:rPr>
                  <w:b/>
                  <w:noProof/>
                  <w:sz w:val="20"/>
                  <w:lang w:val="it-IT"/>
                  <w:rPrChange w:id="7587" w:author="Author">
                    <w:rPr>
                      <w:b/>
                      <w:sz w:val="18"/>
                      <w:szCs w:val="18"/>
                      <w:lang w:val="it-IT"/>
                    </w:rPr>
                  </w:rPrChange>
                </w:rPr>
                <w:t xml:space="preserve"> </w:t>
              </w:r>
            </w:ins>
            <w:r>
              <w:rPr>
                <w:b/>
                <w:noProof/>
                <w:sz w:val="20"/>
                <w:lang w:val="it-IT"/>
                <w:rPrChange w:id="7588" w:author="Author">
                  <w:rPr>
                    <w:b/>
                    <w:sz w:val="18"/>
                    <w:szCs w:val="18"/>
                    <w:lang w:val="it-IT"/>
                  </w:rPr>
                </w:rPrChange>
              </w:rPr>
              <w:t>settimana + 26</w:t>
            </w:r>
            <w:ins w:id="7589" w:author="Author">
              <w:r>
                <w:rPr>
                  <w:b/>
                  <w:noProof/>
                  <w:sz w:val="20"/>
                  <w:lang w:val="it-IT"/>
                </w:rPr>
                <w:t> </w:t>
              </w:r>
            </w:ins>
            <w:del w:id="7590" w:author="Author">
              <w:r>
                <w:rPr>
                  <w:b/>
                  <w:noProof/>
                  <w:sz w:val="20"/>
                  <w:lang w:val="it-IT"/>
                  <w:rPrChange w:id="7591" w:author="Author">
                    <w:rPr>
                      <w:b/>
                      <w:sz w:val="18"/>
                      <w:szCs w:val="18"/>
                      <w:lang w:val="it-IT"/>
                    </w:rPr>
                  </w:rPrChange>
                </w:rPr>
                <w:delText xml:space="preserve"> </w:delText>
              </w:r>
            </w:del>
            <w:r>
              <w:rPr>
                <w:b/>
                <w:noProof/>
                <w:sz w:val="20"/>
                <w:lang w:val="it-IT"/>
                <w:rPrChange w:id="7592" w:author="Author">
                  <w:rPr>
                    <w:b/>
                    <w:sz w:val="18"/>
                    <w:szCs w:val="18"/>
                    <w:lang w:val="it-IT"/>
                  </w:rPr>
                </w:rPrChange>
              </w:rPr>
              <w:t xml:space="preserve">settimane di prednisone a scalare </w:t>
            </w:r>
          </w:p>
          <w:p>
            <w:pPr>
              <w:pStyle w:val="Standard"/>
              <w:keepNext/>
              <w:suppressAutoHyphens/>
              <w:jc w:val="center"/>
              <w:rPr>
                <w:rFonts w:eastAsia="SimSun"/>
                <w:b/>
                <w:noProof/>
                <w:sz w:val="20"/>
                <w:lang w:val="it-IT" w:eastAsia="zh-CN"/>
                <w:rPrChange w:id="7593" w:author="Author">
                  <w:rPr>
                    <w:rFonts w:eastAsia="SimSun"/>
                    <w:b/>
                    <w:sz w:val="18"/>
                    <w:szCs w:val="18"/>
                    <w:lang w:val="it-IT" w:eastAsia="zh-CN"/>
                  </w:rPr>
                </w:rPrChange>
              </w:rPr>
              <w:pPrChange w:id="7594" w:author="Author">
                <w:pPr>
                  <w:pStyle w:val="Standard"/>
                  <w:keepNext/>
                  <w:keepLines/>
                  <w:spacing w:before="50" w:after="50" w:line="240" w:lineRule="exact"/>
                  <w:jc w:val="center"/>
                </w:pPr>
              </w:pPrChange>
            </w:pPr>
            <w:del w:id="7595" w:author="Author">
              <w:r>
                <w:rPr>
                  <w:b/>
                  <w:noProof/>
                  <w:sz w:val="20"/>
                  <w:lang w:val="it-IT"/>
                  <w:rPrChange w:id="7596" w:author="Author">
                    <w:rPr>
                      <w:b/>
                      <w:sz w:val="18"/>
                      <w:szCs w:val="18"/>
                      <w:lang w:val="it-IT"/>
                    </w:rPr>
                  </w:rPrChange>
                </w:rPr>
                <w:delText xml:space="preserve">N </w:delText>
              </w:r>
            </w:del>
            <w:ins w:id="7597" w:author="Author">
              <w:r>
                <w:rPr>
                  <w:b/>
                  <w:noProof/>
                  <w:sz w:val="20"/>
                  <w:lang w:val="it-IT"/>
                  <w:rPrChange w:id="7598" w:author="Author">
                    <w:rPr>
                      <w:b/>
                      <w:sz w:val="18"/>
                      <w:szCs w:val="18"/>
                      <w:lang w:val="it-IT"/>
                    </w:rPr>
                  </w:rPrChange>
                </w:rPr>
                <w:t>n </w:t>
              </w:r>
            </w:ins>
            <w:r>
              <w:rPr>
                <w:b/>
                <w:noProof/>
                <w:sz w:val="20"/>
                <w:lang w:val="it-IT"/>
                <w:rPrChange w:id="7599" w:author="Author">
                  <w:rPr>
                    <w:b/>
                    <w:sz w:val="18"/>
                    <w:szCs w:val="18"/>
                    <w:lang w:val="it-IT"/>
                  </w:rPr>
                </w:rPrChange>
              </w:rPr>
              <w:t>=</w:t>
            </w:r>
            <w:ins w:id="7600" w:author="Author">
              <w:r>
                <w:rPr>
                  <w:b/>
                  <w:noProof/>
                  <w:sz w:val="20"/>
                  <w:lang w:val="it-IT"/>
                  <w:rPrChange w:id="7601" w:author="Author">
                    <w:rPr>
                      <w:b/>
                      <w:sz w:val="18"/>
                      <w:szCs w:val="18"/>
                      <w:lang w:val="it-IT"/>
                    </w:rPr>
                  </w:rPrChange>
                </w:rPr>
                <w:t> </w:t>
              </w:r>
            </w:ins>
            <w:del w:id="7602" w:author="Author">
              <w:r>
                <w:rPr>
                  <w:b/>
                  <w:noProof/>
                  <w:sz w:val="20"/>
                  <w:lang w:val="it-IT"/>
                  <w:rPrChange w:id="7603" w:author="Author">
                    <w:rPr>
                      <w:b/>
                      <w:sz w:val="18"/>
                      <w:szCs w:val="18"/>
                      <w:lang w:val="it-IT"/>
                    </w:rPr>
                  </w:rPrChange>
                </w:rPr>
                <w:delText xml:space="preserve"> </w:delText>
              </w:r>
            </w:del>
            <w:r>
              <w:rPr>
                <w:b/>
                <w:noProof/>
                <w:sz w:val="20"/>
                <w:lang w:val="it-IT"/>
                <w:rPrChange w:id="7604" w:author="Author">
                  <w:rPr>
                    <w:b/>
                    <w:sz w:val="18"/>
                    <w:szCs w:val="18"/>
                    <w:lang w:val="it-IT"/>
                  </w:rPr>
                </w:rPrChange>
              </w:rPr>
              <w:t>100</w:t>
            </w:r>
          </w:p>
        </w:tc>
        <w:tc>
          <w:tcPr>
            <w:tcW w:w="1259" w:type="pct"/>
            <w:tcMar>
              <w:top w:w="0" w:type="dxa"/>
              <w:left w:w="57" w:type="dxa"/>
              <w:bottom w:w="0" w:type="dxa"/>
              <w:right w:w="57" w:type="dxa"/>
            </w:tcMar>
            <w:tcPrChange w:id="7605" w:author="Author">
              <w:tcPr>
                <w:tcW w:w="1213" w:type="pct"/>
                <w:tcMar>
                  <w:top w:w="0" w:type="dxa"/>
                  <w:left w:w="57" w:type="dxa"/>
                  <w:bottom w:w="0" w:type="dxa"/>
                  <w:right w:w="57" w:type="dxa"/>
                </w:tcMar>
              </w:tcPr>
            </w:tcPrChange>
          </w:tcPr>
          <w:p>
            <w:pPr>
              <w:keepNext/>
              <w:suppressAutoHyphens/>
              <w:jc w:val="center"/>
              <w:rPr>
                <w:rFonts w:eastAsia="SimSun"/>
                <w:b/>
                <w:noProof/>
                <w:sz w:val="20"/>
                <w:lang w:val="it-IT"/>
                <w:rPrChange w:id="7606" w:author="Author">
                  <w:rPr>
                    <w:rFonts w:eastAsia="SimSun"/>
                    <w:b/>
                    <w:sz w:val="18"/>
                    <w:szCs w:val="18"/>
                    <w:lang w:val="it-IT"/>
                  </w:rPr>
                </w:rPrChange>
              </w:rPr>
              <w:pPrChange w:id="7607" w:author="Author">
                <w:pPr>
                  <w:keepNext/>
                  <w:keepLines/>
                  <w:spacing w:before="50" w:after="50" w:line="240" w:lineRule="exact"/>
                  <w:jc w:val="center"/>
                </w:pPr>
              </w:pPrChange>
            </w:pPr>
            <w:r>
              <w:rPr>
                <w:b/>
                <w:noProof/>
                <w:sz w:val="20"/>
                <w:lang w:val="it-IT"/>
                <w:rPrChange w:id="7608" w:author="Author">
                  <w:rPr>
                    <w:b/>
                    <w:sz w:val="18"/>
                    <w:szCs w:val="18"/>
                    <w:lang w:val="it-IT"/>
                  </w:rPr>
                </w:rPrChange>
              </w:rPr>
              <w:t xml:space="preserve">Tocilizumab 162 mg s.c. </w:t>
            </w:r>
            <w:ins w:id="7609" w:author="Author">
              <w:r>
                <w:rPr>
                  <w:b/>
                  <w:noProof/>
                  <w:sz w:val="20"/>
                  <w:lang w:val="it-IT"/>
                </w:rPr>
                <w:t>ogni due settimane</w:t>
              </w:r>
            </w:ins>
            <w:del w:id="7610" w:author="Author">
              <w:r>
                <w:rPr>
                  <w:b/>
                  <w:noProof/>
                  <w:sz w:val="20"/>
                  <w:lang w:val="it-IT"/>
                  <w:rPrChange w:id="7611" w:author="Author">
                    <w:rPr>
                      <w:b/>
                      <w:sz w:val="18"/>
                      <w:szCs w:val="18"/>
                      <w:lang w:val="it-IT"/>
                    </w:rPr>
                  </w:rPrChange>
                </w:rPr>
                <w:delText xml:space="preserve">a settimane alterne </w:delText>
              </w:r>
            </w:del>
            <w:r>
              <w:rPr>
                <w:b/>
                <w:noProof/>
                <w:sz w:val="20"/>
                <w:lang w:val="it-IT"/>
                <w:rPrChange w:id="7612" w:author="Author">
                  <w:rPr>
                    <w:b/>
                    <w:sz w:val="18"/>
                    <w:szCs w:val="18"/>
                    <w:lang w:val="it-IT"/>
                  </w:rPr>
                </w:rPrChange>
              </w:rPr>
              <w:t xml:space="preserve">+ </w:t>
            </w:r>
            <w:del w:id="7613" w:author="Author">
              <w:r>
                <w:rPr>
                  <w:b/>
                  <w:noProof/>
                  <w:sz w:val="20"/>
                  <w:lang w:val="it-IT"/>
                  <w:rPrChange w:id="7614" w:author="Author">
                    <w:rPr>
                      <w:b/>
                      <w:sz w:val="18"/>
                      <w:szCs w:val="18"/>
                      <w:lang w:val="it-IT"/>
                    </w:rPr>
                  </w:rPrChange>
                </w:rPr>
                <w:delText xml:space="preserve">26 </w:delText>
              </w:r>
            </w:del>
            <w:ins w:id="7615" w:author="Author">
              <w:r>
                <w:rPr>
                  <w:b/>
                  <w:noProof/>
                  <w:sz w:val="20"/>
                  <w:lang w:val="it-IT"/>
                  <w:rPrChange w:id="7616" w:author="Author">
                    <w:rPr>
                      <w:b/>
                      <w:sz w:val="18"/>
                      <w:szCs w:val="18"/>
                      <w:lang w:val="it-IT"/>
                    </w:rPr>
                  </w:rPrChange>
                </w:rPr>
                <w:t>26</w:t>
              </w:r>
              <w:r>
                <w:rPr>
                  <w:b/>
                  <w:noProof/>
                  <w:sz w:val="20"/>
                  <w:lang w:val="it-IT"/>
                </w:rPr>
                <w:t> </w:t>
              </w:r>
            </w:ins>
            <w:r>
              <w:rPr>
                <w:b/>
                <w:noProof/>
                <w:sz w:val="20"/>
                <w:lang w:val="it-IT"/>
                <w:rPrChange w:id="7617" w:author="Author">
                  <w:rPr>
                    <w:b/>
                    <w:sz w:val="18"/>
                    <w:szCs w:val="18"/>
                    <w:lang w:val="it-IT"/>
                  </w:rPr>
                </w:rPrChange>
              </w:rPr>
              <w:t>settimane di prednisone a scalare</w:t>
            </w:r>
          </w:p>
          <w:p>
            <w:pPr>
              <w:pStyle w:val="Standard"/>
              <w:keepNext/>
              <w:suppressAutoHyphens/>
              <w:jc w:val="center"/>
              <w:rPr>
                <w:rFonts w:eastAsia="SimSun"/>
                <w:b/>
                <w:noProof/>
                <w:sz w:val="20"/>
                <w:lang w:val="it-IT" w:eastAsia="zh-CN"/>
                <w:rPrChange w:id="7618" w:author="Author">
                  <w:rPr>
                    <w:rFonts w:eastAsia="SimSun"/>
                    <w:b/>
                    <w:sz w:val="18"/>
                    <w:szCs w:val="18"/>
                    <w:lang w:val="it-IT" w:eastAsia="zh-CN"/>
                  </w:rPr>
                </w:rPrChange>
              </w:rPr>
              <w:pPrChange w:id="7619" w:author="Author">
                <w:pPr>
                  <w:pStyle w:val="Standard"/>
                  <w:keepNext/>
                  <w:keepLines/>
                  <w:spacing w:before="50" w:after="50" w:line="240" w:lineRule="exact"/>
                  <w:jc w:val="center"/>
                </w:pPr>
              </w:pPrChange>
            </w:pPr>
            <w:del w:id="7620" w:author="Author">
              <w:r>
                <w:rPr>
                  <w:b/>
                  <w:noProof/>
                  <w:sz w:val="20"/>
                  <w:lang w:val="it-IT"/>
                  <w:rPrChange w:id="7621" w:author="Author">
                    <w:rPr>
                      <w:b/>
                      <w:sz w:val="18"/>
                      <w:szCs w:val="18"/>
                      <w:lang w:val="it-IT"/>
                    </w:rPr>
                  </w:rPrChange>
                </w:rPr>
                <w:delText xml:space="preserve">N </w:delText>
              </w:r>
            </w:del>
            <w:ins w:id="7622" w:author="Author">
              <w:r>
                <w:rPr>
                  <w:b/>
                  <w:noProof/>
                  <w:sz w:val="20"/>
                  <w:lang w:val="it-IT"/>
                  <w:rPrChange w:id="7623" w:author="Author">
                    <w:rPr>
                      <w:b/>
                      <w:sz w:val="18"/>
                      <w:szCs w:val="18"/>
                      <w:lang w:val="it-IT"/>
                    </w:rPr>
                  </w:rPrChange>
                </w:rPr>
                <w:t>n </w:t>
              </w:r>
            </w:ins>
            <w:r>
              <w:rPr>
                <w:b/>
                <w:noProof/>
                <w:sz w:val="20"/>
                <w:lang w:val="it-IT"/>
                <w:rPrChange w:id="7624" w:author="Author">
                  <w:rPr>
                    <w:b/>
                    <w:sz w:val="18"/>
                    <w:szCs w:val="18"/>
                    <w:lang w:val="it-IT"/>
                  </w:rPr>
                </w:rPrChange>
              </w:rPr>
              <w:t>=</w:t>
            </w:r>
            <w:ins w:id="7625" w:author="Author">
              <w:r>
                <w:rPr>
                  <w:b/>
                  <w:noProof/>
                  <w:sz w:val="20"/>
                  <w:lang w:val="it-IT"/>
                  <w:rPrChange w:id="7626" w:author="Author">
                    <w:rPr>
                      <w:b/>
                      <w:sz w:val="18"/>
                      <w:szCs w:val="18"/>
                      <w:lang w:val="it-IT"/>
                    </w:rPr>
                  </w:rPrChange>
                </w:rPr>
                <w:t> </w:t>
              </w:r>
            </w:ins>
            <w:del w:id="7627" w:author="Author">
              <w:r>
                <w:rPr>
                  <w:b/>
                  <w:noProof/>
                  <w:sz w:val="20"/>
                  <w:lang w:val="it-IT"/>
                  <w:rPrChange w:id="7628" w:author="Author">
                    <w:rPr>
                      <w:b/>
                      <w:sz w:val="18"/>
                      <w:szCs w:val="18"/>
                      <w:lang w:val="it-IT"/>
                    </w:rPr>
                  </w:rPrChange>
                </w:rPr>
                <w:delText xml:space="preserve"> </w:delText>
              </w:r>
            </w:del>
            <w:r>
              <w:rPr>
                <w:b/>
                <w:noProof/>
                <w:sz w:val="20"/>
                <w:lang w:val="it-IT"/>
                <w:rPrChange w:id="7629" w:author="Author">
                  <w:rPr>
                    <w:b/>
                    <w:sz w:val="18"/>
                    <w:szCs w:val="18"/>
                    <w:lang w:val="it-IT"/>
                  </w:rPr>
                </w:rPrChange>
              </w:rPr>
              <w:t>49</w:t>
            </w:r>
          </w:p>
        </w:tc>
      </w:tr>
      <w:tr>
        <w:trPr>
          <w:cantSplit/>
        </w:trPr>
        <w:tc>
          <w:tcPr>
            <w:tcW w:w="2482" w:type="pct"/>
            <w:gridSpan w:val="3"/>
            <w:tcMar>
              <w:top w:w="0" w:type="dxa"/>
              <w:left w:w="57" w:type="dxa"/>
              <w:bottom w:w="0" w:type="dxa"/>
              <w:right w:w="57" w:type="dxa"/>
            </w:tcMar>
          </w:tcPr>
          <w:p>
            <w:pPr>
              <w:pStyle w:val="Standard"/>
              <w:keepNext/>
              <w:suppressAutoHyphens/>
              <w:rPr>
                <w:rFonts w:eastAsia="SimSun"/>
                <w:b/>
                <w:bCs/>
                <w:noProof/>
                <w:sz w:val="20"/>
                <w:lang w:val="it-IT" w:eastAsia="zh-CN"/>
                <w:rPrChange w:id="7630" w:author="Author">
                  <w:rPr>
                    <w:rFonts w:eastAsia="SimSun"/>
                    <w:sz w:val="18"/>
                    <w:szCs w:val="18"/>
                    <w:lang w:val="it-IT" w:eastAsia="zh-CN"/>
                  </w:rPr>
                </w:rPrChange>
              </w:rPr>
              <w:pPrChange w:id="7631" w:author="Author">
                <w:pPr>
                  <w:pStyle w:val="Standard"/>
                  <w:keepNext/>
                  <w:keepLines/>
                  <w:spacing w:before="50" w:after="50" w:line="240" w:lineRule="exact"/>
                </w:pPr>
              </w:pPrChange>
            </w:pPr>
            <w:r>
              <w:rPr>
                <w:b/>
                <w:bCs/>
                <w:noProof/>
                <w:sz w:val="20"/>
                <w:lang w:val="it-IT"/>
                <w:rPrChange w:id="7632" w:author="Author">
                  <w:rPr>
                    <w:sz w:val="18"/>
                    <w:szCs w:val="18"/>
                    <w:lang w:val="it-IT"/>
                  </w:rPr>
                </w:rPrChange>
              </w:rPr>
              <w:t>Durata (giorni)</w:t>
            </w:r>
            <w:r>
              <w:rPr>
                <w:rFonts w:eastAsia="SimSun"/>
                <w:b/>
                <w:bCs/>
                <w:noProof/>
                <w:sz w:val="20"/>
                <w:lang w:val="it-IT" w:eastAsia="zh-CN"/>
                <w:rPrChange w:id="7633" w:author="Author">
                  <w:rPr>
                    <w:rFonts w:eastAsia="SimSun"/>
                    <w:sz w:val="18"/>
                    <w:szCs w:val="18"/>
                    <w:lang w:val="it-IT" w:eastAsia="zh-CN"/>
                  </w:rPr>
                </w:rPrChange>
              </w:rPr>
              <w:t xml:space="preserve">                       </w:t>
            </w:r>
          </w:p>
        </w:tc>
        <w:tc>
          <w:tcPr>
            <w:tcW w:w="1259" w:type="pct"/>
          </w:tcPr>
          <w:p>
            <w:pPr>
              <w:pStyle w:val="Standard"/>
              <w:keepNext/>
              <w:suppressAutoHyphens/>
              <w:jc w:val="center"/>
              <w:rPr>
                <w:rFonts w:eastAsia="SimSun"/>
                <w:strike/>
                <w:noProof/>
                <w:sz w:val="20"/>
                <w:lang w:val="it-IT" w:eastAsia="zh-CN"/>
                <w:rPrChange w:id="7634" w:author="Author">
                  <w:rPr>
                    <w:rFonts w:eastAsia="SimSun"/>
                    <w:strike/>
                    <w:sz w:val="18"/>
                    <w:szCs w:val="18"/>
                    <w:lang w:val="it-IT" w:eastAsia="zh-CN"/>
                  </w:rPr>
                </w:rPrChange>
              </w:rPr>
              <w:pPrChange w:id="7635" w:author="Author">
                <w:pPr>
                  <w:pStyle w:val="Standard"/>
                  <w:keepNext/>
                  <w:keepLines/>
                  <w:spacing w:before="50" w:after="50" w:line="240" w:lineRule="exact"/>
                  <w:jc w:val="center"/>
                </w:pPr>
              </w:pPrChange>
            </w:pPr>
          </w:p>
        </w:tc>
        <w:tc>
          <w:tcPr>
            <w:tcW w:w="1259" w:type="pct"/>
            <w:tcMar>
              <w:top w:w="0" w:type="dxa"/>
              <w:left w:w="57" w:type="dxa"/>
              <w:bottom w:w="0" w:type="dxa"/>
              <w:right w:w="57" w:type="dxa"/>
            </w:tcMar>
          </w:tcPr>
          <w:p>
            <w:pPr>
              <w:pStyle w:val="Standard"/>
              <w:keepNext/>
              <w:suppressAutoHyphens/>
              <w:jc w:val="center"/>
              <w:rPr>
                <w:rFonts w:eastAsia="SimSun"/>
                <w:strike/>
                <w:noProof/>
                <w:sz w:val="20"/>
                <w:lang w:val="it-IT" w:eastAsia="zh-CN"/>
                <w:rPrChange w:id="7636" w:author="Author">
                  <w:rPr>
                    <w:rFonts w:eastAsia="SimSun"/>
                    <w:strike/>
                    <w:sz w:val="18"/>
                    <w:szCs w:val="18"/>
                    <w:lang w:val="it-IT" w:eastAsia="zh-CN"/>
                  </w:rPr>
                </w:rPrChange>
              </w:rPr>
              <w:pPrChange w:id="7637" w:author="Author">
                <w:pPr>
                  <w:pStyle w:val="Standard"/>
                  <w:keepNext/>
                  <w:keepLines/>
                  <w:spacing w:before="50" w:after="50" w:line="240" w:lineRule="exact"/>
                  <w:jc w:val="center"/>
                </w:pPr>
              </w:pPrChange>
            </w:pPr>
          </w:p>
        </w:tc>
      </w:tr>
      <w:tr>
        <w:trPr>
          <w:cantSplit/>
          <w:trPrChange w:id="7638" w:author="Author">
            <w:trPr>
              <w:cantSplit/>
            </w:trPr>
          </w:trPrChange>
        </w:trPr>
        <w:tc>
          <w:tcPr>
            <w:tcW w:w="843" w:type="pct"/>
            <w:tcMar>
              <w:top w:w="0" w:type="dxa"/>
              <w:left w:w="57" w:type="dxa"/>
              <w:bottom w:w="0" w:type="dxa"/>
              <w:right w:w="57" w:type="dxa"/>
            </w:tcMar>
            <w:tcPrChange w:id="7639" w:author="Author">
              <w:tcPr>
                <w:tcW w:w="842" w:type="pct"/>
                <w:tcMar>
                  <w:top w:w="0" w:type="dxa"/>
                  <w:left w:w="57" w:type="dxa"/>
                  <w:bottom w:w="0" w:type="dxa"/>
                  <w:right w:w="57" w:type="dxa"/>
                </w:tcMar>
              </w:tcPr>
            </w:tcPrChange>
          </w:tcPr>
          <w:p>
            <w:pPr>
              <w:pStyle w:val="Standard"/>
              <w:keepNext/>
              <w:suppressAutoHyphens/>
              <w:ind w:left="360"/>
              <w:rPr>
                <w:rFonts w:eastAsia="SimSun"/>
                <w:noProof/>
                <w:sz w:val="20"/>
                <w:lang w:val="it-IT" w:eastAsia="zh-CN"/>
                <w:rPrChange w:id="7640" w:author="Author">
                  <w:rPr>
                    <w:rFonts w:eastAsia="SimSun"/>
                    <w:sz w:val="18"/>
                    <w:szCs w:val="18"/>
                    <w:lang w:val="it-IT" w:eastAsia="zh-CN"/>
                  </w:rPr>
                </w:rPrChange>
              </w:rPr>
              <w:pPrChange w:id="7641" w:author="Author">
                <w:pPr>
                  <w:pStyle w:val="Standard"/>
                  <w:keepNext/>
                  <w:keepLines/>
                  <w:spacing w:before="50" w:after="50" w:line="240" w:lineRule="exact"/>
                  <w:ind w:left="720"/>
                </w:pPr>
              </w:pPrChange>
            </w:pPr>
            <w:r>
              <w:rPr>
                <w:noProof/>
                <w:sz w:val="20"/>
                <w:lang w:val="it-IT"/>
                <w:rPrChange w:id="7642" w:author="Author">
                  <w:rPr>
                    <w:sz w:val="18"/>
                    <w:szCs w:val="18"/>
                    <w:lang w:val="it-IT"/>
                  </w:rPr>
                </w:rPrChange>
              </w:rPr>
              <w:t>Media (DS)</w:t>
            </w:r>
          </w:p>
        </w:tc>
        <w:tc>
          <w:tcPr>
            <w:tcW w:w="820" w:type="pct"/>
            <w:tcMar>
              <w:top w:w="0" w:type="dxa"/>
              <w:left w:w="57" w:type="dxa"/>
              <w:bottom w:w="0" w:type="dxa"/>
              <w:right w:w="57" w:type="dxa"/>
            </w:tcMar>
            <w:tcPrChange w:id="7643" w:author="Author">
              <w:tcPr>
                <w:tcW w:w="955" w:type="pct"/>
                <w:tcMar>
                  <w:top w:w="0" w:type="dxa"/>
                  <w:left w:w="57" w:type="dxa"/>
                  <w:bottom w:w="0" w:type="dxa"/>
                  <w:right w:w="57" w:type="dxa"/>
                </w:tcMar>
              </w:tcPr>
            </w:tcPrChange>
          </w:tcPr>
          <w:p>
            <w:pPr>
              <w:pStyle w:val="Standard"/>
              <w:keepNext/>
              <w:suppressAutoHyphens/>
              <w:jc w:val="center"/>
              <w:rPr>
                <w:rFonts w:eastAsia="SimSun"/>
                <w:noProof/>
                <w:sz w:val="20"/>
                <w:lang w:val="it-IT" w:eastAsia="zh-CN"/>
                <w:rPrChange w:id="7644" w:author="Author">
                  <w:rPr>
                    <w:rFonts w:eastAsia="SimSun"/>
                    <w:sz w:val="18"/>
                    <w:szCs w:val="18"/>
                    <w:lang w:val="it-IT" w:eastAsia="zh-CN"/>
                  </w:rPr>
                </w:rPrChange>
              </w:rPr>
              <w:pPrChange w:id="7645" w:author="Author">
                <w:pPr>
                  <w:pStyle w:val="Standard"/>
                  <w:keepNext/>
                  <w:keepLines/>
                  <w:spacing w:before="50" w:after="50" w:line="240" w:lineRule="exact"/>
                  <w:jc w:val="center"/>
                </w:pPr>
              </w:pPrChange>
            </w:pPr>
            <w:r>
              <w:rPr>
                <w:noProof/>
                <w:sz w:val="20"/>
                <w:lang w:val="it-IT"/>
                <w:rPrChange w:id="7646" w:author="Author">
                  <w:rPr>
                    <w:sz w:val="18"/>
                    <w:szCs w:val="18"/>
                    <w:lang w:val="it-IT"/>
                  </w:rPr>
                </w:rPrChange>
              </w:rPr>
              <w:t>35,7 (11,5)</w:t>
            </w:r>
          </w:p>
        </w:tc>
        <w:tc>
          <w:tcPr>
            <w:tcW w:w="820" w:type="pct"/>
            <w:tcMar>
              <w:top w:w="0" w:type="dxa"/>
              <w:left w:w="57" w:type="dxa"/>
              <w:bottom w:w="0" w:type="dxa"/>
              <w:right w:w="57" w:type="dxa"/>
            </w:tcMar>
            <w:tcPrChange w:id="7647" w:author="Author">
              <w:tcPr>
                <w:tcW w:w="776" w:type="pct"/>
                <w:gridSpan w:val="2"/>
                <w:tcMar>
                  <w:top w:w="0" w:type="dxa"/>
                  <w:left w:w="57" w:type="dxa"/>
                  <w:bottom w:w="0" w:type="dxa"/>
                  <w:right w:w="57" w:type="dxa"/>
                </w:tcMar>
              </w:tcPr>
            </w:tcPrChange>
          </w:tcPr>
          <w:p>
            <w:pPr>
              <w:pStyle w:val="Standard"/>
              <w:keepNext/>
              <w:suppressAutoHyphens/>
              <w:jc w:val="center"/>
              <w:rPr>
                <w:rFonts w:eastAsia="SimSun"/>
                <w:noProof/>
                <w:sz w:val="20"/>
                <w:lang w:val="it-IT" w:eastAsia="zh-CN"/>
                <w:rPrChange w:id="7648" w:author="Author">
                  <w:rPr>
                    <w:rFonts w:eastAsia="SimSun"/>
                    <w:sz w:val="18"/>
                    <w:szCs w:val="18"/>
                    <w:lang w:val="it-IT" w:eastAsia="zh-CN"/>
                  </w:rPr>
                </w:rPrChange>
              </w:rPr>
              <w:pPrChange w:id="7649" w:author="Author">
                <w:pPr>
                  <w:pStyle w:val="Standard"/>
                  <w:keepNext/>
                  <w:keepLines/>
                  <w:spacing w:before="50" w:after="50" w:line="240" w:lineRule="exact"/>
                  <w:jc w:val="center"/>
                </w:pPr>
              </w:pPrChange>
            </w:pPr>
            <w:r>
              <w:rPr>
                <w:noProof/>
                <w:sz w:val="20"/>
                <w:lang w:val="it-IT"/>
                <w:rPrChange w:id="7650" w:author="Author">
                  <w:rPr>
                    <w:sz w:val="18"/>
                    <w:szCs w:val="18"/>
                    <w:lang w:val="it-IT"/>
                  </w:rPr>
                </w:rPrChange>
              </w:rPr>
              <w:t>36,3 (12,5)</w:t>
            </w:r>
          </w:p>
        </w:tc>
        <w:tc>
          <w:tcPr>
            <w:tcW w:w="1259" w:type="pct"/>
            <w:tcPrChange w:id="7651" w:author="Author">
              <w:tcPr>
                <w:tcW w:w="1214" w:type="pct"/>
                <w:gridSpan w:val="2"/>
              </w:tcPr>
            </w:tcPrChange>
          </w:tcPr>
          <w:p>
            <w:pPr>
              <w:pStyle w:val="Standard"/>
              <w:keepNext/>
              <w:suppressAutoHyphens/>
              <w:jc w:val="center"/>
              <w:rPr>
                <w:rFonts w:eastAsia="SimSun"/>
                <w:noProof/>
                <w:sz w:val="20"/>
                <w:lang w:val="it-IT" w:eastAsia="zh-CN"/>
                <w:rPrChange w:id="7652" w:author="Author">
                  <w:rPr>
                    <w:rFonts w:eastAsia="SimSun"/>
                    <w:sz w:val="18"/>
                    <w:szCs w:val="18"/>
                    <w:lang w:val="it-IT" w:eastAsia="zh-CN"/>
                  </w:rPr>
                </w:rPrChange>
              </w:rPr>
              <w:pPrChange w:id="7653" w:author="Author">
                <w:pPr>
                  <w:pStyle w:val="Standard"/>
                  <w:keepNext/>
                  <w:keepLines/>
                  <w:spacing w:before="50" w:after="50" w:line="240" w:lineRule="exact"/>
                  <w:jc w:val="center"/>
                </w:pPr>
              </w:pPrChange>
            </w:pPr>
            <w:r>
              <w:rPr>
                <w:noProof/>
                <w:sz w:val="20"/>
                <w:lang w:val="it-IT"/>
                <w:rPrChange w:id="7654" w:author="Author">
                  <w:rPr>
                    <w:sz w:val="18"/>
                    <w:szCs w:val="18"/>
                    <w:lang w:val="it-IT"/>
                  </w:rPr>
                </w:rPrChange>
              </w:rPr>
              <w:t>35,6 (13,2)</w:t>
            </w:r>
          </w:p>
        </w:tc>
        <w:tc>
          <w:tcPr>
            <w:tcW w:w="1259" w:type="pct"/>
            <w:tcMar>
              <w:top w:w="0" w:type="dxa"/>
              <w:left w:w="57" w:type="dxa"/>
              <w:bottom w:w="0" w:type="dxa"/>
              <w:right w:w="57" w:type="dxa"/>
            </w:tcMar>
            <w:tcPrChange w:id="7655" w:author="Author">
              <w:tcPr>
                <w:tcW w:w="1213" w:type="pct"/>
                <w:tcMar>
                  <w:top w:w="0" w:type="dxa"/>
                  <w:left w:w="57" w:type="dxa"/>
                  <w:bottom w:w="0" w:type="dxa"/>
                  <w:right w:w="57" w:type="dxa"/>
                </w:tcMar>
              </w:tcPr>
            </w:tcPrChange>
          </w:tcPr>
          <w:p>
            <w:pPr>
              <w:pStyle w:val="Standard"/>
              <w:keepNext/>
              <w:suppressAutoHyphens/>
              <w:jc w:val="center"/>
              <w:rPr>
                <w:rFonts w:eastAsia="SimSun"/>
                <w:noProof/>
                <w:sz w:val="20"/>
                <w:lang w:val="it-IT" w:eastAsia="zh-CN"/>
                <w:rPrChange w:id="7656" w:author="Author">
                  <w:rPr>
                    <w:rFonts w:eastAsia="SimSun"/>
                    <w:sz w:val="18"/>
                    <w:szCs w:val="18"/>
                    <w:lang w:val="it-IT" w:eastAsia="zh-CN"/>
                  </w:rPr>
                </w:rPrChange>
              </w:rPr>
              <w:pPrChange w:id="7657" w:author="Author">
                <w:pPr>
                  <w:pStyle w:val="Standard"/>
                  <w:keepNext/>
                  <w:keepLines/>
                  <w:spacing w:before="50" w:after="50" w:line="240" w:lineRule="exact"/>
                  <w:jc w:val="center"/>
                </w:pPr>
              </w:pPrChange>
            </w:pPr>
            <w:r>
              <w:rPr>
                <w:noProof/>
                <w:sz w:val="20"/>
                <w:lang w:val="it-IT"/>
                <w:rPrChange w:id="7658" w:author="Author">
                  <w:rPr>
                    <w:sz w:val="18"/>
                    <w:szCs w:val="18"/>
                    <w:lang w:val="it-IT"/>
                  </w:rPr>
                </w:rPrChange>
              </w:rPr>
              <w:t>37,4 (14,4)</w:t>
            </w:r>
          </w:p>
        </w:tc>
      </w:tr>
      <w:tr>
        <w:trPr>
          <w:cantSplit/>
          <w:trPrChange w:id="7659" w:author="Author">
            <w:trPr>
              <w:cantSplit/>
            </w:trPr>
          </w:trPrChange>
        </w:trPr>
        <w:tc>
          <w:tcPr>
            <w:tcW w:w="843" w:type="pct"/>
            <w:tcMar>
              <w:top w:w="0" w:type="dxa"/>
              <w:left w:w="57" w:type="dxa"/>
              <w:bottom w:w="0" w:type="dxa"/>
              <w:right w:w="57" w:type="dxa"/>
            </w:tcMar>
            <w:tcPrChange w:id="7660" w:author="Author">
              <w:tcPr>
                <w:tcW w:w="842" w:type="pct"/>
                <w:tcMar>
                  <w:top w:w="0" w:type="dxa"/>
                  <w:left w:w="57" w:type="dxa"/>
                  <w:bottom w:w="0" w:type="dxa"/>
                  <w:right w:w="57" w:type="dxa"/>
                </w:tcMar>
              </w:tcPr>
            </w:tcPrChange>
          </w:tcPr>
          <w:p>
            <w:pPr>
              <w:pStyle w:val="Standard"/>
              <w:keepNext/>
              <w:suppressAutoHyphens/>
              <w:ind w:left="360"/>
              <w:rPr>
                <w:rFonts w:eastAsia="SimSun"/>
                <w:noProof/>
                <w:sz w:val="20"/>
                <w:lang w:val="it-IT" w:eastAsia="zh-CN"/>
                <w:rPrChange w:id="7661" w:author="Author">
                  <w:rPr>
                    <w:rFonts w:eastAsia="SimSun"/>
                    <w:sz w:val="18"/>
                    <w:szCs w:val="18"/>
                    <w:lang w:val="it-IT" w:eastAsia="zh-CN"/>
                  </w:rPr>
                </w:rPrChange>
              </w:rPr>
              <w:pPrChange w:id="7662" w:author="Author">
                <w:pPr>
                  <w:pStyle w:val="Standard"/>
                  <w:keepNext/>
                  <w:keepLines/>
                  <w:spacing w:before="50" w:after="50" w:line="240" w:lineRule="exact"/>
                  <w:ind w:left="720"/>
                </w:pPr>
              </w:pPrChange>
            </w:pPr>
            <w:r>
              <w:rPr>
                <w:noProof/>
                <w:sz w:val="20"/>
                <w:lang w:val="it-IT"/>
                <w:rPrChange w:id="7663" w:author="Author">
                  <w:rPr>
                    <w:sz w:val="18"/>
                    <w:szCs w:val="18"/>
                    <w:lang w:val="it-IT"/>
                  </w:rPr>
                </w:rPrChange>
              </w:rPr>
              <w:t>Mediana</w:t>
            </w:r>
          </w:p>
        </w:tc>
        <w:tc>
          <w:tcPr>
            <w:tcW w:w="820" w:type="pct"/>
            <w:tcMar>
              <w:top w:w="0" w:type="dxa"/>
              <w:left w:w="57" w:type="dxa"/>
              <w:bottom w:w="0" w:type="dxa"/>
              <w:right w:w="57" w:type="dxa"/>
            </w:tcMar>
            <w:tcPrChange w:id="7664" w:author="Author">
              <w:tcPr>
                <w:tcW w:w="955" w:type="pct"/>
                <w:tcMar>
                  <w:top w:w="0" w:type="dxa"/>
                  <w:left w:w="57" w:type="dxa"/>
                  <w:bottom w:w="0" w:type="dxa"/>
                  <w:right w:w="57" w:type="dxa"/>
                </w:tcMar>
              </w:tcPr>
            </w:tcPrChange>
          </w:tcPr>
          <w:p>
            <w:pPr>
              <w:pStyle w:val="Standard"/>
              <w:keepNext/>
              <w:suppressAutoHyphens/>
              <w:jc w:val="center"/>
              <w:rPr>
                <w:rFonts w:eastAsia="SimSun"/>
                <w:noProof/>
                <w:sz w:val="20"/>
                <w:lang w:val="it-IT" w:eastAsia="zh-CN"/>
                <w:rPrChange w:id="7665" w:author="Author">
                  <w:rPr>
                    <w:rFonts w:eastAsia="SimSun"/>
                    <w:sz w:val="18"/>
                    <w:szCs w:val="18"/>
                    <w:lang w:val="it-IT" w:eastAsia="zh-CN"/>
                  </w:rPr>
                </w:rPrChange>
              </w:rPr>
              <w:pPrChange w:id="7666" w:author="Author">
                <w:pPr>
                  <w:pStyle w:val="Standard"/>
                  <w:keepNext/>
                  <w:keepLines/>
                  <w:spacing w:before="50" w:after="50" w:line="240" w:lineRule="exact"/>
                  <w:jc w:val="center"/>
                </w:pPr>
              </w:pPrChange>
            </w:pPr>
            <w:r>
              <w:rPr>
                <w:noProof/>
                <w:sz w:val="20"/>
                <w:lang w:val="it-IT"/>
                <w:rPrChange w:id="7667" w:author="Author">
                  <w:rPr>
                    <w:sz w:val="18"/>
                    <w:szCs w:val="18"/>
                    <w:lang w:val="it-IT"/>
                  </w:rPr>
                </w:rPrChange>
              </w:rPr>
              <w:t>42,0</w:t>
            </w:r>
          </w:p>
        </w:tc>
        <w:tc>
          <w:tcPr>
            <w:tcW w:w="820" w:type="pct"/>
            <w:tcMar>
              <w:top w:w="0" w:type="dxa"/>
              <w:left w:w="57" w:type="dxa"/>
              <w:bottom w:w="0" w:type="dxa"/>
              <w:right w:w="57" w:type="dxa"/>
            </w:tcMar>
            <w:tcPrChange w:id="7668" w:author="Author">
              <w:tcPr>
                <w:tcW w:w="776" w:type="pct"/>
                <w:gridSpan w:val="2"/>
                <w:tcMar>
                  <w:top w:w="0" w:type="dxa"/>
                  <w:left w:w="57" w:type="dxa"/>
                  <w:bottom w:w="0" w:type="dxa"/>
                  <w:right w:w="57" w:type="dxa"/>
                </w:tcMar>
              </w:tcPr>
            </w:tcPrChange>
          </w:tcPr>
          <w:p>
            <w:pPr>
              <w:pStyle w:val="Standard"/>
              <w:keepNext/>
              <w:suppressAutoHyphens/>
              <w:jc w:val="center"/>
              <w:rPr>
                <w:rFonts w:eastAsia="SimSun"/>
                <w:noProof/>
                <w:sz w:val="20"/>
                <w:lang w:val="it-IT" w:eastAsia="zh-CN"/>
                <w:rPrChange w:id="7669" w:author="Author">
                  <w:rPr>
                    <w:rFonts w:eastAsia="SimSun"/>
                    <w:sz w:val="18"/>
                    <w:szCs w:val="18"/>
                    <w:lang w:val="it-IT" w:eastAsia="zh-CN"/>
                  </w:rPr>
                </w:rPrChange>
              </w:rPr>
              <w:pPrChange w:id="7670" w:author="Author">
                <w:pPr>
                  <w:pStyle w:val="Standard"/>
                  <w:keepNext/>
                  <w:keepLines/>
                  <w:spacing w:before="50" w:after="50" w:line="240" w:lineRule="exact"/>
                  <w:jc w:val="center"/>
                </w:pPr>
              </w:pPrChange>
            </w:pPr>
            <w:r>
              <w:rPr>
                <w:noProof/>
                <w:sz w:val="20"/>
                <w:lang w:val="it-IT"/>
                <w:rPrChange w:id="7671" w:author="Author">
                  <w:rPr>
                    <w:sz w:val="18"/>
                    <w:szCs w:val="18"/>
                    <w:lang w:val="it-IT"/>
                  </w:rPr>
                </w:rPrChange>
              </w:rPr>
              <w:t>41,0</w:t>
            </w:r>
          </w:p>
        </w:tc>
        <w:tc>
          <w:tcPr>
            <w:tcW w:w="1259" w:type="pct"/>
            <w:tcPrChange w:id="7672" w:author="Author">
              <w:tcPr>
                <w:tcW w:w="1214" w:type="pct"/>
                <w:gridSpan w:val="2"/>
              </w:tcPr>
            </w:tcPrChange>
          </w:tcPr>
          <w:p>
            <w:pPr>
              <w:pStyle w:val="Standard"/>
              <w:keepNext/>
              <w:suppressAutoHyphens/>
              <w:jc w:val="center"/>
              <w:rPr>
                <w:rFonts w:eastAsia="SimSun"/>
                <w:noProof/>
                <w:sz w:val="20"/>
                <w:lang w:val="it-IT" w:eastAsia="zh-CN"/>
                <w:rPrChange w:id="7673" w:author="Author">
                  <w:rPr>
                    <w:rFonts w:eastAsia="SimSun"/>
                    <w:sz w:val="18"/>
                    <w:szCs w:val="18"/>
                    <w:lang w:val="it-IT" w:eastAsia="zh-CN"/>
                  </w:rPr>
                </w:rPrChange>
              </w:rPr>
              <w:pPrChange w:id="7674" w:author="Author">
                <w:pPr>
                  <w:pStyle w:val="Standard"/>
                  <w:keepNext/>
                  <w:keepLines/>
                  <w:spacing w:before="50" w:after="50" w:line="240" w:lineRule="exact"/>
                  <w:jc w:val="center"/>
                </w:pPr>
              </w:pPrChange>
            </w:pPr>
            <w:r>
              <w:rPr>
                <w:noProof/>
                <w:sz w:val="20"/>
                <w:lang w:val="it-IT"/>
                <w:rPrChange w:id="7675" w:author="Author">
                  <w:rPr>
                    <w:sz w:val="18"/>
                    <w:szCs w:val="18"/>
                    <w:lang w:val="it-IT"/>
                  </w:rPr>
                </w:rPrChange>
              </w:rPr>
              <w:t>41,0</w:t>
            </w:r>
          </w:p>
        </w:tc>
        <w:tc>
          <w:tcPr>
            <w:tcW w:w="1259" w:type="pct"/>
            <w:tcMar>
              <w:top w:w="0" w:type="dxa"/>
              <w:left w:w="57" w:type="dxa"/>
              <w:bottom w:w="0" w:type="dxa"/>
              <w:right w:w="57" w:type="dxa"/>
            </w:tcMar>
            <w:tcPrChange w:id="7676" w:author="Author">
              <w:tcPr>
                <w:tcW w:w="1213" w:type="pct"/>
                <w:tcMar>
                  <w:top w:w="0" w:type="dxa"/>
                  <w:left w:w="57" w:type="dxa"/>
                  <w:bottom w:w="0" w:type="dxa"/>
                  <w:right w:w="57" w:type="dxa"/>
                </w:tcMar>
              </w:tcPr>
            </w:tcPrChange>
          </w:tcPr>
          <w:p>
            <w:pPr>
              <w:pStyle w:val="Standard"/>
              <w:keepNext/>
              <w:suppressAutoHyphens/>
              <w:jc w:val="center"/>
              <w:rPr>
                <w:rFonts w:eastAsia="SimSun"/>
                <w:noProof/>
                <w:sz w:val="20"/>
                <w:lang w:val="it-IT" w:eastAsia="zh-CN"/>
                <w:rPrChange w:id="7677" w:author="Author">
                  <w:rPr>
                    <w:rFonts w:eastAsia="SimSun"/>
                    <w:sz w:val="18"/>
                    <w:szCs w:val="18"/>
                    <w:lang w:val="it-IT" w:eastAsia="zh-CN"/>
                  </w:rPr>
                </w:rPrChange>
              </w:rPr>
              <w:pPrChange w:id="7678" w:author="Author">
                <w:pPr>
                  <w:pStyle w:val="Standard"/>
                  <w:keepNext/>
                  <w:keepLines/>
                  <w:spacing w:before="50" w:after="50" w:line="240" w:lineRule="exact"/>
                  <w:jc w:val="center"/>
                </w:pPr>
              </w:pPrChange>
            </w:pPr>
            <w:r>
              <w:rPr>
                <w:noProof/>
                <w:sz w:val="20"/>
                <w:lang w:val="it-IT"/>
                <w:rPrChange w:id="7679" w:author="Author">
                  <w:rPr>
                    <w:sz w:val="18"/>
                    <w:szCs w:val="18"/>
                    <w:lang w:val="it-IT"/>
                  </w:rPr>
                </w:rPrChange>
              </w:rPr>
              <w:t>42,0</w:t>
            </w:r>
          </w:p>
        </w:tc>
      </w:tr>
      <w:tr>
        <w:trPr>
          <w:cantSplit/>
          <w:trPrChange w:id="7680" w:author="Author">
            <w:trPr>
              <w:cantSplit/>
            </w:trPr>
          </w:trPrChange>
        </w:trPr>
        <w:tc>
          <w:tcPr>
            <w:tcW w:w="843" w:type="pct"/>
            <w:tcMar>
              <w:top w:w="0" w:type="dxa"/>
              <w:left w:w="57" w:type="dxa"/>
              <w:bottom w:w="0" w:type="dxa"/>
              <w:right w:w="57" w:type="dxa"/>
            </w:tcMar>
            <w:tcPrChange w:id="7681" w:author="Author">
              <w:tcPr>
                <w:tcW w:w="842" w:type="pct"/>
                <w:tcMar>
                  <w:top w:w="0" w:type="dxa"/>
                  <w:left w:w="57" w:type="dxa"/>
                  <w:bottom w:w="0" w:type="dxa"/>
                  <w:right w:w="57" w:type="dxa"/>
                </w:tcMar>
              </w:tcPr>
            </w:tcPrChange>
          </w:tcPr>
          <w:p>
            <w:pPr>
              <w:pStyle w:val="Standard"/>
              <w:keepNext/>
              <w:suppressAutoHyphens/>
              <w:ind w:left="360"/>
              <w:rPr>
                <w:rFonts w:eastAsia="SimSun"/>
                <w:noProof/>
                <w:sz w:val="20"/>
                <w:lang w:val="it-IT" w:eastAsia="zh-CN"/>
                <w:rPrChange w:id="7682" w:author="Author">
                  <w:rPr>
                    <w:rFonts w:eastAsia="SimSun"/>
                    <w:sz w:val="18"/>
                    <w:szCs w:val="18"/>
                    <w:lang w:val="it-IT" w:eastAsia="zh-CN"/>
                  </w:rPr>
                </w:rPrChange>
              </w:rPr>
              <w:pPrChange w:id="7683" w:author="Author">
                <w:pPr>
                  <w:pStyle w:val="Standard"/>
                  <w:keepNext/>
                  <w:keepLines/>
                  <w:spacing w:before="50" w:after="50" w:line="240" w:lineRule="exact"/>
                  <w:ind w:left="720"/>
                </w:pPr>
              </w:pPrChange>
            </w:pPr>
            <w:r>
              <w:rPr>
                <w:noProof/>
                <w:sz w:val="20"/>
                <w:lang w:val="it-IT"/>
                <w:rPrChange w:id="7684" w:author="Author">
                  <w:rPr>
                    <w:sz w:val="18"/>
                    <w:szCs w:val="18"/>
                    <w:lang w:val="it-IT"/>
                  </w:rPr>
                </w:rPrChange>
              </w:rPr>
              <w:t>Min - Max</w:t>
            </w:r>
          </w:p>
        </w:tc>
        <w:tc>
          <w:tcPr>
            <w:tcW w:w="820" w:type="pct"/>
            <w:tcMar>
              <w:top w:w="0" w:type="dxa"/>
              <w:left w:w="57" w:type="dxa"/>
              <w:bottom w:w="0" w:type="dxa"/>
              <w:right w:w="57" w:type="dxa"/>
            </w:tcMar>
            <w:tcPrChange w:id="7685" w:author="Author">
              <w:tcPr>
                <w:tcW w:w="955" w:type="pct"/>
                <w:tcMar>
                  <w:top w:w="0" w:type="dxa"/>
                  <w:left w:w="57" w:type="dxa"/>
                  <w:bottom w:w="0" w:type="dxa"/>
                  <w:right w:w="57" w:type="dxa"/>
                </w:tcMar>
              </w:tcPr>
            </w:tcPrChange>
          </w:tcPr>
          <w:p>
            <w:pPr>
              <w:pStyle w:val="Standard"/>
              <w:keepNext/>
              <w:suppressAutoHyphens/>
              <w:jc w:val="center"/>
              <w:rPr>
                <w:rFonts w:eastAsia="SimSun"/>
                <w:noProof/>
                <w:sz w:val="20"/>
                <w:lang w:val="it-IT" w:eastAsia="zh-CN"/>
                <w:rPrChange w:id="7686" w:author="Author">
                  <w:rPr>
                    <w:rFonts w:eastAsia="SimSun"/>
                    <w:sz w:val="18"/>
                    <w:szCs w:val="18"/>
                    <w:lang w:val="it-IT" w:eastAsia="zh-CN"/>
                  </w:rPr>
                </w:rPrChange>
              </w:rPr>
              <w:pPrChange w:id="7687" w:author="Author">
                <w:pPr>
                  <w:pStyle w:val="Standard"/>
                  <w:keepNext/>
                  <w:keepLines/>
                  <w:spacing w:before="50" w:after="50" w:line="240" w:lineRule="exact"/>
                  <w:jc w:val="center"/>
                </w:pPr>
              </w:pPrChange>
            </w:pPr>
            <w:r>
              <w:rPr>
                <w:noProof/>
                <w:sz w:val="20"/>
                <w:lang w:val="it-IT"/>
                <w:rPrChange w:id="7688" w:author="Author">
                  <w:rPr>
                    <w:sz w:val="18"/>
                    <w:szCs w:val="18"/>
                    <w:lang w:val="it-IT"/>
                  </w:rPr>
                </w:rPrChange>
              </w:rPr>
              <w:t>6 - 63</w:t>
            </w:r>
          </w:p>
        </w:tc>
        <w:tc>
          <w:tcPr>
            <w:tcW w:w="820" w:type="pct"/>
            <w:tcMar>
              <w:top w:w="0" w:type="dxa"/>
              <w:left w:w="57" w:type="dxa"/>
              <w:bottom w:w="0" w:type="dxa"/>
              <w:right w:w="57" w:type="dxa"/>
            </w:tcMar>
            <w:tcPrChange w:id="7689" w:author="Author">
              <w:tcPr>
                <w:tcW w:w="776" w:type="pct"/>
                <w:gridSpan w:val="2"/>
                <w:tcMar>
                  <w:top w:w="0" w:type="dxa"/>
                  <w:left w:w="57" w:type="dxa"/>
                  <w:bottom w:w="0" w:type="dxa"/>
                  <w:right w:w="57" w:type="dxa"/>
                </w:tcMar>
              </w:tcPr>
            </w:tcPrChange>
          </w:tcPr>
          <w:p>
            <w:pPr>
              <w:pStyle w:val="Standard"/>
              <w:keepNext/>
              <w:suppressAutoHyphens/>
              <w:jc w:val="center"/>
              <w:rPr>
                <w:rFonts w:eastAsia="SimSun"/>
                <w:noProof/>
                <w:sz w:val="20"/>
                <w:lang w:val="it-IT" w:eastAsia="zh-CN"/>
                <w:rPrChange w:id="7690" w:author="Author">
                  <w:rPr>
                    <w:rFonts w:eastAsia="SimSun"/>
                    <w:sz w:val="18"/>
                    <w:szCs w:val="18"/>
                    <w:lang w:val="it-IT" w:eastAsia="zh-CN"/>
                  </w:rPr>
                </w:rPrChange>
              </w:rPr>
              <w:pPrChange w:id="7691" w:author="Author">
                <w:pPr>
                  <w:pStyle w:val="Standard"/>
                  <w:keepNext/>
                  <w:keepLines/>
                  <w:spacing w:before="50" w:after="50" w:line="240" w:lineRule="exact"/>
                  <w:jc w:val="center"/>
                </w:pPr>
              </w:pPrChange>
            </w:pPr>
            <w:r>
              <w:rPr>
                <w:noProof/>
                <w:sz w:val="20"/>
                <w:lang w:val="it-IT"/>
                <w:rPrChange w:id="7692" w:author="Author">
                  <w:rPr>
                    <w:sz w:val="18"/>
                    <w:szCs w:val="18"/>
                    <w:lang w:val="it-IT"/>
                  </w:rPr>
                </w:rPrChange>
              </w:rPr>
              <w:t>12 - 82</w:t>
            </w:r>
          </w:p>
        </w:tc>
        <w:tc>
          <w:tcPr>
            <w:tcW w:w="1259" w:type="pct"/>
            <w:tcPrChange w:id="7693" w:author="Author">
              <w:tcPr>
                <w:tcW w:w="1214" w:type="pct"/>
                <w:gridSpan w:val="2"/>
              </w:tcPr>
            </w:tcPrChange>
          </w:tcPr>
          <w:p>
            <w:pPr>
              <w:pStyle w:val="Standard"/>
              <w:keepNext/>
              <w:suppressAutoHyphens/>
              <w:jc w:val="center"/>
              <w:rPr>
                <w:rFonts w:eastAsia="SimSun"/>
                <w:noProof/>
                <w:sz w:val="20"/>
                <w:lang w:val="it-IT" w:eastAsia="zh-CN"/>
                <w:rPrChange w:id="7694" w:author="Author">
                  <w:rPr>
                    <w:rFonts w:eastAsia="SimSun"/>
                    <w:sz w:val="18"/>
                    <w:szCs w:val="18"/>
                    <w:lang w:val="it-IT" w:eastAsia="zh-CN"/>
                  </w:rPr>
                </w:rPrChange>
              </w:rPr>
              <w:pPrChange w:id="7695" w:author="Author">
                <w:pPr>
                  <w:pStyle w:val="Standard"/>
                  <w:keepNext/>
                  <w:keepLines/>
                  <w:spacing w:before="50" w:after="50" w:line="240" w:lineRule="exact"/>
                  <w:jc w:val="center"/>
                </w:pPr>
              </w:pPrChange>
            </w:pPr>
            <w:r>
              <w:rPr>
                <w:noProof/>
                <w:sz w:val="20"/>
                <w:lang w:val="it-IT"/>
                <w:rPrChange w:id="7696" w:author="Author">
                  <w:rPr>
                    <w:sz w:val="18"/>
                    <w:szCs w:val="18"/>
                    <w:lang w:val="it-IT"/>
                  </w:rPr>
                </w:rPrChange>
              </w:rPr>
              <w:t>1 - 87</w:t>
            </w:r>
          </w:p>
        </w:tc>
        <w:tc>
          <w:tcPr>
            <w:tcW w:w="1259" w:type="pct"/>
            <w:tcMar>
              <w:top w:w="0" w:type="dxa"/>
              <w:left w:w="57" w:type="dxa"/>
              <w:bottom w:w="0" w:type="dxa"/>
              <w:right w:w="57" w:type="dxa"/>
            </w:tcMar>
            <w:tcPrChange w:id="7697" w:author="Author">
              <w:tcPr>
                <w:tcW w:w="1213" w:type="pct"/>
                <w:tcMar>
                  <w:top w:w="0" w:type="dxa"/>
                  <w:left w:w="57" w:type="dxa"/>
                  <w:bottom w:w="0" w:type="dxa"/>
                  <w:right w:w="57" w:type="dxa"/>
                </w:tcMar>
              </w:tcPr>
            </w:tcPrChange>
          </w:tcPr>
          <w:p>
            <w:pPr>
              <w:pStyle w:val="Standard"/>
              <w:keepNext/>
              <w:suppressAutoHyphens/>
              <w:jc w:val="center"/>
              <w:rPr>
                <w:rFonts w:eastAsia="SimSun"/>
                <w:noProof/>
                <w:sz w:val="20"/>
                <w:lang w:val="it-IT" w:eastAsia="zh-CN"/>
                <w:rPrChange w:id="7698" w:author="Author">
                  <w:rPr>
                    <w:rFonts w:eastAsia="SimSun"/>
                    <w:sz w:val="18"/>
                    <w:szCs w:val="18"/>
                    <w:lang w:val="it-IT" w:eastAsia="zh-CN"/>
                  </w:rPr>
                </w:rPrChange>
              </w:rPr>
              <w:pPrChange w:id="7699" w:author="Author">
                <w:pPr>
                  <w:pStyle w:val="Standard"/>
                  <w:keepNext/>
                  <w:keepLines/>
                  <w:spacing w:before="50" w:after="50" w:line="240" w:lineRule="exact"/>
                  <w:jc w:val="center"/>
                </w:pPr>
              </w:pPrChange>
            </w:pPr>
            <w:r>
              <w:rPr>
                <w:noProof/>
                <w:sz w:val="20"/>
                <w:lang w:val="it-IT"/>
                <w:rPrChange w:id="7700" w:author="Author">
                  <w:rPr>
                    <w:sz w:val="18"/>
                    <w:szCs w:val="18"/>
                    <w:lang w:val="it-IT"/>
                  </w:rPr>
                </w:rPrChange>
              </w:rPr>
              <w:t>9 - 87</w:t>
            </w:r>
          </w:p>
        </w:tc>
      </w:tr>
    </w:tbl>
    <w:p>
      <w:pPr>
        <w:rPr>
          <w:noProof/>
          <w:sz w:val="18"/>
          <w:szCs w:val="18"/>
          <w:lang w:val="it-IT"/>
        </w:rPr>
      </w:pPr>
      <w:r>
        <w:rPr>
          <w:noProof/>
          <w:sz w:val="18"/>
          <w:szCs w:val="18"/>
          <w:lang w:val="it-IT"/>
        </w:rPr>
        <w:t>SC</w:t>
      </w:r>
      <w:ins w:id="7701" w:author="Author">
        <w:r>
          <w:rPr>
            <w:noProof/>
            <w:sz w:val="18"/>
            <w:szCs w:val="18"/>
            <w:lang w:val="it-IT"/>
          </w:rPr>
          <w:t> </w:t>
        </w:r>
      </w:ins>
      <w:r>
        <w:rPr>
          <w:noProof/>
          <w:sz w:val="18"/>
          <w:szCs w:val="18"/>
          <w:lang w:val="it-IT"/>
        </w:rPr>
        <w:t>=</w:t>
      </w:r>
      <w:ins w:id="7702" w:author="Author">
        <w:r>
          <w:rPr>
            <w:noProof/>
            <w:sz w:val="18"/>
            <w:szCs w:val="18"/>
            <w:lang w:val="it-IT"/>
          </w:rPr>
          <w:t> </w:t>
        </w:r>
      </w:ins>
      <w:r>
        <w:rPr>
          <w:noProof/>
          <w:sz w:val="18"/>
          <w:szCs w:val="18"/>
          <w:lang w:val="it-IT"/>
        </w:rPr>
        <w:t>sottocutanea</w:t>
      </w:r>
    </w:p>
    <w:p>
      <w:pPr>
        <w:rPr>
          <w:noProof/>
          <w:szCs w:val="22"/>
          <w:lang w:val="it-IT"/>
          <w:rPrChange w:id="7703" w:author="Author">
            <w:rPr>
              <w:sz w:val="18"/>
              <w:szCs w:val="18"/>
              <w:lang w:val="it-IT"/>
            </w:rPr>
          </w:rPrChange>
        </w:rPr>
      </w:pPr>
    </w:p>
    <w:p>
      <w:pPr>
        <w:rPr>
          <w:noProof/>
          <w:lang w:val="it-IT"/>
        </w:rPr>
      </w:pPr>
      <w:r>
        <w:rPr>
          <w:noProof/>
          <w:lang w:val="it-IT"/>
        </w:rPr>
        <w:t>L’endpoint primario di efficacia, valutato in base alla percentuale di pazienti che hanno conseguito una remissione sostenuta libera da steroidi alla settimana 52 di terapia con t</w:t>
      </w:r>
      <w:r>
        <w:rPr>
          <w:noProof/>
          <w:sz w:val="18"/>
          <w:szCs w:val="18"/>
          <w:lang w:val="it-IT"/>
        </w:rPr>
        <w:t>ocilizumab</w:t>
      </w:r>
      <w:r>
        <w:rPr>
          <w:b/>
          <w:noProof/>
          <w:sz w:val="18"/>
          <w:szCs w:val="18"/>
          <w:lang w:val="it-IT"/>
        </w:rPr>
        <w:t xml:space="preserve"> </w:t>
      </w:r>
      <w:r>
        <w:rPr>
          <w:noProof/>
          <w:lang w:val="it-IT"/>
        </w:rPr>
        <w:t>più 26 settimane di prednisone a scalare rispetto a placebo più 26 settimane di prednisone a scalare, è stato raggiunto (Tabella 4).</w:t>
      </w:r>
    </w:p>
    <w:p>
      <w:pPr>
        <w:rPr>
          <w:noProof/>
          <w:lang w:val="it-IT"/>
        </w:rPr>
      </w:pPr>
    </w:p>
    <w:p>
      <w:pPr>
        <w:rPr>
          <w:noProof/>
          <w:lang w:val="it-IT"/>
        </w:rPr>
      </w:pPr>
      <w:r>
        <w:rPr>
          <w:noProof/>
          <w:lang w:val="it-IT"/>
        </w:rPr>
        <w:t>Anche il principale endpoint secondario di efficacia, basato anch’esso sulla percentuale di pazienti che hanno conseguito una remissione sostenuta alla settimana 52, e che ha confrontato tocilizumab più 26 settimane di prednisone a scalare rispetto a placebo più 52 settimane di prednisone a scalare, è stato raggiunto (Tabella 4).</w:t>
      </w:r>
    </w:p>
    <w:p>
      <w:pPr>
        <w:rPr>
          <w:noProof/>
          <w:lang w:val="it-IT" w:eastAsia="de-DE"/>
        </w:rPr>
      </w:pPr>
    </w:p>
    <w:p>
      <w:pPr>
        <w:rPr>
          <w:noProof/>
          <w:shd w:val="clear" w:color="auto" w:fill="FFFFFF"/>
          <w:lang w:val="it-IT"/>
        </w:rPr>
      </w:pPr>
      <w:r>
        <w:rPr>
          <w:noProof/>
          <w:shd w:val="clear" w:color="auto" w:fill="FFFFFF"/>
          <w:lang w:val="it-IT"/>
        </w:rPr>
        <w:t xml:space="preserve">È stato osservato un effetto del trattamento superiore (differenza statisticamente significativa) a favore di </w:t>
      </w:r>
      <w:r>
        <w:rPr>
          <w:noProof/>
          <w:lang w:val="it-IT"/>
        </w:rPr>
        <w:t>t</w:t>
      </w:r>
      <w:r>
        <w:rPr>
          <w:noProof/>
          <w:szCs w:val="22"/>
          <w:lang w:val="it-IT"/>
        </w:rPr>
        <w:t>ocilizumab</w:t>
      </w:r>
      <w:r>
        <w:rPr>
          <w:b/>
          <w:noProof/>
          <w:szCs w:val="22"/>
          <w:lang w:val="it-IT"/>
        </w:rPr>
        <w:t xml:space="preserve"> </w:t>
      </w:r>
      <w:r>
        <w:rPr>
          <w:noProof/>
          <w:shd w:val="clear" w:color="auto" w:fill="FFFFFF"/>
          <w:lang w:val="it-IT"/>
        </w:rPr>
        <w:t xml:space="preserve">rispetto a placebo nel conseguire una remissione sostenuta libera da steroidi alla settimana 52 di terapia con </w:t>
      </w:r>
      <w:r>
        <w:rPr>
          <w:noProof/>
          <w:lang w:val="it-IT"/>
        </w:rPr>
        <w:t>t</w:t>
      </w:r>
      <w:r>
        <w:rPr>
          <w:noProof/>
          <w:szCs w:val="22"/>
          <w:lang w:val="it-IT"/>
        </w:rPr>
        <w:t>ocilizumab</w:t>
      </w:r>
      <w:r>
        <w:rPr>
          <w:b/>
          <w:noProof/>
          <w:sz w:val="18"/>
          <w:szCs w:val="18"/>
          <w:lang w:val="it-IT"/>
        </w:rPr>
        <w:t xml:space="preserve"> </w:t>
      </w:r>
      <w:r>
        <w:rPr>
          <w:noProof/>
          <w:shd w:val="clear" w:color="auto" w:fill="FFFFFF"/>
          <w:lang w:val="it-IT"/>
        </w:rPr>
        <w:t>più 26 settimane con prednisone a scalare rispetto a placebo più 26 settimane di prednisone a scalare e a placebo più 52 settimane di prednisone a scalare.</w:t>
      </w:r>
    </w:p>
    <w:p>
      <w:pPr>
        <w:rPr>
          <w:noProof/>
          <w:lang w:val="it-IT"/>
        </w:rPr>
      </w:pPr>
    </w:p>
    <w:p>
      <w:pPr>
        <w:rPr>
          <w:noProof/>
          <w:lang w:val="it-IT"/>
        </w:rPr>
      </w:pPr>
      <w:r>
        <w:rPr>
          <w:noProof/>
          <w:lang w:val="it-IT"/>
        </w:rPr>
        <w:t>La Tabella 4 riporta la percentuale di pazienti che hanno conseguito una remissione sostenuta alla settimana 52.</w:t>
      </w:r>
    </w:p>
    <w:p>
      <w:pPr>
        <w:rPr>
          <w:noProof/>
          <w:lang w:val="it-IT" w:eastAsia="de-DE"/>
        </w:rPr>
      </w:pPr>
    </w:p>
    <w:p>
      <w:pPr>
        <w:keepNext/>
        <w:spacing w:line="280" w:lineRule="atLeast"/>
        <w:jc w:val="both"/>
        <w:rPr>
          <w:i/>
          <w:noProof/>
          <w:szCs w:val="22"/>
          <w:u w:val="single"/>
          <w:lang w:val="it-IT"/>
        </w:rPr>
      </w:pPr>
      <w:r>
        <w:rPr>
          <w:i/>
          <w:noProof/>
          <w:szCs w:val="22"/>
          <w:u w:val="single"/>
          <w:lang w:val="it-IT"/>
        </w:rPr>
        <w:t>Endpoint secondari</w:t>
      </w:r>
    </w:p>
    <w:p>
      <w:pPr>
        <w:rPr>
          <w:noProof/>
          <w:lang w:val="it-IT"/>
        </w:rPr>
      </w:pPr>
      <w:r>
        <w:rPr>
          <w:noProof/>
          <w:szCs w:val="22"/>
          <w:shd w:val="clear" w:color="auto" w:fill="FFFFFF"/>
          <w:lang w:val="it-IT"/>
        </w:rPr>
        <w:t>La valutazione del tempo alla prima</w:t>
      </w:r>
      <w:r>
        <w:rPr>
          <w:noProof/>
          <w:shd w:val="clear" w:color="auto" w:fill="FFFFFF"/>
          <w:lang w:val="it-IT"/>
        </w:rPr>
        <w:t xml:space="preserve"> riacutizzazione della ACG ha evidenziato un rischio di riacutizzazione significativamente inferiore nel gruppo </w:t>
      </w:r>
      <w:r>
        <w:rPr>
          <w:noProof/>
          <w:lang w:val="it-IT"/>
        </w:rPr>
        <w:t>t</w:t>
      </w:r>
      <w:r>
        <w:rPr>
          <w:noProof/>
          <w:szCs w:val="22"/>
          <w:lang w:val="it-IT"/>
        </w:rPr>
        <w:t>ocilizumab</w:t>
      </w:r>
      <w:r>
        <w:rPr>
          <w:b/>
          <w:noProof/>
          <w:szCs w:val="22"/>
          <w:lang w:val="it-IT"/>
        </w:rPr>
        <w:t xml:space="preserve"> </w:t>
      </w:r>
      <w:r>
        <w:rPr>
          <w:noProof/>
          <w:shd w:val="clear" w:color="auto" w:fill="FFFFFF"/>
          <w:lang w:val="it-IT"/>
        </w:rPr>
        <w:t xml:space="preserve">in formulazione sottocutanea </w:t>
      </w:r>
      <w:del w:id="7704" w:author="Author">
        <w:r>
          <w:rPr>
            <w:noProof/>
            <w:shd w:val="clear" w:color="auto" w:fill="FFFFFF"/>
            <w:lang w:val="it-IT"/>
          </w:rPr>
          <w:delText xml:space="preserve">settimanale </w:delText>
        </w:r>
      </w:del>
      <w:ins w:id="7705" w:author="Author">
        <w:r>
          <w:rPr>
            <w:noProof/>
            <w:shd w:val="clear" w:color="auto" w:fill="FFFFFF"/>
            <w:lang w:val="it-IT"/>
          </w:rPr>
          <w:t xml:space="preserve">una volta a settimana </w:t>
        </w:r>
      </w:ins>
      <w:r>
        <w:rPr>
          <w:noProof/>
          <w:shd w:val="clear" w:color="auto" w:fill="FFFFFF"/>
          <w:lang w:val="it-IT"/>
        </w:rPr>
        <w:t xml:space="preserve">rispetto ai gruppi placebo più 26 settimane di prednisone e placebo più 52 settimane di prednisone a scalare e nel gruppo </w:t>
      </w:r>
      <w:r>
        <w:rPr>
          <w:noProof/>
          <w:lang w:val="it-IT"/>
        </w:rPr>
        <w:t>t</w:t>
      </w:r>
      <w:r>
        <w:rPr>
          <w:noProof/>
          <w:szCs w:val="22"/>
          <w:lang w:val="it-IT"/>
        </w:rPr>
        <w:t>ocilizumab</w:t>
      </w:r>
      <w:r>
        <w:rPr>
          <w:b/>
          <w:noProof/>
          <w:sz w:val="18"/>
          <w:szCs w:val="18"/>
          <w:lang w:val="it-IT"/>
        </w:rPr>
        <w:t xml:space="preserve"> </w:t>
      </w:r>
      <w:r>
        <w:rPr>
          <w:noProof/>
          <w:shd w:val="clear" w:color="auto" w:fill="FFFFFF"/>
          <w:lang w:val="it-IT"/>
        </w:rPr>
        <w:t xml:space="preserve">in formulazione sottocutanea </w:t>
      </w:r>
      <w:ins w:id="7706" w:author="Author">
        <w:r>
          <w:rPr>
            <w:noProof/>
            <w:shd w:val="clear" w:color="auto" w:fill="FFFFFF"/>
            <w:lang w:val="it-IT"/>
          </w:rPr>
          <w:t xml:space="preserve">ogni due settimane </w:t>
        </w:r>
      </w:ins>
      <w:del w:id="7707" w:author="Author">
        <w:r>
          <w:rPr>
            <w:noProof/>
            <w:shd w:val="clear" w:color="auto" w:fill="FFFFFF"/>
            <w:lang w:val="it-IT"/>
          </w:rPr>
          <w:delText>a</w:delText>
        </w:r>
      </w:del>
      <w:r>
        <w:rPr>
          <w:noProof/>
          <w:shd w:val="clear" w:color="auto" w:fill="FFFFFF"/>
          <w:lang w:val="it-IT"/>
        </w:rPr>
        <w:t xml:space="preserve"> </w:t>
      </w:r>
      <w:del w:id="7708" w:author="Author">
        <w:r>
          <w:rPr>
            <w:noProof/>
            <w:shd w:val="clear" w:color="auto" w:fill="FFFFFF"/>
            <w:lang w:val="it-IT"/>
          </w:rPr>
          <w:delText xml:space="preserve">settimane alterne </w:delText>
        </w:r>
      </w:del>
      <w:r>
        <w:rPr>
          <w:noProof/>
          <w:shd w:val="clear" w:color="auto" w:fill="FFFFFF"/>
          <w:lang w:val="it-IT"/>
        </w:rPr>
        <w:t xml:space="preserve">rispetto al gruppo placebo più 26 settimane di prednisone (confronto condotto a un livello di significatività di 0,01). </w:t>
      </w:r>
      <w:r>
        <w:rPr>
          <w:noProof/>
          <w:lang w:val="it-IT"/>
        </w:rPr>
        <w:t>La somministrazione settimanale di t</w:t>
      </w:r>
      <w:r>
        <w:rPr>
          <w:noProof/>
          <w:szCs w:val="22"/>
          <w:lang w:val="it-IT"/>
        </w:rPr>
        <w:t>ocilizumab</w:t>
      </w:r>
      <w:r>
        <w:rPr>
          <w:b/>
          <w:noProof/>
          <w:szCs w:val="22"/>
          <w:lang w:val="it-IT"/>
        </w:rPr>
        <w:t xml:space="preserve"> </w:t>
      </w:r>
      <w:r>
        <w:rPr>
          <w:noProof/>
          <w:lang w:val="it-IT"/>
        </w:rPr>
        <w:t>in formulazione sottocutanea ha inoltre dimostrato di ridurre in modo clinicamente rilevante il rischio di riacutizzazione rispetto al trattamento con placebo più 26 settimane di prednisone sia nei pazienti che sono entrati nella sperimentazione con una ACG recidivante sia in quelli entrati con una malattia di nuova insorgenza (Tabella 4).</w:t>
      </w:r>
    </w:p>
    <w:p>
      <w:pPr>
        <w:spacing w:line="280" w:lineRule="atLeast"/>
        <w:jc w:val="both"/>
        <w:rPr>
          <w:noProof/>
          <w:sz w:val="24"/>
          <w:szCs w:val="24"/>
          <w:lang w:val="it-IT" w:eastAsia="de-DE"/>
        </w:rPr>
      </w:pPr>
    </w:p>
    <w:p>
      <w:pPr>
        <w:keepNext/>
        <w:keepLines/>
        <w:spacing w:line="280" w:lineRule="atLeast"/>
        <w:jc w:val="both"/>
        <w:rPr>
          <w:noProof/>
          <w:szCs w:val="22"/>
          <w:u w:val="single"/>
          <w:lang w:val="it-IT"/>
        </w:rPr>
      </w:pPr>
      <w:r>
        <w:rPr>
          <w:i/>
          <w:noProof/>
          <w:szCs w:val="22"/>
          <w:u w:val="single"/>
          <w:lang w:val="it-IT"/>
        </w:rPr>
        <w:t>Dose cumulativa di glucocorticoidi</w:t>
      </w:r>
    </w:p>
    <w:p>
      <w:pPr>
        <w:widowControl w:val="0"/>
        <w:rPr>
          <w:noProof/>
          <w:szCs w:val="22"/>
          <w:lang w:val="it-IT"/>
        </w:rPr>
      </w:pPr>
      <w:r>
        <w:rPr>
          <w:noProof/>
          <w:szCs w:val="22"/>
          <w:lang w:val="it-IT"/>
        </w:rPr>
        <w:t>La dose cumulativa di prednisone alla settimana 52 è stata significativamente inferiore nei due gruppi tocilizumab</w:t>
      </w:r>
      <w:r>
        <w:rPr>
          <w:b/>
          <w:noProof/>
          <w:szCs w:val="22"/>
          <w:lang w:val="it-IT"/>
          <w:rPrChange w:id="7709" w:author="Author">
            <w:rPr>
              <w:b/>
              <w:sz w:val="18"/>
              <w:szCs w:val="18"/>
              <w:lang w:val="it-IT"/>
            </w:rPr>
          </w:rPrChange>
        </w:rPr>
        <w:t xml:space="preserve"> </w:t>
      </w:r>
      <w:r>
        <w:rPr>
          <w:noProof/>
          <w:szCs w:val="22"/>
          <w:lang w:val="it-IT"/>
        </w:rPr>
        <w:t>rispetto ai due gruppi placebo (Tabella 4). In un’analisi separata dei pazienti che hanno ricevuto prednisone di salvataggio per trattare una riacutizzazione della ACG durante le prime 52 settimane, la dose cumulativa di prednisone ha mostrato delle variazioni rilevanti. Le dosi mediane di terapia di salvataggio nei pazienti dei gruppi tocilizumab</w:t>
      </w:r>
      <w:r>
        <w:rPr>
          <w:b/>
          <w:noProof/>
          <w:szCs w:val="22"/>
          <w:lang w:val="it-IT"/>
          <w:rPrChange w:id="7710" w:author="Author">
            <w:rPr>
              <w:b/>
              <w:sz w:val="18"/>
              <w:szCs w:val="18"/>
              <w:lang w:val="it-IT"/>
            </w:rPr>
          </w:rPrChange>
        </w:rPr>
        <w:t xml:space="preserve"> </w:t>
      </w:r>
      <w:del w:id="7711" w:author="Author">
        <w:r>
          <w:rPr>
            <w:noProof/>
            <w:szCs w:val="22"/>
            <w:lang w:val="it-IT"/>
          </w:rPr>
          <w:delText xml:space="preserve">settimanale </w:delText>
        </w:r>
      </w:del>
      <w:ins w:id="7712" w:author="Author">
        <w:r>
          <w:rPr>
            <w:noProof/>
            <w:szCs w:val="22"/>
            <w:lang w:val="it-IT"/>
          </w:rPr>
          <w:t xml:space="preserve">una volta a settimana </w:t>
        </w:r>
      </w:ins>
      <w:r>
        <w:rPr>
          <w:noProof/>
          <w:szCs w:val="22"/>
          <w:lang w:val="it-IT"/>
        </w:rPr>
        <w:t xml:space="preserve">e </w:t>
      </w:r>
      <w:ins w:id="7713" w:author="Author">
        <w:r>
          <w:rPr>
            <w:noProof/>
            <w:szCs w:val="22"/>
            <w:lang w:val="it-IT"/>
          </w:rPr>
          <w:t>ogni due</w:t>
        </w:r>
      </w:ins>
      <w:del w:id="7714" w:author="Author">
        <w:r>
          <w:rPr>
            <w:noProof/>
            <w:szCs w:val="22"/>
            <w:lang w:val="it-IT"/>
          </w:rPr>
          <w:delText>a</w:delText>
        </w:r>
      </w:del>
      <w:r>
        <w:rPr>
          <w:noProof/>
          <w:szCs w:val="22"/>
          <w:lang w:val="it-IT"/>
        </w:rPr>
        <w:t xml:space="preserve"> settimane </w:t>
      </w:r>
      <w:del w:id="7715" w:author="Author">
        <w:r>
          <w:rPr>
            <w:noProof/>
            <w:szCs w:val="22"/>
            <w:lang w:val="it-IT"/>
          </w:rPr>
          <w:delText xml:space="preserve">alterne </w:delText>
        </w:r>
      </w:del>
      <w:r>
        <w:rPr>
          <w:noProof/>
          <w:szCs w:val="22"/>
          <w:lang w:val="it-IT"/>
        </w:rPr>
        <w:t>sono state rispettivamente di 3</w:t>
      </w:r>
      <w:ins w:id="7716" w:author="Author">
        <w:r>
          <w:rPr>
            <w:noProof/>
            <w:szCs w:val="22"/>
            <w:lang w:val="it-IT"/>
          </w:rPr>
          <w:t> </w:t>
        </w:r>
      </w:ins>
      <w:r>
        <w:rPr>
          <w:noProof/>
          <w:szCs w:val="22"/>
          <w:lang w:val="it-IT"/>
        </w:rPr>
        <w:t>129,75 mg e 3</w:t>
      </w:r>
      <w:ins w:id="7717" w:author="Author">
        <w:r>
          <w:rPr>
            <w:noProof/>
            <w:szCs w:val="22"/>
            <w:lang w:val="it-IT"/>
          </w:rPr>
          <w:t> </w:t>
        </w:r>
      </w:ins>
      <w:r>
        <w:rPr>
          <w:noProof/>
          <w:szCs w:val="22"/>
          <w:lang w:val="it-IT"/>
        </w:rPr>
        <w:t>847 mg. Entrambe sono risultate considerevolmente inferiori rispetto ai valori osservati nei gruppi placebo più 26 settimane e placebo più 52 settimane di prednisone a scalare, pari rispettivamente a 4</w:t>
      </w:r>
      <w:ins w:id="7718" w:author="Author">
        <w:r>
          <w:rPr>
            <w:noProof/>
            <w:szCs w:val="22"/>
            <w:lang w:val="it-IT"/>
          </w:rPr>
          <w:t> </w:t>
        </w:r>
      </w:ins>
      <w:r>
        <w:rPr>
          <w:noProof/>
          <w:szCs w:val="22"/>
          <w:lang w:val="it-IT"/>
        </w:rPr>
        <w:t>023,5 mg e 5</w:t>
      </w:r>
      <w:ins w:id="7719" w:author="Author">
        <w:r>
          <w:rPr>
            <w:noProof/>
            <w:szCs w:val="22"/>
            <w:lang w:val="it-IT"/>
          </w:rPr>
          <w:t> </w:t>
        </w:r>
      </w:ins>
      <w:r>
        <w:rPr>
          <w:noProof/>
          <w:szCs w:val="22"/>
          <w:lang w:val="it-IT"/>
        </w:rPr>
        <w:t>389,5 mg.</w:t>
      </w:r>
    </w:p>
    <w:p>
      <w:pPr>
        <w:widowControl w:val="0"/>
        <w:rPr>
          <w:noProof/>
          <w:lang w:val="it-IT"/>
        </w:rPr>
      </w:pPr>
    </w:p>
    <w:p>
      <w:pPr>
        <w:keepNext/>
        <w:widowControl w:val="0"/>
        <w:numPr>
          <w:ilvl w:val="12"/>
          <w:numId w:val="0"/>
        </w:numPr>
        <w:ind w:right="-2"/>
        <w:rPr>
          <w:bCs/>
          <w:i/>
          <w:noProof/>
          <w:lang w:val="it-IT"/>
        </w:rPr>
        <w:pPrChange w:id="7720" w:author="Author">
          <w:pPr>
            <w:widowControl w:val="0"/>
            <w:numPr>
              <w:ilvl w:val="12"/>
            </w:numPr>
            <w:ind w:right="-2"/>
          </w:pPr>
        </w:pPrChange>
      </w:pPr>
      <w:r>
        <w:rPr>
          <w:bCs/>
          <w:i/>
          <w:noProof/>
          <w:lang w:val="it-IT"/>
        </w:rPr>
        <w:lastRenderedPageBreak/>
        <w:t xml:space="preserve">Tabella 4. Risultati di efficacia dello </w:t>
      </w:r>
      <w:ins w:id="7721" w:author="Author">
        <w:r>
          <w:rPr>
            <w:bCs/>
            <w:i/>
            <w:noProof/>
            <w:lang w:val="it-IT"/>
          </w:rPr>
          <w:t>S</w:t>
        </w:r>
      </w:ins>
      <w:del w:id="7722" w:author="Author">
        <w:r>
          <w:rPr>
            <w:bCs/>
            <w:i/>
            <w:noProof/>
            <w:lang w:val="it-IT"/>
          </w:rPr>
          <w:delText>s</w:delText>
        </w:r>
      </w:del>
      <w:r>
        <w:rPr>
          <w:bCs/>
          <w:i/>
          <w:noProof/>
          <w:lang w:val="it-IT"/>
        </w:rPr>
        <w:t xml:space="preserve">tudio WA28119 </w:t>
      </w:r>
    </w:p>
    <w:p>
      <w:pPr>
        <w:keepNext/>
        <w:widowControl w:val="0"/>
        <w:numPr>
          <w:ilvl w:val="12"/>
          <w:numId w:val="0"/>
        </w:numPr>
        <w:ind w:right="-2"/>
        <w:rPr>
          <w:bCs/>
          <w:i/>
          <w:noProof/>
          <w:lang w:val="it-IT"/>
        </w:rPr>
        <w:pPrChange w:id="7723" w:author="Author">
          <w:pPr>
            <w:widowControl w:val="0"/>
            <w:numPr>
              <w:ilvl w:val="12"/>
            </w:numPr>
            <w:ind w:right="-2"/>
          </w:pPr>
        </w:pPrChange>
      </w:pPr>
    </w:p>
    <w:tbl>
      <w:tblPr>
        <w:tblW w:w="5000" w:type="pct"/>
        <w:tblLayout w:type="fixed"/>
        <w:tblCellMar>
          <w:top w:w="28" w:type="dxa"/>
          <w:bottom w:w="28" w:type="dxa"/>
        </w:tblCellMar>
        <w:tblLook w:val="04A0" w:firstRow="1" w:lastRow="0" w:firstColumn="1" w:lastColumn="0" w:noHBand="0" w:noVBand="1"/>
        <w:tblPrChange w:id="7724" w:author="Author">
          <w:tblPr>
            <w:tblW w:w="5000" w:type="pct"/>
            <w:tblCellMar>
              <w:left w:w="0" w:type="dxa"/>
              <w:right w:w="0" w:type="dxa"/>
            </w:tblCellMar>
            <w:tblLook w:val="04A0" w:firstRow="1" w:lastRow="0" w:firstColumn="1" w:lastColumn="0" w:noHBand="0" w:noVBand="1"/>
          </w:tblPr>
        </w:tblPrChange>
      </w:tblPr>
      <w:tblGrid>
        <w:gridCol w:w="3830"/>
        <w:gridCol w:w="1277"/>
        <w:gridCol w:w="1277"/>
        <w:gridCol w:w="1337"/>
        <w:gridCol w:w="1335"/>
        <w:tblGridChange w:id="7725">
          <w:tblGrid>
            <w:gridCol w:w="5"/>
            <w:gridCol w:w="3826"/>
            <w:gridCol w:w="2"/>
            <w:gridCol w:w="3"/>
            <w:gridCol w:w="1301"/>
            <w:gridCol w:w="1"/>
            <w:gridCol w:w="4"/>
            <w:gridCol w:w="1302"/>
            <w:gridCol w:w="33"/>
            <w:gridCol w:w="5"/>
            <w:gridCol w:w="1269"/>
            <w:gridCol w:w="26"/>
            <w:gridCol w:w="5"/>
            <w:gridCol w:w="1274"/>
            <w:gridCol w:w="5"/>
          </w:tblGrid>
        </w:tblGridChange>
      </w:tblGrid>
      <w:tr>
        <w:trPr>
          <w:cantSplit/>
          <w:tblHeader/>
          <w:trPrChange w:id="7726" w:author="Author">
            <w:trPr>
              <w:gridBefore w:val="1"/>
              <w:cantSplit/>
              <w:tblHeader/>
            </w:trPr>
          </w:trPrChange>
        </w:trPr>
        <w:tc>
          <w:tcPr>
            <w:tcW w:w="2115" w:type="pct"/>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bottom"/>
            <w:tcPrChange w:id="7727" w:author="Author">
              <w:tcPr>
                <w:tcW w:w="2114" w:type="pct"/>
                <w:gridSpan w:val="2"/>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bottom"/>
              </w:tcPr>
            </w:tcPrChange>
          </w:tcPr>
          <w:p>
            <w:pPr>
              <w:pStyle w:val="Standard"/>
              <w:keepNext/>
              <w:widowControl w:val="0"/>
              <w:suppressAutoHyphens/>
              <w:rPr>
                <w:rFonts w:eastAsia="SimSun"/>
                <w:strike/>
                <w:noProof/>
                <w:sz w:val="18"/>
                <w:szCs w:val="18"/>
                <w:lang w:val="it-IT" w:eastAsia="zh-CN"/>
              </w:rPr>
              <w:pPrChange w:id="7728" w:author="Author">
                <w:pPr>
                  <w:pStyle w:val="Standard"/>
                  <w:widowControl w:val="0"/>
                  <w:spacing w:before="50" w:after="50" w:line="240" w:lineRule="exact"/>
                </w:pPr>
              </w:pPrChange>
            </w:pPr>
          </w:p>
        </w:tc>
        <w:tc>
          <w:tcPr>
            <w:tcW w:w="705" w:type="pct"/>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tcPrChange w:id="7729" w:author="Author">
              <w:tcPr>
                <w:tcW w:w="721" w:type="pct"/>
                <w:gridSpan w:val="3"/>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keepNext/>
              <w:widowControl w:val="0"/>
              <w:suppressAutoHyphens/>
              <w:jc w:val="center"/>
              <w:rPr>
                <w:rFonts w:eastAsia="SimSun"/>
                <w:b/>
                <w:noProof/>
                <w:sz w:val="18"/>
                <w:szCs w:val="18"/>
                <w:lang w:val="it-IT"/>
              </w:rPr>
              <w:pPrChange w:id="7730" w:author="Author">
                <w:pPr>
                  <w:widowControl w:val="0"/>
                  <w:spacing w:before="50" w:after="50" w:line="240" w:lineRule="exact"/>
                  <w:jc w:val="center"/>
                </w:pPr>
              </w:pPrChange>
            </w:pPr>
            <w:r>
              <w:rPr>
                <w:b/>
                <w:noProof/>
                <w:sz w:val="18"/>
                <w:szCs w:val="18"/>
                <w:lang w:val="it-IT"/>
              </w:rPr>
              <w:t>Placebo + 26 settimane di prednisone a scalare</w:t>
            </w:r>
          </w:p>
          <w:p>
            <w:pPr>
              <w:pStyle w:val="Standard"/>
              <w:keepNext/>
              <w:widowControl w:val="0"/>
              <w:suppressAutoHyphens/>
              <w:jc w:val="center"/>
              <w:rPr>
                <w:rFonts w:eastAsia="SimSun"/>
                <w:b/>
                <w:noProof/>
                <w:sz w:val="18"/>
                <w:szCs w:val="18"/>
                <w:lang w:val="it-IT" w:eastAsia="zh-CN"/>
              </w:rPr>
              <w:pPrChange w:id="7731" w:author="Author">
                <w:pPr>
                  <w:pStyle w:val="Standard"/>
                  <w:widowControl w:val="0"/>
                  <w:spacing w:before="50" w:after="50" w:line="240" w:lineRule="exact"/>
                  <w:jc w:val="center"/>
                </w:pPr>
              </w:pPrChange>
            </w:pPr>
            <w:del w:id="7732" w:author="Author">
              <w:r>
                <w:rPr>
                  <w:b/>
                  <w:noProof/>
                  <w:sz w:val="18"/>
                  <w:szCs w:val="18"/>
                  <w:lang w:val="it-IT"/>
                </w:rPr>
                <w:delText>N</w:delText>
              </w:r>
            </w:del>
            <w:ins w:id="7733" w:author="Author">
              <w:r>
                <w:rPr>
                  <w:b/>
                  <w:noProof/>
                  <w:sz w:val="18"/>
                  <w:szCs w:val="18"/>
                  <w:lang w:val="it-IT"/>
                </w:rPr>
                <w:t>n</w:t>
              </w:r>
            </w:ins>
            <w:r>
              <w:rPr>
                <w:b/>
                <w:noProof/>
                <w:sz w:val="18"/>
                <w:szCs w:val="18"/>
                <w:lang w:val="it-IT"/>
              </w:rPr>
              <w:t> = 50</w:t>
            </w:r>
          </w:p>
        </w:tc>
        <w:tc>
          <w:tcPr>
            <w:tcW w:w="705" w:type="pct"/>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tcPrChange w:id="7734" w:author="Author">
              <w:tcPr>
                <w:tcW w:w="721" w:type="pct"/>
                <w:gridSpan w:val="2"/>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keepNext/>
              <w:widowControl w:val="0"/>
              <w:suppressAutoHyphens/>
              <w:jc w:val="center"/>
              <w:rPr>
                <w:del w:id="7735" w:author="Author"/>
                <w:rFonts w:eastAsia="SimSun"/>
                <w:b/>
                <w:noProof/>
                <w:sz w:val="18"/>
                <w:szCs w:val="18"/>
                <w:lang w:val="it-IT"/>
              </w:rPr>
              <w:pPrChange w:id="7736" w:author="Author">
                <w:pPr>
                  <w:widowControl w:val="0"/>
                  <w:spacing w:before="50" w:after="50" w:line="240" w:lineRule="exact"/>
                  <w:jc w:val="center"/>
                </w:pPr>
              </w:pPrChange>
            </w:pPr>
            <w:r>
              <w:rPr>
                <w:b/>
                <w:noProof/>
                <w:sz w:val="18"/>
                <w:szCs w:val="18"/>
                <w:lang w:val="it-IT"/>
              </w:rPr>
              <w:t>Placebo + 52</w:t>
            </w:r>
            <w:ins w:id="7737" w:author="Author">
              <w:r>
                <w:rPr>
                  <w:b/>
                  <w:noProof/>
                  <w:sz w:val="18"/>
                  <w:szCs w:val="18"/>
                  <w:lang w:val="it-IT"/>
                </w:rPr>
                <w:t> </w:t>
              </w:r>
            </w:ins>
            <w:del w:id="7738" w:author="Author">
              <w:r>
                <w:rPr>
                  <w:b/>
                  <w:noProof/>
                  <w:sz w:val="18"/>
                  <w:szCs w:val="18"/>
                  <w:lang w:val="it-IT"/>
                </w:rPr>
                <w:delText xml:space="preserve"> </w:delText>
              </w:r>
            </w:del>
          </w:p>
          <w:p>
            <w:pPr>
              <w:keepNext/>
              <w:widowControl w:val="0"/>
              <w:suppressAutoHyphens/>
              <w:jc w:val="center"/>
              <w:rPr>
                <w:rFonts w:eastAsia="SimSun"/>
                <w:b/>
                <w:noProof/>
                <w:sz w:val="18"/>
                <w:szCs w:val="18"/>
                <w:lang w:val="it-IT"/>
              </w:rPr>
              <w:pPrChange w:id="7739" w:author="Author">
                <w:pPr>
                  <w:widowControl w:val="0"/>
                  <w:spacing w:before="50" w:after="50" w:line="240" w:lineRule="exact"/>
                  <w:jc w:val="center"/>
                </w:pPr>
              </w:pPrChange>
            </w:pPr>
            <w:r>
              <w:rPr>
                <w:b/>
                <w:noProof/>
                <w:sz w:val="18"/>
                <w:szCs w:val="18"/>
                <w:lang w:val="it-IT"/>
              </w:rPr>
              <w:t>settimane di prednisone a scalare</w:t>
            </w:r>
          </w:p>
          <w:p>
            <w:pPr>
              <w:pStyle w:val="Standard"/>
              <w:keepNext/>
              <w:widowControl w:val="0"/>
              <w:suppressAutoHyphens/>
              <w:jc w:val="center"/>
              <w:rPr>
                <w:rFonts w:eastAsia="SimSun"/>
                <w:b/>
                <w:noProof/>
                <w:sz w:val="18"/>
                <w:szCs w:val="18"/>
                <w:lang w:val="it-IT" w:eastAsia="zh-CN"/>
              </w:rPr>
              <w:pPrChange w:id="7740" w:author="Author">
                <w:pPr>
                  <w:pStyle w:val="Standard"/>
                  <w:widowControl w:val="0"/>
                  <w:spacing w:before="50" w:after="50" w:line="240" w:lineRule="exact"/>
                  <w:jc w:val="center"/>
                </w:pPr>
              </w:pPrChange>
            </w:pPr>
            <w:del w:id="7741" w:author="Author">
              <w:r>
                <w:rPr>
                  <w:b/>
                  <w:noProof/>
                  <w:sz w:val="18"/>
                  <w:szCs w:val="18"/>
                  <w:lang w:val="it-IT"/>
                </w:rPr>
                <w:delText>N</w:delText>
              </w:r>
            </w:del>
            <w:ins w:id="7742" w:author="Author">
              <w:r>
                <w:rPr>
                  <w:b/>
                  <w:noProof/>
                  <w:sz w:val="18"/>
                  <w:szCs w:val="18"/>
                  <w:lang w:val="it-IT"/>
                </w:rPr>
                <w:t>n</w:t>
              </w:r>
            </w:ins>
            <w:r>
              <w:rPr>
                <w:b/>
                <w:noProof/>
                <w:sz w:val="18"/>
                <w:szCs w:val="18"/>
                <w:lang w:val="it-IT"/>
              </w:rPr>
              <w:t> = 51</w:t>
            </w:r>
          </w:p>
        </w:tc>
        <w:tc>
          <w:tcPr>
            <w:tcW w:w="738" w:type="pct"/>
            <w:tcBorders>
              <w:top w:val="single" w:sz="8" w:space="0" w:color="auto"/>
              <w:left w:val="single" w:sz="4" w:space="0" w:color="auto"/>
              <w:bottom w:val="single" w:sz="4" w:space="0" w:color="auto"/>
              <w:right w:val="single" w:sz="4" w:space="0" w:color="auto"/>
            </w:tcBorders>
            <w:tcPrChange w:id="7743" w:author="Author">
              <w:tcPr>
                <w:tcW w:w="721" w:type="pct"/>
                <w:gridSpan w:val="3"/>
                <w:tcBorders>
                  <w:top w:val="single" w:sz="8" w:space="0" w:color="auto"/>
                  <w:left w:val="single" w:sz="4" w:space="0" w:color="auto"/>
                  <w:bottom w:val="single" w:sz="4" w:space="0" w:color="auto"/>
                  <w:right w:val="single" w:sz="4" w:space="0" w:color="auto"/>
                </w:tcBorders>
              </w:tcPr>
            </w:tcPrChange>
          </w:tcPr>
          <w:p>
            <w:pPr>
              <w:keepNext/>
              <w:widowControl w:val="0"/>
              <w:suppressAutoHyphens/>
              <w:jc w:val="center"/>
              <w:rPr>
                <w:rFonts w:eastAsia="SimSun"/>
                <w:b/>
                <w:noProof/>
                <w:sz w:val="18"/>
                <w:szCs w:val="18"/>
                <w:lang w:val="it-IT"/>
              </w:rPr>
              <w:pPrChange w:id="7744" w:author="Author">
                <w:pPr>
                  <w:widowControl w:val="0"/>
                  <w:spacing w:before="50" w:after="50" w:line="240" w:lineRule="exact"/>
                  <w:jc w:val="center"/>
                </w:pPr>
              </w:pPrChange>
            </w:pPr>
            <w:r>
              <w:rPr>
                <w:b/>
                <w:noProof/>
                <w:sz w:val="18"/>
                <w:szCs w:val="18"/>
                <w:lang w:val="it-IT"/>
              </w:rPr>
              <w:t xml:space="preserve">Tocilizumab 162 mg s.c. </w:t>
            </w:r>
            <w:del w:id="7745" w:author="Author">
              <w:r>
                <w:rPr>
                  <w:b/>
                  <w:noProof/>
                  <w:sz w:val="18"/>
                  <w:szCs w:val="18"/>
                  <w:lang w:val="it-IT"/>
                </w:rPr>
                <w:delText xml:space="preserve">ogni </w:delText>
              </w:r>
            </w:del>
            <w:ins w:id="7746" w:author="Author">
              <w:r>
                <w:rPr>
                  <w:b/>
                  <w:noProof/>
                  <w:sz w:val="18"/>
                  <w:szCs w:val="18"/>
                  <w:lang w:val="it-IT"/>
                </w:rPr>
                <w:t xml:space="preserve">una volta a </w:t>
              </w:r>
            </w:ins>
            <w:r>
              <w:rPr>
                <w:b/>
                <w:noProof/>
                <w:sz w:val="18"/>
                <w:szCs w:val="18"/>
                <w:lang w:val="it-IT"/>
              </w:rPr>
              <w:t>settimana + 26 settimane di prednisone a scalare</w:t>
            </w:r>
          </w:p>
          <w:p>
            <w:pPr>
              <w:pStyle w:val="Standard"/>
              <w:keepNext/>
              <w:widowControl w:val="0"/>
              <w:suppressAutoHyphens/>
              <w:jc w:val="center"/>
              <w:rPr>
                <w:rFonts w:eastAsia="SimSun"/>
                <w:b/>
                <w:noProof/>
                <w:sz w:val="18"/>
                <w:szCs w:val="18"/>
                <w:lang w:val="it-IT" w:eastAsia="zh-CN"/>
              </w:rPr>
              <w:pPrChange w:id="7747" w:author="Author">
                <w:pPr>
                  <w:pStyle w:val="Standard"/>
                  <w:widowControl w:val="0"/>
                  <w:spacing w:before="50" w:after="50" w:line="240" w:lineRule="exact"/>
                  <w:jc w:val="center"/>
                </w:pPr>
              </w:pPrChange>
            </w:pPr>
            <w:del w:id="7748" w:author="Author">
              <w:r>
                <w:rPr>
                  <w:b/>
                  <w:noProof/>
                  <w:sz w:val="18"/>
                  <w:szCs w:val="18"/>
                  <w:lang w:val="it-IT"/>
                </w:rPr>
                <w:delText>N</w:delText>
              </w:r>
            </w:del>
            <w:ins w:id="7749" w:author="Author">
              <w:r>
                <w:rPr>
                  <w:b/>
                  <w:noProof/>
                  <w:sz w:val="18"/>
                  <w:szCs w:val="18"/>
                  <w:lang w:val="it-IT"/>
                </w:rPr>
                <w:t>n</w:t>
              </w:r>
            </w:ins>
            <w:r>
              <w:rPr>
                <w:b/>
                <w:noProof/>
                <w:sz w:val="18"/>
                <w:szCs w:val="18"/>
                <w:lang w:val="it-IT"/>
              </w:rPr>
              <w:t> = 100</w:t>
            </w:r>
          </w:p>
        </w:tc>
        <w:tc>
          <w:tcPr>
            <w:tcW w:w="737" w:type="pct"/>
            <w:tcBorders>
              <w:top w:val="single" w:sz="8" w:space="0" w:color="auto"/>
              <w:left w:val="single" w:sz="4" w:space="0" w:color="auto"/>
              <w:bottom w:val="single" w:sz="4" w:space="0" w:color="auto"/>
              <w:right w:val="single" w:sz="8" w:space="0" w:color="auto"/>
            </w:tcBorders>
            <w:tcMar>
              <w:top w:w="0" w:type="dxa"/>
              <w:left w:w="57" w:type="dxa"/>
              <w:bottom w:w="0" w:type="dxa"/>
              <w:right w:w="57" w:type="dxa"/>
            </w:tcMar>
            <w:tcPrChange w:id="7750" w:author="Author">
              <w:tcPr>
                <w:tcW w:w="723" w:type="pct"/>
                <w:gridSpan w:val="4"/>
                <w:tcBorders>
                  <w:top w:val="single" w:sz="8" w:space="0" w:color="auto"/>
                  <w:left w:val="single" w:sz="4" w:space="0" w:color="auto"/>
                  <w:bottom w:val="single" w:sz="4" w:space="0" w:color="auto"/>
                  <w:right w:val="single" w:sz="8" w:space="0" w:color="auto"/>
                </w:tcBorders>
                <w:tcMar>
                  <w:top w:w="0" w:type="dxa"/>
                  <w:left w:w="57" w:type="dxa"/>
                  <w:bottom w:w="0" w:type="dxa"/>
                  <w:right w:w="57" w:type="dxa"/>
                </w:tcMar>
              </w:tcPr>
            </w:tcPrChange>
          </w:tcPr>
          <w:p>
            <w:pPr>
              <w:keepNext/>
              <w:widowControl w:val="0"/>
              <w:suppressAutoHyphens/>
              <w:jc w:val="center"/>
              <w:rPr>
                <w:rFonts w:eastAsia="SimSun"/>
                <w:b/>
                <w:noProof/>
                <w:sz w:val="18"/>
                <w:szCs w:val="18"/>
                <w:lang w:val="it-IT"/>
              </w:rPr>
              <w:pPrChange w:id="7751" w:author="Author">
                <w:pPr>
                  <w:widowControl w:val="0"/>
                  <w:spacing w:before="50" w:after="50" w:line="240" w:lineRule="exact"/>
                  <w:jc w:val="center"/>
                </w:pPr>
              </w:pPrChange>
            </w:pPr>
            <w:r>
              <w:rPr>
                <w:b/>
                <w:noProof/>
                <w:sz w:val="18"/>
                <w:szCs w:val="18"/>
                <w:lang w:val="it-IT"/>
              </w:rPr>
              <w:t xml:space="preserve">Tocilizumab 162 mg s.c. </w:t>
            </w:r>
            <w:del w:id="7752" w:author="Author">
              <w:r>
                <w:rPr>
                  <w:b/>
                  <w:noProof/>
                  <w:sz w:val="18"/>
                  <w:szCs w:val="18"/>
                  <w:lang w:val="it-IT"/>
                </w:rPr>
                <w:delText>a</w:delText>
              </w:r>
            </w:del>
            <w:ins w:id="7753" w:author="Author">
              <w:del w:id="7754" w:author="Author">
                <w:r>
                  <w:rPr>
                    <w:b/>
                    <w:noProof/>
                    <w:sz w:val="18"/>
                    <w:szCs w:val="18"/>
                    <w:lang w:val="it-IT"/>
                  </w:rPr>
                  <w:delText> </w:delText>
                </w:r>
              </w:del>
            </w:ins>
            <w:del w:id="7755" w:author="Author">
              <w:r>
                <w:rPr>
                  <w:b/>
                  <w:noProof/>
                  <w:sz w:val="18"/>
                  <w:szCs w:val="18"/>
                  <w:lang w:val="it-IT"/>
                </w:rPr>
                <w:delText xml:space="preserve"> settimane alterne</w:delText>
              </w:r>
            </w:del>
            <w:ins w:id="7756" w:author="Author">
              <w:r>
                <w:rPr>
                  <w:b/>
                  <w:noProof/>
                  <w:sz w:val="18"/>
                  <w:szCs w:val="18"/>
                  <w:lang w:val="it-IT"/>
                </w:rPr>
                <w:t>ogni due settimane</w:t>
              </w:r>
            </w:ins>
            <w:r>
              <w:rPr>
                <w:b/>
                <w:noProof/>
                <w:sz w:val="18"/>
                <w:szCs w:val="18"/>
                <w:lang w:val="it-IT"/>
              </w:rPr>
              <w:t xml:space="preserve"> + 26</w:t>
            </w:r>
            <w:ins w:id="7757" w:author="Author">
              <w:r>
                <w:rPr>
                  <w:b/>
                  <w:noProof/>
                  <w:sz w:val="18"/>
                  <w:szCs w:val="18"/>
                  <w:lang w:val="it-IT"/>
                </w:rPr>
                <w:t> </w:t>
              </w:r>
            </w:ins>
            <w:del w:id="7758" w:author="Author">
              <w:r>
                <w:rPr>
                  <w:b/>
                  <w:noProof/>
                  <w:sz w:val="18"/>
                  <w:szCs w:val="18"/>
                  <w:lang w:val="it-IT"/>
                </w:rPr>
                <w:delText xml:space="preserve"> </w:delText>
              </w:r>
            </w:del>
            <w:r>
              <w:rPr>
                <w:b/>
                <w:noProof/>
                <w:sz w:val="18"/>
                <w:szCs w:val="18"/>
                <w:lang w:val="it-IT"/>
              </w:rPr>
              <w:t xml:space="preserve">settimane di prednisone a scalare </w:t>
            </w:r>
          </w:p>
          <w:p>
            <w:pPr>
              <w:pStyle w:val="Standard"/>
              <w:keepNext/>
              <w:widowControl w:val="0"/>
              <w:suppressAutoHyphens/>
              <w:jc w:val="center"/>
              <w:rPr>
                <w:rFonts w:eastAsia="SimSun"/>
                <w:b/>
                <w:noProof/>
                <w:sz w:val="18"/>
                <w:szCs w:val="18"/>
                <w:lang w:val="it-IT" w:eastAsia="zh-CN"/>
              </w:rPr>
              <w:pPrChange w:id="7759" w:author="Author">
                <w:pPr>
                  <w:pStyle w:val="Standard"/>
                  <w:widowControl w:val="0"/>
                  <w:spacing w:before="50" w:after="50" w:line="240" w:lineRule="exact"/>
                  <w:jc w:val="center"/>
                </w:pPr>
              </w:pPrChange>
            </w:pPr>
            <w:del w:id="7760" w:author="Author">
              <w:r>
                <w:rPr>
                  <w:b/>
                  <w:noProof/>
                  <w:sz w:val="18"/>
                  <w:szCs w:val="18"/>
                  <w:lang w:val="it-IT"/>
                </w:rPr>
                <w:delText>N</w:delText>
              </w:r>
            </w:del>
            <w:ins w:id="7761" w:author="Author">
              <w:r>
                <w:rPr>
                  <w:b/>
                  <w:noProof/>
                  <w:sz w:val="18"/>
                  <w:szCs w:val="18"/>
                  <w:lang w:val="it-IT"/>
                </w:rPr>
                <w:t>n</w:t>
              </w:r>
            </w:ins>
            <w:r>
              <w:rPr>
                <w:b/>
                <w:noProof/>
                <w:sz w:val="18"/>
                <w:szCs w:val="18"/>
                <w:lang w:val="it-IT"/>
              </w:rPr>
              <w:t> = 49</w:t>
            </w:r>
          </w:p>
        </w:tc>
      </w:tr>
      <w:tr>
        <w:trPr>
          <w:cantSplit/>
          <w:trPrChange w:id="7762" w:author="Author">
            <w:trPr>
              <w:gridBefore w:val="1"/>
              <w:cantSplit/>
            </w:trPr>
          </w:trPrChange>
        </w:trPr>
        <w:tc>
          <w:tcPr>
            <w:tcW w:w="5000" w:type="pct"/>
            <w:gridSpan w:val="5"/>
            <w:tcBorders>
              <w:top w:val="single" w:sz="4" w:space="0" w:color="auto"/>
              <w:left w:val="single" w:sz="4" w:space="0" w:color="auto"/>
              <w:bottom w:val="single" w:sz="4" w:space="0" w:color="auto"/>
              <w:right w:val="single" w:sz="8" w:space="0" w:color="auto"/>
            </w:tcBorders>
            <w:tcPrChange w:id="7763" w:author="Author">
              <w:tcPr>
                <w:tcW w:w="5000" w:type="pct"/>
                <w:gridSpan w:val="14"/>
                <w:tcBorders>
                  <w:top w:val="single" w:sz="4" w:space="0" w:color="auto"/>
                  <w:left w:val="single" w:sz="4" w:space="0" w:color="auto"/>
                  <w:bottom w:val="single" w:sz="4" w:space="0" w:color="auto"/>
                  <w:right w:val="single" w:sz="8" w:space="0" w:color="auto"/>
                </w:tcBorders>
              </w:tcPr>
            </w:tcPrChange>
          </w:tcPr>
          <w:p>
            <w:pPr>
              <w:pStyle w:val="Standard"/>
              <w:keepNext/>
              <w:widowControl w:val="0"/>
              <w:suppressAutoHyphens/>
              <w:rPr>
                <w:rFonts w:eastAsia="SimSun"/>
                <w:b/>
                <w:noProof/>
                <w:sz w:val="18"/>
                <w:szCs w:val="18"/>
                <w:lang w:val="it-IT" w:eastAsia="zh-CN"/>
              </w:rPr>
              <w:pPrChange w:id="7764" w:author="Author">
                <w:pPr>
                  <w:pStyle w:val="Standard"/>
                  <w:widowControl w:val="0"/>
                  <w:spacing w:before="50" w:after="50" w:line="240" w:lineRule="exact"/>
                </w:pPr>
              </w:pPrChange>
            </w:pPr>
            <w:del w:id="7765" w:author="Author">
              <w:r>
                <w:rPr>
                  <w:b/>
                  <w:noProof/>
                  <w:sz w:val="18"/>
                  <w:szCs w:val="18"/>
                  <w:lang w:val="it-IT"/>
                </w:rPr>
                <w:delText xml:space="preserve"> </w:delText>
              </w:r>
            </w:del>
            <w:r>
              <w:rPr>
                <w:b/>
                <w:noProof/>
                <w:sz w:val="18"/>
                <w:szCs w:val="18"/>
                <w:lang w:val="it-IT"/>
              </w:rPr>
              <w:t>Endpoint primario</w:t>
            </w:r>
          </w:p>
        </w:tc>
      </w:tr>
      <w:tr>
        <w:trPr>
          <w:cantSplit/>
        </w:trPr>
        <w:tc>
          <w:tcPr>
            <w:tcW w:w="5000" w:type="pct"/>
            <w:gridSpan w:val="5"/>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pPr>
              <w:pStyle w:val="Standard"/>
              <w:keepNext/>
              <w:widowControl w:val="0"/>
              <w:suppressAutoHyphens/>
              <w:rPr>
                <w:rFonts w:eastAsia="SimSun"/>
                <w:strike/>
                <w:noProof/>
                <w:sz w:val="18"/>
                <w:szCs w:val="18"/>
                <w:lang w:val="it-IT" w:eastAsia="zh-CN"/>
              </w:rPr>
              <w:pPrChange w:id="7766" w:author="Author">
                <w:pPr>
                  <w:pStyle w:val="Standard"/>
                  <w:widowControl w:val="0"/>
                  <w:spacing w:before="50" w:after="50" w:line="240" w:lineRule="exact"/>
                  <w:jc w:val="center"/>
                </w:pPr>
              </w:pPrChange>
            </w:pPr>
            <w:r>
              <w:rPr>
                <w:noProof/>
                <w:sz w:val="18"/>
                <w:szCs w:val="18"/>
                <w:lang w:val="it-IT"/>
              </w:rPr>
              <w:t>****Remissione sostenuta (gruppi tocilizumab vs. placebo+26)</w:t>
            </w:r>
            <w:r>
              <w:rPr>
                <w:rFonts w:eastAsia="SimSun"/>
                <w:noProof/>
                <w:sz w:val="18"/>
                <w:szCs w:val="18"/>
                <w:lang w:val="it-IT" w:eastAsia="zh-CN"/>
              </w:rPr>
              <w:t xml:space="preserve">                       </w:t>
            </w:r>
          </w:p>
        </w:tc>
      </w:tr>
      <w:tr>
        <w:tblPrEx>
          <w:tblPrExChange w:id="7767" w:author="Author">
            <w:tblPrEx>
              <w:tblLayout w:type="fixed"/>
              <w:tblCellMar>
                <w:top w:w="28" w:type="dxa"/>
                <w:left w:w="108" w:type="dxa"/>
                <w:bottom w:w="28" w:type="dxa"/>
                <w:right w:w="108" w:type="dxa"/>
              </w:tblCellMar>
            </w:tblPrEx>
          </w:tblPrExChange>
        </w:tblPrEx>
        <w:trPr>
          <w:cantSplit/>
          <w:trPrChange w:id="7768" w:author="Author">
            <w:trPr>
              <w:gridAfter w:val="0"/>
              <w:cantSplit/>
            </w:trPr>
          </w:trPrChange>
        </w:trPr>
        <w:tc>
          <w:tcPr>
            <w:tcW w:w="211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769" w:author="Author">
              <w:tcPr>
                <w:tcW w:w="211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pStyle w:val="Standard"/>
              <w:keepNext/>
              <w:widowControl w:val="0"/>
              <w:suppressAutoHyphens/>
              <w:ind w:left="504"/>
              <w:rPr>
                <w:rFonts w:eastAsia="SimSun"/>
                <w:noProof/>
                <w:sz w:val="18"/>
                <w:szCs w:val="18"/>
                <w:lang w:val="it-IT" w:eastAsia="zh-CN"/>
              </w:rPr>
              <w:pPrChange w:id="7770" w:author="Author">
                <w:pPr>
                  <w:pStyle w:val="Standard"/>
                  <w:widowControl w:val="0"/>
                  <w:spacing w:before="50" w:after="50" w:line="240" w:lineRule="exact"/>
                  <w:ind w:left="720" w:right="-198"/>
                </w:pPr>
              </w:pPrChange>
            </w:pPr>
            <w:r>
              <w:rPr>
                <w:noProof/>
                <w:sz w:val="18"/>
                <w:szCs w:val="18"/>
                <w:lang w:val="it-IT"/>
              </w:rPr>
              <w:t>Soggetti responsivi alla settimana 52, n</w:t>
            </w:r>
            <w:ins w:id="7771" w:author="Author">
              <w:r>
                <w:rPr>
                  <w:noProof/>
                  <w:sz w:val="18"/>
                  <w:szCs w:val="18"/>
                  <w:lang w:val="it-IT"/>
                </w:rPr>
                <w:t> </w:t>
              </w:r>
            </w:ins>
            <w:del w:id="7772" w:author="Author">
              <w:r>
                <w:rPr>
                  <w:noProof/>
                  <w:sz w:val="18"/>
                  <w:szCs w:val="18"/>
                  <w:lang w:val="it-IT"/>
                </w:rPr>
                <w:delText xml:space="preserve"> </w:delText>
              </w:r>
            </w:del>
            <w:r>
              <w:rPr>
                <w:noProof/>
                <w:sz w:val="18"/>
                <w:szCs w:val="18"/>
                <w:lang w:val="it-IT"/>
              </w:rPr>
              <w:t>(%)</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773" w:author="Author">
              <w:tcPr>
                <w:tcW w:w="721"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pStyle w:val="Standard"/>
              <w:keepNext/>
              <w:widowControl w:val="0"/>
              <w:suppressAutoHyphens/>
              <w:jc w:val="center"/>
              <w:rPr>
                <w:rFonts w:eastAsia="SimSun"/>
                <w:noProof/>
                <w:sz w:val="18"/>
                <w:szCs w:val="18"/>
                <w:lang w:val="it-IT" w:eastAsia="zh-CN"/>
              </w:rPr>
              <w:pPrChange w:id="7774" w:author="Author">
                <w:pPr>
                  <w:pStyle w:val="Standard"/>
                  <w:widowControl w:val="0"/>
                  <w:spacing w:before="50" w:after="50" w:line="240" w:lineRule="exact"/>
                  <w:jc w:val="center"/>
                </w:pPr>
              </w:pPrChange>
            </w:pPr>
            <w:r>
              <w:rPr>
                <w:noProof/>
                <w:sz w:val="18"/>
                <w:szCs w:val="18"/>
                <w:lang w:val="it-IT"/>
              </w:rPr>
              <w:t>7 (14%)</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775" w:author="Author">
              <w:tcPr>
                <w:tcW w:w="740" w:type="pct"/>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pStyle w:val="Standard"/>
              <w:keepNext/>
              <w:widowControl w:val="0"/>
              <w:suppressAutoHyphens/>
              <w:jc w:val="center"/>
              <w:rPr>
                <w:rFonts w:eastAsia="SimSun"/>
                <w:noProof/>
                <w:sz w:val="18"/>
                <w:szCs w:val="18"/>
                <w:lang w:val="it-IT" w:eastAsia="zh-CN"/>
              </w:rPr>
              <w:pPrChange w:id="7776" w:author="Author">
                <w:pPr>
                  <w:pStyle w:val="Standard"/>
                  <w:widowControl w:val="0"/>
                  <w:spacing w:before="50" w:after="50" w:line="240" w:lineRule="exact"/>
                  <w:jc w:val="center"/>
                </w:pPr>
              </w:pPrChange>
            </w:pPr>
            <w:r>
              <w:rPr>
                <w:noProof/>
                <w:sz w:val="18"/>
                <w:szCs w:val="18"/>
                <w:lang w:val="it-IT"/>
              </w:rPr>
              <w:t>9 (17,6%)</w:t>
            </w:r>
          </w:p>
        </w:tc>
        <w:tc>
          <w:tcPr>
            <w:tcW w:w="738" w:type="pct"/>
            <w:tcBorders>
              <w:top w:val="single" w:sz="4" w:space="0" w:color="auto"/>
              <w:left w:val="single" w:sz="4" w:space="0" w:color="auto"/>
              <w:bottom w:val="single" w:sz="4" w:space="0" w:color="auto"/>
              <w:right w:val="single" w:sz="4" w:space="0" w:color="auto"/>
            </w:tcBorders>
            <w:tcPrChange w:id="7777" w:author="Author">
              <w:tcPr>
                <w:tcW w:w="718" w:type="pct"/>
                <w:gridSpan w:val="3"/>
                <w:tcBorders>
                  <w:top w:val="single" w:sz="4" w:space="0" w:color="auto"/>
                  <w:left w:val="single" w:sz="4" w:space="0" w:color="auto"/>
                  <w:bottom w:val="single" w:sz="4" w:space="0" w:color="auto"/>
                  <w:right w:val="single" w:sz="4" w:space="0" w:color="auto"/>
                </w:tcBorders>
              </w:tcPr>
            </w:tcPrChange>
          </w:tcPr>
          <w:p>
            <w:pPr>
              <w:pStyle w:val="Standard"/>
              <w:keepNext/>
              <w:widowControl w:val="0"/>
              <w:suppressAutoHyphens/>
              <w:jc w:val="center"/>
              <w:rPr>
                <w:rFonts w:eastAsia="SimSun"/>
                <w:noProof/>
                <w:sz w:val="18"/>
                <w:szCs w:val="18"/>
                <w:lang w:val="it-IT" w:eastAsia="zh-CN"/>
              </w:rPr>
              <w:pPrChange w:id="7778" w:author="Author">
                <w:pPr>
                  <w:pStyle w:val="Standard"/>
                  <w:widowControl w:val="0"/>
                  <w:spacing w:before="50" w:after="50" w:line="240" w:lineRule="exact"/>
                  <w:jc w:val="center"/>
                </w:pPr>
              </w:pPrChange>
            </w:pPr>
            <w:r>
              <w:rPr>
                <w:noProof/>
                <w:sz w:val="18"/>
                <w:szCs w:val="18"/>
                <w:lang w:val="it-IT"/>
              </w:rPr>
              <w:t>56 (56%)</w:t>
            </w:r>
          </w:p>
        </w:tc>
        <w:tc>
          <w:tcPr>
            <w:tcW w:w="737" w:type="pct"/>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Change w:id="7779" w:author="Author">
              <w:tcPr>
                <w:tcW w:w="706" w:type="pct"/>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tcPrChange>
          </w:tcPr>
          <w:p>
            <w:pPr>
              <w:pStyle w:val="Standard"/>
              <w:keepNext/>
              <w:widowControl w:val="0"/>
              <w:suppressAutoHyphens/>
              <w:jc w:val="center"/>
              <w:rPr>
                <w:rFonts w:eastAsia="SimSun"/>
                <w:noProof/>
                <w:sz w:val="18"/>
                <w:szCs w:val="18"/>
                <w:lang w:val="it-IT" w:eastAsia="zh-CN"/>
              </w:rPr>
              <w:pPrChange w:id="7780" w:author="Author">
                <w:pPr>
                  <w:pStyle w:val="Standard"/>
                  <w:widowControl w:val="0"/>
                  <w:spacing w:before="50" w:after="50" w:line="240" w:lineRule="exact"/>
                  <w:jc w:val="center"/>
                </w:pPr>
              </w:pPrChange>
            </w:pPr>
            <w:r>
              <w:rPr>
                <w:noProof/>
                <w:sz w:val="18"/>
                <w:szCs w:val="18"/>
                <w:lang w:val="it-IT"/>
              </w:rPr>
              <w:t>26 (53,1%)</w:t>
            </w:r>
          </w:p>
        </w:tc>
      </w:tr>
      <w:tr>
        <w:tblPrEx>
          <w:tblPrExChange w:id="7781" w:author="Author">
            <w:tblPrEx>
              <w:tblLayout w:type="fixed"/>
              <w:tblCellMar>
                <w:top w:w="28" w:type="dxa"/>
                <w:left w:w="108" w:type="dxa"/>
                <w:bottom w:w="28" w:type="dxa"/>
                <w:right w:w="108" w:type="dxa"/>
              </w:tblCellMar>
            </w:tblPrEx>
          </w:tblPrExChange>
        </w:tblPrEx>
        <w:trPr>
          <w:cantSplit/>
          <w:trPrChange w:id="7782" w:author="Author">
            <w:trPr>
              <w:gridAfter w:val="0"/>
              <w:cantSplit/>
            </w:trPr>
          </w:trPrChange>
        </w:trPr>
        <w:tc>
          <w:tcPr>
            <w:tcW w:w="211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783" w:author="Author">
              <w:tcPr>
                <w:tcW w:w="211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widowControl w:val="0"/>
              <w:suppressAutoHyphens/>
              <w:ind w:left="504"/>
              <w:rPr>
                <w:rFonts w:eastAsia="SimSun"/>
                <w:noProof/>
                <w:sz w:val="18"/>
                <w:szCs w:val="18"/>
                <w:lang w:val="it-IT"/>
              </w:rPr>
              <w:pPrChange w:id="7784" w:author="Author">
                <w:pPr>
                  <w:widowControl w:val="0"/>
                  <w:spacing w:before="50" w:after="50" w:line="240" w:lineRule="exact"/>
                  <w:ind w:left="720" w:right="-479"/>
                </w:pPr>
              </w:pPrChange>
            </w:pPr>
            <w:r>
              <w:rPr>
                <w:noProof/>
                <w:sz w:val="18"/>
                <w:szCs w:val="18"/>
                <w:lang w:val="it-IT"/>
              </w:rPr>
              <w:t>Differenza nelle percentuali non aggiustata</w:t>
            </w:r>
          </w:p>
          <w:p>
            <w:pPr>
              <w:pStyle w:val="Standard"/>
              <w:widowControl w:val="0"/>
              <w:suppressAutoHyphens/>
              <w:ind w:left="504"/>
              <w:rPr>
                <w:rFonts w:eastAsia="SimSun"/>
                <w:noProof/>
                <w:sz w:val="18"/>
                <w:szCs w:val="18"/>
                <w:lang w:val="it-IT" w:eastAsia="zh-CN"/>
              </w:rPr>
              <w:pPrChange w:id="7785" w:author="Author">
                <w:pPr>
                  <w:pStyle w:val="Standard"/>
                  <w:widowControl w:val="0"/>
                  <w:spacing w:before="50" w:after="50" w:line="240" w:lineRule="exact"/>
                  <w:ind w:left="720"/>
                </w:pPr>
              </w:pPrChange>
            </w:pPr>
            <w:r>
              <w:rPr>
                <w:noProof/>
                <w:sz w:val="18"/>
                <w:szCs w:val="18"/>
                <w:lang w:val="it-IT"/>
              </w:rPr>
              <w:t>(IC al 99,5%)</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786" w:author="Author">
              <w:tcPr>
                <w:tcW w:w="721"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pStyle w:val="Standard"/>
              <w:widowControl w:val="0"/>
              <w:suppressAutoHyphens/>
              <w:jc w:val="center"/>
              <w:rPr>
                <w:rFonts w:eastAsia="SimSun"/>
                <w:noProof/>
                <w:sz w:val="18"/>
                <w:szCs w:val="18"/>
                <w:lang w:val="it-IT" w:eastAsia="zh-CN"/>
              </w:rPr>
              <w:pPrChange w:id="7787" w:author="Author">
                <w:pPr>
                  <w:pStyle w:val="Standard"/>
                  <w:widowControl w:val="0"/>
                  <w:spacing w:before="50" w:after="50" w:line="240" w:lineRule="exact"/>
                  <w:jc w:val="center"/>
                </w:pPr>
              </w:pPrChange>
            </w:pPr>
            <w:r>
              <w:rPr>
                <w:noProof/>
                <w:sz w:val="18"/>
                <w:szCs w:val="18"/>
                <w:lang w:val="it-IT"/>
              </w:rPr>
              <w:t>N/A</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788" w:author="Author">
              <w:tcPr>
                <w:tcW w:w="740" w:type="pct"/>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pStyle w:val="Standard"/>
              <w:widowControl w:val="0"/>
              <w:suppressAutoHyphens/>
              <w:jc w:val="center"/>
              <w:rPr>
                <w:rFonts w:eastAsia="SimSun"/>
                <w:noProof/>
                <w:sz w:val="18"/>
                <w:szCs w:val="18"/>
                <w:lang w:val="it-IT" w:eastAsia="zh-CN"/>
              </w:rPr>
              <w:pPrChange w:id="7789" w:author="Author">
                <w:pPr>
                  <w:pStyle w:val="Standard"/>
                  <w:widowControl w:val="0"/>
                  <w:spacing w:before="50" w:after="50" w:line="240" w:lineRule="exact"/>
                  <w:jc w:val="center"/>
                </w:pPr>
              </w:pPrChange>
            </w:pPr>
            <w:r>
              <w:rPr>
                <w:noProof/>
                <w:sz w:val="18"/>
                <w:szCs w:val="18"/>
                <w:lang w:val="it-IT"/>
              </w:rPr>
              <w:t>N/A</w:t>
            </w:r>
          </w:p>
        </w:tc>
        <w:tc>
          <w:tcPr>
            <w:tcW w:w="738" w:type="pct"/>
            <w:tcBorders>
              <w:top w:val="single" w:sz="4" w:space="0" w:color="auto"/>
              <w:left w:val="single" w:sz="4" w:space="0" w:color="auto"/>
              <w:bottom w:val="single" w:sz="4" w:space="0" w:color="auto"/>
              <w:right w:val="single" w:sz="4" w:space="0" w:color="auto"/>
            </w:tcBorders>
            <w:tcPrChange w:id="7790" w:author="Author">
              <w:tcPr>
                <w:tcW w:w="718" w:type="pct"/>
                <w:gridSpan w:val="3"/>
                <w:tcBorders>
                  <w:top w:val="single" w:sz="4" w:space="0" w:color="auto"/>
                  <w:left w:val="single" w:sz="4" w:space="0" w:color="auto"/>
                  <w:bottom w:val="single" w:sz="4" w:space="0" w:color="auto"/>
                  <w:right w:val="single" w:sz="4" w:space="0" w:color="auto"/>
                </w:tcBorders>
              </w:tcPr>
            </w:tcPrChange>
          </w:tcPr>
          <w:p>
            <w:pPr>
              <w:widowControl w:val="0"/>
              <w:suppressAutoHyphens/>
              <w:jc w:val="center"/>
              <w:rPr>
                <w:rFonts w:eastAsia="SimSun"/>
                <w:noProof/>
                <w:sz w:val="18"/>
                <w:szCs w:val="18"/>
                <w:lang w:val="it-IT"/>
              </w:rPr>
              <w:pPrChange w:id="7791" w:author="Author">
                <w:pPr>
                  <w:widowControl w:val="0"/>
                  <w:spacing w:before="50" w:after="50" w:line="240" w:lineRule="exact"/>
                  <w:jc w:val="center"/>
                </w:pPr>
              </w:pPrChange>
            </w:pPr>
            <w:r>
              <w:rPr>
                <w:noProof/>
                <w:sz w:val="18"/>
                <w:szCs w:val="18"/>
                <w:lang w:val="it-IT"/>
              </w:rPr>
              <w:t>42%*</w:t>
            </w:r>
          </w:p>
          <w:p>
            <w:pPr>
              <w:pStyle w:val="Standard"/>
              <w:widowControl w:val="0"/>
              <w:suppressAutoHyphens/>
              <w:jc w:val="center"/>
              <w:rPr>
                <w:rFonts w:eastAsia="SimSun"/>
                <w:noProof/>
                <w:sz w:val="18"/>
                <w:szCs w:val="18"/>
                <w:lang w:val="it-IT" w:eastAsia="zh-CN"/>
              </w:rPr>
              <w:pPrChange w:id="7792" w:author="Author">
                <w:pPr>
                  <w:pStyle w:val="Standard"/>
                  <w:widowControl w:val="0"/>
                  <w:spacing w:before="50" w:after="50" w:line="240" w:lineRule="exact"/>
                  <w:jc w:val="center"/>
                </w:pPr>
              </w:pPrChange>
            </w:pPr>
            <w:r>
              <w:rPr>
                <w:noProof/>
                <w:sz w:val="18"/>
                <w:szCs w:val="18"/>
                <w:lang w:val="it-IT"/>
              </w:rPr>
              <w:t>(18,00; 66,00)</w:t>
            </w:r>
          </w:p>
        </w:tc>
        <w:tc>
          <w:tcPr>
            <w:tcW w:w="737" w:type="pct"/>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Change w:id="7793" w:author="Author">
              <w:tcPr>
                <w:tcW w:w="706" w:type="pct"/>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tcPrChange>
          </w:tcPr>
          <w:p>
            <w:pPr>
              <w:widowControl w:val="0"/>
              <w:suppressAutoHyphens/>
              <w:jc w:val="center"/>
              <w:rPr>
                <w:rFonts w:eastAsia="SimSun"/>
                <w:noProof/>
                <w:sz w:val="18"/>
                <w:szCs w:val="18"/>
                <w:lang w:val="it-IT"/>
              </w:rPr>
              <w:pPrChange w:id="7794" w:author="Author">
                <w:pPr>
                  <w:widowControl w:val="0"/>
                  <w:spacing w:before="50" w:after="50" w:line="240" w:lineRule="exact"/>
                  <w:jc w:val="center"/>
                </w:pPr>
              </w:pPrChange>
            </w:pPr>
            <w:r>
              <w:rPr>
                <w:noProof/>
                <w:sz w:val="18"/>
                <w:szCs w:val="18"/>
                <w:lang w:val="it-IT"/>
              </w:rPr>
              <w:t>39,06%*</w:t>
            </w:r>
          </w:p>
          <w:p>
            <w:pPr>
              <w:pStyle w:val="Standard"/>
              <w:widowControl w:val="0"/>
              <w:suppressAutoHyphens/>
              <w:jc w:val="center"/>
              <w:rPr>
                <w:rFonts w:eastAsia="SimSun"/>
                <w:noProof/>
                <w:sz w:val="18"/>
                <w:szCs w:val="18"/>
                <w:lang w:val="it-IT" w:eastAsia="zh-CN"/>
              </w:rPr>
              <w:pPrChange w:id="7795" w:author="Author">
                <w:pPr>
                  <w:pStyle w:val="Standard"/>
                  <w:widowControl w:val="0"/>
                  <w:spacing w:before="50" w:after="50" w:line="240" w:lineRule="exact"/>
                  <w:jc w:val="center"/>
                </w:pPr>
              </w:pPrChange>
            </w:pPr>
            <w:r>
              <w:rPr>
                <w:noProof/>
                <w:sz w:val="18"/>
                <w:szCs w:val="18"/>
                <w:lang w:val="it-IT"/>
              </w:rPr>
              <w:t>(12,46; 65,66)</w:t>
            </w:r>
          </w:p>
        </w:tc>
      </w:tr>
      <w:tr>
        <w:trPr>
          <w:cantSplit/>
          <w:trPrChange w:id="7796" w:author="Author">
            <w:trPr>
              <w:gridBefore w:val="1"/>
              <w:cantSplit/>
            </w:trPr>
          </w:trPrChange>
        </w:trPr>
        <w:tc>
          <w:tcPr>
            <w:tcW w:w="5000" w:type="pct"/>
            <w:gridSpan w:val="5"/>
            <w:tcBorders>
              <w:top w:val="single" w:sz="4" w:space="0" w:color="auto"/>
              <w:left w:val="single" w:sz="4" w:space="0" w:color="auto"/>
              <w:bottom w:val="single" w:sz="4" w:space="0" w:color="auto"/>
              <w:right w:val="single" w:sz="8" w:space="0" w:color="auto"/>
            </w:tcBorders>
            <w:tcPrChange w:id="7797" w:author="Author">
              <w:tcPr>
                <w:tcW w:w="5000" w:type="pct"/>
                <w:gridSpan w:val="14"/>
                <w:tcBorders>
                  <w:top w:val="single" w:sz="4" w:space="0" w:color="auto"/>
                  <w:left w:val="single" w:sz="4" w:space="0" w:color="auto"/>
                  <w:bottom w:val="single" w:sz="4" w:space="0" w:color="auto"/>
                  <w:right w:val="single" w:sz="8" w:space="0" w:color="auto"/>
                </w:tcBorders>
              </w:tcPr>
            </w:tcPrChange>
          </w:tcPr>
          <w:p>
            <w:pPr>
              <w:pStyle w:val="Standard"/>
              <w:keepNext/>
              <w:widowControl w:val="0"/>
              <w:suppressAutoHyphens/>
              <w:rPr>
                <w:rFonts w:eastAsia="SimSun"/>
                <w:b/>
                <w:noProof/>
                <w:sz w:val="18"/>
                <w:szCs w:val="18"/>
                <w:lang w:val="it-IT" w:eastAsia="zh-CN"/>
              </w:rPr>
              <w:pPrChange w:id="7798" w:author="Author">
                <w:pPr>
                  <w:pStyle w:val="Standard"/>
                  <w:widowControl w:val="0"/>
                  <w:spacing w:before="50" w:after="50" w:line="240" w:lineRule="exact"/>
                </w:pPr>
              </w:pPrChange>
            </w:pPr>
            <w:del w:id="7799" w:author="Author">
              <w:r>
                <w:rPr>
                  <w:rFonts w:eastAsia="SimSun"/>
                  <w:b/>
                  <w:noProof/>
                  <w:sz w:val="18"/>
                  <w:szCs w:val="18"/>
                  <w:lang w:val="it-IT" w:eastAsia="zh-CN"/>
                </w:rPr>
                <w:delText xml:space="preserve"> </w:delText>
              </w:r>
            </w:del>
            <w:r>
              <w:rPr>
                <w:b/>
                <w:noProof/>
                <w:sz w:val="18"/>
                <w:szCs w:val="18"/>
                <w:lang w:val="it-IT"/>
              </w:rPr>
              <w:t>Principale endpoint secondario</w:t>
            </w:r>
          </w:p>
        </w:tc>
      </w:tr>
      <w:tr>
        <w:trPr>
          <w:cantSplit/>
        </w:trPr>
        <w:tc>
          <w:tcPr>
            <w:tcW w:w="5000" w:type="pct"/>
            <w:gridSpan w:val="5"/>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pPr>
              <w:pStyle w:val="Standard"/>
              <w:keepNext/>
              <w:widowControl w:val="0"/>
              <w:suppressAutoHyphens/>
              <w:rPr>
                <w:rFonts w:eastAsia="SimSun"/>
                <w:noProof/>
                <w:sz w:val="18"/>
                <w:szCs w:val="18"/>
                <w:lang w:val="it-IT" w:eastAsia="zh-CN"/>
              </w:rPr>
              <w:pPrChange w:id="7800" w:author="Author">
                <w:pPr>
                  <w:pStyle w:val="Standard"/>
                  <w:widowControl w:val="0"/>
                  <w:spacing w:before="50" w:after="50" w:line="240" w:lineRule="exact"/>
                  <w:jc w:val="center"/>
                </w:pPr>
              </w:pPrChange>
            </w:pPr>
            <w:r>
              <w:rPr>
                <w:noProof/>
                <w:sz w:val="18"/>
                <w:szCs w:val="18"/>
                <w:lang w:val="it-IT"/>
              </w:rPr>
              <w:t xml:space="preserve">Remissione sostenuta (gruppi tocilizumab vs. placebo+52)                       </w:t>
            </w:r>
          </w:p>
        </w:tc>
      </w:tr>
      <w:tr>
        <w:tblPrEx>
          <w:tblPrExChange w:id="7801" w:author="Author">
            <w:tblPrEx>
              <w:tblLayout w:type="fixed"/>
              <w:tblCellMar>
                <w:top w:w="28" w:type="dxa"/>
                <w:left w:w="108" w:type="dxa"/>
                <w:bottom w:w="28" w:type="dxa"/>
                <w:right w:w="108" w:type="dxa"/>
              </w:tblCellMar>
            </w:tblPrEx>
          </w:tblPrExChange>
        </w:tblPrEx>
        <w:trPr>
          <w:cantSplit/>
          <w:trPrChange w:id="7802" w:author="Author">
            <w:trPr>
              <w:gridAfter w:val="0"/>
              <w:cantSplit/>
            </w:trPr>
          </w:trPrChange>
        </w:trPr>
        <w:tc>
          <w:tcPr>
            <w:tcW w:w="211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803" w:author="Author">
              <w:tcPr>
                <w:tcW w:w="211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pStyle w:val="Standard"/>
              <w:keepNext/>
              <w:widowControl w:val="0"/>
              <w:suppressAutoHyphens/>
              <w:ind w:left="504"/>
              <w:rPr>
                <w:rFonts w:eastAsia="SimSun"/>
                <w:noProof/>
                <w:sz w:val="18"/>
                <w:szCs w:val="18"/>
                <w:lang w:val="it-IT" w:eastAsia="zh-CN"/>
              </w:rPr>
              <w:pPrChange w:id="7804" w:author="Author">
                <w:pPr>
                  <w:pStyle w:val="Standard"/>
                  <w:widowControl w:val="0"/>
                  <w:spacing w:before="50" w:after="50" w:line="240" w:lineRule="exact"/>
                  <w:ind w:left="720"/>
                </w:pPr>
              </w:pPrChange>
            </w:pPr>
            <w:r>
              <w:rPr>
                <w:noProof/>
                <w:sz w:val="18"/>
                <w:szCs w:val="18"/>
                <w:lang w:val="it-IT"/>
              </w:rPr>
              <w:t>Soggetti responsivi alla settimana 52, n</w:t>
            </w:r>
            <w:ins w:id="7805" w:author="Author">
              <w:r>
                <w:rPr>
                  <w:noProof/>
                  <w:sz w:val="18"/>
                  <w:szCs w:val="18"/>
                  <w:lang w:val="it-IT"/>
                </w:rPr>
                <w:t> </w:t>
              </w:r>
            </w:ins>
            <w:del w:id="7806" w:author="Author">
              <w:r>
                <w:rPr>
                  <w:noProof/>
                  <w:sz w:val="18"/>
                  <w:szCs w:val="18"/>
                  <w:lang w:val="it-IT"/>
                </w:rPr>
                <w:delText xml:space="preserve"> </w:delText>
              </w:r>
            </w:del>
            <w:r>
              <w:rPr>
                <w:noProof/>
                <w:sz w:val="18"/>
                <w:szCs w:val="18"/>
                <w:lang w:val="it-IT"/>
              </w:rPr>
              <w:t>(%)</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807" w:author="Author">
              <w:tcPr>
                <w:tcW w:w="721"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pStyle w:val="Standard"/>
              <w:keepNext/>
              <w:widowControl w:val="0"/>
              <w:suppressAutoHyphens/>
              <w:jc w:val="center"/>
              <w:rPr>
                <w:rFonts w:eastAsia="SimSun"/>
                <w:noProof/>
                <w:sz w:val="18"/>
                <w:szCs w:val="18"/>
                <w:lang w:val="it-IT" w:eastAsia="zh-CN"/>
              </w:rPr>
              <w:pPrChange w:id="7808" w:author="Author">
                <w:pPr>
                  <w:pStyle w:val="Standard"/>
                  <w:widowControl w:val="0"/>
                  <w:spacing w:before="50" w:after="50" w:line="240" w:lineRule="exact"/>
                  <w:jc w:val="center"/>
                </w:pPr>
              </w:pPrChange>
            </w:pPr>
            <w:r>
              <w:rPr>
                <w:noProof/>
                <w:sz w:val="18"/>
                <w:szCs w:val="18"/>
                <w:lang w:val="it-IT"/>
              </w:rPr>
              <w:t>7 (14%)</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809" w:author="Author">
              <w:tcPr>
                <w:tcW w:w="740" w:type="pct"/>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pStyle w:val="Standard"/>
              <w:keepNext/>
              <w:widowControl w:val="0"/>
              <w:suppressAutoHyphens/>
              <w:jc w:val="center"/>
              <w:rPr>
                <w:rFonts w:eastAsia="SimSun"/>
                <w:noProof/>
                <w:sz w:val="18"/>
                <w:szCs w:val="18"/>
                <w:lang w:val="it-IT" w:eastAsia="zh-CN"/>
              </w:rPr>
              <w:pPrChange w:id="7810" w:author="Author">
                <w:pPr>
                  <w:pStyle w:val="Standard"/>
                  <w:widowControl w:val="0"/>
                  <w:spacing w:before="50" w:after="50" w:line="240" w:lineRule="exact"/>
                  <w:jc w:val="center"/>
                </w:pPr>
              </w:pPrChange>
            </w:pPr>
            <w:r>
              <w:rPr>
                <w:noProof/>
                <w:sz w:val="18"/>
                <w:szCs w:val="18"/>
                <w:lang w:val="it-IT"/>
              </w:rPr>
              <w:t>9 (17,6%)</w:t>
            </w:r>
          </w:p>
        </w:tc>
        <w:tc>
          <w:tcPr>
            <w:tcW w:w="738" w:type="pct"/>
            <w:tcBorders>
              <w:top w:val="single" w:sz="4" w:space="0" w:color="auto"/>
              <w:left w:val="single" w:sz="4" w:space="0" w:color="auto"/>
              <w:bottom w:val="single" w:sz="4" w:space="0" w:color="auto"/>
              <w:right w:val="single" w:sz="4" w:space="0" w:color="auto"/>
            </w:tcBorders>
            <w:tcPrChange w:id="7811" w:author="Author">
              <w:tcPr>
                <w:tcW w:w="718" w:type="pct"/>
                <w:gridSpan w:val="3"/>
                <w:tcBorders>
                  <w:top w:val="single" w:sz="4" w:space="0" w:color="auto"/>
                  <w:left w:val="single" w:sz="4" w:space="0" w:color="auto"/>
                  <w:bottom w:val="single" w:sz="4" w:space="0" w:color="auto"/>
                  <w:right w:val="single" w:sz="4" w:space="0" w:color="auto"/>
                </w:tcBorders>
              </w:tcPr>
            </w:tcPrChange>
          </w:tcPr>
          <w:p>
            <w:pPr>
              <w:pStyle w:val="Standard"/>
              <w:keepNext/>
              <w:widowControl w:val="0"/>
              <w:suppressAutoHyphens/>
              <w:jc w:val="center"/>
              <w:rPr>
                <w:rFonts w:eastAsia="SimSun"/>
                <w:noProof/>
                <w:sz w:val="18"/>
                <w:szCs w:val="18"/>
                <w:lang w:val="it-IT" w:eastAsia="zh-CN"/>
              </w:rPr>
              <w:pPrChange w:id="7812" w:author="Author">
                <w:pPr>
                  <w:pStyle w:val="Standard"/>
                  <w:widowControl w:val="0"/>
                  <w:spacing w:before="50" w:after="50" w:line="240" w:lineRule="exact"/>
                  <w:jc w:val="center"/>
                </w:pPr>
              </w:pPrChange>
            </w:pPr>
            <w:r>
              <w:rPr>
                <w:noProof/>
                <w:sz w:val="18"/>
                <w:szCs w:val="18"/>
                <w:lang w:val="it-IT"/>
              </w:rPr>
              <w:t>56 (56%)</w:t>
            </w:r>
          </w:p>
        </w:tc>
        <w:tc>
          <w:tcPr>
            <w:tcW w:w="73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813" w:author="Author">
              <w:tcPr>
                <w:tcW w:w="706"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pStyle w:val="Standard"/>
              <w:keepNext/>
              <w:widowControl w:val="0"/>
              <w:suppressAutoHyphens/>
              <w:jc w:val="center"/>
              <w:rPr>
                <w:rFonts w:eastAsia="SimSun"/>
                <w:noProof/>
                <w:sz w:val="18"/>
                <w:szCs w:val="18"/>
                <w:lang w:val="it-IT" w:eastAsia="zh-CN"/>
              </w:rPr>
              <w:pPrChange w:id="7814" w:author="Author">
                <w:pPr>
                  <w:pStyle w:val="Standard"/>
                  <w:widowControl w:val="0"/>
                  <w:spacing w:before="50" w:after="50" w:line="240" w:lineRule="exact"/>
                  <w:jc w:val="center"/>
                </w:pPr>
              </w:pPrChange>
            </w:pPr>
            <w:r>
              <w:rPr>
                <w:noProof/>
                <w:sz w:val="18"/>
                <w:szCs w:val="18"/>
                <w:lang w:val="it-IT"/>
              </w:rPr>
              <w:t>26 (53,1%)</w:t>
            </w:r>
          </w:p>
        </w:tc>
      </w:tr>
      <w:tr>
        <w:tblPrEx>
          <w:tblPrExChange w:id="7815" w:author="Author">
            <w:tblPrEx>
              <w:tblLayout w:type="fixed"/>
              <w:tblCellMar>
                <w:top w:w="28" w:type="dxa"/>
                <w:left w:w="108" w:type="dxa"/>
                <w:bottom w:w="28" w:type="dxa"/>
                <w:right w:w="108" w:type="dxa"/>
              </w:tblCellMar>
            </w:tblPrEx>
          </w:tblPrExChange>
        </w:tblPrEx>
        <w:trPr>
          <w:cantSplit/>
          <w:trPrChange w:id="7816" w:author="Author">
            <w:trPr>
              <w:gridAfter w:val="0"/>
              <w:cantSplit/>
            </w:trPr>
          </w:trPrChange>
        </w:trPr>
        <w:tc>
          <w:tcPr>
            <w:tcW w:w="211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817" w:author="Author">
              <w:tcPr>
                <w:tcW w:w="211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widowControl w:val="0"/>
              <w:suppressAutoHyphens/>
              <w:ind w:left="504"/>
              <w:rPr>
                <w:rFonts w:eastAsia="SimSun"/>
                <w:noProof/>
                <w:sz w:val="18"/>
                <w:szCs w:val="18"/>
                <w:lang w:val="it-IT"/>
              </w:rPr>
              <w:pPrChange w:id="7818" w:author="Author">
                <w:pPr>
                  <w:widowControl w:val="0"/>
                  <w:spacing w:before="50" w:after="50" w:line="240" w:lineRule="exact"/>
                  <w:ind w:left="720"/>
                </w:pPr>
              </w:pPrChange>
            </w:pPr>
            <w:r>
              <w:rPr>
                <w:noProof/>
                <w:sz w:val="18"/>
                <w:szCs w:val="18"/>
                <w:lang w:val="it-IT"/>
              </w:rPr>
              <w:t>Differenza nelle percentuali non aggiustata</w:t>
            </w:r>
          </w:p>
          <w:p>
            <w:pPr>
              <w:pStyle w:val="Standard"/>
              <w:widowControl w:val="0"/>
              <w:suppressAutoHyphens/>
              <w:ind w:left="504"/>
              <w:rPr>
                <w:rFonts w:eastAsia="SimSun"/>
                <w:noProof/>
                <w:sz w:val="18"/>
                <w:szCs w:val="18"/>
                <w:lang w:val="it-IT" w:eastAsia="zh-CN"/>
              </w:rPr>
              <w:pPrChange w:id="7819" w:author="Author">
                <w:pPr>
                  <w:pStyle w:val="Standard"/>
                  <w:widowControl w:val="0"/>
                  <w:spacing w:before="50" w:after="50" w:line="240" w:lineRule="exact"/>
                  <w:ind w:left="720"/>
                </w:pPr>
              </w:pPrChange>
            </w:pPr>
            <w:r>
              <w:rPr>
                <w:noProof/>
                <w:sz w:val="18"/>
                <w:szCs w:val="18"/>
                <w:lang w:val="it-IT"/>
              </w:rPr>
              <w:t>(IC al 99,5%)</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820" w:author="Author">
              <w:tcPr>
                <w:tcW w:w="721"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pStyle w:val="Standard"/>
              <w:widowControl w:val="0"/>
              <w:suppressAutoHyphens/>
              <w:jc w:val="center"/>
              <w:rPr>
                <w:rFonts w:eastAsia="SimSun"/>
                <w:noProof/>
                <w:sz w:val="18"/>
                <w:szCs w:val="18"/>
                <w:lang w:val="it-IT" w:eastAsia="zh-CN"/>
              </w:rPr>
              <w:pPrChange w:id="7821" w:author="Author">
                <w:pPr>
                  <w:pStyle w:val="Standard"/>
                  <w:widowControl w:val="0"/>
                  <w:spacing w:before="50" w:after="50" w:line="240" w:lineRule="exact"/>
                  <w:jc w:val="center"/>
                </w:pPr>
              </w:pPrChange>
            </w:pPr>
            <w:r>
              <w:rPr>
                <w:noProof/>
                <w:sz w:val="18"/>
                <w:szCs w:val="18"/>
                <w:lang w:val="it-IT"/>
              </w:rPr>
              <w:t>N/A</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822" w:author="Author">
              <w:tcPr>
                <w:tcW w:w="740" w:type="pct"/>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pStyle w:val="Standard"/>
              <w:widowControl w:val="0"/>
              <w:suppressAutoHyphens/>
              <w:jc w:val="center"/>
              <w:rPr>
                <w:rFonts w:eastAsia="SimSun"/>
                <w:noProof/>
                <w:sz w:val="18"/>
                <w:szCs w:val="18"/>
                <w:lang w:val="it-IT" w:eastAsia="zh-CN"/>
              </w:rPr>
              <w:pPrChange w:id="7823" w:author="Author">
                <w:pPr>
                  <w:pStyle w:val="Standard"/>
                  <w:widowControl w:val="0"/>
                  <w:spacing w:before="50" w:after="50" w:line="240" w:lineRule="exact"/>
                  <w:jc w:val="center"/>
                </w:pPr>
              </w:pPrChange>
            </w:pPr>
            <w:r>
              <w:rPr>
                <w:noProof/>
                <w:sz w:val="18"/>
                <w:szCs w:val="18"/>
                <w:lang w:val="it-IT"/>
              </w:rPr>
              <w:t>N/A</w:t>
            </w:r>
          </w:p>
        </w:tc>
        <w:tc>
          <w:tcPr>
            <w:tcW w:w="738" w:type="pct"/>
            <w:tcBorders>
              <w:top w:val="single" w:sz="4" w:space="0" w:color="auto"/>
              <w:left w:val="single" w:sz="4" w:space="0" w:color="auto"/>
              <w:bottom w:val="single" w:sz="4" w:space="0" w:color="auto"/>
              <w:right w:val="single" w:sz="4" w:space="0" w:color="auto"/>
            </w:tcBorders>
            <w:tcPrChange w:id="7824" w:author="Author">
              <w:tcPr>
                <w:tcW w:w="718" w:type="pct"/>
                <w:gridSpan w:val="3"/>
                <w:tcBorders>
                  <w:top w:val="single" w:sz="4" w:space="0" w:color="auto"/>
                  <w:left w:val="single" w:sz="4" w:space="0" w:color="auto"/>
                  <w:bottom w:val="single" w:sz="4" w:space="0" w:color="auto"/>
                  <w:right w:val="single" w:sz="4" w:space="0" w:color="auto"/>
                </w:tcBorders>
              </w:tcPr>
            </w:tcPrChange>
          </w:tcPr>
          <w:p>
            <w:pPr>
              <w:widowControl w:val="0"/>
              <w:suppressAutoHyphens/>
              <w:jc w:val="center"/>
              <w:rPr>
                <w:rFonts w:eastAsia="SimSun"/>
                <w:noProof/>
                <w:sz w:val="18"/>
                <w:szCs w:val="18"/>
                <w:lang w:val="it-IT"/>
              </w:rPr>
              <w:pPrChange w:id="7825" w:author="Author">
                <w:pPr>
                  <w:widowControl w:val="0"/>
                  <w:spacing w:before="50" w:after="50" w:line="240" w:lineRule="exact"/>
                  <w:jc w:val="center"/>
                </w:pPr>
              </w:pPrChange>
            </w:pPr>
            <w:r>
              <w:rPr>
                <w:noProof/>
                <w:sz w:val="18"/>
                <w:szCs w:val="18"/>
                <w:lang w:val="it-IT"/>
              </w:rPr>
              <w:t>38,35%*</w:t>
            </w:r>
          </w:p>
          <w:p>
            <w:pPr>
              <w:pStyle w:val="Standard"/>
              <w:widowControl w:val="0"/>
              <w:suppressAutoHyphens/>
              <w:jc w:val="center"/>
              <w:rPr>
                <w:rFonts w:eastAsia="SimSun"/>
                <w:noProof/>
                <w:sz w:val="18"/>
                <w:szCs w:val="18"/>
                <w:lang w:val="it-IT" w:eastAsia="zh-CN"/>
              </w:rPr>
              <w:pPrChange w:id="7826" w:author="Author">
                <w:pPr>
                  <w:pStyle w:val="Standard"/>
                  <w:widowControl w:val="0"/>
                  <w:spacing w:before="50" w:after="50" w:line="240" w:lineRule="exact"/>
                  <w:jc w:val="center"/>
                </w:pPr>
              </w:pPrChange>
            </w:pPr>
            <w:r>
              <w:rPr>
                <w:noProof/>
                <w:sz w:val="18"/>
                <w:szCs w:val="18"/>
                <w:lang w:val="it-IT"/>
              </w:rPr>
              <w:t>(17,89; 58,81)</w:t>
            </w:r>
          </w:p>
        </w:tc>
        <w:tc>
          <w:tcPr>
            <w:tcW w:w="73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827" w:author="Author">
              <w:tcPr>
                <w:tcW w:w="706"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widowControl w:val="0"/>
              <w:suppressAutoHyphens/>
              <w:jc w:val="center"/>
              <w:rPr>
                <w:rFonts w:eastAsia="SimSun"/>
                <w:noProof/>
                <w:sz w:val="18"/>
                <w:szCs w:val="18"/>
                <w:lang w:val="it-IT"/>
              </w:rPr>
              <w:pPrChange w:id="7828" w:author="Author">
                <w:pPr>
                  <w:widowControl w:val="0"/>
                  <w:spacing w:before="50" w:after="50" w:line="240" w:lineRule="exact"/>
                  <w:jc w:val="center"/>
                </w:pPr>
              </w:pPrChange>
            </w:pPr>
            <w:r>
              <w:rPr>
                <w:noProof/>
                <w:sz w:val="18"/>
                <w:szCs w:val="18"/>
                <w:lang w:val="it-IT"/>
              </w:rPr>
              <w:t>35,41%**</w:t>
            </w:r>
          </w:p>
          <w:p>
            <w:pPr>
              <w:pStyle w:val="Standard"/>
              <w:widowControl w:val="0"/>
              <w:suppressAutoHyphens/>
              <w:jc w:val="center"/>
              <w:rPr>
                <w:rFonts w:eastAsia="SimSun"/>
                <w:noProof/>
                <w:sz w:val="18"/>
                <w:szCs w:val="18"/>
                <w:lang w:val="it-IT" w:eastAsia="zh-CN"/>
              </w:rPr>
              <w:pPrChange w:id="7829" w:author="Author">
                <w:pPr>
                  <w:pStyle w:val="Standard"/>
                  <w:widowControl w:val="0"/>
                  <w:spacing w:before="50" w:after="50" w:line="240" w:lineRule="exact"/>
                  <w:jc w:val="center"/>
                </w:pPr>
              </w:pPrChange>
            </w:pPr>
            <w:r>
              <w:rPr>
                <w:noProof/>
                <w:sz w:val="18"/>
                <w:szCs w:val="18"/>
                <w:lang w:val="it-IT"/>
              </w:rPr>
              <w:t>(10,41; 60,41)</w:t>
            </w:r>
          </w:p>
        </w:tc>
      </w:tr>
      <w:tr>
        <w:trPr>
          <w:cantSplit/>
        </w:trPr>
        <w:tc>
          <w:tcPr>
            <w:tcW w:w="5000" w:type="pct"/>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pPr>
              <w:pStyle w:val="Standard"/>
              <w:keepNext/>
              <w:widowControl w:val="0"/>
              <w:suppressAutoHyphens/>
              <w:rPr>
                <w:rFonts w:eastAsia="SimSun"/>
                <w:noProof/>
                <w:sz w:val="18"/>
                <w:szCs w:val="18"/>
                <w:lang w:val="it-IT" w:eastAsia="zh-CN"/>
              </w:rPr>
              <w:pPrChange w:id="7830" w:author="Author">
                <w:pPr>
                  <w:pStyle w:val="Standard"/>
                  <w:widowControl w:val="0"/>
                  <w:spacing w:before="50" w:after="50" w:line="240" w:lineRule="exact"/>
                  <w:jc w:val="center"/>
                </w:pPr>
              </w:pPrChange>
            </w:pPr>
            <w:r>
              <w:rPr>
                <w:b/>
                <w:noProof/>
                <w:sz w:val="18"/>
                <w:szCs w:val="18"/>
                <w:lang w:val="it-IT"/>
              </w:rPr>
              <w:t>Altri endpoint secondari</w:t>
            </w:r>
          </w:p>
        </w:tc>
      </w:tr>
      <w:tr>
        <w:tblPrEx>
          <w:tblPrExChange w:id="7831" w:author="Author">
            <w:tblPrEx>
              <w:tblLayout w:type="fixed"/>
              <w:tblCellMar>
                <w:top w:w="28" w:type="dxa"/>
                <w:left w:w="108" w:type="dxa"/>
                <w:bottom w:w="28" w:type="dxa"/>
                <w:right w:w="108" w:type="dxa"/>
              </w:tblCellMar>
            </w:tblPrEx>
          </w:tblPrExChange>
        </w:tblPrEx>
        <w:trPr>
          <w:cantSplit/>
          <w:trPrChange w:id="7832" w:author="Author">
            <w:trPr>
              <w:gridAfter w:val="0"/>
              <w:cantSplit/>
            </w:trPr>
          </w:trPrChange>
        </w:trPr>
        <w:tc>
          <w:tcPr>
            <w:tcW w:w="211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833" w:author="Author">
              <w:tcPr>
                <w:tcW w:w="211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keepNext/>
              <w:widowControl w:val="0"/>
              <w:suppressAutoHyphens/>
              <w:rPr>
                <w:noProof/>
                <w:sz w:val="18"/>
                <w:szCs w:val="18"/>
                <w:lang w:val="it-IT"/>
              </w:rPr>
              <w:pPrChange w:id="7834" w:author="Author">
                <w:pPr>
                  <w:widowControl w:val="0"/>
                  <w:spacing w:before="50" w:after="50" w:line="240" w:lineRule="exact"/>
                </w:pPr>
              </w:pPrChange>
            </w:pPr>
            <w:r>
              <w:rPr>
                <w:noProof/>
                <w:sz w:val="18"/>
                <w:szCs w:val="18"/>
                <w:lang w:val="it-IT"/>
              </w:rPr>
              <w:t>Tempo alla prima riacutizzazione della ACG¹ (gruppi tocilizumab vs. placebo+26)</w:t>
            </w:r>
          </w:p>
          <w:p>
            <w:pPr>
              <w:pStyle w:val="Standard"/>
              <w:keepNext/>
              <w:widowControl w:val="0"/>
              <w:suppressAutoHyphens/>
              <w:ind w:left="1440"/>
              <w:rPr>
                <w:noProof/>
                <w:sz w:val="18"/>
                <w:szCs w:val="18"/>
                <w:lang w:val="it-IT"/>
              </w:rPr>
              <w:pPrChange w:id="7835" w:author="Author">
                <w:pPr>
                  <w:pStyle w:val="Standard"/>
                  <w:widowControl w:val="0"/>
                  <w:spacing w:before="50" w:after="50" w:line="240" w:lineRule="exact"/>
                  <w:ind w:left="1440"/>
                </w:pPr>
              </w:pPrChange>
            </w:pPr>
            <w:r>
              <w:rPr>
                <w:noProof/>
                <w:sz w:val="18"/>
                <w:szCs w:val="18"/>
                <w:lang w:val="it-IT"/>
              </w:rPr>
              <w:t>HR (IC al 99%)</w:t>
            </w:r>
          </w:p>
          <w:p>
            <w:pPr>
              <w:keepNext/>
              <w:widowControl w:val="0"/>
              <w:suppressAutoHyphens/>
              <w:rPr>
                <w:noProof/>
                <w:sz w:val="18"/>
                <w:szCs w:val="18"/>
                <w:lang w:val="it-IT"/>
              </w:rPr>
              <w:pPrChange w:id="7836" w:author="Author">
                <w:pPr>
                  <w:widowControl w:val="0"/>
                  <w:spacing w:before="50" w:after="50" w:line="240" w:lineRule="exact"/>
                </w:pPr>
              </w:pPrChange>
            </w:pPr>
            <w:r>
              <w:rPr>
                <w:noProof/>
                <w:sz w:val="18"/>
                <w:szCs w:val="18"/>
                <w:lang w:val="it-IT"/>
              </w:rPr>
              <w:t>Tempo alla prima riacutizzazione della ACG¹ (gruppi tocilizumab vs. placebo+52)</w:t>
            </w:r>
          </w:p>
          <w:p>
            <w:pPr>
              <w:keepNext/>
              <w:widowControl w:val="0"/>
              <w:suppressAutoHyphens/>
              <w:rPr>
                <w:noProof/>
                <w:sz w:val="18"/>
                <w:szCs w:val="18"/>
                <w:lang w:val="it-IT"/>
              </w:rPr>
              <w:pPrChange w:id="7837" w:author="Author">
                <w:pPr>
                  <w:widowControl w:val="0"/>
                  <w:spacing w:before="50" w:after="50" w:line="240" w:lineRule="exact"/>
                </w:pPr>
              </w:pPrChange>
            </w:pPr>
            <w:r>
              <w:rPr>
                <w:noProof/>
                <w:sz w:val="18"/>
                <w:szCs w:val="18"/>
                <w:lang w:val="it-IT"/>
              </w:rPr>
              <w:t xml:space="preserve">                                HR (IC al 99%)</w:t>
            </w:r>
          </w:p>
          <w:p>
            <w:pPr>
              <w:keepNext/>
              <w:widowControl w:val="0"/>
              <w:suppressAutoHyphens/>
              <w:rPr>
                <w:noProof/>
                <w:sz w:val="18"/>
                <w:szCs w:val="18"/>
                <w:lang w:val="it-IT"/>
              </w:rPr>
              <w:pPrChange w:id="7838" w:author="Author">
                <w:pPr>
                  <w:widowControl w:val="0"/>
                  <w:spacing w:before="50" w:after="50" w:line="240" w:lineRule="exact"/>
                </w:pPr>
              </w:pPrChange>
            </w:pPr>
            <w:r>
              <w:rPr>
                <w:noProof/>
                <w:sz w:val="18"/>
                <w:szCs w:val="18"/>
                <w:lang w:val="it-IT"/>
              </w:rPr>
              <w:t>Tempo alla prima riacutizzazione della ACG¹ (pazienti recidivanti; gruppi tocilizumab vs. placebo+26) HR (IC al 99%)</w:t>
            </w:r>
          </w:p>
          <w:p>
            <w:pPr>
              <w:keepNext/>
              <w:widowControl w:val="0"/>
              <w:suppressAutoHyphens/>
              <w:rPr>
                <w:noProof/>
                <w:sz w:val="18"/>
                <w:szCs w:val="18"/>
                <w:lang w:val="it-IT"/>
              </w:rPr>
              <w:pPrChange w:id="7839" w:author="Author">
                <w:pPr>
                  <w:widowControl w:val="0"/>
                  <w:spacing w:before="50" w:after="50" w:line="240" w:lineRule="exact"/>
                </w:pPr>
              </w:pPrChange>
            </w:pPr>
            <w:r>
              <w:rPr>
                <w:noProof/>
                <w:sz w:val="18"/>
                <w:szCs w:val="18"/>
                <w:lang w:val="it-IT"/>
              </w:rPr>
              <w:t>Tempo alla prima riacutizzazione della ACG¹ (pazienti recidivanti; gruppi tocilizumab vs. placebo+52) HR (IC al 99%)</w:t>
            </w:r>
          </w:p>
          <w:p>
            <w:pPr>
              <w:keepNext/>
              <w:widowControl w:val="0"/>
              <w:suppressAutoHyphens/>
              <w:rPr>
                <w:noProof/>
                <w:sz w:val="18"/>
                <w:szCs w:val="18"/>
                <w:lang w:val="it-IT"/>
              </w:rPr>
              <w:pPrChange w:id="7840" w:author="Author">
                <w:pPr>
                  <w:widowControl w:val="0"/>
                  <w:spacing w:before="50" w:after="50" w:line="240" w:lineRule="exact"/>
                </w:pPr>
              </w:pPrChange>
            </w:pPr>
            <w:r>
              <w:rPr>
                <w:noProof/>
                <w:sz w:val="18"/>
                <w:szCs w:val="18"/>
                <w:lang w:val="it-IT"/>
              </w:rPr>
              <w:t>Tempo alla prima riacutizzazione della ACG¹ (pazienti con nuova insorgenza; gruppi tocilizumab vs. placebo+26) HR (IC al 99%)</w:t>
            </w:r>
          </w:p>
          <w:p>
            <w:pPr>
              <w:pStyle w:val="Standard"/>
              <w:keepNext/>
              <w:widowControl w:val="0"/>
              <w:suppressAutoHyphens/>
              <w:rPr>
                <w:rFonts w:eastAsia="SimSun"/>
                <w:noProof/>
                <w:sz w:val="18"/>
                <w:szCs w:val="18"/>
                <w:lang w:val="it-IT" w:eastAsia="zh-CN"/>
              </w:rPr>
              <w:pPrChange w:id="7841" w:author="Author">
                <w:pPr>
                  <w:pStyle w:val="Standard"/>
                  <w:widowControl w:val="0"/>
                  <w:spacing w:before="50" w:after="50" w:line="240" w:lineRule="exact"/>
                </w:pPr>
              </w:pPrChange>
            </w:pPr>
            <w:r>
              <w:rPr>
                <w:noProof/>
                <w:sz w:val="18"/>
                <w:szCs w:val="18"/>
                <w:lang w:val="it-IT"/>
              </w:rPr>
              <w:t>Tempo alla prima riacutizzazione della ACG¹ (pazienti con nuova insorgenza; gruppi tocilizumab vs. placebo+52) HR (IC al 99%)</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842" w:author="Author">
              <w:tcPr>
                <w:tcW w:w="721"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keepNext/>
              <w:widowControl w:val="0"/>
              <w:suppressAutoHyphens/>
              <w:jc w:val="center"/>
              <w:rPr>
                <w:rFonts w:eastAsia="SimSun"/>
                <w:noProof/>
                <w:sz w:val="18"/>
                <w:szCs w:val="18"/>
                <w:lang w:val="pt-BR"/>
                <w:rPrChange w:id="7843" w:author="Author">
                  <w:rPr>
                    <w:rFonts w:eastAsia="SimSun"/>
                    <w:sz w:val="18"/>
                    <w:szCs w:val="18"/>
                    <w:lang w:val="it-IT"/>
                  </w:rPr>
                </w:rPrChange>
              </w:rPr>
              <w:pPrChange w:id="7844" w:author="Author">
                <w:pPr>
                  <w:widowControl w:val="0"/>
                  <w:spacing w:before="50" w:after="50" w:line="240" w:lineRule="exact"/>
                  <w:jc w:val="center"/>
                </w:pPr>
              </w:pPrChange>
            </w:pPr>
            <w:r>
              <w:rPr>
                <w:noProof/>
                <w:sz w:val="18"/>
                <w:szCs w:val="18"/>
                <w:lang w:val="pt-BR"/>
                <w:rPrChange w:id="7845" w:author="Author">
                  <w:rPr>
                    <w:sz w:val="18"/>
                    <w:szCs w:val="18"/>
                    <w:lang w:val="it-IT"/>
                  </w:rPr>
                </w:rPrChange>
              </w:rPr>
              <w:t>N/A</w:t>
            </w:r>
          </w:p>
          <w:p>
            <w:pPr>
              <w:keepNext/>
              <w:widowControl w:val="0"/>
              <w:suppressAutoHyphens/>
              <w:jc w:val="center"/>
              <w:rPr>
                <w:rFonts w:eastAsia="SimSun"/>
                <w:noProof/>
                <w:sz w:val="18"/>
                <w:szCs w:val="18"/>
                <w:lang w:val="pt-BR" w:eastAsia="zh-CN"/>
                <w:rPrChange w:id="7846" w:author="Author">
                  <w:rPr>
                    <w:rFonts w:eastAsia="SimSun"/>
                    <w:sz w:val="18"/>
                    <w:szCs w:val="18"/>
                    <w:lang w:val="it-IT" w:eastAsia="zh-CN"/>
                  </w:rPr>
                </w:rPrChange>
              </w:rPr>
              <w:pPrChange w:id="7847" w:author="Author">
                <w:pPr>
                  <w:widowControl w:val="0"/>
                  <w:spacing w:before="50" w:after="50" w:line="240" w:lineRule="exact"/>
                  <w:jc w:val="center"/>
                </w:pPr>
              </w:pPrChange>
            </w:pPr>
          </w:p>
          <w:p>
            <w:pPr>
              <w:keepNext/>
              <w:widowControl w:val="0"/>
              <w:suppressAutoHyphens/>
              <w:jc w:val="center"/>
              <w:rPr>
                <w:rFonts w:eastAsia="SimSun"/>
                <w:noProof/>
                <w:sz w:val="18"/>
                <w:szCs w:val="18"/>
                <w:lang w:val="pt-BR" w:eastAsia="zh-CN"/>
                <w:rPrChange w:id="7848" w:author="Author">
                  <w:rPr>
                    <w:rFonts w:eastAsia="SimSun"/>
                    <w:sz w:val="18"/>
                    <w:szCs w:val="18"/>
                    <w:lang w:val="it-IT" w:eastAsia="zh-CN"/>
                  </w:rPr>
                </w:rPrChange>
              </w:rPr>
              <w:pPrChange w:id="7849" w:author="Author">
                <w:pPr>
                  <w:widowControl w:val="0"/>
                  <w:spacing w:before="50" w:after="50" w:line="240" w:lineRule="exact"/>
                  <w:jc w:val="center"/>
                </w:pPr>
              </w:pPrChange>
            </w:pPr>
          </w:p>
          <w:p>
            <w:pPr>
              <w:keepNext/>
              <w:widowControl w:val="0"/>
              <w:suppressAutoHyphens/>
              <w:jc w:val="center"/>
              <w:rPr>
                <w:rFonts w:eastAsia="SimSun"/>
                <w:noProof/>
                <w:sz w:val="18"/>
                <w:szCs w:val="18"/>
                <w:lang w:val="pt-BR"/>
                <w:rPrChange w:id="7850" w:author="Author">
                  <w:rPr>
                    <w:rFonts w:eastAsia="SimSun"/>
                    <w:sz w:val="18"/>
                    <w:szCs w:val="18"/>
                    <w:lang w:val="it-IT"/>
                  </w:rPr>
                </w:rPrChange>
              </w:rPr>
              <w:pPrChange w:id="7851" w:author="Author">
                <w:pPr>
                  <w:widowControl w:val="0"/>
                  <w:spacing w:before="50" w:after="50" w:line="240" w:lineRule="exact"/>
                  <w:jc w:val="center"/>
                </w:pPr>
              </w:pPrChange>
            </w:pPr>
            <w:r>
              <w:rPr>
                <w:noProof/>
                <w:sz w:val="18"/>
                <w:szCs w:val="18"/>
                <w:lang w:val="pt-BR"/>
                <w:rPrChange w:id="7852" w:author="Author">
                  <w:rPr>
                    <w:sz w:val="18"/>
                    <w:szCs w:val="18"/>
                    <w:lang w:val="it-IT"/>
                  </w:rPr>
                </w:rPrChange>
              </w:rPr>
              <w:t>N/A</w:t>
            </w:r>
          </w:p>
          <w:p>
            <w:pPr>
              <w:keepNext/>
              <w:widowControl w:val="0"/>
              <w:suppressAutoHyphens/>
              <w:jc w:val="center"/>
              <w:rPr>
                <w:rFonts w:eastAsia="SimSun"/>
                <w:noProof/>
                <w:sz w:val="18"/>
                <w:szCs w:val="18"/>
                <w:lang w:val="pt-BR" w:eastAsia="zh-CN"/>
                <w:rPrChange w:id="7853" w:author="Author">
                  <w:rPr>
                    <w:rFonts w:eastAsia="SimSun"/>
                    <w:sz w:val="18"/>
                    <w:szCs w:val="18"/>
                    <w:lang w:val="it-IT" w:eastAsia="zh-CN"/>
                  </w:rPr>
                </w:rPrChange>
              </w:rPr>
              <w:pPrChange w:id="7854" w:author="Author">
                <w:pPr>
                  <w:widowControl w:val="0"/>
                  <w:spacing w:before="50" w:after="50" w:line="240" w:lineRule="exact"/>
                  <w:jc w:val="center"/>
                </w:pPr>
              </w:pPrChange>
            </w:pPr>
          </w:p>
          <w:p>
            <w:pPr>
              <w:keepNext/>
              <w:widowControl w:val="0"/>
              <w:suppressAutoHyphens/>
              <w:jc w:val="center"/>
              <w:rPr>
                <w:rFonts w:eastAsia="SimSun"/>
                <w:noProof/>
                <w:sz w:val="18"/>
                <w:szCs w:val="18"/>
                <w:lang w:val="pt-BR" w:eastAsia="zh-CN"/>
                <w:rPrChange w:id="7855" w:author="Author">
                  <w:rPr>
                    <w:rFonts w:eastAsia="SimSun"/>
                    <w:sz w:val="18"/>
                    <w:szCs w:val="18"/>
                    <w:lang w:val="it-IT" w:eastAsia="zh-CN"/>
                  </w:rPr>
                </w:rPrChange>
              </w:rPr>
              <w:pPrChange w:id="7856" w:author="Author">
                <w:pPr>
                  <w:widowControl w:val="0"/>
                  <w:spacing w:before="50" w:after="50" w:line="240" w:lineRule="exact"/>
                  <w:jc w:val="center"/>
                </w:pPr>
              </w:pPrChange>
            </w:pPr>
          </w:p>
          <w:p>
            <w:pPr>
              <w:keepNext/>
              <w:widowControl w:val="0"/>
              <w:suppressAutoHyphens/>
              <w:jc w:val="center"/>
              <w:rPr>
                <w:rFonts w:eastAsia="SimSun"/>
                <w:noProof/>
                <w:sz w:val="18"/>
                <w:szCs w:val="18"/>
                <w:lang w:val="pt-BR"/>
                <w:rPrChange w:id="7857" w:author="Author">
                  <w:rPr>
                    <w:rFonts w:eastAsia="SimSun"/>
                    <w:sz w:val="18"/>
                    <w:szCs w:val="18"/>
                    <w:lang w:val="it-IT"/>
                  </w:rPr>
                </w:rPrChange>
              </w:rPr>
              <w:pPrChange w:id="7858" w:author="Author">
                <w:pPr>
                  <w:widowControl w:val="0"/>
                  <w:spacing w:before="50" w:after="50" w:line="240" w:lineRule="exact"/>
                  <w:jc w:val="center"/>
                </w:pPr>
              </w:pPrChange>
            </w:pPr>
            <w:r>
              <w:rPr>
                <w:noProof/>
                <w:sz w:val="18"/>
                <w:szCs w:val="18"/>
                <w:lang w:val="pt-BR"/>
                <w:rPrChange w:id="7859" w:author="Author">
                  <w:rPr>
                    <w:sz w:val="18"/>
                    <w:szCs w:val="18"/>
                    <w:lang w:val="it-IT"/>
                  </w:rPr>
                </w:rPrChange>
              </w:rPr>
              <w:t>N/A</w:t>
            </w:r>
          </w:p>
          <w:p>
            <w:pPr>
              <w:keepNext/>
              <w:widowControl w:val="0"/>
              <w:suppressAutoHyphens/>
              <w:rPr>
                <w:rFonts w:eastAsia="SimSun"/>
                <w:noProof/>
                <w:sz w:val="18"/>
                <w:szCs w:val="18"/>
                <w:lang w:val="pt-BR" w:eastAsia="zh-CN"/>
                <w:rPrChange w:id="7860" w:author="Author">
                  <w:rPr>
                    <w:rFonts w:eastAsia="SimSun"/>
                    <w:sz w:val="18"/>
                    <w:szCs w:val="18"/>
                    <w:lang w:val="it-IT" w:eastAsia="zh-CN"/>
                  </w:rPr>
                </w:rPrChange>
              </w:rPr>
              <w:pPrChange w:id="7861" w:author="Author">
                <w:pPr>
                  <w:widowControl w:val="0"/>
                  <w:spacing w:before="50" w:after="50" w:line="240" w:lineRule="exact"/>
                </w:pPr>
              </w:pPrChange>
            </w:pPr>
          </w:p>
          <w:p>
            <w:pPr>
              <w:keepNext/>
              <w:widowControl w:val="0"/>
              <w:suppressAutoHyphens/>
              <w:rPr>
                <w:rFonts w:eastAsia="SimSun"/>
                <w:noProof/>
                <w:sz w:val="18"/>
                <w:szCs w:val="18"/>
                <w:lang w:val="pt-BR" w:eastAsia="zh-CN"/>
                <w:rPrChange w:id="7862" w:author="Author">
                  <w:rPr>
                    <w:rFonts w:eastAsia="SimSun"/>
                    <w:sz w:val="18"/>
                    <w:szCs w:val="18"/>
                    <w:lang w:val="it-IT" w:eastAsia="zh-CN"/>
                  </w:rPr>
                </w:rPrChange>
              </w:rPr>
              <w:pPrChange w:id="7863" w:author="Author">
                <w:pPr>
                  <w:widowControl w:val="0"/>
                  <w:spacing w:before="50" w:after="50" w:line="240" w:lineRule="exact"/>
                </w:pPr>
              </w:pPrChange>
            </w:pPr>
          </w:p>
          <w:p>
            <w:pPr>
              <w:keepNext/>
              <w:widowControl w:val="0"/>
              <w:suppressAutoHyphens/>
              <w:jc w:val="center"/>
              <w:rPr>
                <w:rFonts w:eastAsia="SimSun"/>
                <w:noProof/>
                <w:sz w:val="18"/>
                <w:szCs w:val="18"/>
                <w:lang w:val="pt-BR"/>
                <w:rPrChange w:id="7864" w:author="Author">
                  <w:rPr>
                    <w:rFonts w:eastAsia="SimSun"/>
                    <w:sz w:val="18"/>
                    <w:szCs w:val="18"/>
                    <w:lang w:val="it-IT"/>
                  </w:rPr>
                </w:rPrChange>
              </w:rPr>
              <w:pPrChange w:id="7865" w:author="Author">
                <w:pPr>
                  <w:widowControl w:val="0"/>
                  <w:spacing w:before="50" w:after="50" w:line="240" w:lineRule="exact"/>
                  <w:jc w:val="center"/>
                </w:pPr>
              </w:pPrChange>
            </w:pPr>
            <w:r>
              <w:rPr>
                <w:noProof/>
                <w:sz w:val="18"/>
                <w:szCs w:val="18"/>
                <w:lang w:val="pt-BR"/>
                <w:rPrChange w:id="7866" w:author="Author">
                  <w:rPr>
                    <w:sz w:val="18"/>
                    <w:szCs w:val="18"/>
                    <w:lang w:val="it-IT"/>
                  </w:rPr>
                </w:rPrChange>
              </w:rPr>
              <w:t>N/A</w:t>
            </w:r>
          </w:p>
          <w:p>
            <w:pPr>
              <w:keepNext/>
              <w:widowControl w:val="0"/>
              <w:suppressAutoHyphens/>
              <w:jc w:val="center"/>
              <w:rPr>
                <w:ins w:id="7867" w:author="Author"/>
                <w:rFonts w:eastAsia="SimSun"/>
                <w:noProof/>
                <w:sz w:val="18"/>
                <w:szCs w:val="18"/>
                <w:lang w:val="pt-BR" w:eastAsia="zh-CN"/>
                <w:rPrChange w:id="7868" w:author="Author">
                  <w:rPr>
                    <w:ins w:id="7869" w:author="Author"/>
                    <w:rFonts w:eastAsia="SimSun"/>
                    <w:noProof/>
                    <w:sz w:val="18"/>
                    <w:szCs w:val="18"/>
                    <w:lang w:val="it-IT" w:eastAsia="zh-CN"/>
                  </w:rPr>
                </w:rPrChange>
              </w:rPr>
            </w:pPr>
          </w:p>
          <w:p>
            <w:pPr>
              <w:keepNext/>
              <w:widowControl w:val="0"/>
              <w:suppressAutoHyphens/>
              <w:jc w:val="center"/>
              <w:rPr>
                <w:rFonts w:eastAsia="SimSun"/>
                <w:noProof/>
                <w:sz w:val="18"/>
                <w:szCs w:val="18"/>
                <w:lang w:val="pt-BR" w:eastAsia="zh-CN"/>
                <w:rPrChange w:id="7870" w:author="Author">
                  <w:rPr>
                    <w:rFonts w:eastAsia="SimSun"/>
                    <w:sz w:val="18"/>
                    <w:szCs w:val="18"/>
                    <w:lang w:val="it-IT" w:eastAsia="zh-CN"/>
                  </w:rPr>
                </w:rPrChange>
              </w:rPr>
              <w:pPrChange w:id="7871" w:author="Author">
                <w:pPr>
                  <w:widowControl w:val="0"/>
                  <w:spacing w:before="50" w:after="50" w:line="240" w:lineRule="exact"/>
                  <w:jc w:val="center"/>
                </w:pPr>
              </w:pPrChange>
            </w:pPr>
          </w:p>
          <w:p>
            <w:pPr>
              <w:keepNext/>
              <w:widowControl w:val="0"/>
              <w:suppressAutoHyphens/>
              <w:jc w:val="center"/>
              <w:rPr>
                <w:rFonts w:eastAsia="SimSun"/>
                <w:noProof/>
                <w:sz w:val="18"/>
                <w:szCs w:val="18"/>
                <w:lang w:val="pt-BR"/>
                <w:rPrChange w:id="7872" w:author="Author">
                  <w:rPr>
                    <w:rFonts w:eastAsia="SimSun"/>
                    <w:sz w:val="18"/>
                    <w:szCs w:val="18"/>
                    <w:lang w:val="it-IT"/>
                  </w:rPr>
                </w:rPrChange>
              </w:rPr>
              <w:pPrChange w:id="7873" w:author="Author">
                <w:pPr>
                  <w:widowControl w:val="0"/>
                  <w:spacing w:before="50" w:after="50" w:line="240" w:lineRule="exact"/>
                  <w:jc w:val="center"/>
                </w:pPr>
              </w:pPrChange>
            </w:pPr>
            <w:r>
              <w:rPr>
                <w:noProof/>
                <w:sz w:val="18"/>
                <w:szCs w:val="18"/>
                <w:lang w:val="pt-BR"/>
                <w:rPrChange w:id="7874" w:author="Author">
                  <w:rPr>
                    <w:sz w:val="18"/>
                    <w:szCs w:val="18"/>
                    <w:lang w:val="it-IT"/>
                  </w:rPr>
                </w:rPrChange>
              </w:rPr>
              <w:t>N/A</w:t>
            </w:r>
          </w:p>
          <w:p>
            <w:pPr>
              <w:keepNext/>
              <w:widowControl w:val="0"/>
              <w:suppressAutoHyphens/>
              <w:rPr>
                <w:rFonts w:eastAsia="SimSun"/>
                <w:noProof/>
                <w:sz w:val="18"/>
                <w:szCs w:val="18"/>
                <w:lang w:val="pt-BR" w:eastAsia="zh-CN"/>
                <w:rPrChange w:id="7875" w:author="Author">
                  <w:rPr>
                    <w:rFonts w:eastAsia="SimSun"/>
                    <w:sz w:val="18"/>
                    <w:szCs w:val="18"/>
                    <w:lang w:val="it-IT" w:eastAsia="zh-CN"/>
                  </w:rPr>
                </w:rPrChange>
              </w:rPr>
              <w:pPrChange w:id="7876" w:author="Author">
                <w:pPr>
                  <w:widowControl w:val="0"/>
                  <w:spacing w:before="50" w:after="50" w:line="240" w:lineRule="exact"/>
                </w:pPr>
              </w:pPrChange>
            </w:pPr>
          </w:p>
          <w:p>
            <w:pPr>
              <w:keepNext/>
              <w:widowControl w:val="0"/>
              <w:suppressAutoHyphens/>
              <w:rPr>
                <w:rFonts w:eastAsia="SimSun"/>
                <w:noProof/>
                <w:sz w:val="18"/>
                <w:szCs w:val="18"/>
                <w:lang w:val="pt-BR" w:eastAsia="zh-CN"/>
                <w:rPrChange w:id="7877" w:author="Author">
                  <w:rPr>
                    <w:rFonts w:eastAsia="SimSun"/>
                    <w:sz w:val="18"/>
                    <w:szCs w:val="18"/>
                    <w:lang w:val="it-IT" w:eastAsia="zh-CN"/>
                  </w:rPr>
                </w:rPrChange>
              </w:rPr>
              <w:pPrChange w:id="7878" w:author="Author">
                <w:pPr>
                  <w:widowControl w:val="0"/>
                  <w:spacing w:before="50" w:after="50" w:line="240" w:lineRule="exact"/>
                </w:pPr>
              </w:pPrChange>
            </w:pPr>
          </w:p>
          <w:p>
            <w:pPr>
              <w:pStyle w:val="Standard"/>
              <w:keepNext/>
              <w:widowControl w:val="0"/>
              <w:suppressAutoHyphens/>
              <w:jc w:val="center"/>
              <w:rPr>
                <w:rFonts w:eastAsia="SimSun"/>
                <w:noProof/>
                <w:sz w:val="18"/>
                <w:szCs w:val="18"/>
                <w:lang w:val="pt-BR" w:eastAsia="zh-CN"/>
                <w:rPrChange w:id="7879" w:author="Author">
                  <w:rPr>
                    <w:rFonts w:eastAsia="SimSun"/>
                    <w:sz w:val="18"/>
                    <w:szCs w:val="18"/>
                    <w:lang w:val="it-IT" w:eastAsia="zh-CN"/>
                  </w:rPr>
                </w:rPrChange>
              </w:rPr>
              <w:pPrChange w:id="7880" w:author="Author">
                <w:pPr>
                  <w:pStyle w:val="Standard"/>
                  <w:widowControl w:val="0"/>
                  <w:spacing w:before="50" w:after="50" w:line="240" w:lineRule="exact"/>
                  <w:jc w:val="center"/>
                </w:pPr>
              </w:pPrChange>
            </w:pPr>
            <w:r>
              <w:rPr>
                <w:noProof/>
                <w:sz w:val="18"/>
                <w:szCs w:val="18"/>
                <w:lang w:val="pt-BR"/>
                <w:rPrChange w:id="7881" w:author="Author">
                  <w:rPr>
                    <w:sz w:val="18"/>
                    <w:szCs w:val="18"/>
                    <w:lang w:val="it-IT"/>
                  </w:rPr>
                </w:rPrChange>
              </w:rPr>
              <w:t>N/A</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882" w:author="Author">
              <w:tcPr>
                <w:tcW w:w="740" w:type="pct"/>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keepNext/>
              <w:widowControl w:val="0"/>
              <w:suppressAutoHyphens/>
              <w:jc w:val="center"/>
              <w:rPr>
                <w:rFonts w:eastAsia="SimSun"/>
                <w:noProof/>
                <w:sz w:val="18"/>
                <w:szCs w:val="18"/>
                <w:lang w:val="pt-BR"/>
                <w:rPrChange w:id="7883" w:author="Author">
                  <w:rPr>
                    <w:rFonts w:eastAsia="SimSun"/>
                    <w:sz w:val="18"/>
                    <w:szCs w:val="18"/>
                    <w:lang w:val="it-IT"/>
                  </w:rPr>
                </w:rPrChange>
              </w:rPr>
              <w:pPrChange w:id="7884" w:author="Author">
                <w:pPr>
                  <w:widowControl w:val="0"/>
                  <w:spacing w:before="50" w:after="50" w:line="240" w:lineRule="exact"/>
                  <w:jc w:val="center"/>
                </w:pPr>
              </w:pPrChange>
            </w:pPr>
            <w:r>
              <w:rPr>
                <w:noProof/>
                <w:sz w:val="18"/>
                <w:szCs w:val="18"/>
                <w:lang w:val="pt-BR"/>
                <w:rPrChange w:id="7885" w:author="Author">
                  <w:rPr>
                    <w:sz w:val="18"/>
                    <w:szCs w:val="18"/>
                    <w:lang w:val="it-IT"/>
                  </w:rPr>
                </w:rPrChange>
              </w:rPr>
              <w:t>N/A</w:t>
            </w:r>
          </w:p>
          <w:p>
            <w:pPr>
              <w:keepNext/>
              <w:widowControl w:val="0"/>
              <w:suppressAutoHyphens/>
              <w:jc w:val="center"/>
              <w:rPr>
                <w:rFonts w:eastAsia="SimSun"/>
                <w:noProof/>
                <w:sz w:val="18"/>
                <w:szCs w:val="18"/>
                <w:lang w:val="pt-BR" w:eastAsia="zh-CN"/>
                <w:rPrChange w:id="7886" w:author="Author">
                  <w:rPr>
                    <w:rFonts w:eastAsia="SimSun"/>
                    <w:sz w:val="18"/>
                    <w:szCs w:val="18"/>
                    <w:lang w:val="it-IT" w:eastAsia="zh-CN"/>
                  </w:rPr>
                </w:rPrChange>
              </w:rPr>
              <w:pPrChange w:id="7887" w:author="Author">
                <w:pPr>
                  <w:widowControl w:val="0"/>
                  <w:spacing w:before="50" w:after="50" w:line="240" w:lineRule="exact"/>
                  <w:jc w:val="center"/>
                </w:pPr>
              </w:pPrChange>
            </w:pPr>
          </w:p>
          <w:p>
            <w:pPr>
              <w:keepNext/>
              <w:widowControl w:val="0"/>
              <w:suppressAutoHyphens/>
              <w:jc w:val="center"/>
              <w:rPr>
                <w:rFonts w:eastAsia="SimSun"/>
                <w:noProof/>
                <w:sz w:val="18"/>
                <w:szCs w:val="18"/>
                <w:lang w:val="pt-BR" w:eastAsia="zh-CN"/>
                <w:rPrChange w:id="7888" w:author="Author">
                  <w:rPr>
                    <w:rFonts w:eastAsia="SimSun"/>
                    <w:sz w:val="18"/>
                    <w:szCs w:val="18"/>
                    <w:lang w:val="it-IT" w:eastAsia="zh-CN"/>
                  </w:rPr>
                </w:rPrChange>
              </w:rPr>
              <w:pPrChange w:id="7889" w:author="Author">
                <w:pPr>
                  <w:widowControl w:val="0"/>
                  <w:spacing w:before="50" w:after="50" w:line="240" w:lineRule="exact"/>
                  <w:jc w:val="center"/>
                </w:pPr>
              </w:pPrChange>
            </w:pPr>
          </w:p>
          <w:p>
            <w:pPr>
              <w:keepNext/>
              <w:widowControl w:val="0"/>
              <w:suppressAutoHyphens/>
              <w:jc w:val="center"/>
              <w:rPr>
                <w:rFonts w:eastAsia="SimSun"/>
                <w:noProof/>
                <w:sz w:val="18"/>
                <w:szCs w:val="18"/>
                <w:lang w:val="pt-BR"/>
                <w:rPrChange w:id="7890" w:author="Author">
                  <w:rPr>
                    <w:rFonts w:eastAsia="SimSun"/>
                    <w:sz w:val="18"/>
                    <w:szCs w:val="18"/>
                    <w:lang w:val="it-IT"/>
                  </w:rPr>
                </w:rPrChange>
              </w:rPr>
              <w:pPrChange w:id="7891" w:author="Author">
                <w:pPr>
                  <w:widowControl w:val="0"/>
                  <w:spacing w:before="50" w:after="50" w:line="240" w:lineRule="exact"/>
                  <w:jc w:val="center"/>
                </w:pPr>
              </w:pPrChange>
            </w:pPr>
            <w:r>
              <w:rPr>
                <w:noProof/>
                <w:sz w:val="18"/>
                <w:szCs w:val="18"/>
                <w:lang w:val="pt-BR"/>
                <w:rPrChange w:id="7892" w:author="Author">
                  <w:rPr>
                    <w:sz w:val="18"/>
                    <w:szCs w:val="18"/>
                    <w:lang w:val="it-IT"/>
                  </w:rPr>
                </w:rPrChange>
              </w:rPr>
              <w:t>N/A</w:t>
            </w:r>
          </w:p>
          <w:p>
            <w:pPr>
              <w:keepNext/>
              <w:widowControl w:val="0"/>
              <w:suppressAutoHyphens/>
              <w:jc w:val="center"/>
              <w:rPr>
                <w:rFonts w:eastAsia="SimSun"/>
                <w:noProof/>
                <w:sz w:val="18"/>
                <w:szCs w:val="18"/>
                <w:lang w:val="pt-BR" w:eastAsia="zh-CN"/>
                <w:rPrChange w:id="7893" w:author="Author">
                  <w:rPr>
                    <w:rFonts w:eastAsia="SimSun"/>
                    <w:sz w:val="18"/>
                    <w:szCs w:val="18"/>
                    <w:lang w:val="it-IT" w:eastAsia="zh-CN"/>
                  </w:rPr>
                </w:rPrChange>
              </w:rPr>
              <w:pPrChange w:id="7894" w:author="Author">
                <w:pPr>
                  <w:widowControl w:val="0"/>
                  <w:spacing w:before="50" w:after="50" w:line="240" w:lineRule="exact"/>
                  <w:jc w:val="center"/>
                </w:pPr>
              </w:pPrChange>
            </w:pPr>
          </w:p>
          <w:p>
            <w:pPr>
              <w:keepNext/>
              <w:widowControl w:val="0"/>
              <w:suppressAutoHyphens/>
              <w:jc w:val="center"/>
              <w:rPr>
                <w:rFonts w:eastAsia="SimSun"/>
                <w:noProof/>
                <w:sz w:val="18"/>
                <w:szCs w:val="18"/>
                <w:lang w:val="pt-BR" w:eastAsia="zh-CN"/>
                <w:rPrChange w:id="7895" w:author="Author">
                  <w:rPr>
                    <w:rFonts w:eastAsia="SimSun"/>
                    <w:sz w:val="18"/>
                    <w:szCs w:val="18"/>
                    <w:lang w:val="it-IT" w:eastAsia="zh-CN"/>
                  </w:rPr>
                </w:rPrChange>
              </w:rPr>
              <w:pPrChange w:id="7896" w:author="Author">
                <w:pPr>
                  <w:widowControl w:val="0"/>
                  <w:spacing w:before="50" w:after="50" w:line="240" w:lineRule="exact"/>
                  <w:jc w:val="center"/>
                </w:pPr>
              </w:pPrChange>
            </w:pPr>
          </w:p>
          <w:p>
            <w:pPr>
              <w:keepNext/>
              <w:widowControl w:val="0"/>
              <w:suppressAutoHyphens/>
              <w:jc w:val="center"/>
              <w:rPr>
                <w:rFonts w:eastAsia="SimSun"/>
                <w:noProof/>
                <w:sz w:val="18"/>
                <w:szCs w:val="18"/>
                <w:lang w:val="pt-BR"/>
                <w:rPrChange w:id="7897" w:author="Author">
                  <w:rPr>
                    <w:rFonts w:eastAsia="SimSun"/>
                    <w:sz w:val="18"/>
                    <w:szCs w:val="18"/>
                    <w:lang w:val="it-IT"/>
                  </w:rPr>
                </w:rPrChange>
              </w:rPr>
              <w:pPrChange w:id="7898" w:author="Author">
                <w:pPr>
                  <w:widowControl w:val="0"/>
                  <w:spacing w:before="50" w:after="50" w:line="240" w:lineRule="exact"/>
                  <w:jc w:val="center"/>
                </w:pPr>
              </w:pPrChange>
            </w:pPr>
            <w:r>
              <w:rPr>
                <w:noProof/>
                <w:sz w:val="18"/>
                <w:szCs w:val="18"/>
                <w:lang w:val="pt-BR"/>
                <w:rPrChange w:id="7899" w:author="Author">
                  <w:rPr>
                    <w:sz w:val="18"/>
                    <w:szCs w:val="18"/>
                    <w:lang w:val="it-IT"/>
                  </w:rPr>
                </w:rPrChange>
              </w:rPr>
              <w:t>N/A</w:t>
            </w:r>
          </w:p>
          <w:p>
            <w:pPr>
              <w:keepNext/>
              <w:widowControl w:val="0"/>
              <w:suppressAutoHyphens/>
              <w:rPr>
                <w:rFonts w:eastAsia="SimSun"/>
                <w:noProof/>
                <w:sz w:val="18"/>
                <w:szCs w:val="18"/>
                <w:lang w:val="pt-BR" w:eastAsia="zh-CN"/>
                <w:rPrChange w:id="7900" w:author="Author">
                  <w:rPr>
                    <w:rFonts w:eastAsia="SimSun"/>
                    <w:sz w:val="18"/>
                    <w:szCs w:val="18"/>
                    <w:lang w:val="it-IT" w:eastAsia="zh-CN"/>
                  </w:rPr>
                </w:rPrChange>
              </w:rPr>
              <w:pPrChange w:id="7901" w:author="Author">
                <w:pPr>
                  <w:widowControl w:val="0"/>
                  <w:spacing w:before="50" w:after="50" w:line="240" w:lineRule="exact"/>
                </w:pPr>
              </w:pPrChange>
            </w:pPr>
          </w:p>
          <w:p>
            <w:pPr>
              <w:keepNext/>
              <w:widowControl w:val="0"/>
              <w:suppressAutoHyphens/>
              <w:rPr>
                <w:rFonts w:eastAsia="SimSun"/>
                <w:noProof/>
                <w:sz w:val="18"/>
                <w:szCs w:val="18"/>
                <w:lang w:val="pt-BR" w:eastAsia="zh-CN"/>
                <w:rPrChange w:id="7902" w:author="Author">
                  <w:rPr>
                    <w:rFonts w:eastAsia="SimSun"/>
                    <w:sz w:val="18"/>
                    <w:szCs w:val="18"/>
                    <w:lang w:val="it-IT" w:eastAsia="zh-CN"/>
                  </w:rPr>
                </w:rPrChange>
              </w:rPr>
              <w:pPrChange w:id="7903" w:author="Author">
                <w:pPr>
                  <w:widowControl w:val="0"/>
                  <w:spacing w:before="50" w:after="50" w:line="240" w:lineRule="exact"/>
                </w:pPr>
              </w:pPrChange>
            </w:pPr>
          </w:p>
          <w:p>
            <w:pPr>
              <w:keepNext/>
              <w:widowControl w:val="0"/>
              <w:suppressAutoHyphens/>
              <w:jc w:val="center"/>
              <w:rPr>
                <w:rFonts w:eastAsia="SimSun"/>
                <w:noProof/>
                <w:sz w:val="18"/>
                <w:szCs w:val="18"/>
                <w:lang w:val="pt-BR"/>
                <w:rPrChange w:id="7904" w:author="Author">
                  <w:rPr>
                    <w:rFonts w:eastAsia="SimSun"/>
                    <w:sz w:val="18"/>
                    <w:szCs w:val="18"/>
                    <w:lang w:val="it-IT"/>
                  </w:rPr>
                </w:rPrChange>
              </w:rPr>
              <w:pPrChange w:id="7905" w:author="Author">
                <w:pPr>
                  <w:widowControl w:val="0"/>
                  <w:spacing w:before="50" w:after="50" w:line="240" w:lineRule="exact"/>
                  <w:jc w:val="center"/>
                </w:pPr>
              </w:pPrChange>
            </w:pPr>
            <w:r>
              <w:rPr>
                <w:noProof/>
                <w:sz w:val="18"/>
                <w:szCs w:val="18"/>
                <w:lang w:val="pt-BR"/>
                <w:rPrChange w:id="7906" w:author="Author">
                  <w:rPr>
                    <w:sz w:val="18"/>
                    <w:szCs w:val="18"/>
                    <w:lang w:val="it-IT"/>
                  </w:rPr>
                </w:rPrChange>
              </w:rPr>
              <w:t>N/A</w:t>
            </w:r>
          </w:p>
          <w:p>
            <w:pPr>
              <w:keepNext/>
              <w:widowControl w:val="0"/>
              <w:suppressAutoHyphens/>
              <w:jc w:val="center"/>
              <w:rPr>
                <w:ins w:id="7907" w:author="Author"/>
                <w:rFonts w:eastAsia="SimSun"/>
                <w:noProof/>
                <w:sz w:val="18"/>
                <w:szCs w:val="18"/>
                <w:lang w:val="pt-BR" w:eastAsia="zh-CN"/>
                <w:rPrChange w:id="7908" w:author="Author">
                  <w:rPr>
                    <w:ins w:id="7909" w:author="Author"/>
                    <w:rFonts w:eastAsia="SimSun"/>
                    <w:noProof/>
                    <w:sz w:val="18"/>
                    <w:szCs w:val="18"/>
                    <w:lang w:val="it-IT" w:eastAsia="zh-CN"/>
                  </w:rPr>
                </w:rPrChange>
              </w:rPr>
            </w:pPr>
          </w:p>
          <w:p>
            <w:pPr>
              <w:keepNext/>
              <w:widowControl w:val="0"/>
              <w:suppressAutoHyphens/>
              <w:jc w:val="center"/>
              <w:rPr>
                <w:rFonts w:eastAsia="SimSun"/>
                <w:noProof/>
                <w:sz w:val="18"/>
                <w:szCs w:val="18"/>
                <w:lang w:val="pt-BR" w:eastAsia="zh-CN"/>
                <w:rPrChange w:id="7910" w:author="Author">
                  <w:rPr>
                    <w:rFonts w:eastAsia="SimSun"/>
                    <w:sz w:val="18"/>
                    <w:szCs w:val="18"/>
                    <w:lang w:val="it-IT" w:eastAsia="zh-CN"/>
                  </w:rPr>
                </w:rPrChange>
              </w:rPr>
              <w:pPrChange w:id="7911" w:author="Author">
                <w:pPr>
                  <w:widowControl w:val="0"/>
                  <w:spacing w:before="50" w:after="50" w:line="240" w:lineRule="exact"/>
                  <w:jc w:val="center"/>
                </w:pPr>
              </w:pPrChange>
            </w:pPr>
          </w:p>
          <w:p>
            <w:pPr>
              <w:keepNext/>
              <w:widowControl w:val="0"/>
              <w:suppressAutoHyphens/>
              <w:jc w:val="center"/>
              <w:rPr>
                <w:rFonts w:eastAsia="SimSun"/>
                <w:noProof/>
                <w:sz w:val="18"/>
                <w:szCs w:val="18"/>
                <w:lang w:val="pt-BR"/>
                <w:rPrChange w:id="7912" w:author="Author">
                  <w:rPr>
                    <w:rFonts w:eastAsia="SimSun"/>
                    <w:sz w:val="18"/>
                    <w:szCs w:val="18"/>
                    <w:lang w:val="it-IT"/>
                  </w:rPr>
                </w:rPrChange>
              </w:rPr>
              <w:pPrChange w:id="7913" w:author="Author">
                <w:pPr>
                  <w:widowControl w:val="0"/>
                  <w:spacing w:before="50" w:after="50" w:line="240" w:lineRule="exact"/>
                  <w:jc w:val="center"/>
                </w:pPr>
              </w:pPrChange>
            </w:pPr>
            <w:r>
              <w:rPr>
                <w:noProof/>
                <w:sz w:val="18"/>
                <w:szCs w:val="18"/>
                <w:lang w:val="pt-BR"/>
                <w:rPrChange w:id="7914" w:author="Author">
                  <w:rPr>
                    <w:sz w:val="18"/>
                    <w:szCs w:val="18"/>
                    <w:lang w:val="it-IT"/>
                  </w:rPr>
                </w:rPrChange>
              </w:rPr>
              <w:t>N/A</w:t>
            </w:r>
          </w:p>
          <w:p>
            <w:pPr>
              <w:keepNext/>
              <w:widowControl w:val="0"/>
              <w:suppressAutoHyphens/>
              <w:rPr>
                <w:rFonts w:eastAsia="SimSun"/>
                <w:noProof/>
                <w:sz w:val="18"/>
                <w:szCs w:val="18"/>
                <w:lang w:val="pt-BR" w:eastAsia="zh-CN"/>
                <w:rPrChange w:id="7915" w:author="Author">
                  <w:rPr>
                    <w:rFonts w:eastAsia="SimSun"/>
                    <w:sz w:val="18"/>
                    <w:szCs w:val="18"/>
                    <w:lang w:val="it-IT" w:eastAsia="zh-CN"/>
                  </w:rPr>
                </w:rPrChange>
              </w:rPr>
              <w:pPrChange w:id="7916" w:author="Author">
                <w:pPr>
                  <w:widowControl w:val="0"/>
                  <w:spacing w:before="50" w:after="50" w:line="240" w:lineRule="exact"/>
                </w:pPr>
              </w:pPrChange>
            </w:pPr>
          </w:p>
          <w:p>
            <w:pPr>
              <w:keepNext/>
              <w:widowControl w:val="0"/>
              <w:suppressAutoHyphens/>
              <w:rPr>
                <w:rFonts w:eastAsia="SimSun"/>
                <w:noProof/>
                <w:sz w:val="18"/>
                <w:szCs w:val="18"/>
                <w:lang w:val="pt-BR" w:eastAsia="zh-CN"/>
                <w:rPrChange w:id="7917" w:author="Author">
                  <w:rPr>
                    <w:rFonts w:eastAsia="SimSun"/>
                    <w:sz w:val="18"/>
                    <w:szCs w:val="18"/>
                    <w:lang w:val="it-IT" w:eastAsia="zh-CN"/>
                  </w:rPr>
                </w:rPrChange>
              </w:rPr>
              <w:pPrChange w:id="7918" w:author="Author">
                <w:pPr>
                  <w:widowControl w:val="0"/>
                  <w:spacing w:before="50" w:after="50" w:line="240" w:lineRule="exact"/>
                </w:pPr>
              </w:pPrChange>
            </w:pPr>
          </w:p>
          <w:p>
            <w:pPr>
              <w:pStyle w:val="Standard"/>
              <w:keepNext/>
              <w:widowControl w:val="0"/>
              <w:suppressAutoHyphens/>
              <w:jc w:val="center"/>
              <w:rPr>
                <w:rFonts w:eastAsia="SimSun"/>
                <w:noProof/>
                <w:sz w:val="18"/>
                <w:szCs w:val="18"/>
                <w:lang w:val="pt-BR" w:eastAsia="zh-CN"/>
                <w:rPrChange w:id="7919" w:author="Author">
                  <w:rPr>
                    <w:rFonts w:eastAsia="SimSun"/>
                    <w:sz w:val="18"/>
                    <w:szCs w:val="18"/>
                    <w:lang w:val="it-IT" w:eastAsia="zh-CN"/>
                  </w:rPr>
                </w:rPrChange>
              </w:rPr>
              <w:pPrChange w:id="7920" w:author="Author">
                <w:pPr>
                  <w:pStyle w:val="Standard"/>
                  <w:widowControl w:val="0"/>
                  <w:spacing w:before="50" w:after="50" w:line="240" w:lineRule="exact"/>
                  <w:jc w:val="center"/>
                </w:pPr>
              </w:pPrChange>
            </w:pPr>
            <w:r>
              <w:rPr>
                <w:noProof/>
                <w:sz w:val="18"/>
                <w:szCs w:val="18"/>
                <w:lang w:val="pt-BR"/>
                <w:rPrChange w:id="7921" w:author="Author">
                  <w:rPr>
                    <w:sz w:val="18"/>
                    <w:szCs w:val="18"/>
                    <w:lang w:val="it-IT"/>
                  </w:rPr>
                </w:rPrChange>
              </w:rPr>
              <w:t>N/A</w:t>
            </w:r>
          </w:p>
        </w:tc>
        <w:tc>
          <w:tcPr>
            <w:tcW w:w="738" w:type="pct"/>
            <w:tcBorders>
              <w:top w:val="single" w:sz="4" w:space="0" w:color="auto"/>
              <w:left w:val="single" w:sz="4" w:space="0" w:color="auto"/>
              <w:bottom w:val="single" w:sz="4" w:space="0" w:color="auto"/>
              <w:right w:val="single" w:sz="4" w:space="0" w:color="auto"/>
            </w:tcBorders>
            <w:tcPrChange w:id="7922" w:author="Author">
              <w:tcPr>
                <w:tcW w:w="718" w:type="pct"/>
                <w:gridSpan w:val="3"/>
                <w:tcBorders>
                  <w:top w:val="single" w:sz="4" w:space="0" w:color="auto"/>
                  <w:left w:val="single" w:sz="4" w:space="0" w:color="auto"/>
                  <w:bottom w:val="single" w:sz="4" w:space="0" w:color="auto"/>
                  <w:right w:val="single" w:sz="4" w:space="0" w:color="auto"/>
                </w:tcBorders>
              </w:tcPr>
            </w:tcPrChange>
          </w:tcPr>
          <w:p>
            <w:pPr>
              <w:keepNext/>
              <w:widowControl w:val="0"/>
              <w:suppressAutoHyphens/>
              <w:jc w:val="center"/>
              <w:rPr>
                <w:noProof/>
                <w:sz w:val="18"/>
                <w:szCs w:val="18"/>
                <w:lang w:val="it-IT"/>
              </w:rPr>
              <w:pPrChange w:id="7923" w:author="Author">
                <w:pPr>
                  <w:widowControl w:val="0"/>
                  <w:spacing w:before="50" w:after="50" w:line="240" w:lineRule="exact"/>
                  <w:jc w:val="center"/>
                </w:pPr>
              </w:pPrChange>
            </w:pPr>
            <w:r>
              <w:rPr>
                <w:noProof/>
                <w:sz w:val="18"/>
                <w:szCs w:val="18"/>
                <w:lang w:val="it-IT"/>
              </w:rPr>
              <w:t>0,23*</w:t>
            </w:r>
          </w:p>
          <w:p>
            <w:pPr>
              <w:keepNext/>
              <w:widowControl w:val="0"/>
              <w:suppressAutoHyphens/>
              <w:jc w:val="center"/>
              <w:rPr>
                <w:rFonts w:eastAsia="SimSun"/>
                <w:noProof/>
                <w:sz w:val="18"/>
                <w:szCs w:val="18"/>
                <w:lang w:val="it-IT"/>
              </w:rPr>
              <w:pPrChange w:id="7924" w:author="Author">
                <w:pPr>
                  <w:widowControl w:val="0"/>
                  <w:spacing w:before="50" w:after="50" w:line="240" w:lineRule="exact"/>
                  <w:jc w:val="center"/>
                </w:pPr>
              </w:pPrChange>
            </w:pPr>
          </w:p>
          <w:p>
            <w:pPr>
              <w:keepNext/>
              <w:widowControl w:val="0"/>
              <w:suppressAutoHyphens/>
              <w:jc w:val="center"/>
              <w:rPr>
                <w:noProof/>
                <w:sz w:val="18"/>
                <w:szCs w:val="18"/>
                <w:lang w:val="it-IT"/>
              </w:rPr>
              <w:pPrChange w:id="7925" w:author="Author">
                <w:pPr>
                  <w:widowControl w:val="0"/>
                  <w:spacing w:before="50" w:after="50" w:line="240" w:lineRule="exact"/>
                  <w:jc w:val="center"/>
                </w:pPr>
              </w:pPrChange>
            </w:pPr>
            <w:r>
              <w:rPr>
                <w:noProof/>
                <w:sz w:val="18"/>
                <w:szCs w:val="18"/>
                <w:lang w:val="it-IT"/>
              </w:rPr>
              <w:t>(0,11; 0,46)</w:t>
            </w:r>
          </w:p>
          <w:p>
            <w:pPr>
              <w:keepNext/>
              <w:widowControl w:val="0"/>
              <w:suppressAutoHyphens/>
              <w:jc w:val="center"/>
              <w:rPr>
                <w:rFonts w:eastAsia="SimSun"/>
                <w:noProof/>
                <w:sz w:val="18"/>
                <w:szCs w:val="18"/>
                <w:lang w:val="it-IT"/>
              </w:rPr>
              <w:pPrChange w:id="7926" w:author="Author">
                <w:pPr>
                  <w:widowControl w:val="0"/>
                  <w:spacing w:before="50" w:after="50" w:line="240" w:lineRule="exact"/>
                  <w:jc w:val="center"/>
                </w:pPr>
              </w:pPrChange>
            </w:pPr>
            <w:r>
              <w:rPr>
                <w:noProof/>
                <w:sz w:val="18"/>
                <w:szCs w:val="18"/>
                <w:lang w:val="it-IT"/>
              </w:rPr>
              <w:t>0,39**</w:t>
            </w:r>
          </w:p>
          <w:p>
            <w:pPr>
              <w:keepNext/>
              <w:widowControl w:val="0"/>
              <w:suppressAutoHyphens/>
              <w:jc w:val="center"/>
              <w:rPr>
                <w:rFonts w:eastAsia="SimSun"/>
                <w:noProof/>
                <w:sz w:val="18"/>
                <w:szCs w:val="18"/>
                <w:lang w:val="it-IT"/>
              </w:rPr>
              <w:pPrChange w:id="7927" w:author="Author">
                <w:pPr>
                  <w:widowControl w:val="0"/>
                  <w:spacing w:before="50" w:after="50" w:line="240" w:lineRule="exact"/>
                  <w:jc w:val="center"/>
                </w:pPr>
              </w:pPrChange>
            </w:pPr>
            <w:r>
              <w:rPr>
                <w:noProof/>
                <w:sz w:val="18"/>
                <w:szCs w:val="18"/>
                <w:lang w:val="it-IT"/>
              </w:rPr>
              <w:t xml:space="preserve">(0,18; 0,82) </w:t>
            </w:r>
          </w:p>
          <w:p>
            <w:pPr>
              <w:keepNext/>
              <w:widowControl w:val="0"/>
              <w:suppressAutoHyphens/>
              <w:jc w:val="center"/>
              <w:rPr>
                <w:rFonts w:eastAsia="SimSun"/>
                <w:noProof/>
                <w:sz w:val="18"/>
                <w:szCs w:val="18"/>
                <w:lang w:val="it-IT" w:eastAsia="zh-CN"/>
              </w:rPr>
              <w:pPrChange w:id="7928" w:author="Author">
                <w:pPr>
                  <w:widowControl w:val="0"/>
                  <w:spacing w:before="50" w:after="50" w:line="240" w:lineRule="exact"/>
                  <w:jc w:val="center"/>
                </w:pPr>
              </w:pPrChange>
            </w:pPr>
          </w:p>
          <w:p>
            <w:pPr>
              <w:keepNext/>
              <w:widowControl w:val="0"/>
              <w:suppressAutoHyphens/>
              <w:jc w:val="center"/>
              <w:rPr>
                <w:rFonts w:eastAsia="SimSun"/>
                <w:noProof/>
                <w:sz w:val="18"/>
                <w:szCs w:val="18"/>
                <w:lang w:val="it-IT"/>
              </w:rPr>
              <w:pPrChange w:id="7929" w:author="Author">
                <w:pPr>
                  <w:widowControl w:val="0"/>
                  <w:spacing w:line="240" w:lineRule="exact"/>
                  <w:jc w:val="center"/>
                </w:pPr>
              </w:pPrChange>
            </w:pPr>
            <w:r>
              <w:rPr>
                <w:noProof/>
                <w:sz w:val="18"/>
                <w:szCs w:val="18"/>
                <w:lang w:val="it-IT"/>
              </w:rPr>
              <w:t>0,23***</w:t>
            </w:r>
          </w:p>
          <w:p>
            <w:pPr>
              <w:keepNext/>
              <w:widowControl w:val="0"/>
              <w:suppressAutoHyphens/>
              <w:jc w:val="center"/>
              <w:rPr>
                <w:noProof/>
                <w:sz w:val="18"/>
                <w:szCs w:val="18"/>
                <w:lang w:val="it-IT"/>
              </w:rPr>
              <w:pPrChange w:id="7930" w:author="Author">
                <w:pPr>
                  <w:widowControl w:val="0"/>
                  <w:spacing w:line="240" w:lineRule="exact"/>
                  <w:jc w:val="center"/>
                </w:pPr>
              </w:pPrChange>
            </w:pPr>
            <w:r>
              <w:rPr>
                <w:noProof/>
                <w:sz w:val="18"/>
                <w:szCs w:val="18"/>
                <w:lang w:val="it-IT"/>
              </w:rPr>
              <w:t>(0,09; 0,61)</w:t>
            </w:r>
          </w:p>
          <w:p>
            <w:pPr>
              <w:keepNext/>
              <w:widowControl w:val="0"/>
              <w:suppressAutoHyphens/>
              <w:jc w:val="center"/>
              <w:rPr>
                <w:rFonts w:eastAsia="SimSun"/>
                <w:noProof/>
                <w:sz w:val="18"/>
                <w:szCs w:val="18"/>
                <w:lang w:val="it-IT"/>
              </w:rPr>
              <w:pPrChange w:id="7931" w:author="Author">
                <w:pPr>
                  <w:widowControl w:val="0"/>
                  <w:spacing w:line="240" w:lineRule="exact"/>
                  <w:jc w:val="center"/>
                </w:pPr>
              </w:pPrChange>
            </w:pPr>
          </w:p>
          <w:p>
            <w:pPr>
              <w:keepNext/>
              <w:widowControl w:val="0"/>
              <w:suppressAutoHyphens/>
              <w:jc w:val="center"/>
              <w:rPr>
                <w:rFonts w:eastAsia="SimSun"/>
                <w:noProof/>
                <w:sz w:val="18"/>
                <w:szCs w:val="18"/>
                <w:lang w:val="it-IT"/>
              </w:rPr>
              <w:pPrChange w:id="7932" w:author="Author">
                <w:pPr>
                  <w:widowControl w:val="0"/>
                  <w:spacing w:line="240" w:lineRule="exact"/>
                  <w:jc w:val="center"/>
                </w:pPr>
              </w:pPrChange>
            </w:pPr>
            <w:r>
              <w:rPr>
                <w:noProof/>
                <w:sz w:val="18"/>
                <w:szCs w:val="18"/>
                <w:lang w:val="it-IT"/>
              </w:rPr>
              <w:t>0,36</w:t>
            </w:r>
          </w:p>
          <w:p>
            <w:pPr>
              <w:keepNext/>
              <w:widowControl w:val="0"/>
              <w:suppressAutoHyphens/>
              <w:jc w:val="center"/>
              <w:rPr>
                <w:noProof/>
                <w:sz w:val="18"/>
                <w:szCs w:val="18"/>
                <w:lang w:val="it-IT"/>
              </w:rPr>
              <w:pPrChange w:id="7933" w:author="Author">
                <w:pPr>
                  <w:widowControl w:val="0"/>
                  <w:spacing w:line="240" w:lineRule="exact"/>
                  <w:jc w:val="center"/>
                </w:pPr>
              </w:pPrChange>
            </w:pPr>
            <w:r>
              <w:rPr>
                <w:noProof/>
                <w:sz w:val="18"/>
                <w:szCs w:val="18"/>
                <w:lang w:val="it-IT"/>
              </w:rPr>
              <w:t>(0,13; 1,00)</w:t>
            </w:r>
          </w:p>
          <w:p>
            <w:pPr>
              <w:keepNext/>
              <w:widowControl w:val="0"/>
              <w:suppressAutoHyphens/>
              <w:jc w:val="center"/>
              <w:rPr>
                <w:rFonts w:eastAsia="SimSun"/>
                <w:noProof/>
                <w:sz w:val="18"/>
                <w:szCs w:val="18"/>
                <w:lang w:val="it-IT"/>
              </w:rPr>
              <w:pPrChange w:id="7934" w:author="Author">
                <w:pPr>
                  <w:widowControl w:val="0"/>
                  <w:spacing w:line="240" w:lineRule="exact"/>
                  <w:jc w:val="center"/>
                </w:pPr>
              </w:pPrChange>
            </w:pPr>
          </w:p>
          <w:p>
            <w:pPr>
              <w:keepNext/>
              <w:widowControl w:val="0"/>
              <w:suppressAutoHyphens/>
              <w:jc w:val="center"/>
              <w:rPr>
                <w:rFonts w:eastAsia="SimSun"/>
                <w:noProof/>
                <w:sz w:val="18"/>
                <w:szCs w:val="18"/>
                <w:lang w:val="it-IT"/>
              </w:rPr>
              <w:pPrChange w:id="7935" w:author="Author">
                <w:pPr>
                  <w:widowControl w:val="0"/>
                  <w:spacing w:line="240" w:lineRule="exact"/>
                  <w:jc w:val="center"/>
                </w:pPr>
              </w:pPrChange>
            </w:pPr>
            <w:r>
              <w:rPr>
                <w:noProof/>
                <w:sz w:val="18"/>
                <w:szCs w:val="18"/>
                <w:lang w:val="it-IT"/>
              </w:rPr>
              <w:t>0,25***</w:t>
            </w:r>
          </w:p>
          <w:p>
            <w:pPr>
              <w:keepNext/>
              <w:widowControl w:val="0"/>
              <w:suppressAutoHyphens/>
              <w:jc w:val="center"/>
              <w:rPr>
                <w:noProof/>
                <w:sz w:val="18"/>
                <w:szCs w:val="18"/>
                <w:lang w:val="it-IT"/>
              </w:rPr>
              <w:pPrChange w:id="7936" w:author="Author">
                <w:pPr>
                  <w:widowControl w:val="0"/>
                  <w:spacing w:line="240" w:lineRule="exact"/>
                  <w:jc w:val="center"/>
                </w:pPr>
              </w:pPrChange>
            </w:pPr>
            <w:r>
              <w:rPr>
                <w:noProof/>
                <w:sz w:val="18"/>
                <w:szCs w:val="18"/>
                <w:lang w:val="it-IT"/>
              </w:rPr>
              <w:t>(0,09; 0,70)</w:t>
            </w:r>
          </w:p>
          <w:p>
            <w:pPr>
              <w:keepNext/>
              <w:widowControl w:val="0"/>
              <w:suppressAutoHyphens/>
              <w:jc w:val="center"/>
              <w:rPr>
                <w:rFonts w:eastAsia="SimSun"/>
                <w:noProof/>
                <w:sz w:val="18"/>
                <w:szCs w:val="18"/>
                <w:lang w:val="it-IT"/>
              </w:rPr>
              <w:pPrChange w:id="7937" w:author="Author">
                <w:pPr>
                  <w:widowControl w:val="0"/>
                  <w:spacing w:line="240" w:lineRule="exact"/>
                  <w:jc w:val="center"/>
                </w:pPr>
              </w:pPrChange>
            </w:pPr>
          </w:p>
          <w:p>
            <w:pPr>
              <w:keepNext/>
              <w:widowControl w:val="0"/>
              <w:suppressAutoHyphens/>
              <w:jc w:val="center"/>
              <w:rPr>
                <w:rFonts w:eastAsia="SimSun"/>
                <w:noProof/>
                <w:sz w:val="18"/>
                <w:szCs w:val="18"/>
                <w:lang w:val="it-IT"/>
              </w:rPr>
              <w:pPrChange w:id="7938" w:author="Author">
                <w:pPr>
                  <w:widowControl w:val="0"/>
                  <w:spacing w:line="240" w:lineRule="exact"/>
                  <w:jc w:val="center"/>
                </w:pPr>
              </w:pPrChange>
            </w:pPr>
            <w:r>
              <w:rPr>
                <w:noProof/>
                <w:sz w:val="18"/>
                <w:szCs w:val="18"/>
                <w:lang w:val="it-IT"/>
              </w:rPr>
              <w:t>0,44</w:t>
            </w:r>
          </w:p>
          <w:p>
            <w:pPr>
              <w:keepNext/>
              <w:widowControl w:val="0"/>
              <w:suppressAutoHyphens/>
              <w:jc w:val="center"/>
              <w:rPr>
                <w:rFonts w:eastAsia="SimSun"/>
                <w:noProof/>
                <w:sz w:val="18"/>
                <w:szCs w:val="18"/>
                <w:lang w:val="it-IT"/>
              </w:rPr>
              <w:pPrChange w:id="7939" w:author="Author">
                <w:pPr>
                  <w:widowControl w:val="0"/>
                  <w:spacing w:line="240" w:lineRule="exact"/>
                  <w:jc w:val="center"/>
                </w:pPr>
              </w:pPrChange>
            </w:pPr>
            <w:r>
              <w:rPr>
                <w:noProof/>
                <w:sz w:val="18"/>
                <w:szCs w:val="18"/>
                <w:lang w:val="it-IT"/>
              </w:rPr>
              <w:t>(0,14; 1,32)</w:t>
            </w:r>
          </w:p>
          <w:p>
            <w:pPr>
              <w:pStyle w:val="Standard"/>
              <w:keepNext/>
              <w:widowControl w:val="0"/>
              <w:suppressAutoHyphens/>
              <w:jc w:val="center"/>
              <w:rPr>
                <w:rFonts w:eastAsia="SimSun"/>
                <w:noProof/>
                <w:sz w:val="18"/>
                <w:szCs w:val="18"/>
                <w:lang w:val="it-IT" w:eastAsia="zh-CN"/>
              </w:rPr>
              <w:pPrChange w:id="7940" w:author="Author">
                <w:pPr>
                  <w:pStyle w:val="Standard"/>
                  <w:widowControl w:val="0"/>
                  <w:spacing w:before="50" w:after="50" w:line="240" w:lineRule="exact"/>
                  <w:jc w:val="center"/>
                </w:pPr>
              </w:pPrChange>
            </w:pPr>
          </w:p>
        </w:tc>
        <w:tc>
          <w:tcPr>
            <w:tcW w:w="73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941" w:author="Author">
              <w:tcPr>
                <w:tcW w:w="706"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keepNext/>
              <w:widowControl w:val="0"/>
              <w:suppressAutoHyphens/>
              <w:jc w:val="center"/>
              <w:rPr>
                <w:noProof/>
                <w:sz w:val="18"/>
                <w:szCs w:val="18"/>
                <w:lang w:val="it-IT"/>
              </w:rPr>
              <w:pPrChange w:id="7942" w:author="Author">
                <w:pPr>
                  <w:widowControl w:val="0"/>
                  <w:spacing w:before="50" w:after="50" w:line="240" w:lineRule="exact"/>
                  <w:jc w:val="center"/>
                </w:pPr>
              </w:pPrChange>
            </w:pPr>
            <w:r>
              <w:rPr>
                <w:noProof/>
                <w:sz w:val="18"/>
                <w:szCs w:val="18"/>
                <w:lang w:val="it-IT"/>
              </w:rPr>
              <w:t>0,28**</w:t>
            </w:r>
          </w:p>
          <w:p>
            <w:pPr>
              <w:keepNext/>
              <w:widowControl w:val="0"/>
              <w:suppressAutoHyphens/>
              <w:jc w:val="center"/>
              <w:rPr>
                <w:rFonts w:eastAsia="SimSun"/>
                <w:noProof/>
                <w:sz w:val="18"/>
                <w:szCs w:val="18"/>
                <w:lang w:val="it-IT"/>
              </w:rPr>
              <w:pPrChange w:id="7943" w:author="Author">
                <w:pPr>
                  <w:widowControl w:val="0"/>
                  <w:spacing w:before="50" w:after="50" w:line="240" w:lineRule="exact"/>
                  <w:jc w:val="center"/>
                </w:pPr>
              </w:pPrChange>
            </w:pPr>
          </w:p>
          <w:p>
            <w:pPr>
              <w:keepNext/>
              <w:widowControl w:val="0"/>
              <w:suppressAutoHyphens/>
              <w:jc w:val="center"/>
              <w:rPr>
                <w:noProof/>
                <w:sz w:val="18"/>
                <w:szCs w:val="18"/>
                <w:lang w:val="it-IT"/>
              </w:rPr>
              <w:pPrChange w:id="7944" w:author="Author">
                <w:pPr>
                  <w:widowControl w:val="0"/>
                  <w:spacing w:before="50" w:after="50" w:line="240" w:lineRule="exact"/>
                  <w:jc w:val="center"/>
                </w:pPr>
              </w:pPrChange>
            </w:pPr>
            <w:r>
              <w:rPr>
                <w:noProof/>
                <w:sz w:val="18"/>
                <w:szCs w:val="18"/>
                <w:lang w:val="it-IT"/>
              </w:rPr>
              <w:t>(0,12; 0,66)</w:t>
            </w:r>
          </w:p>
          <w:p>
            <w:pPr>
              <w:keepNext/>
              <w:widowControl w:val="0"/>
              <w:suppressAutoHyphens/>
              <w:jc w:val="center"/>
              <w:rPr>
                <w:rFonts w:eastAsia="SimSun"/>
                <w:noProof/>
                <w:sz w:val="18"/>
                <w:szCs w:val="18"/>
                <w:lang w:val="it-IT"/>
              </w:rPr>
              <w:pPrChange w:id="7945" w:author="Author">
                <w:pPr>
                  <w:widowControl w:val="0"/>
                  <w:spacing w:before="50" w:after="50" w:line="240" w:lineRule="exact"/>
                  <w:jc w:val="center"/>
                </w:pPr>
              </w:pPrChange>
            </w:pPr>
            <w:r>
              <w:rPr>
                <w:noProof/>
                <w:sz w:val="18"/>
                <w:szCs w:val="18"/>
                <w:lang w:val="it-IT"/>
              </w:rPr>
              <w:t>0,48</w:t>
            </w:r>
          </w:p>
          <w:p>
            <w:pPr>
              <w:keepNext/>
              <w:widowControl w:val="0"/>
              <w:suppressAutoHyphens/>
              <w:jc w:val="center"/>
              <w:rPr>
                <w:rFonts w:eastAsia="SimSun"/>
                <w:noProof/>
                <w:sz w:val="18"/>
                <w:szCs w:val="18"/>
                <w:lang w:val="it-IT"/>
              </w:rPr>
              <w:pPrChange w:id="7946" w:author="Author">
                <w:pPr>
                  <w:widowControl w:val="0"/>
                  <w:spacing w:before="50" w:after="50" w:line="240" w:lineRule="exact"/>
                  <w:jc w:val="center"/>
                </w:pPr>
              </w:pPrChange>
            </w:pPr>
            <w:r>
              <w:rPr>
                <w:noProof/>
                <w:sz w:val="18"/>
                <w:szCs w:val="18"/>
                <w:lang w:val="it-IT"/>
              </w:rPr>
              <w:t xml:space="preserve">(0,20; 1,16) </w:t>
            </w:r>
          </w:p>
          <w:p>
            <w:pPr>
              <w:keepNext/>
              <w:widowControl w:val="0"/>
              <w:suppressAutoHyphens/>
              <w:jc w:val="center"/>
              <w:rPr>
                <w:rFonts w:eastAsia="SimSun"/>
                <w:noProof/>
                <w:sz w:val="18"/>
                <w:szCs w:val="18"/>
                <w:lang w:val="it-IT" w:eastAsia="zh-CN"/>
              </w:rPr>
              <w:pPrChange w:id="7947" w:author="Author">
                <w:pPr>
                  <w:widowControl w:val="0"/>
                  <w:spacing w:before="50" w:after="50" w:line="240" w:lineRule="exact"/>
                  <w:jc w:val="center"/>
                </w:pPr>
              </w:pPrChange>
            </w:pPr>
          </w:p>
          <w:p>
            <w:pPr>
              <w:keepNext/>
              <w:widowControl w:val="0"/>
              <w:suppressAutoHyphens/>
              <w:jc w:val="center"/>
              <w:rPr>
                <w:rFonts w:eastAsia="SimSun"/>
                <w:noProof/>
                <w:sz w:val="18"/>
                <w:szCs w:val="18"/>
                <w:lang w:val="it-IT"/>
              </w:rPr>
              <w:pPrChange w:id="7948" w:author="Author">
                <w:pPr>
                  <w:widowControl w:val="0"/>
                  <w:spacing w:line="240" w:lineRule="exact"/>
                  <w:jc w:val="center"/>
                </w:pPr>
              </w:pPrChange>
            </w:pPr>
            <w:r>
              <w:rPr>
                <w:noProof/>
                <w:sz w:val="18"/>
                <w:szCs w:val="18"/>
                <w:lang w:val="it-IT"/>
              </w:rPr>
              <w:t>0,42</w:t>
            </w:r>
          </w:p>
          <w:p>
            <w:pPr>
              <w:keepNext/>
              <w:widowControl w:val="0"/>
              <w:suppressAutoHyphens/>
              <w:jc w:val="center"/>
              <w:rPr>
                <w:noProof/>
                <w:sz w:val="18"/>
                <w:szCs w:val="18"/>
                <w:lang w:val="it-IT"/>
              </w:rPr>
              <w:pPrChange w:id="7949" w:author="Author">
                <w:pPr>
                  <w:widowControl w:val="0"/>
                  <w:spacing w:line="240" w:lineRule="exact"/>
                  <w:jc w:val="center"/>
                </w:pPr>
              </w:pPrChange>
            </w:pPr>
            <w:r>
              <w:rPr>
                <w:noProof/>
                <w:sz w:val="18"/>
                <w:szCs w:val="18"/>
                <w:lang w:val="it-IT"/>
              </w:rPr>
              <w:t>(0,14; 1,28)</w:t>
            </w:r>
          </w:p>
          <w:p>
            <w:pPr>
              <w:keepNext/>
              <w:widowControl w:val="0"/>
              <w:suppressAutoHyphens/>
              <w:jc w:val="center"/>
              <w:rPr>
                <w:rFonts w:eastAsia="SimSun"/>
                <w:noProof/>
                <w:sz w:val="18"/>
                <w:szCs w:val="18"/>
                <w:lang w:val="it-IT"/>
              </w:rPr>
              <w:pPrChange w:id="7950" w:author="Author">
                <w:pPr>
                  <w:widowControl w:val="0"/>
                  <w:spacing w:line="240" w:lineRule="exact"/>
                  <w:jc w:val="center"/>
                </w:pPr>
              </w:pPrChange>
            </w:pPr>
          </w:p>
          <w:p>
            <w:pPr>
              <w:keepNext/>
              <w:widowControl w:val="0"/>
              <w:suppressAutoHyphens/>
              <w:jc w:val="center"/>
              <w:rPr>
                <w:rFonts w:eastAsia="SimSun"/>
                <w:noProof/>
                <w:sz w:val="18"/>
                <w:szCs w:val="18"/>
                <w:lang w:val="it-IT"/>
              </w:rPr>
              <w:pPrChange w:id="7951" w:author="Author">
                <w:pPr>
                  <w:widowControl w:val="0"/>
                  <w:spacing w:line="240" w:lineRule="exact"/>
                  <w:jc w:val="center"/>
                </w:pPr>
              </w:pPrChange>
            </w:pPr>
            <w:r>
              <w:rPr>
                <w:noProof/>
                <w:sz w:val="18"/>
                <w:szCs w:val="18"/>
                <w:lang w:val="it-IT"/>
              </w:rPr>
              <w:t>0,67</w:t>
            </w:r>
          </w:p>
          <w:p>
            <w:pPr>
              <w:keepNext/>
              <w:widowControl w:val="0"/>
              <w:suppressAutoHyphens/>
              <w:jc w:val="center"/>
              <w:rPr>
                <w:noProof/>
                <w:sz w:val="18"/>
                <w:szCs w:val="18"/>
                <w:lang w:val="it-IT"/>
              </w:rPr>
              <w:pPrChange w:id="7952" w:author="Author">
                <w:pPr>
                  <w:widowControl w:val="0"/>
                  <w:spacing w:line="240" w:lineRule="exact"/>
                  <w:jc w:val="center"/>
                </w:pPr>
              </w:pPrChange>
            </w:pPr>
            <w:r>
              <w:rPr>
                <w:noProof/>
                <w:sz w:val="18"/>
                <w:szCs w:val="18"/>
                <w:lang w:val="it-IT"/>
              </w:rPr>
              <w:t>(0,21; 2,10)</w:t>
            </w:r>
          </w:p>
          <w:p>
            <w:pPr>
              <w:keepNext/>
              <w:widowControl w:val="0"/>
              <w:suppressAutoHyphens/>
              <w:jc w:val="center"/>
              <w:rPr>
                <w:rFonts w:eastAsia="SimSun"/>
                <w:noProof/>
                <w:sz w:val="18"/>
                <w:szCs w:val="18"/>
                <w:lang w:val="it-IT"/>
              </w:rPr>
              <w:pPrChange w:id="7953" w:author="Author">
                <w:pPr>
                  <w:widowControl w:val="0"/>
                  <w:spacing w:line="240" w:lineRule="exact"/>
                  <w:jc w:val="center"/>
                </w:pPr>
              </w:pPrChange>
            </w:pPr>
          </w:p>
          <w:p>
            <w:pPr>
              <w:keepNext/>
              <w:widowControl w:val="0"/>
              <w:suppressAutoHyphens/>
              <w:jc w:val="center"/>
              <w:rPr>
                <w:rFonts w:eastAsia="SimSun"/>
                <w:noProof/>
                <w:sz w:val="18"/>
                <w:szCs w:val="18"/>
                <w:lang w:val="it-IT"/>
              </w:rPr>
              <w:pPrChange w:id="7954" w:author="Author">
                <w:pPr>
                  <w:widowControl w:val="0"/>
                  <w:spacing w:line="240" w:lineRule="exact"/>
                  <w:jc w:val="center"/>
                </w:pPr>
              </w:pPrChange>
            </w:pPr>
            <w:r>
              <w:rPr>
                <w:noProof/>
                <w:sz w:val="18"/>
                <w:szCs w:val="18"/>
                <w:lang w:val="it-IT"/>
              </w:rPr>
              <w:t>0,20***</w:t>
            </w:r>
          </w:p>
          <w:p>
            <w:pPr>
              <w:keepNext/>
              <w:widowControl w:val="0"/>
              <w:suppressAutoHyphens/>
              <w:jc w:val="center"/>
              <w:rPr>
                <w:noProof/>
                <w:sz w:val="18"/>
                <w:szCs w:val="18"/>
                <w:lang w:val="it-IT"/>
              </w:rPr>
              <w:pPrChange w:id="7955" w:author="Author">
                <w:pPr>
                  <w:widowControl w:val="0"/>
                  <w:spacing w:line="240" w:lineRule="exact"/>
                  <w:jc w:val="center"/>
                </w:pPr>
              </w:pPrChange>
            </w:pPr>
            <w:r>
              <w:rPr>
                <w:noProof/>
                <w:sz w:val="18"/>
                <w:szCs w:val="18"/>
                <w:lang w:val="it-IT"/>
              </w:rPr>
              <w:t>(0,05; 0,76)</w:t>
            </w:r>
          </w:p>
          <w:p>
            <w:pPr>
              <w:keepNext/>
              <w:widowControl w:val="0"/>
              <w:suppressAutoHyphens/>
              <w:jc w:val="center"/>
              <w:rPr>
                <w:rFonts w:eastAsia="SimSun"/>
                <w:noProof/>
                <w:sz w:val="18"/>
                <w:szCs w:val="18"/>
                <w:lang w:val="it-IT"/>
              </w:rPr>
              <w:pPrChange w:id="7956" w:author="Author">
                <w:pPr>
                  <w:widowControl w:val="0"/>
                  <w:spacing w:line="240" w:lineRule="exact"/>
                  <w:jc w:val="center"/>
                </w:pPr>
              </w:pPrChange>
            </w:pPr>
          </w:p>
          <w:p>
            <w:pPr>
              <w:keepNext/>
              <w:widowControl w:val="0"/>
              <w:suppressAutoHyphens/>
              <w:jc w:val="center"/>
              <w:rPr>
                <w:rFonts w:eastAsia="SimSun"/>
                <w:noProof/>
                <w:sz w:val="18"/>
                <w:szCs w:val="18"/>
                <w:lang w:val="it-IT"/>
              </w:rPr>
              <w:pPrChange w:id="7957" w:author="Author">
                <w:pPr>
                  <w:widowControl w:val="0"/>
                  <w:spacing w:line="240" w:lineRule="exact"/>
                  <w:jc w:val="center"/>
                </w:pPr>
              </w:pPrChange>
            </w:pPr>
            <w:r>
              <w:rPr>
                <w:noProof/>
                <w:sz w:val="18"/>
                <w:szCs w:val="18"/>
                <w:lang w:val="it-IT"/>
              </w:rPr>
              <w:t>0,35</w:t>
            </w:r>
          </w:p>
          <w:p>
            <w:pPr>
              <w:keepNext/>
              <w:widowControl w:val="0"/>
              <w:suppressAutoHyphens/>
              <w:jc w:val="center"/>
              <w:rPr>
                <w:rFonts w:eastAsia="SimSun"/>
                <w:noProof/>
                <w:sz w:val="18"/>
                <w:szCs w:val="18"/>
                <w:lang w:val="it-IT"/>
              </w:rPr>
              <w:pPrChange w:id="7958" w:author="Author">
                <w:pPr>
                  <w:widowControl w:val="0"/>
                  <w:spacing w:line="240" w:lineRule="exact"/>
                  <w:jc w:val="center"/>
                </w:pPr>
              </w:pPrChange>
            </w:pPr>
            <w:r>
              <w:rPr>
                <w:noProof/>
                <w:sz w:val="18"/>
                <w:szCs w:val="18"/>
                <w:lang w:val="it-IT"/>
              </w:rPr>
              <w:t>(0,09; 1,42)</w:t>
            </w:r>
          </w:p>
          <w:p>
            <w:pPr>
              <w:pStyle w:val="Standard"/>
              <w:keepNext/>
              <w:widowControl w:val="0"/>
              <w:suppressAutoHyphens/>
              <w:jc w:val="center"/>
              <w:rPr>
                <w:rFonts w:eastAsia="SimSun"/>
                <w:noProof/>
                <w:sz w:val="18"/>
                <w:szCs w:val="18"/>
                <w:lang w:val="it-IT" w:eastAsia="zh-CN"/>
              </w:rPr>
              <w:pPrChange w:id="7959" w:author="Author">
                <w:pPr>
                  <w:pStyle w:val="Standard"/>
                  <w:widowControl w:val="0"/>
                  <w:spacing w:before="50" w:after="50" w:line="240" w:lineRule="exact"/>
                  <w:jc w:val="center"/>
                </w:pPr>
              </w:pPrChange>
            </w:pPr>
          </w:p>
        </w:tc>
      </w:tr>
      <w:tr>
        <w:tblPrEx>
          <w:tblPrExChange w:id="7960" w:author="Author">
            <w:tblPrEx>
              <w:tblLayout w:type="fixed"/>
              <w:tblCellMar>
                <w:top w:w="28" w:type="dxa"/>
                <w:left w:w="108" w:type="dxa"/>
                <w:bottom w:w="28" w:type="dxa"/>
                <w:right w:w="108" w:type="dxa"/>
              </w:tblCellMar>
            </w:tblPrEx>
          </w:tblPrExChange>
        </w:tblPrEx>
        <w:trPr>
          <w:cantSplit/>
          <w:trPrChange w:id="7961" w:author="Author">
            <w:trPr>
              <w:gridAfter w:val="0"/>
              <w:cantSplit/>
            </w:trPr>
          </w:trPrChange>
        </w:trPr>
        <w:tc>
          <w:tcPr>
            <w:tcW w:w="211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962" w:author="Author">
              <w:tcPr>
                <w:tcW w:w="211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widowControl w:val="0"/>
              <w:suppressAutoHyphens/>
              <w:rPr>
                <w:rFonts w:eastAsia="SimSun"/>
                <w:i/>
                <w:noProof/>
                <w:sz w:val="18"/>
                <w:szCs w:val="18"/>
                <w:lang w:val="it-IT"/>
              </w:rPr>
              <w:pPrChange w:id="7963" w:author="Author">
                <w:pPr>
                  <w:keepNext/>
                  <w:keepLines/>
                  <w:widowControl w:val="0"/>
                  <w:spacing w:before="50" w:after="50" w:line="240" w:lineRule="exact"/>
                </w:pPr>
              </w:pPrChange>
            </w:pPr>
            <w:r>
              <w:rPr>
                <w:i/>
                <w:noProof/>
                <w:sz w:val="18"/>
                <w:szCs w:val="18"/>
                <w:lang w:val="it-IT"/>
              </w:rPr>
              <w:t>Dose cumulativa di glucocorticoidi (mg)</w:t>
            </w:r>
          </w:p>
          <w:p>
            <w:pPr>
              <w:widowControl w:val="0"/>
              <w:suppressAutoHyphens/>
              <w:ind w:left="720"/>
              <w:rPr>
                <w:rFonts w:eastAsia="SimSun"/>
                <w:i/>
                <w:noProof/>
                <w:sz w:val="18"/>
                <w:szCs w:val="18"/>
                <w:lang w:val="it-IT"/>
              </w:rPr>
              <w:pPrChange w:id="7964" w:author="Author">
                <w:pPr>
                  <w:keepNext/>
                  <w:keepLines/>
                  <w:widowControl w:val="0"/>
                  <w:spacing w:before="50" w:after="50" w:line="240" w:lineRule="exact"/>
                  <w:ind w:left="720"/>
                </w:pPr>
              </w:pPrChange>
            </w:pPr>
            <w:r>
              <w:rPr>
                <w:i/>
                <w:noProof/>
                <w:sz w:val="18"/>
                <w:szCs w:val="18"/>
                <w:lang w:val="it-IT"/>
              </w:rPr>
              <w:t>mediana alla settimana 52 (gruppi tocilizumab vs. placebo +26</w:t>
            </w:r>
            <w:r>
              <w:rPr>
                <w:i/>
                <w:noProof/>
                <w:sz w:val="18"/>
                <w:szCs w:val="18"/>
                <w:vertAlign w:val="superscript"/>
                <w:lang w:val="it-IT"/>
              </w:rPr>
              <w:t>2</w:t>
            </w:r>
            <w:r>
              <w:rPr>
                <w:i/>
                <w:noProof/>
                <w:sz w:val="18"/>
                <w:szCs w:val="18"/>
                <w:lang w:val="it-IT"/>
              </w:rPr>
              <w:t xml:space="preserve">)                          </w:t>
            </w:r>
          </w:p>
          <w:p>
            <w:pPr>
              <w:pStyle w:val="Standard"/>
              <w:widowControl w:val="0"/>
              <w:suppressAutoHyphens/>
              <w:ind w:left="720"/>
              <w:rPr>
                <w:rFonts w:eastAsia="SimSun"/>
                <w:i/>
                <w:noProof/>
                <w:sz w:val="18"/>
                <w:szCs w:val="18"/>
                <w:lang w:val="it-IT" w:eastAsia="zh-CN"/>
              </w:rPr>
              <w:pPrChange w:id="7965" w:author="Author">
                <w:pPr>
                  <w:pStyle w:val="Standard"/>
                  <w:keepNext/>
                  <w:keepLines/>
                  <w:widowControl w:val="0"/>
                  <w:spacing w:before="50" w:after="50" w:line="240" w:lineRule="exact"/>
                  <w:ind w:left="720"/>
                </w:pPr>
              </w:pPrChange>
            </w:pPr>
            <w:r>
              <w:rPr>
                <w:i/>
                <w:noProof/>
                <w:sz w:val="18"/>
                <w:szCs w:val="18"/>
                <w:lang w:val="it-IT"/>
              </w:rPr>
              <w:t>mediana alla settimana 52 (gruppi tocilizumab vs. placebo +52</w:t>
            </w:r>
            <w:r>
              <w:rPr>
                <w:i/>
                <w:noProof/>
                <w:sz w:val="18"/>
                <w:szCs w:val="18"/>
                <w:vertAlign w:val="superscript"/>
                <w:lang w:val="it-IT"/>
              </w:rPr>
              <w:t>2</w:t>
            </w:r>
            <w:r>
              <w:rPr>
                <w:i/>
                <w:noProof/>
                <w:sz w:val="18"/>
                <w:szCs w:val="18"/>
                <w:lang w:val="it-IT"/>
              </w:rPr>
              <w:t>)</w:t>
            </w:r>
            <w:r>
              <w:rPr>
                <w:noProof/>
                <w:sz w:val="18"/>
                <w:szCs w:val="18"/>
                <w:lang w:val="it-IT"/>
              </w:rPr>
              <w:t xml:space="preserve">                         </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966" w:author="Author">
              <w:tcPr>
                <w:tcW w:w="721"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widowControl w:val="0"/>
              <w:suppressAutoHyphens/>
              <w:jc w:val="center"/>
              <w:rPr>
                <w:rFonts w:eastAsia="SimSun"/>
                <w:noProof/>
                <w:sz w:val="18"/>
                <w:szCs w:val="18"/>
                <w:lang w:val="it-IT" w:eastAsia="zh-CN"/>
              </w:rPr>
              <w:pPrChange w:id="7967" w:author="Author">
                <w:pPr>
                  <w:keepNext/>
                  <w:keepLines/>
                  <w:widowControl w:val="0"/>
                  <w:spacing w:before="50" w:after="50" w:line="240" w:lineRule="exact"/>
                  <w:jc w:val="center"/>
                </w:pPr>
              </w:pPrChange>
            </w:pPr>
          </w:p>
          <w:p>
            <w:pPr>
              <w:widowControl w:val="0"/>
              <w:suppressAutoHyphens/>
              <w:jc w:val="center"/>
              <w:rPr>
                <w:rFonts w:eastAsia="SimSun"/>
                <w:noProof/>
                <w:sz w:val="18"/>
                <w:szCs w:val="18"/>
                <w:lang w:val="it-IT"/>
              </w:rPr>
              <w:pPrChange w:id="7968" w:author="Author">
                <w:pPr>
                  <w:keepNext/>
                  <w:keepLines/>
                  <w:widowControl w:val="0"/>
                  <w:spacing w:before="50" w:after="50" w:line="240" w:lineRule="exact"/>
                  <w:jc w:val="center"/>
                </w:pPr>
              </w:pPrChange>
            </w:pPr>
            <w:r>
              <w:rPr>
                <w:noProof/>
                <w:sz w:val="18"/>
                <w:szCs w:val="18"/>
                <w:lang w:val="it-IT"/>
              </w:rPr>
              <w:t>3</w:t>
            </w:r>
            <w:ins w:id="7969" w:author="Author">
              <w:r>
                <w:rPr>
                  <w:noProof/>
                  <w:sz w:val="18"/>
                  <w:szCs w:val="18"/>
                  <w:lang w:val="it-IT"/>
                </w:rPr>
                <w:t> </w:t>
              </w:r>
            </w:ins>
            <w:r>
              <w:rPr>
                <w:noProof/>
                <w:sz w:val="18"/>
                <w:szCs w:val="18"/>
                <w:lang w:val="it-IT"/>
              </w:rPr>
              <w:t>296,00</w:t>
            </w:r>
          </w:p>
          <w:p>
            <w:pPr>
              <w:widowControl w:val="0"/>
              <w:suppressAutoHyphens/>
              <w:jc w:val="center"/>
              <w:rPr>
                <w:rFonts w:eastAsia="SimSun"/>
                <w:noProof/>
                <w:sz w:val="18"/>
                <w:szCs w:val="18"/>
                <w:lang w:val="it-IT" w:eastAsia="zh-CN"/>
              </w:rPr>
              <w:pPrChange w:id="7970" w:author="Author">
                <w:pPr>
                  <w:keepNext/>
                  <w:keepLines/>
                  <w:widowControl w:val="0"/>
                  <w:spacing w:before="50" w:after="50" w:line="240" w:lineRule="exact"/>
                  <w:jc w:val="center"/>
                </w:pPr>
              </w:pPrChange>
            </w:pPr>
          </w:p>
          <w:p>
            <w:pPr>
              <w:pStyle w:val="Standard"/>
              <w:widowControl w:val="0"/>
              <w:suppressAutoHyphens/>
              <w:jc w:val="center"/>
              <w:rPr>
                <w:rFonts w:eastAsia="SimSun"/>
                <w:noProof/>
                <w:sz w:val="18"/>
                <w:szCs w:val="18"/>
                <w:lang w:val="it-IT" w:eastAsia="zh-CN"/>
              </w:rPr>
              <w:pPrChange w:id="7971" w:author="Author">
                <w:pPr>
                  <w:pStyle w:val="Standard"/>
                  <w:keepNext/>
                  <w:keepLines/>
                  <w:widowControl w:val="0"/>
                  <w:spacing w:before="50" w:after="50" w:line="240" w:lineRule="exact"/>
                  <w:jc w:val="center"/>
                </w:pPr>
              </w:pPrChange>
            </w:pPr>
            <w:r>
              <w:rPr>
                <w:noProof/>
                <w:sz w:val="18"/>
                <w:szCs w:val="18"/>
                <w:lang w:val="it-IT"/>
              </w:rPr>
              <w:t>N/A</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972" w:author="Author">
              <w:tcPr>
                <w:tcW w:w="740" w:type="pct"/>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widowControl w:val="0"/>
              <w:suppressAutoHyphens/>
              <w:jc w:val="center"/>
              <w:rPr>
                <w:rFonts w:eastAsia="SimSun"/>
                <w:noProof/>
                <w:sz w:val="18"/>
                <w:szCs w:val="18"/>
                <w:lang w:val="it-IT" w:eastAsia="zh-CN"/>
              </w:rPr>
              <w:pPrChange w:id="7973" w:author="Author">
                <w:pPr>
                  <w:keepNext/>
                  <w:keepLines/>
                  <w:widowControl w:val="0"/>
                  <w:spacing w:before="50" w:after="50" w:line="240" w:lineRule="exact"/>
                  <w:jc w:val="center"/>
                </w:pPr>
              </w:pPrChange>
            </w:pPr>
          </w:p>
          <w:p>
            <w:pPr>
              <w:widowControl w:val="0"/>
              <w:suppressAutoHyphens/>
              <w:jc w:val="center"/>
              <w:rPr>
                <w:rFonts w:eastAsia="SimSun"/>
                <w:noProof/>
                <w:sz w:val="18"/>
                <w:szCs w:val="18"/>
                <w:lang w:val="it-IT"/>
              </w:rPr>
              <w:pPrChange w:id="7974" w:author="Author">
                <w:pPr>
                  <w:keepNext/>
                  <w:keepLines/>
                  <w:widowControl w:val="0"/>
                  <w:spacing w:before="50" w:after="50" w:line="240" w:lineRule="exact"/>
                  <w:jc w:val="center"/>
                </w:pPr>
              </w:pPrChange>
            </w:pPr>
            <w:r>
              <w:rPr>
                <w:noProof/>
                <w:sz w:val="18"/>
                <w:szCs w:val="18"/>
                <w:lang w:val="it-IT"/>
              </w:rPr>
              <w:t>N/A</w:t>
            </w:r>
          </w:p>
          <w:p>
            <w:pPr>
              <w:widowControl w:val="0"/>
              <w:suppressAutoHyphens/>
              <w:jc w:val="center"/>
              <w:rPr>
                <w:rFonts w:eastAsia="SimSun"/>
                <w:noProof/>
                <w:sz w:val="18"/>
                <w:szCs w:val="18"/>
                <w:lang w:val="it-IT" w:eastAsia="zh-CN"/>
              </w:rPr>
              <w:pPrChange w:id="7975" w:author="Author">
                <w:pPr>
                  <w:keepNext/>
                  <w:keepLines/>
                  <w:widowControl w:val="0"/>
                  <w:spacing w:before="50" w:after="50" w:line="240" w:lineRule="exact"/>
                  <w:jc w:val="center"/>
                </w:pPr>
              </w:pPrChange>
            </w:pPr>
          </w:p>
          <w:p>
            <w:pPr>
              <w:pStyle w:val="Standard"/>
              <w:widowControl w:val="0"/>
              <w:suppressAutoHyphens/>
              <w:jc w:val="center"/>
              <w:rPr>
                <w:rFonts w:eastAsia="SimSun"/>
                <w:noProof/>
                <w:sz w:val="18"/>
                <w:szCs w:val="18"/>
                <w:lang w:val="it-IT" w:eastAsia="zh-CN"/>
              </w:rPr>
              <w:pPrChange w:id="7976" w:author="Author">
                <w:pPr>
                  <w:pStyle w:val="Standard"/>
                  <w:keepNext/>
                  <w:keepLines/>
                  <w:widowControl w:val="0"/>
                  <w:spacing w:before="50" w:after="50" w:line="240" w:lineRule="exact"/>
                  <w:jc w:val="center"/>
                </w:pPr>
              </w:pPrChange>
            </w:pPr>
            <w:r>
              <w:rPr>
                <w:noProof/>
                <w:sz w:val="18"/>
                <w:szCs w:val="18"/>
                <w:lang w:val="it-IT"/>
              </w:rPr>
              <w:t>3</w:t>
            </w:r>
            <w:ins w:id="7977" w:author="Author">
              <w:r>
                <w:rPr>
                  <w:noProof/>
                  <w:sz w:val="18"/>
                  <w:szCs w:val="18"/>
                  <w:lang w:val="it-IT"/>
                </w:rPr>
                <w:t> </w:t>
              </w:r>
            </w:ins>
            <w:r>
              <w:rPr>
                <w:noProof/>
                <w:sz w:val="18"/>
                <w:szCs w:val="18"/>
                <w:lang w:val="it-IT"/>
              </w:rPr>
              <w:t>817,50</w:t>
            </w:r>
          </w:p>
        </w:tc>
        <w:tc>
          <w:tcPr>
            <w:tcW w:w="738" w:type="pct"/>
            <w:tcBorders>
              <w:top w:val="single" w:sz="4" w:space="0" w:color="auto"/>
              <w:left w:val="single" w:sz="4" w:space="0" w:color="auto"/>
              <w:bottom w:val="single" w:sz="4" w:space="0" w:color="auto"/>
              <w:right w:val="single" w:sz="4" w:space="0" w:color="auto"/>
            </w:tcBorders>
            <w:tcPrChange w:id="7978" w:author="Author">
              <w:tcPr>
                <w:tcW w:w="718" w:type="pct"/>
                <w:gridSpan w:val="3"/>
                <w:tcBorders>
                  <w:top w:val="single" w:sz="4" w:space="0" w:color="auto"/>
                  <w:left w:val="single" w:sz="4" w:space="0" w:color="auto"/>
                  <w:bottom w:val="single" w:sz="4" w:space="0" w:color="auto"/>
                  <w:right w:val="single" w:sz="4" w:space="0" w:color="auto"/>
                </w:tcBorders>
              </w:tcPr>
            </w:tcPrChange>
          </w:tcPr>
          <w:p>
            <w:pPr>
              <w:widowControl w:val="0"/>
              <w:suppressAutoHyphens/>
              <w:jc w:val="center"/>
              <w:rPr>
                <w:rFonts w:eastAsia="SimSun"/>
                <w:noProof/>
                <w:sz w:val="18"/>
                <w:szCs w:val="18"/>
                <w:lang w:val="it-IT" w:eastAsia="zh-CN"/>
              </w:rPr>
              <w:pPrChange w:id="7979" w:author="Author">
                <w:pPr>
                  <w:keepNext/>
                  <w:keepLines/>
                  <w:widowControl w:val="0"/>
                  <w:spacing w:before="50" w:after="50" w:line="240" w:lineRule="exact"/>
                  <w:jc w:val="center"/>
                </w:pPr>
              </w:pPrChange>
            </w:pPr>
          </w:p>
          <w:p>
            <w:pPr>
              <w:widowControl w:val="0"/>
              <w:suppressAutoHyphens/>
              <w:jc w:val="center"/>
              <w:rPr>
                <w:rFonts w:eastAsia="SimSun"/>
                <w:noProof/>
                <w:sz w:val="18"/>
                <w:szCs w:val="18"/>
                <w:lang w:val="it-IT"/>
              </w:rPr>
              <w:pPrChange w:id="7980" w:author="Author">
                <w:pPr>
                  <w:keepNext/>
                  <w:keepLines/>
                  <w:widowControl w:val="0"/>
                  <w:spacing w:before="50" w:after="50" w:line="240" w:lineRule="exact"/>
                  <w:jc w:val="center"/>
                </w:pPr>
              </w:pPrChange>
            </w:pPr>
            <w:r>
              <w:rPr>
                <w:noProof/>
                <w:sz w:val="18"/>
                <w:szCs w:val="18"/>
                <w:lang w:val="it-IT"/>
              </w:rPr>
              <w:t>1</w:t>
            </w:r>
            <w:ins w:id="7981" w:author="Author">
              <w:r>
                <w:rPr>
                  <w:noProof/>
                  <w:sz w:val="18"/>
                  <w:szCs w:val="18"/>
                  <w:lang w:val="it-IT"/>
                </w:rPr>
                <w:t> </w:t>
              </w:r>
            </w:ins>
            <w:r>
              <w:rPr>
                <w:noProof/>
                <w:sz w:val="18"/>
                <w:szCs w:val="18"/>
                <w:lang w:val="it-IT"/>
              </w:rPr>
              <w:t>862,00*</w:t>
            </w:r>
          </w:p>
          <w:p>
            <w:pPr>
              <w:widowControl w:val="0"/>
              <w:suppressAutoHyphens/>
              <w:jc w:val="center"/>
              <w:rPr>
                <w:rFonts w:eastAsia="SimSun"/>
                <w:noProof/>
                <w:sz w:val="18"/>
                <w:szCs w:val="18"/>
                <w:lang w:val="it-IT" w:eastAsia="zh-CN"/>
              </w:rPr>
              <w:pPrChange w:id="7982" w:author="Author">
                <w:pPr>
                  <w:keepNext/>
                  <w:keepLines/>
                  <w:widowControl w:val="0"/>
                  <w:spacing w:before="50" w:after="50" w:line="240" w:lineRule="exact"/>
                  <w:jc w:val="center"/>
                </w:pPr>
              </w:pPrChange>
            </w:pPr>
          </w:p>
          <w:p>
            <w:pPr>
              <w:pStyle w:val="Standard"/>
              <w:widowControl w:val="0"/>
              <w:suppressAutoHyphens/>
              <w:jc w:val="center"/>
              <w:rPr>
                <w:rFonts w:eastAsia="SimSun"/>
                <w:noProof/>
                <w:sz w:val="18"/>
                <w:szCs w:val="18"/>
                <w:lang w:val="it-IT" w:eastAsia="zh-CN"/>
              </w:rPr>
              <w:pPrChange w:id="7983" w:author="Author">
                <w:pPr>
                  <w:pStyle w:val="Standard"/>
                  <w:keepNext/>
                  <w:keepLines/>
                  <w:widowControl w:val="0"/>
                  <w:spacing w:before="50" w:after="50" w:line="240" w:lineRule="exact"/>
                  <w:jc w:val="center"/>
                </w:pPr>
              </w:pPrChange>
            </w:pPr>
            <w:r>
              <w:rPr>
                <w:noProof/>
                <w:sz w:val="18"/>
                <w:szCs w:val="18"/>
                <w:lang w:val="it-IT"/>
              </w:rPr>
              <w:t>1</w:t>
            </w:r>
            <w:ins w:id="7984" w:author="Author">
              <w:r>
                <w:rPr>
                  <w:noProof/>
                  <w:sz w:val="18"/>
                  <w:szCs w:val="18"/>
                  <w:lang w:val="it-IT"/>
                </w:rPr>
                <w:t> </w:t>
              </w:r>
            </w:ins>
            <w:r>
              <w:rPr>
                <w:noProof/>
                <w:sz w:val="18"/>
                <w:szCs w:val="18"/>
                <w:lang w:val="it-IT"/>
              </w:rPr>
              <w:t>862,00*</w:t>
            </w:r>
          </w:p>
        </w:tc>
        <w:tc>
          <w:tcPr>
            <w:tcW w:w="73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985" w:author="Author">
              <w:tcPr>
                <w:tcW w:w="706"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widowControl w:val="0"/>
              <w:suppressAutoHyphens/>
              <w:jc w:val="center"/>
              <w:rPr>
                <w:rFonts w:eastAsia="SimSun"/>
                <w:noProof/>
                <w:sz w:val="18"/>
                <w:szCs w:val="18"/>
                <w:lang w:val="it-IT" w:eastAsia="zh-CN"/>
              </w:rPr>
              <w:pPrChange w:id="7986" w:author="Author">
                <w:pPr>
                  <w:keepNext/>
                  <w:keepLines/>
                  <w:widowControl w:val="0"/>
                  <w:spacing w:before="50" w:after="50" w:line="240" w:lineRule="exact"/>
                  <w:jc w:val="center"/>
                </w:pPr>
              </w:pPrChange>
            </w:pPr>
          </w:p>
          <w:p>
            <w:pPr>
              <w:widowControl w:val="0"/>
              <w:suppressAutoHyphens/>
              <w:jc w:val="center"/>
              <w:rPr>
                <w:rFonts w:eastAsia="SimSun"/>
                <w:noProof/>
                <w:sz w:val="18"/>
                <w:szCs w:val="18"/>
                <w:lang w:val="it-IT"/>
              </w:rPr>
              <w:pPrChange w:id="7987" w:author="Author">
                <w:pPr>
                  <w:keepNext/>
                  <w:keepLines/>
                  <w:widowControl w:val="0"/>
                  <w:spacing w:before="50" w:after="50" w:line="240" w:lineRule="exact"/>
                  <w:jc w:val="center"/>
                </w:pPr>
              </w:pPrChange>
            </w:pPr>
            <w:r>
              <w:rPr>
                <w:noProof/>
                <w:sz w:val="18"/>
                <w:szCs w:val="18"/>
                <w:lang w:val="it-IT"/>
              </w:rPr>
              <w:t>1</w:t>
            </w:r>
            <w:ins w:id="7988" w:author="Author">
              <w:r>
                <w:rPr>
                  <w:noProof/>
                  <w:sz w:val="18"/>
                  <w:szCs w:val="18"/>
                  <w:lang w:val="it-IT"/>
                </w:rPr>
                <w:t> </w:t>
              </w:r>
            </w:ins>
            <w:r>
              <w:rPr>
                <w:noProof/>
                <w:sz w:val="18"/>
                <w:szCs w:val="18"/>
                <w:lang w:val="it-IT"/>
              </w:rPr>
              <w:t>862,00*</w:t>
            </w:r>
          </w:p>
          <w:p>
            <w:pPr>
              <w:widowControl w:val="0"/>
              <w:suppressAutoHyphens/>
              <w:jc w:val="center"/>
              <w:rPr>
                <w:rFonts w:eastAsia="SimSun"/>
                <w:noProof/>
                <w:sz w:val="18"/>
                <w:szCs w:val="18"/>
                <w:lang w:val="it-IT" w:eastAsia="zh-CN"/>
              </w:rPr>
              <w:pPrChange w:id="7989" w:author="Author">
                <w:pPr>
                  <w:keepNext/>
                  <w:keepLines/>
                  <w:widowControl w:val="0"/>
                  <w:spacing w:before="50" w:after="50" w:line="240" w:lineRule="exact"/>
                  <w:jc w:val="center"/>
                </w:pPr>
              </w:pPrChange>
            </w:pPr>
          </w:p>
          <w:p>
            <w:pPr>
              <w:pStyle w:val="Standard"/>
              <w:widowControl w:val="0"/>
              <w:suppressAutoHyphens/>
              <w:jc w:val="center"/>
              <w:rPr>
                <w:rFonts w:eastAsia="SimSun"/>
                <w:noProof/>
                <w:sz w:val="18"/>
                <w:szCs w:val="18"/>
                <w:lang w:val="it-IT" w:eastAsia="zh-CN"/>
              </w:rPr>
              <w:pPrChange w:id="7990" w:author="Author">
                <w:pPr>
                  <w:pStyle w:val="Standard"/>
                  <w:keepNext/>
                  <w:keepLines/>
                  <w:widowControl w:val="0"/>
                  <w:spacing w:before="50" w:after="50" w:line="240" w:lineRule="exact"/>
                  <w:jc w:val="center"/>
                </w:pPr>
              </w:pPrChange>
            </w:pPr>
            <w:r>
              <w:rPr>
                <w:noProof/>
                <w:sz w:val="18"/>
                <w:szCs w:val="18"/>
                <w:lang w:val="it-IT"/>
              </w:rPr>
              <w:t>1</w:t>
            </w:r>
            <w:ins w:id="7991" w:author="Author">
              <w:r>
                <w:rPr>
                  <w:noProof/>
                  <w:sz w:val="18"/>
                  <w:szCs w:val="18"/>
                  <w:lang w:val="it-IT"/>
                </w:rPr>
                <w:t> </w:t>
              </w:r>
            </w:ins>
            <w:r>
              <w:rPr>
                <w:noProof/>
                <w:sz w:val="18"/>
                <w:szCs w:val="18"/>
                <w:lang w:val="it-IT"/>
              </w:rPr>
              <w:t>862,00*</w:t>
            </w:r>
          </w:p>
        </w:tc>
      </w:tr>
      <w:tr>
        <w:trPr>
          <w:cantSplit/>
          <w:trPrChange w:id="7992" w:author="Author">
            <w:trPr>
              <w:gridBefore w:val="1"/>
              <w:cantSplit/>
            </w:trPr>
          </w:trPrChange>
        </w:trPr>
        <w:tc>
          <w:tcPr>
            <w:tcW w:w="5000" w:type="pct"/>
            <w:gridSpan w:val="5"/>
            <w:tcBorders>
              <w:top w:val="single" w:sz="4" w:space="0" w:color="auto"/>
              <w:left w:val="single" w:sz="4" w:space="0" w:color="auto"/>
              <w:bottom w:val="single" w:sz="4" w:space="0" w:color="auto"/>
              <w:right w:val="single" w:sz="8" w:space="0" w:color="auto"/>
            </w:tcBorders>
            <w:tcPrChange w:id="7993" w:author="Author">
              <w:tcPr>
                <w:tcW w:w="5000" w:type="pct"/>
                <w:gridSpan w:val="14"/>
                <w:tcBorders>
                  <w:top w:val="single" w:sz="4" w:space="0" w:color="auto"/>
                  <w:left w:val="single" w:sz="4" w:space="0" w:color="auto"/>
                  <w:bottom w:val="single" w:sz="4" w:space="0" w:color="auto"/>
                  <w:right w:val="single" w:sz="8" w:space="0" w:color="auto"/>
                </w:tcBorders>
              </w:tcPr>
            </w:tcPrChange>
          </w:tcPr>
          <w:p>
            <w:pPr>
              <w:pStyle w:val="Standard"/>
              <w:keepNext/>
              <w:widowControl w:val="0"/>
              <w:suppressAutoHyphens/>
              <w:rPr>
                <w:rFonts w:eastAsia="SimSun"/>
                <w:b/>
                <w:noProof/>
                <w:sz w:val="18"/>
                <w:szCs w:val="18"/>
                <w:lang w:val="it-IT" w:eastAsia="zh-CN"/>
              </w:rPr>
              <w:pPrChange w:id="7994" w:author="Author">
                <w:pPr>
                  <w:pStyle w:val="Standard"/>
                  <w:keepNext/>
                  <w:keepLines/>
                  <w:widowControl w:val="0"/>
                  <w:spacing w:before="50" w:after="50" w:line="240" w:lineRule="exact"/>
                </w:pPr>
              </w:pPrChange>
            </w:pPr>
            <w:del w:id="7995" w:author="Author">
              <w:r>
                <w:rPr>
                  <w:rFonts w:eastAsia="SimSun"/>
                  <w:b/>
                  <w:noProof/>
                  <w:sz w:val="18"/>
                  <w:szCs w:val="18"/>
                  <w:lang w:val="it-IT" w:eastAsia="zh-CN"/>
                </w:rPr>
                <w:delText xml:space="preserve"> </w:delText>
              </w:r>
            </w:del>
            <w:r>
              <w:rPr>
                <w:b/>
                <w:noProof/>
                <w:sz w:val="18"/>
                <w:szCs w:val="18"/>
                <w:lang w:val="it-IT"/>
              </w:rPr>
              <w:t>Endpoint esplorativi</w:t>
            </w:r>
          </w:p>
        </w:tc>
      </w:tr>
      <w:tr>
        <w:tblPrEx>
          <w:tblPrExChange w:id="7996" w:author="Author">
            <w:tblPrEx>
              <w:tblLayout w:type="fixed"/>
              <w:tblCellMar>
                <w:top w:w="28" w:type="dxa"/>
                <w:left w:w="108" w:type="dxa"/>
                <w:bottom w:w="28" w:type="dxa"/>
                <w:right w:w="108" w:type="dxa"/>
              </w:tblCellMar>
            </w:tblPrEx>
          </w:tblPrExChange>
        </w:tblPrEx>
        <w:trPr>
          <w:cantSplit/>
          <w:trPrChange w:id="7997" w:author="Author">
            <w:trPr>
              <w:gridBefore w:val="1"/>
              <w:cantSplit/>
            </w:trPr>
          </w:trPrChange>
        </w:trPr>
        <w:tc>
          <w:tcPr>
            <w:tcW w:w="211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7998" w:author="Author">
              <w:tcPr>
                <w:tcW w:w="211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tcPrChange>
          </w:tcPr>
          <w:p>
            <w:pPr>
              <w:pStyle w:val="Standard"/>
              <w:keepNext/>
              <w:widowControl w:val="0"/>
              <w:suppressAutoHyphens/>
              <w:rPr>
                <w:rFonts w:eastAsia="SimSun"/>
                <w:noProof/>
                <w:sz w:val="18"/>
                <w:szCs w:val="18"/>
                <w:lang w:val="it-IT" w:eastAsia="zh-CN"/>
              </w:rPr>
              <w:pPrChange w:id="7999" w:author="Author">
                <w:pPr>
                  <w:pStyle w:val="Standard"/>
                  <w:keepNext/>
                  <w:keepLines/>
                  <w:widowControl w:val="0"/>
                  <w:spacing w:before="50" w:after="50" w:line="240" w:lineRule="exact"/>
                  <w:ind w:right="-279"/>
                </w:pPr>
              </w:pPrChange>
            </w:pPr>
            <w:r>
              <w:rPr>
                <w:noProof/>
                <w:sz w:val="18"/>
                <w:szCs w:val="18"/>
                <w:lang w:val="it-IT"/>
              </w:rPr>
              <w:t>Tasso di recidiva annualizzato, settimana 52</w:t>
            </w:r>
            <w:r>
              <w:rPr>
                <w:noProof/>
                <w:sz w:val="18"/>
                <w:szCs w:val="18"/>
                <w:vertAlign w:val="superscript"/>
                <w:lang w:val="it-IT"/>
              </w:rPr>
              <w:t>§</w:t>
            </w:r>
          </w:p>
          <w:p>
            <w:pPr>
              <w:pStyle w:val="Standard"/>
              <w:keepNext/>
              <w:widowControl w:val="0"/>
              <w:suppressAutoHyphens/>
              <w:rPr>
                <w:del w:id="8000" w:author="Author"/>
                <w:rFonts w:eastAsia="SimSun"/>
                <w:noProof/>
                <w:sz w:val="18"/>
                <w:szCs w:val="18"/>
                <w:lang w:val="it-IT" w:eastAsia="zh-CN"/>
              </w:rPr>
              <w:pPrChange w:id="8001" w:author="Author">
                <w:pPr>
                  <w:pStyle w:val="Standard"/>
                  <w:keepNext/>
                  <w:keepLines/>
                  <w:widowControl w:val="0"/>
                  <w:spacing w:before="50" w:after="50" w:line="240" w:lineRule="exact"/>
                </w:pPr>
              </w:pPrChange>
            </w:pPr>
            <w:r>
              <w:rPr>
                <w:rFonts w:eastAsia="SimSun"/>
                <w:noProof/>
                <w:sz w:val="18"/>
                <w:szCs w:val="18"/>
                <w:lang w:val="it-IT" w:eastAsia="zh-CN"/>
              </w:rPr>
              <w:t xml:space="preserve">               </w:t>
            </w:r>
          </w:p>
          <w:p>
            <w:pPr>
              <w:pStyle w:val="Standard"/>
              <w:keepNext/>
              <w:widowControl w:val="0"/>
              <w:suppressAutoHyphens/>
              <w:rPr>
                <w:rFonts w:eastAsia="SimSun"/>
                <w:noProof/>
                <w:sz w:val="18"/>
                <w:szCs w:val="18"/>
                <w:lang w:val="it-IT" w:eastAsia="zh-CN"/>
              </w:rPr>
              <w:pPrChange w:id="8002" w:author="Author">
                <w:pPr>
                  <w:pStyle w:val="Standard"/>
                  <w:keepNext/>
                  <w:keepLines/>
                  <w:widowControl w:val="0"/>
                  <w:spacing w:before="50" w:after="50" w:line="240" w:lineRule="exact"/>
                </w:pPr>
              </w:pPrChange>
            </w:pPr>
            <w:r>
              <w:rPr>
                <w:rFonts w:eastAsia="SimSun"/>
                <w:noProof/>
                <w:sz w:val="18"/>
                <w:szCs w:val="18"/>
                <w:lang w:val="it-IT" w:eastAsia="zh-CN"/>
              </w:rPr>
              <w:t xml:space="preserve">  </w:t>
            </w:r>
            <w:r>
              <w:rPr>
                <w:noProof/>
                <w:sz w:val="18"/>
                <w:szCs w:val="18"/>
                <w:lang w:val="it-IT"/>
              </w:rPr>
              <w:t>Media (DS)</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Change w:id="8003" w:author="Author">
              <w:tcPr>
                <w:tcW w:w="721"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tcPrChange>
          </w:tcPr>
          <w:p>
            <w:pPr>
              <w:keepNext/>
              <w:widowControl w:val="0"/>
              <w:suppressAutoHyphens/>
              <w:jc w:val="center"/>
              <w:rPr>
                <w:rFonts w:eastAsia="SimSun"/>
                <w:noProof/>
                <w:sz w:val="18"/>
                <w:szCs w:val="18"/>
                <w:lang w:val="it-IT" w:eastAsia="zh-CN"/>
              </w:rPr>
              <w:pPrChange w:id="8004" w:author="Author">
                <w:pPr>
                  <w:keepNext/>
                  <w:keepLines/>
                  <w:widowControl w:val="0"/>
                  <w:spacing w:before="50" w:after="50" w:line="240" w:lineRule="exact"/>
                  <w:jc w:val="center"/>
                </w:pPr>
              </w:pPrChange>
            </w:pPr>
          </w:p>
          <w:p>
            <w:pPr>
              <w:keepNext/>
              <w:widowControl w:val="0"/>
              <w:suppressAutoHyphens/>
              <w:jc w:val="center"/>
              <w:rPr>
                <w:rFonts w:eastAsia="SimSun"/>
                <w:noProof/>
                <w:sz w:val="18"/>
                <w:szCs w:val="18"/>
                <w:lang w:val="it-IT"/>
              </w:rPr>
              <w:pPrChange w:id="8005" w:author="Author">
                <w:pPr>
                  <w:keepNext/>
                  <w:keepLines/>
                  <w:widowControl w:val="0"/>
                  <w:spacing w:before="50" w:after="50" w:line="240" w:lineRule="exact"/>
                  <w:jc w:val="center"/>
                </w:pPr>
              </w:pPrChange>
            </w:pPr>
            <w:r>
              <w:rPr>
                <w:noProof/>
                <w:sz w:val="18"/>
                <w:szCs w:val="18"/>
                <w:lang w:val="it-IT"/>
              </w:rPr>
              <w:t xml:space="preserve">1,74 </w:t>
            </w:r>
          </w:p>
          <w:p>
            <w:pPr>
              <w:pStyle w:val="Standard"/>
              <w:keepNext/>
              <w:widowControl w:val="0"/>
              <w:suppressAutoHyphens/>
              <w:jc w:val="center"/>
              <w:rPr>
                <w:rFonts w:eastAsia="SimSun"/>
                <w:noProof/>
                <w:sz w:val="18"/>
                <w:szCs w:val="18"/>
                <w:lang w:val="it-IT" w:eastAsia="zh-CN"/>
              </w:rPr>
              <w:pPrChange w:id="8006" w:author="Author">
                <w:pPr>
                  <w:pStyle w:val="Standard"/>
                  <w:keepNext/>
                  <w:keepLines/>
                  <w:widowControl w:val="0"/>
                  <w:spacing w:before="50" w:after="50" w:line="240" w:lineRule="exact"/>
                  <w:jc w:val="center"/>
                </w:pPr>
              </w:pPrChange>
            </w:pPr>
            <w:r>
              <w:rPr>
                <w:noProof/>
                <w:sz w:val="18"/>
                <w:szCs w:val="18"/>
                <w:lang w:val="it-IT"/>
              </w:rPr>
              <w:t>(2,18)</w:t>
            </w:r>
          </w:p>
        </w:tc>
        <w:tc>
          <w:tcPr>
            <w:tcW w:w="7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Change w:id="8007" w:author="Author">
              <w:tcPr>
                <w:tcW w:w="740"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tcPrChange>
          </w:tcPr>
          <w:p>
            <w:pPr>
              <w:keepNext/>
              <w:widowControl w:val="0"/>
              <w:suppressAutoHyphens/>
              <w:jc w:val="center"/>
              <w:rPr>
                <w:rFonts w:eastAsia="SimSun"/>
                <w:noProof/>
                <w:sz w:val="18"/>
                <w:szCs w:val="18"/>
                <w:lang w:val="it-IT" w:eastAsia="zh-CN"/>
              </w:rPr>
              <w:pPrChange w:id="8008" w:author="Author">
                <w:pPr>
                  <w:keepNext/>
                  <w:keepLines/>
                  <w:widowControl w:val="0"/>
                  <w:spacing w:before="50" w:after="50" w:line="240" w:lineRule="exact"/>
                  <w:jc w:val="center"/>
                </w:pPr>
              </w:pPrChange>
            </w:pPr>
          </w:p>
          <w:p>
            <w:pPr>
              <w:keepNext/>
              <w:widowControl w:val="0"/>
              <w:suppressAutoHyphens/>
              <w:jc w:val="center"/>
              <w:rPr>
                <w:rFonts w:eastAsia="SimSun"/>
                <w:noProof/>
                <w:sz w:val="18"/>
                <w:szCs w:val="18"/>
                <w:lang w:val="it-IT"/>
              </w:rPr>
              <w:pPrChange w:id="8009" w:author="Author">
                <w:pPr>
                  <w:keepNext/>
                  <w:keepLines/>
                  <w:widowControl w:val="0"/>
                  <w:spacing w:before="50" w:after="50" w:line="240" w:lineRule="exact"/>
                  <w:jc w:val="center"/>
                </w:pPr>
              </w:pPrChange>
            </w:pPr>
            <w:r>
              <w:rPr>
                <w:noProof/>
                <w:sz w:val="18"/>
                <w:szCs w:val="18"/>
                <w:lang w:val="it-IT"/>
              </w:rPr>
              <w:t xml:space="preserve">1,30 </w:t>
            </w:r>
          </w:p>
          <w:p>
            <w:pPr>
              <w:pStyle w:val="Standard"/>
              <w:keepNext/>
              <w:widowControl w:val="0"/>
              <w:suppressAutoHyphens/>
              <w:jc w:val="center"/>
              <w:rPr>
                <w:rFonts w:eastAsia="SimSun"/>
                <w:noProof/>
                <w:sz w:val="18"/>
                <w:szCs w:val="18"/>
                <w:lang w:val="it-IT" w:eastAsia="zh-CN"/>
              </w:rPr>
              <w:pPrChange w:id="8010" w:author="Author">
                <w:pPr>
                  <w:pStyle w:val="Standard"/>
                  <w:keepNext/>
                  <w:keepLines/>
                  <w:widowControl w:val="0"/>
                  <w:spacing w:before="50" w:after="50" w:line="240" w:lineRule="exact"/>
                  <w:jc w:val="center"/>
                </w:pPr>
              </w:pPrChange>
            </w:pPr>
            <w:r>
              <w:rPr>
                <w:noProof/>
                <w:sz w:val="18"/>
                <w:szCs w:val="18"/>
                <w:lang w:val="it-IT"/>
              </w:rPr>
              <w:t>(1,84)</w:t>
            </w:r>
          </w:p>
        </w:tc>
        <w:tc>
          <w:tcPr>
            <w:tcW w:w="738" w:type="pct"/>
            <w:tcBorders>
              <w:top w:val="single" w:sz="4" w:space="0" w:color="auto"/>
              <w:left w:val="single" w:sz="4" w:space="0" w:color="auto"/>
              <w:bottom w:val="single" w:sz="4" w:space="0" w:color="auto"/>
              <w:right w:val="single" w:sz="4" w:space="0" w:color="auto"/>
            </w:tcBorders>
            <w:vAlign w:val="center"/>
            <w:tcPrChange w:id="8011" w:author="Author">
              <w:tcPr>
                <w:tcW w:w="718" w:type="pct"/>
                <w:gridSpan w:val="3"/>
                <w:tcBorders>
                  <w:top w:val="single" w:sz="4" w:space="0" w:color="auto"/>
                  <w:left w:val="single" w:sz="4" w:space="0" w:color="auto"/>
                  <w:bottom w:val="single" w:sz="4" w:space="0" w:color="auto"/>
                  <w:right w:val="single" w:sz="4" w:space="0" w:color="auto"/>
                </w:tcBorders>
                <w:vAlign w:val="center"/>
              </w:tcPr>
            </w:tcPrChange>
          </w:tcPr>
          <w:p>
            <w:pPr>
              <w:keepNext/>
              <w:widowControl w:val="0"/>
              <w:suppressAutoHyphens/>
              <w:jc w:val="center"/>
              <w:rPr>
                <w:rFonts w:eastAsia="SimSun"/>
                <w:noProof/>
                <w:sz w:val="18"/>
                <w:szCs w:val="18"/>
                <w:lang w:val="it-IT" w:eastAsia="zh-CN"/>
              </w:rPr>
              <w:pPrChange w:id="8012" w:author="Author">
                <w:pPr>
                  <w:keepNext/>
                  <w:keepLines/>
                  <w:widowControl w:val="0"/>
                  <w:spacing w:before="50" w:after="50" w:line="240" w:lineRule="exact"/>
                  <w:jc w:val="center"/>
                </w:pPr>
              </w:pPrChange>
            </w:pPr>
          </w:p>
          <w:p>
            <w:pPr>
              <w:keepNext/>
              <w:widowControl w:val="0"/>
              <w:suppressAutoHyphens/>
              <w:jc w:val="center"/>
              <w:rPr>
                <w:rFonts w:eastAsia="SimSun"/>
                <w:noProof/>
                <w:sz w:val="18"/>
                <w:szCs w:val="18"/>
                <w:lang w:val="it-IT"/>
              </w:rPr>
              <w:pPrChange w:id="8013" w:author="Author">
                <w:pPr>
                  <w:keepNext/>
                  <w:keepLines/>
                  <w:widowControl w:val="0"/>
                  <w:spacing w:before="50" w:after="50" w:line="240" w:lineRule="exact"/>
                  <w:jc w:val="center"/>
                </w:pPr>
              </w:pPrChange>
            </w:pPr>
            <w:r>
              <w:rPr>
                <w:noProof/>
                <w:sz w:val="18"/>
                <w:szCs w:val="18"/>
                <w:lang w:val="it-IT"/>
              </w:rPr>
              <w:t>0,41</w:t>
            </w:r>
          </w:p>
          <w:p>
            <w:pPr>
              <w:pStyle w:val="Standard"/>
              <w:keepNext/>
              <w:widowControl w:val="0"/>
              <w:suppressAutoHyphens/>
              <w:jc w:val="center"/>
              <w:rPr>
                <w:rFonts w:eastAsia="SimSun"/>
                <w:noProof/>
                <w:sz w:val="18"/>
                <w:szCs w:val="18"/>
                <w:lang w:val="it-IT" w:eastAsia="zh-CN"/>
              </w:rPr>
              <w:pPrChange w:id="8014" w:author="Author">
                <w:pPr>
                  <w:pStyle w:val="Standard"/>
                  <w:keepNext/>
                  <w:keepLines/>
                  <w:widowControl w:val="0"/>
                  <w:spacing w:before="50" w:after="50" w:line="240" w:lineRule="exact"/>
                  <w:jc w:val="center"/>
                </w:pPr>
              </w:pPrChange>
            </w:pPr>
            <w:del w:id="8015" w:author="Author">
              <w:r>
                <w:rPr>
                  <w:noProof/>
                  <w:sz w:val="18"/>
                  <w:szCs w:val="18"/>
                  <w:lang w:val="it-IT"/>
                </w:rPr>
                <w:delText xml:space="preserve"> </w:delText>
              </w:r>
            </w:del>
            <w:r>
              <w:rPr>
                <w:noProof/>
                <w:sz w:val="18"/>
                <w:szCs w:val="18"/>
                <w:lang w:val="it-IT"/>
              </w:rPr>
              <w:t>(0,78)</w:t>
            </w:r>
          </w:p>
        </w:tc>
        <w:tc>
          <w:tcPr>
            <w:tcW w:w="738" w:type="pct"/>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Change w:id="8016" w:author="Author">
              <w:tcPr>
                <w:tcW w:w="706" w:type="pct"/>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tcPrChange>
          </w:tcPr>
          <w:p>
            <w:pPr>
              <w:keepNext/>
              <w:widowControl w:val="0"/>
              <w:suppressAutoHyphens/>
              <w:jc w:val="center"/>
              <w:rPr>
                <w:rFonts w:eastAsia="SimSun"/>
                <w:noProof/>
                <w:sz w:val="18"/>
                <w:szCs w:val="18"/>
                <w:lang w:val="it-IT" w:eastAsia="zh-CN"/>
              </w:rPr>
              <w:pPrChange w:id="8017" w:author="Author">
                <w:pPr>
                  <w:keepNext/>
                  <w:keepLines/>
                  <w:widowControl w:val="0"/>
                  <w:spacing w:before="50" w:after="50" w:line="240" w:lineRule="exact"/>
                  <w:jc w:val="center"/>
                </w:pPr>
              </w:pPrChange>
            </w:pPr>
          </w:p>
          <w:p>
            <w:pPr>
              <w:keepNext/>
              <w:widowControl w:val="0"/>
              <w:suppressAutoHyphens/>
              <w:jc w:val="center"/>
              <w:rPr>
                <w:rFonts w:eastAsia="SimSun"/>
                <w:noProof/>
                <w:sz w:val="18"/>
                <w:szCs w:val="18"/>
                <w:lang w:val="it-IT"/>
              </w:rPr>
              <w:pPrChange w:id="8018" w:author="Author">
                <w:pPr>
                  <w:keepNext/>
                  <w:keepLines/>
                  <w:widowControl w:val="0"/>
                  <w:spacing w:before="50" w:after="50" w:line="240" w:lineRule="exact"/>
                  <w:jc w:val="center"/>
                </w:pPr>
              </w:pPrChange>
            </w:pPr>
            <w:r>
              <w:rPr>
                <w:noProof/>
                <w:sz w:val="18"/>
                <w:szCs w:val="18"/>
                <w:lang w:val="it-IT"/>
              </w:rPr>
              <w:t>0,67</w:t>
            </w:r>
          </w:p>
          <w:p>
            <w:pPr>
              <w:pStyle w:val="Standard"/>
              <w:keepNext/>
              <w:widowControl w:val="0"/>
              <w:suppressAutoHyphens/>
              <w:jc w:val="center"/>
              <w:rPr>
                <w:rFonts w:eastAsia="SimSun"/>
                <w:noProof/>
                <w:sz w:val="18"/>
                <w:szCs w:val="18"/>
                <w:lang w:val="it-IT" w:eastAsia="zh-CN"/>
              </w:rPr>
              <w:pPrChange w:id="8019" w:author="Author">
                <w:pPr>
                  <w:pStyle w:val="Standard"/>
                  <w:keepNext/>
                  <w:keepLines/>
                  <w:widowControl w:val="0"/>
                  <w:spacing w:before="50" w:after="50" w:line="240" w:lineRule="exact"/>
                  <w:jc w:val="center"/>
                </w:pPr>
              </w:pPrChange>
            </w:pPr>
            <w:del w:id="8020" w:author="Author">
              <w:r>
                <w:rPr>
                  <w:noProof/>
                  <w:sz w:val="18"/>
                  <w:szCs w:val="18"/>
                  <w:lang w:val="it-IT"/>
                </w:rPr>
                <w:delText xml:space="preserve"> </w:delText>
              </w:r>
            </w:del>
            <w:r>
              <w:rPr>
                <w:noProof/>
                <w:sz w:val="18"/>
                <w:szCs w:val="18"/>
                <w:lang w:val="it-IT"/>
              </w:rPr>
              <w:t>(1,10)</w:t>
            </w:r>
          </w:p>
        </w:tc>
      </w:tr>
    </w:tbl>
    <w:p>
      <w:pPr>
        <w:keepNext/>
        <w:keepLines/>
        <w:widowControl w:val="0"/>
        <w:jc w:val="both"/>
        <w:rPr>
          <w:noProof/>
          <w:sz w:val="18"/>
          <w:szCs w:val="18"/>
          <w:lang w:val="it-IT"/>
        </w:rPr>
      </w:pPr>
      <w:r>
        <w:rPr>
          <w:noProof/>
          <w:sz w:val="18"/>
          <w:szCs w:val="18"/>
          <w:lang w:val="it-IT"/>
        </w:rPr>
        <w:t xml:space="preserve">* </w:t>
      </w:r>
      <w:del w:id="8021" w:author="Author">
        <w:r>
          <w:rPr>
            <w:noProof/>
            <w:sz w:val="18"/>
            <w:szCs w:val="18"/>
            <w:lang w:val="it-IT"/>
          </w:rPr>
          <w:delText xml:space="preserve"> </w:delText>
        </w:r>
      </w:del>
      <w:r>
        <w:rPr>
          <w:noProof/>
          <w:sz w:val="18"/>
          <w:szCs w:val="18"/>
          <w:lang w:val="it-IT"/>
        </w:rPr>
        <w:t>p &lt; 0,0001</w:t>
      </w:r>
    </w:p>
    <w:p>
      <w:pPr>
        <w:keepNext/>
        <w:keepLines/>
        <w:widowControl w:val="0"/>
        <w:jc w:val="both"/>
        <w:rPr>
          <w:noProof/>
          <w:sz w:val="18"/>
          <w:szCs w:val="18"/>
          <w:lang w:val="it-IT"/>
        </w:rPr>
      </w:pPr>
      <w:r>
        <w:rPr>
          <w:noProof/>
          <w:sz w:val="18"/>
          <w:szCs w:val="18"/>
          <w:lang w:val="it-IT"/>
        </w:rPr>
        <w:t>** p &lt;&lt; 0,005 (soglia di significatività per i test di superiorità primari e secondari principali)</w:t>
      </w:r>
    </w:p>
    <w:p>
      <w:pPr>
        <w:keepNext/>
        <w:keepLines/>
        <w:widowControl w:val="0"/>
        <w:jc w:val="both"/>
        <w:rPr>
          <w:noProof/>
          <w:sz w:val="18"/>
          <w:szCs w:val="18"/>
          <w:u w:val="single"/>
          <w:lang w:val="it-IT"/>
        </w:rPr>
      </w:pPr>
      <w:r>
        <w:rPr>
          <w:noProof/>
          <w:sz w:val="18"/>
          <w:szCs w:val="18"/>
          <w:lang w:val="it-IT"/>
        </w:rPr>
        <w:t xml:space="preserve">***Valore p descrittivo </w:t>
      </w:r>
      <w:r>
        <w:rPr>
          <w:noProof/>
          <w:sz w:val="18"/>
          <w:szCs w:val="18"/>
          <w:lang w:val="it-IT"/>
          <w:rPrChange w:id="8022" w:author="Author">
            <w:rPr>
              <w:sz w:val="18"/>
              <w:szCs w:val="18"/>
              <w:u w:val="single"/>
              <w:lang w:val="it-IT"/>
            </w:rPr>
          </w:rPrChange>
        </w:rPr>
        <w:t>&lt; 0,005</w:t>
      </w:r>
    </w:p>
    <w:p>
      <w:pPr>
        <w:keepNext/>
        <w:keepLines/>
        <w:widowControl w:val="0"/>
        <w:jc w:val="both"/>
        <w:rPr>
          <w:noProof/>
          <w:sz w:val="18"/>
          <w:szCs w:val="18"/>
          <w:lang w:val="it-IT"/>
        </w:rPr>
      </w:pPr>
      <w:r>
        <w:rPr>
          <w:noProof/>
          <w:sz w:val="18"/>
          <w:szCs w:val="18"/>
          <w:lang w:val="it-IT"/>
        </w:rPr>
        <w:t>****</w:t>
      </w:r>
      <w:r>
        <w:rPr>
          <w:noProof/>
          <w:sz w:val="18"/>
          <w:szCs w:val="18"/>
          <w:lang w:val="it-IT"/>
          <w:rPrChange w:id="8023" w:author="Author">
            <w:rPr>
              <w:b/>
              <w:sz w:val="18"/>
              <w:szCs w:val="18"/>
              <w:lang w:val="it-IT"/>
            </w:rPr>
          </w:rPrChange>
        </w:rPr>
        <w:t>Riacutizzazione: ripresentazione di segni o sintomi di ACG e/o VES ≥ 30 mm/h</w:t>
      </w:r>
      <w:r>
        <w:rPr>
          <w:noProof/>
          <w:sz w:val="18"/>
          <w:szCs w:val="18"/>
          <w:lang w:val="it-IT"/>
        </w:rPr>
        <w:t xml:space="preserve"> – Richiesto aumento della dose di prednisone</w:t>
      </w:r>
    </w:p>
    <w:p>
      <w:pPr>
        <w:keepNext/>
        <w:keepLines/>
        <w:widowControl w:val="0"/>
        <w:jc w:val="both"/>
        <w:rPr>
          <w:noProof/>
          <w:sz w:val="18"/>
          <w:szCs w:val="18"/>
          <w:lang w:val="it-IT"/>
          <w:rPrChange w:id="8024" w:author="Author">
            <w:rPr>
              <w:b/>
              <w:sz w:val="18"/>
              <w:szCs w:val="18"/>
              <w:lang w:val="it-IT"/>
            </w:rPr>
          </w:rPrChange>
        </w:rPr>
      </w:pPr>
      <w:r>
        <w:rPr>
          <w:noProof/>
          <w:sz w:val="18"/>
          <w:szCs w:val="18"/>
          <w:lang w:val="it-IT"/>
          <w:rPrChange w:id="8025" w:author="Author">
            <w:rPr>
              <w:b/>
              <w:sz w:val="18"/>
              <w:szCs w:val="18"/>
              <w:lang w:val="it-IT"/>
            </w:rPr>
          </w:rPrChange>
        </w:rPr>
        <w:t>Remissione: assenza di riacutizzazione e normalizzazione della PCR</w:t>
      </w:r>
    </w:p>
    <w:p>
      <w:pPr>
        <w:keepNext/>
        <w:keepLines/>
        <w:widowControl w:val="0"/>
        <w:jc w:val="both"/>
        <w:rPr>
          <w:noProof/>
          <w:sz w:val="18"/>
          <w:szCs w:val="18"/>
          <w:lang w:val="it-IT"/>
        </w:rPr>
      </w:pPr>
      <w:r>
        <w:rPr>
          <w:noProof/>
          <w:sz w:val="18"/>
          <w:szCs w:val="18"/>
          <w:lang w:val="it-IT"/>
          <w:rPrChange w:id="8026" w:author="Author">
            <w:rPr>
              <w:b/>
              <w:sz w:val="18"/>
              <w:szCs w:val="18"/>
              <w:lang w:val="it-IT"/>
            </w:rPr>
          </w:rPrChange>
        </w:rPr>
        <w:t>Remissione sostenuta: remissione dalla settimana 12 alla settimana 52</w:t>
      </w:r>
      <w:r>
        <w:rPr>
          <w:noProof/>
          <w:sz w:val="18"/>
          <w:szCs w:val="18"/>
          <w:lang w:val="it-IT"/>
        </w:rPr>
        <w:t xml:space="preserve"> – I pazienti devono aderire alla riduzione graduale di prednisone definita dal protocollo.</w:t>
      </w:r>
    </w:p>
    <w:p>
      <w:pPr>
        <w:keepNext/>
        <w:keepLines/>
        <w:widowControl w:val="0"/>
        <w:jc w:val="both"/>
        <w:rPr>
          <w:noProof/>
          <w:sz w:val="18"/>
          <w:szCs w:val="18"/>
          <w:lang w:val="it-IT"/>
        </w:rPr>
      </w:pPr>
      <w:r>
        <w:rPr>
          <w:noProof/>
          <w:sz w:val="18"/>
          <w:szCs w:val="18"/>
          <w:lang w:val="it-IT"/>
        </w:rPr>
        <w:t>¹ Analisi del tempo (espresso in giorni) che intercorre tra la remissione clinica e la prima riacutizzazione della malattia</w:t>
      </w:r>
    </w:p>
    <w:p>
      <w:pPr>
        <w:keepNext/>
        <w:keepLines/>
        <w:widowControl w:val="0"/>
        <w:jc w:val="both"/>
        <w:rPr>
          <w:noProof/>
          <w:sz w:val="18"/>
          <w:szCs w:val="18"/>
          <w:lang w:val="it-IT"/>
        </w:rPr>
      </w:pPr>
      <w:r>
        <w:rPr>
          <w:noProof/>
          <w:sz w:val="18"/>
          <w:szCs w:val="18"/>
          <w:vertAlign w:val="superscript"/>
          <w:lang w:val="it-IT"/>
        </w:rPr>
        <w:t>2</w:t>
      </w:r>
      <w:r>
        <w:rPr>
          <w:noProof/>
          <w:sz w:val="18"/>
          <w:szCs w:val="18"/>
          <w:lang w:val="it-IT"/>
        </w:rPr>
        <w:t xml:space="preserve"> I valori p sono determinati utilizzando un’analisi di Van Elteren per i dati non parametrici</w:t>
      </w:r>
    </w:p>
    <w:p>
      <w:pPr>
        <w:keepNext/>
        <w:keepLines/>
        <w:widowControl w:val="0"/>
        <w:jc w:val="both"/>
        <w:rPr>
          <w:noProof/>
          <w:sz w:val="18"/>
          <w:szCs w:val="18"/>
          <w:lang w:val="it-IT"/>
        </w:rPr>
      </w:pPr>
      <w:r>
        <w:rPr>
          <w:noProof/>
          <w:sz w:val="18"/>
          <w:szCs w:val="18"/>
          <w:vertAlign w:val="superscript"/>
          <w:lang w:val="it-IT"/>
        </w:rPr>
        <w:t>§</w:t>
      </w:r>
      <w:r>
        <w:rPr>
          <w:noProof/>
          <w:sz w:val="18"/>
          <w:szCs w:val="18"/>
          <w:lang w:val="it-IT"/>
        </w:rPr>
        <w:t xml:space="preserve"> L’analisi statistica non è stata eseguita</w:t>
      </w:r>
    </w:p>
    <w:p>
      <w:pPr>
        <w:keepNext/>
        <w:keepLines/>
        <w:widowControl w:val="0"/>
        <w:jc w:val="both"/>
        <w:rPr>
          <w:noProof/>
          <w:sz w:val="18"/>
          <w:szCs w:val="18"/>
          <w:lang w:val="it-IT"/>
        </w:rPr>
      </w:pPr>
      <w:r>
        <w:rPr>
          <w:noProof/>
          <w:sz w:val="18"/>
          <w:szCs w:val="18"/>
          <w:lang w:val="it-IT"/>
        </w:rPr>
        <w:t>N/A</w:t>
      </w:r>
      <w:del w:id="8027" w:author="Author">
        <w:r>
          <w:rPr>
            <w:noProof/>
            <w:sz w:val="18"/>
            <w:szCs w:val="18"/>
            <w:lang w:val="it-IT"/>
          </w:rPr>
          <w:delText xml:space="preserve"> </w:delText>
        </w:r>
      </w:del>
      <w:ins w:id="8028" w:author="Author">
        <w:r>
          <w:rPr>
            <w:noProof/>
            <w:sz w:val="18"/>
            <w:szCs w:val="18"/>
            <w:lang w:val="it-IT"/>
          </w:rPr>
          <w:t> </w:t>
        </w:r>
      </w:ins>
      <w:r>
        <w:rPr>
          <w:noProof/>
          <w:sz w:val="18"/>
          <w:szCs w:val="18"/>
          <w:lang w:val="it-IT"/>
        </w:rPr>
        <w:t>=</w:t>
      </w:r>
      <w:ins w:id="8029" w:author="Author">
        <w:r>
          <w:rPr>
            <w:noProof/>
            <w:sz w:val="18"/>
            <w:szCs w:val="18"/>
            <w:lang w:val="it-IT"/>
          </w:rPr>
          <w:t> </w:t>
        </w:r>
      </w:ins>
      <w:del w:id="8030" w:author="Author">
        <w:r>
          <w:rPr>
            <w:noProof/>
            <w:sz w:val="18"/>
            <w:szCs w:val="18"/>
            <w:lang w:val="it-IT"/>
          </w:rPr>
          <w:delText xml:space="preserve"> </w:delText>
        </w:r>
      </w:del>
      <w:r>
        <w:rPr>
          <w:noProof/>
          <w:sz w:val="18"/>
          <w:szCs w:val="18"/>
          <w:lang w:val="it-IT"/>
        </w:rPr>
        <w:t>non applicabile</w:t>
      </w:r>
    </w:p>
    <w:p>
      <w:pPr>
        <w:keepNext/>
        <w:keepLines/>
        <w:widowControl w:val="0"/>
        <w:jc w:val="both"/>
        <w:rPr>
          <w:noProof/>
          <w:sz w:val="18"/>
          <w:szCs w:val="18"/>
          <w:lang w:val="it-IT"/>
        </w:rPr>
      </w:pPr>
      <w:r>
        <w:rPr>
          <w:noProof/>
          <w:sz w:val="18"/>
          <w:szCs w:val="18"/>
          <w:lang w:val="it-IT"/>
        </w:rPr>
        <w:t>HR</w:t>
      </w:r>
      <w:del w:id="8031" w:author="Author">
        <w:r>
          <w:rPr>
            <w:noProof/>
            <w:sz w:val="18"/>
            <w:szCs w:val="18"/>
            <w:lang w:val="it-IT"/>
          </w:rPr>
          <w:delText xml:space="preserve"> </w:delText>
        </w:r>
      </w:del>
      <w:ins w:id="8032" w:author="Author">
        <w:r>
          <w:rPr>
            <w:noProof/>
            <w:sz w:val="18"/>
            <w:szCs w:val="18"/>
            <w:lang w:val="it-IT"/>
          </w:rPr>
          <w:t> </w:t>
        </w:r>
      </w:ins>
      <w:r>
        <w:rPr>
          <w:noProof/>
          <w:sz w:val="18"/>
          <w:szCs w:val="18"/>
          <w:lang w:val="it-IT"/>
        </w:rPr>
        <w:t>=</w:t>
      </w:r>
      <w:ins w:id="8033" w:author="Author">
        <w:r>
          <w:rPr>
            <w:noProof/>
            <w:sz w:val="18"/>
            <w:szCs w:val="18"/>
            <w:lang w:val="it-IT"/>
          </w:rPr>
          <w:t> </w:t>
        </w:r>
      </w:ins>
      <w:del w:id="8034" w:author="Author">
        <w:r>
          <w:rPr>
            <w:noProof/>
            <w:sz w:val="18"/>
            <w:szCs w:val="18"/>
            <w:lang w:val="it-IT"/>
          </w:rPr>
          <w:delText xml:space="preserve"> </w:delText>
        </w:r>
      </w:del>
      <w:r>
        <w:rPr>
          <w:noProof/>
          <w:sz w:val="18"/>
          <w:szCs w:val="18"/>
          <w:lang w:val="it-IT"/>
        </w:rPr>
        <w:t>hazard ratio</w:t>
      </w:r>
    </w:p>
    <w:p>
      <w:pPr>
        <w:keepNext/>
        <w:keepLines/>
        <w:widowControl w:val="0"/>
        <w:jc w:val="both"/>
        <w:rPr>
          <w:noProof/>
          <w:sz w:val="18"/>
          <w:szCs w:val="18"/>
          <w:lang w:val="it-IT"/>
        </w:rPr>
      </w:pPr>
      <w:r>
        <w:rPr>
          <w:noProof/>
          <w:sz w:val="18"/>
          <w:szCs w:val="18"/>
          <w:lang w:val="it-IT"/>
        </w:rPr>
        <w:t>IC</w:t>
      </w:r>
      <w:del w:id="8035" w:author="Author">
        <w:r>
          <w:rPr>
            <w:noProof/>
            <w:sz w:val="18"/>
            <w:szCs w:val="18"/>
            <w:lang w:val="it-IT"/>
          </w:rPr>
          <w:delText xml:space="preserve"> </w:delText>
        </w:r>
      </w:del>
      <w:ins w:id="8036" w:author="Author">
        <w:r>
          <w:rPr>
            <w:noProof/>
            <w:sz w:val="18"/>
            <w:szCs w:val="18"/>
            <w:lang w:val="it-IT"/>
          </w:rPr>
          <w:t> </w:t>
        </w:r>
      </w:ins>
      <w:r>
        <w:rPr>
          <w:noProof/>
          <w:sz w:val="18"/>
          <w:szCs w:val="18"/>
          <w:lang w:val="it-IT"/>
        </w:rPr>
        <w:t>=</w:t>
      </w:r>
      <w:ins w:id="8037" w:author="Author">
        <w:r>
          <w:rPr>
            <w:noProof/>
            <w:sz w:val="18"/>
            <w:szCs w:val="18"/>
            <w:lang w:val="it-IT"/>
          </w:rPr>
          <w:t> </w:t>
        </w:r>
      </w:ins>
      <w:del w:id="8038" w:author="Author">
        <w:r>
          <w:rPr>
            <w:noProof/>
            <w:sz w:val="18"/>
            <w:szCs w:val="18"/>
            <w:lang w:val="it-IT"/>
          </w:rPr>
          <w:delText xml:space="preserve"> </w:delText>
        </w:r>
      </w:del>
      <w:r>
        <w:rPr>
          <w:noProof/>
          <w:sz w:val="18"/>
          <w:szCs w:val="18"/>
          <w:lang w:val="it-IT"/>
        </w:rPr>
        <w:t>intervallo di confidenza</w:t>
      </w:r>
    </w:p>
    <w:p>
      <w:pPr>
        <w:keepLines/>
        <w:widowControl w:val="0"/>
        <w:jc w:val="both"/>
        <w:rPr>
          <w:noProof/>
          <w:sz w:val="18"/>
          <w:szCs w:val="18"/>
          <w:lang w:val="it-IT"/>
        </w:rPr>
        <w:pPrChange w:id="8039" w:author="Author">
          <w:pPr>
            <w:keepNext/>
            <w:keepLines/>
            <w:widowControl w:val="0"/>
            <w:jc w:val="both"/>
          </w:pPr>
        </w:pPrChange>
      </w:pPr>
      <w:r>
        <w:rPr>
          <w:noProof/>
          <w:sz w:val="18"/>
          <w:szCs w:val="18"/>
          <w:lang w:val="it-IT"/>
        </w:rPr>
        <w:t>SC</w:t>
      </w:r>
      <w:ins w:id="8040" w:author="Author">
        <w:r>
          <w:rPr>
            <w:noProof/>
            <w:sz w:val="18"/>
            <w:szCs w:val="18"/>
            <w:lang w:val="it-IT"/>
          </w:rPr>
          <w:t> </w:t>
        </w:r>
      </w:ins>
      <w:r>
        <w:rPr>
          <w:noProof/>
          <w:sz w:val="18"/>
          <w:szCs w:val="18"/>
          <w:lang w:val="it-IT"/>
        </w:rPr>
        <w:t>=</w:t>
      </w:r>
      <w:ins w:id="8041" w:author="Author">
        <w:r>
          <w:rPr>
            <w:noProof/>
            <w:sz w:val="18"/>
            <w:szCs w:val="18"/>
            <w:lang w:val="it-IT"/>
          </w:rPr>
          <w:t> </w:t>
        </w:r>
      </w:ins>
      <w:r>
        <w:rPr>
          <w:noProof/>
          <w:sz w:val="18"/>
          <w:szCs w:val="18"/>
          <w:lang w:val="it-IT"/>
        </w:rPr>
        <w:t>sottocutanea</w:t>
      </w:r>
    </w:p>
    <w:p>
      <w:pPr>
        <w:widowControl w:val="0"/>
        <w:tabs>
          <w:tab w:val="left" w:pos="180"/>
        </w:tabs>
        <w:rPr>
          <w:noProof/>
          <w:szCs w:val="22"/>
          <w:lang w:val="it-IT"/>
        </w:rPr>
        <w:pPrChange w:id="8042" w:author="Author">
          <w:pPr>
            <w:keepNext/>
            <w:keepLines/>
            <w:widowControl w:val="0"/>
            <w:tabs>
              <w:tab w:val="left" w:pos="180"/>
            </w:tabs>
          </w:pPr>
        </w:pPrChange>
      </w:pPr>
    </w:p>
    <w:p>
      <w:pPr>
        <w:keepNext/>
        <w:keepLines/>
        <w:widowControl w:val="0"/>
        <w:spacing w:line="280" w:lineRule="atLeast"/>
        <w:jc w:val="both"/>
        <w:rPr>
          <w:del w:id="8043" w:author="Author"/>
          <w:i/>
          <w:noProof/>
          <w:u w:val="single"/>
          <w:lang w:val="it-IT"/>
        </w:rPr>
      </w:pPr>
      <w:r>
        <w:rPr>
          <w:i/>
          <w:noProof/>
          <w:u w:val="single"/>
          <w:lang w:val="it-IT"/>
        </w:rPr>
        <w:lastRenderedPageBreak/>
        <w:t>Esiti correlati alla qualità di vita</w:t>
      </w:r>
    </w:p>
    <w:p>
      <w:pPr>
        <w:keepNext/>
        <w:keepLines/>
        <w:widowControl w:val="0"/>
        <w:spacing w:line="280" w:lineRule="atLeast"/>
        <w:jc w:val="both"/>
        <w:rPr>
          <w:i/>
          <w:noProof/>
          <w:lang w:val="it-IT" w:eastAsia="de-DE"/>
        </w:rPr>
        <w:pPrChange w:id="8044" w:author="Author">
          <w:pPr>
            <w:keepNext/>
            <w:keepLines/>
            <w:spacing w:line="280" w:lineRule="atLeast"/>
            <w:jc w:val="both"/>
          </w:pPr>
        </w:pPrChange>
      </w:pPr>
    </w:p>
    <w:p>
      <w:pPr>
        <w:rPr>
          <w:noProof/>
          <w:lang w:val="it-IT"/>
        </w:rPr>
        <w:pPrChange w:id="8045" w:author="Author">
          <w:pPr>
            <w:keepNext/>
            <w:keepLines/>
          </w:pPr>
        </w:pPrChange>
      </w:pPr>
      <w:r>
        <w:rPr>
          <w:noProof/>
          <w:lang w:val="it-IT"/>
        </w:rPr>
        <w:t xml:space="preserve">Nello </w:t>
      </w:r>
      <w:del w:id="8046" w:author="Author">
        <w:r>
          <w:rPr>
            <w:noProof/>
            <w:lang w:val="it-IT"/>
          </w:rPr>
          <w:delText xml:space="preserve">studio </w:delText>
        </w:r>
      </w:del>
      <w:ins w:id="8047" w:author="Author">
        <w:r>
          <w:rPr>
            <w:noProof/>
            <w:lang w:val="it-IT"/>
          </w:rPr>
          <w:t xml:space="preserve">Studio </w:t>
        </w:r>
      </w:ins>
      <w:r>
        <w:rPr>
          <w:noProof/>
          <w:lang w:val="it-IT"/>
        </w:rPr>
        <w:t xml:space="preserve">WA28119, i risultati del questionario SF-36 sono stati separati nei punteggi riepilogativi relativi alle componenti fisica e mentale (rispettivamente PCS e MCS). La variazione media della PCS dal basale alla settimana 52 è stata più marcata (a indicare un miglioramento maggiore) nei gruppi tocilizumab </w:t>
      </w:r>
      <w:del w:id="8048" w:author="Author">
        <w:r>
          <w:rPr>
            <w:noProof/>
            <w:lang w:val="it-IT"/>
          </w:rPr>
          <w:delText xml:space="preserve">settimanale </w:delText>
        </w:r>
      </w:del>
      <w:ins w:id="8049" w:author="Author">
        <w:r>
          <w:rPr>
            <w:noProof/>
            <w:lang w:val="it-IT"/>
          </w:rPr>
          <w:t xml:space="preserve">somministrato una volta a settimana </w:t>
        </w:r>
      </w:ins>
      <w:r>
        <w:rPr>
          <w:noProof/>
          <w:lang w:val="it-IT"/>
        </w:rPr>
        <w:t xml:space="preserve">e </w:t>
      </w:r>
      <w:del w:id="8050" w:author="Author">
        <w:r>
          <w:rPr>
            <w:noProof/>
            <w:lang w:val="it-IT"/>
          </w:rPr>
          <w:delText>a settimane alterne</w:delText>
        </w:r>
      </w:del>
      <w:ins w:id="8051" w:author="Author">
        <w:r>
          <w:rPr>
            <w:noProof/>
            <w:lang w:val="it-IT"/>
          </w:rPr>
          <w:t>ogni due settimane</w:t>
        </w:r>
      </w:ins>
      <w:r>
        <w:rPr>
          <w:noProof/>
          <w:lang w:val="it-IT"/>
        </w:rPr>
        <w:t xml:space="preserve"> [rispettivamente 4,10 e 2,76] rispetto ai due gruppi placebo [placebo più 26 settimane, -0,28; placebo più 52 settimane, -1,49], sebbene soltanto il confronto tra il gruppo tocilizumab </w:t>
      </w:r>
      <w:del w:id="8052" w:author="Author">
        <w:r>
          <w:rPr>
            <w:noProof/>
            <w:lang w:val="it-IT"/>
          </w:rPr>
          <w:delText xml:space="preserve">settimanale </w:delText>
        </w:r>
      </w:del>
      <w:ins w:id="8053" w:author="Author">
        <w:r>
          <w:rPr>
            <w:noProof/>
            <w:lang w:val="it-IT"/>
          </w:rPr>
          <w:t xml:space="preserve">somministrato una volta a settimana </w:t>
        </w:r>
      </w:ins>
      <w:r>
        <w:rPr>
          <w:noProof/>
          <w:lang w:val="it-IT"/>
        </w:rPr>
        <w:t xml:space="preserve">più 26 settimane di prednisone a scalare e il gruppo placebo più 52 settimane di prednisone a scalare (5,59; IC al 99%: 8,6; 10,32) abbia fatto rilevare una differenza statisticamente significativa (p = 0,0024). Per quanto concerne la componente MCS, la variazione media dal basale alla settimana 52 sia nel gruppo </w:t>
      </w:r>
      <w:del w:id="8054" w:author="Author">
        <w:r>
          <w:rPr>
            <w:noProof/>
            <w:lang w:val="it-IT"/>
          </w:rPr>
          <w:delText xml:space="preserve">RoActemra </w:delText>
        </w:r>
      </w:del>
      <w:ins w:id="8055" w:author="Author">
        <w:r>
          <w:rPr>
            <w:noProof/>
            <w:lang w:val="it-IT"/>
          </w:rPr>
          <w:t xml:space="preserve">tocilizumab </w:t>
        </w:r>
      </w:ins>
      <w:del w:id="8056" w:author="Author">
        <w:r>
          <w:rPr>
            <w:noProof/>
            <w:lang w:val="it-IT"/>
          </w:rPr>
          <w:delText xml:space="preserve">settimanale </w:delText>
        </w:r>
      </w:del>
      <w:ins w:id="8057" w:author="Author">
        <w:r>
          <w:rPr>
            <w:noProof/>
            <w:lang w:val="it-IT"/>
          </w:rPr>
          <w:t xml:space="preserve">somministrato una volta a settimana </w:t>
        </w:r>
      </w:ins>
      <w:r>
        <w:rPr>
          <w:noProof/>
          <w:lang w:val="it-IT"/>
        </w:rPr>
        <w:t xml:space="preserve">sia nel gruppo tocilizumab </w:t>
      </w:r>
      <w:del w:id="8058" w:author="Author">
        <w:r>
          <w:rPr>
            <w:noProof/>
            <w:lang w:val="it-IT"/>
          </w:rPr>
          <w:delText>a settimane alterne</w:delText>
        </w:r>
      </w:del>
      <w:ins w:id="8059" w:author="Author">
        <w:r>
          <w:rPr>
            <w:noProof/>
            <w:lang w:val="it-IT"/>
          </w:rPr>
          <w:t>somministrato ogni due settimane</w:t>
        </w:r>
      </w:ins>
      <w:r>
        <w:rPr>
          <w:noProof/>
          <w:lang w:val="it-IT"/>
        </w:rPr>
        <w:t xml:space="preserve"> [rispettivamente 7,28 e 6,12] è stata superiore rispetto al gruppo placebo più 52 settimane di prednisone a scalare [2,84] (sebbene le differenze non siano risultate statisticamente significative [p = 0,0252 per la somministrazione settimanale e p = 0,1468 per la somministrazione </w:t>
      </w:r>
      <w:del w:id="8060" w:author="Author">
        <w:r>
          <w:rPr>
            <w:noProof/>
            <w:lang w:val="it-IT"/>
          </w:rPr>
          <w:delText>a settimane alterne</w:delText>
        </w:r>
      </w:del>
      <w:ins w:id="8061" w:author="Author">
        <w:r>
          <w:rPr>
            <w:noProof/>
            <w:lang w:val="it-IT"/>
          </w:rPr>
          <w:t>ogni due settimane</w:t>
        </w:r>
      </w:ins>
      <w:r>
        <w:rPr>
          <w:noProof/>
          <w:lang w:val="it-IT"/>
        </w:rPr>
        <w:t>]) e simile al gruppo placebo più 26 settimane di prednisone a scalare [6,67].</w:t>
      </w:r>
    </w:p>
    <w:p>
      <w:pPr>
        <w:rPr>
          <w:i/>
          <w:noProof/>
          <w:lang w:val="it-IT" w:eastAsia="de-DE"/>
        </w:rPr>
      </w:pPr>
    </w:p>
    <w:p>
      <w:pPr>
        <w:rPr>
          <w:noProof/>
          <w:lang w:val="it-IT"/>
        </w:rPr>
      </w:pPr>
      <w:r>
        <w:rPr>
          <w:noProof/>
          <w:lang w:val="it-IT"/>
        </w:rPr>
        <w:t xml:space="preserve">La valutazione globale dell’attività di malattia da parte del paziente è stata effettuata su una scala analogica visiva (VAS) da 0 a 100 mm. La variazione media della VAS globale del paziente dal basale alla settimana 52 è stata inferiore (a indicare un miglioramento maggiore) nei gruppi tocilizumab </w:t>
      </w:r>
      <w:del w:id="8062" w:author="Author">
        <w:r>
          <w:rPr>
            <w:noProof/>
            <w:lang w:val="it-IT"/>
          </w:rPr>
          <w:delText xml:space="preserve">settimanale </w:delText>
        </w:r>
      </w:del>
      <w:ins w:id="8063" w:author="Author">
        <w:r>
          <w:rPr>
            <w:noProof/>
            <w:lang w:val="it-IT"/>
          </w:rPr>
          <w:t>somministrato una volta a settimana</w:t>
        </w:r>
      </w:ins>
      <w:del w:id="8064" w:author="Author">
        <w:r>
          <w:rPr>
            <w:noProof/>
            <w:lang w:val="it-IT"/>
          </w:rPr>
          <w:delText>e</w:delText>
        </w:r>
      </w:del>
      <w:r>
        <w:rPr>
          <w:noProof/>
          <w:lang w:val="it-IT"/>
        </w:rPr>
        <w:t xml:space="preserve"> </w:t>
      </w:r>
      <w:ins w:id="8065" w:author="Author">
        <w:r>
          <w:rPr>
            <w:noProof/>
            <w:lang w:val="it-IT"/>
          </w:rPr>
          <w:t>e ogni due</w:t>
        </w:r>
      </w:ins>
      <w:del w:id="8066" w:author="Author">
        <w:r>
          <w:rPr>
            <w:noProof/>
            <w:lang w:val="it-IT"/>
          </w:rPr>
          <w:delText>a</w:delText>
        </w:r>
      </w:del>
      <w:r>
        <w:rPr>
          <w:noProof/>
          <w:lang w:val="it-IT"/>
        </w:rPr>
        <w:t xml:space="preserve"> settimane </w:t>
      </w:r>
      <w:del w:id="8067" w:author="Author">
        <w:r>
          <w:rPr>
            <w:noProof/>
            <w:lang w:val="it-IT"/>
          </w:rPr>
          <w:delText xml:space="preserve">alterne </w:delText>
        </w:r>
      </w:del>
      <w:r>
        <w:rPr>
          <w:noProof/>
          <w:lang w:val="it-IT"/>
        </w:rPr>
        <w:t xml:space="preserve">[rispettivamente -19,0 e -25,3] rispetto a entrambi i gruppi placebo [placebo più 26 settimane, -3,4; placebo più 52 settimane, -7,2], sebbene solo il gruppo tocilizumab </w:t>
      </w:r>
      <w:del w:id="8068" w:author="Author">
        <w:r>
          <w:rPr>
            <w:noProof/>
            <w:lang w:val="it-IT"/>
          </w:rPr>
          <w:delText>a settimane alterne</w:delText>
        </w:r>
      </w:del>
      <w:ins w:id="8069" w:author="Author">
        <w:r>
          <w:rPr>
            <w:noProof/>
            <w:lang w:val="it-IT"/>
          </w:rPr>
          <w:t>ogni due settimane</w:t>
        </w:r>
      </w:ins>
      <w:r>
        <w:rPr>
          <w:noProof/>
          <w:lang w:val="it-IT"/>
        </w:rPr>
        <w:t xml:space="preserve"> più 26 settimane di prednisone a scalare abbia fatto rilevare una differenza statisticamente significativa rispetto al placebo [placebo più 26 settimane a scalare, p = 0,0059; e placebo più 52 settimane a scalare p = 0,0081].</w:t>
      </w:r>
    </w:p>
    <w:p>
      <w:pPr>
        <w:rPr>
          <w:noProof/>
          <w:lang w:val="it-IT" w:eastAsia="de-DE"/>
        </w:rPr>
      </w:pPr>
    </w:p>
    <w:p>
      <w:pPr>
        <w:rPr>
          <w:noProof/>
          <w:lang w:val="it-IT"/>
        </w:rPr>
      </w:pPr>
      <w:r>
        <w:rPr>
          <w:noProof/>
          <w:lang w:val="it-IT"/>
        </w:rPr>
        <w:t xml:space="preserve">In tutti i gruppi è stata calcolata la variazione dei punteggi della scala FACIT-Fatigue dal basale alla settimana 52. Le variazioni medie [DS] dei punteggi sono state le seguenti: tocilizumab </w:t>
      </w:r>
      <w:del w:id="8070" w:author="Author">
        <w:r>
          <w:rPr>
            <w:noProof/>
            <w:lang w:val="it-IT"/>
          </w:rPr>
          <w:delText xml:space="preserve">settimanale </w:delText>
        </w:r>
      </w:del>
      <w:ins w:id="8071" w:author="Author">
        <w:r>
          <w:rPr>
            <w:noProof/>
            <w:lang w:val="it-IT"/>
          </w:rPr>
          <w:t xml:space="preserve">somministrato una volta a settimana </w:t>
        </w:r>
      </w:ins>
      <w:r>
        <w:rPr>
          <w:noProof/>
          <w:lang w:val="it-IT"/>
        </w:rPr>
        <w:t xml:space="preserve">più 26 settimane, 5,61 [10,115], tocilizumab </w:t>
      </w:r>
      <w:del w:id="8072" w:author="Author">
        <w:r>
          <w:rPr>
            <w:noProof/>
            <w:lang w:val="it-IT"/>
          </w:rPr>
          <w:delText>a settimane alterne</w:delText>
        </w:r>
      </w:del>
      <w:ins w:id="8073" w:author="Author">
        <w:r>
          <w:rPr>
            <w:noProof/>
            <w:lang w:val="it-IT"/>
          </w:rPr>
          <w:t>ogni due settimane</w:t>
        </w:r>
      </w:ins>
      <w:r>
        <w:rPr>
          <w:noProof/>
          <w:lang w:val="it-IT"/>
        </w:rPr>
        <w:t xml:space="preserve"> più 26 settimane, 1,81 [8,836], placebo più 26 settimane, 0,26 [10,702] e placebo più 52 settimane, -1,63 [6,753].</w:t>
      </w:r>
    </w:p>
    <w:p>
      <w:pPr>
        <w:rPr>
          <w:noProof/>
          <w:lang w:val="it-IT" w:eastAsia="de-DE"/>
        </w:rPr>
      </w:pPr>
    </w:p>
    <w:p>
      <w:pPr>
        <w:rPr>
          <w:noProof/>
          <w:lang w:val="it-IT"/>
        </w:rPr>
      </w:pPr>
      <w:r>
        <w:rPr>
          <w:noProof/>
          <w:lang w:val="it-IT"/>
        </w:rPr>
        <w:t xml:space="preserve">Le variazioni dei punteggi del questionario EQ5D dal basale alla settimana 52 sono state le seguenti: tocilizumab </w:t>
      </w:r>
      <w:del w:id="8074" w:author="Author">
        <w:r>
          <w:rPr>
            <w:noProof/>
            <w:lang w:val="it-IT"/>
          </w:rPr>
          <w:delText xml:space="preserve">settimanale </w:delText>
        </w:r>
      </w:del>
      <w:ins w:id="8075" w:author="Author">
        <w:r>
          <w:rPr>
            <w:noProof/>
            <w:lang w:val="it-IT"/>
          </w:rPr>
          <w:t xml:space="preserve">somministrato una volta a settimana </w:t>
        </w:r>
      </w:ins>
      <w:r>
        <w:rPr>
          <w:noProof/>
          <w:lang w:val="it-IT"/>
        </w:rPr>
        <w:t xml:space="preserve">più 26 settimane, 0,10 [0,198], tocilizumab </w:t>
      </w:r>
      <w:del w:id="8076" w:author="Author">
        <w:r>
          <w:rPr>
            <w:noProof/>
            <w:lang w:val="it-IT"/>
          </w:rPr>
          <w:delText>a settimane alterne</w:delText>
        </w:r>
      </w:del>
      <w:ins w:id="8077" w:author="Author">
        <w:r>
          <w:rPr>
            <w:noProof/>
            <w:lang w:val="it-IT"/>
          </w:rPr>
          <w:t>ogni due settimane</w:t>
        </w:r>
      </w:ins>
      <w:r>
        <w:rPr>
          <w:noProof/>
          <w:lang w:val="it-IT"/>
        </w:rPr>
        <w:t xml:space="preserve"> più 26 settimane, 0,05 [0,215], placebo più 26 settimane, 0,07 [0,293] e placebo più 52 settimane, -0,02 [0,159].</w:t>
      </w:r>
    </w:p>
    <w:p>
      <w:pPr>
        <w:rPr>
          <w:noProof/>
          <w:lang w:val="it-IT" w:eastAsia="de-DE"/>
        </w:rPr>
      </w:pPr>
    </w:p>
    <w:p>
      <w:pPr>
        <w:rPr>
          <w:noProof/>
          <w:lang w:val="it-IT"/>
        </w:rPr>
      </w:pPr>
      <w:r>
        <w:rPr>
          <w:noProof/>
          <w:lang w:val="it-IT"/>
        </w:rPr>
        <w:t>I punteggi più alti rappresentano un segnale di miglioramento sia nel questionario FACIT-Fatigue sia nel questionario EQ5D.</w:t>
      </w:r>
    </w:p>
    <w:p>
      <w:pPr>
        <w:numPr>
          <w:ilvl w:val="12"/>
          <w:numId w:val="0"/>
        </w:numPr>
        <w:rPr>
          <w:rFonts w:eastAsia="SimSun"/>
          <w:iCs/>
          <w:noProof/>
          <w:szCs w:val="22"/>
          <w:lang w:val="it-IT" w:eastAsia="en-US"/>
        </w:rPr>
      </w:pPr>
    </w:p>
    <w:p>
      <w:pPr>
        <w:keepNext/>
        <w:keepLines/>
        <w:numPr>
          <w:ilvl w:val="12"/>
          <w:numId w:val="0"/>
        </w:numPr>
        <w:rPr>
          <w:del w:id="8078" w:author="Author"/>
          <w:rFonts w:eastAsia="Calibri"/>
          <w:noProof/>
          <w:szCs w:val="22"/>
          <w:u w:val="single"/>
          <w:lang w:val="it-IT" w:eastAsia="en-US"/>
        </w:rPr>
      </w:pPr>
      <w:r>
        <w:rPr>
          <w:rFonts w:eastAsia="Calibri"/>
          <w:noProof/>
          <w:szCs w:val="22"/>
          <w:u w:val="single"/>
          <w:lang w:val="it-IT" w:eastAsia="en-US"/>
        </w:rPr>
        <w:t>Uso endovenoso</w:t>
      </w:r>
    </w:p>
    <w:p>
      <w:pPr>
        <w:keepNext/>
        <w:keepLines/>
        <w:numPr>
          <w:ilvl w:val="12"/>
          <w:numId w:val="0"/>
        </w:numPr>
        <w:rPr>
          <w:noProof/>
          <w:szCs w:val="22"/>
          <w:u w:val="single"/>
          <w:lang w:val="it-IT" w:eastAsia="en-US"/>
        </w:rPr>
      </w:pPr>
    </w:p>
    <w:p>
      <w:pPr>
        <w:keepNext/>
        <w:keepLines/>
        <w:numPr>
          <w:ilvl w:val="12"/>
          <w:numId w:val="0"/>
        </w:numPr>
        <w:rPr>
          <w:ins w:id="8079" w:author="Author"/>
          <w:rFonts w:eastAsia="Calibri"/>
          <w:bCs/>
          <w:i/>
          <w:iCs/>
          <w:noProof/>
          <w:szCs w:val="22"/>
          <w:lang w:val="it-IT" w:eastAsia="en-US"/>
        </w:rPr>
      </w:pPr>
      <w:r>
        <w:rPr>
          <w:rFonts w:eastAsia="Calibri"/>
          <w:bCs/>
          <w:i/>
          <w:iCs/>
          <w:noProof/>
          <w:szCs w:val="22"/>
          <w:lang w:val="it-IT" w:eastAsia="en-US"/>
        </w:rPr>
        <w:t>Pazienti affetti da AR</w:t>
      </w:r>
    </w:p>
    <w:p>
      <w:pPr>
        <w:keepNext/>
        <w:keepLines/>
        <w:numPr>
          <w:ilvl w:val="12"/>
          <w:numId w:val="0"/>
        </w:numPr>
        <w:rPr>
          <w:bCs/>
          <w:i/>
          <w:iCs/>
          <w:noProof/>
          <w:szCs w:val="22"/>
          <w:lang w:val="it-IT" w:eastAsia="en-US"/>
        </w:rPr>
      </w:pPr>
    </w:p>
    <w:p>
      <w:pPr>
        <w:keepNext/>
        <w:keepLines/>
        <w:numPr>
          <w:ilvl w:val="12"/>
          <w:numId w:val="0"/>
        </w:numPr>
        <w:rPr>
          <w:rFonts w:eastAsia="Calibri"/>
          <w:i/>
          <w:iCs/>
          <w:noProof/>
          <w:szCs w:val="22"/>
          <w:u w:val="single"/>
          <w:lang w:val="it-IT" w:eastAsia="en-US"/>
        </w:rPr>
      </w:pPr>
      <w:r>
        <w:rPr>
          <w:rFonts w:eastAsia="Calibri"/>
          <w:i/>
          <w:iCs/>
          <w:noProof/>
          <w:szCs w:val="22"/>
          <w:u w:val="single"/>
          <w:lang w:val="it-IT" w:eastAsia="en-US"/>
        </w:rPr>
        <w:t>Efficacia clinica</w:t>
      </w:r>
    </w:p>
    <w:p>
      <w:pPr>
        <w:keepNext/>
        <w:keepLines/>
        <w:numPr>
          <w:ilvl w:val="12"/>
          <w:numId w:val="0"/>
        </w:numPr>
        <w:ind w:right="-2"/>
        <w:rPr>
          <w:rFonts w:eastAsia="Calibri"/>
          <w:noProof/>
          <w:szCs w:val="22"/>
          <w:lang w:val="it-IT" w:eastAsia="en-US"/>
        </w:rPr>
      </w:pPr>
      <w:r>
        <w:rPr>
          <w:rFonts w:eastAsia="Calibri"/>
          <w:noProof/>
          <w:szCs w:val="22"/>
          <w:lang w:val="it-IT" w:eastAsia="en-US"/>
        </w:rPr>
        <w:t xml:space="preserve">L’efficacia di </w:t>
      </w:r>
      <w:r>
        <w:rPr>
          <w:noProof/>
          <w:lang w:val="it-IT"/>
        </w:rPr>
        <w:t xml:space="preserve">tocilizumab </w:t>
      </w:r>
      <w:r>
        <w:rPr>
          <w:rFonts w:eastAsia="Calibri"/>
          <w:noProof/>
          <w:szCs w:val="22"/>
          <w:lang w:val="it-IT" w:eastAsia="en-US"/>
        </w:rPr>
        <w:t xml:space="preserve">nel ridurre segni e sintomi dell’AR è stata valutata in cinque studi multicentrici randomizzati e in doppio cieco. Gli </w:t>
      </w:r>
      <w:del w:id="8080" w:author="Author">
        <w:r>
          <w:rPr>
            <w:rFonts w:eastAsia="Calibri"/>
            <w:noProof/>
            <w:szCs w:val="22"/>
            <w:lang w:val="it-IT" w:eastAsia="en-US"/>
          </w:rPr>
          <w:delText xml:space="preserve">studi </w:delText>
        </w:r>
      </w:del>
      <w:ins w:id="8081" w:author="Author">
        <w:r>
          <w:rPr>
            <w:rFonts w:eastAsia="Calibri"/>
            <w:noProof/>
            <w:szCs w:val="22"/>
            <w:lang w:val="it-IT" w:eastAsia="en-US"/>
          </w:rPr>
          <w:t xml:space="preserve">Studi </w:t>
        </w:r>
      </w:ins>
      <w:r>
        <w:rPr>
          <w:rFonts w:eastAsia="Calibri"/>
          <w:noProof/>
          <w:szCs w:val="22"/>
          <w:lang w:val="it-IT" w:eastAsia="en-US"/>
        </w:rPr>
        <w:t xml:space="preserve">I-V hanno arruolato pazienti di età </w:t>
      </w:r>
      <w:r>
        <w:rPr>
          <w:rFonts w:eastAsia="Calibri"/>
          <w:noProof/>
          <w:szCs w:val="22"/>
          <w:lang w:val="it-IT" w:eastAsia="en-US"/>
        </w:rPr>
        <w:sym w:font="Symbol" w:char="F0B3"/>
      </w:r>
      <w:r>
        <w:rPr>
          <w:rFonts w:eastAsia="Calibri"/>
          <w:noProof/>
          <w:szCs w:val="22"/>
          <w:lang w:val="it-IT" w:eastAsia="en-US"/>
        </w:rPr>
        <w:t> 18 anni affetti da AR attiva diagnosticata in base ai criteri dell’American College of Rheumatology (ACR) e che presentavano almeno otto articolazioni dolenti e sei articolazioni tumefatte al basale.</w:t>
      </w:r>
    </w:p>
    <w:p>
      <w:pPr>
        <w:numPr>
          <w:ilvl w:val="12"/>
          <w:numId w:val="0"/>
        </w:numPr>
        <w:ind w:right="-2"/>
        <w:rPr>
          <w:noProof/>
          <w:szCs w:val="22"/>
          <w:lang w:val="it-IT"/>
        </w:rPr>
        <w:pPrChange w:id="8082" w:author="Author">
          <w:pPr>
            <w:keepNext/>
            <w:keepLines/>
            <w:numPr>
              <w:ilvl w:val="12"/>
            </w:numPr>
            <w:ind w:right="-2"/>
          </w:pPr>
        </w:pPrChange>
      </w:pPr>
    </w:p>
    <w:p>
      <w:pPr>
        <w:numPr>
          <w:ilvl w:val="12"/>
          <w:numId w:val="0"/>
        </w:numPr>
        <w:ind w:right="-2"/>
        <w:rPr>
          <w:rFonts w:eastAsia="Calibri"/>
          <w:noProof/>
          <w:szCs w:val="22"/>
          <w:lang w:val="it-IT" w:eastAsia="en-US"/>
        </w:rPr>
        <w:pPrChange w:id="8083" w:author="Author">
          <w:pPr>
            <w:keepNext/>
            <w:keepLines/>
            <w:numPr>
              <w:ilvl w:val="12"/>
            </w:numPr>
            <w:ind w:right="-2"/>
          </w:pPr>
        </w:pPrChange>
      </w:pPr>
      <w:r>
        <w:rPr>
          <w:rFonts w:eastAsia="Calibri"/>
          <w:noProof/>
          <w:szCs w:val="22"/>
          <w:lang w:val="it-IT" w:eastAsia="en-US"/>
        </w:rPr>
        <w:t xml:space="preserve">Nello </w:t>
      </w:r>
      <w:del w:id="8084" w:author="Author">
        <w:r>
          <w:rPr>
            <w:rFonts w:eastAsia="Calibri"/>
            <w:noProof/>
            <w:szCs w:val="22"/>
            <w:lang w:val="it-IT" w:eastAsia="en-US"/>
          </w:rPr>
          <w:delText xml:space="preserve">studio </w:delText>
        </w:r>
      </w:del>
      <w:ins w:id="8085" w:author="Author">
        <w:r>
          <w:rPr>
            <w:rFonts w:eastAsia="Calibri"/>
            <w:noProof/>
            <w:szCs w:val="22"/>
            <w:lang w:val="it-IT" w:eastAsia="en-US"/>
          </w:rPr>
          <w:t xml:space="preserve">Studio </w:t>
        </w:r>
      </w:ins>
      <w:r>
        <w:rPr>
          <w:rFonts w:eastAsia="Calibri"/>
          <w:noProof/>
          <w:szCs w:val="22"/>
          <w:lang w:val="it-IT" w:eastAsia="en-US"/>
        </w:rPr>
        <w:t xml:space="preserve">I, </w:t>
      </w:r>
      <w:r>
        <w:rPr>
          <w:noProof/>
          <w:lang w:val="it-IT"/>
        </w:rPr>
        <w:t xml:space="preserve">tocilizumab </w:t>
      </w:r>
      <w:r>
        <w:rPr>
          <w:rFonts w:eastAsia="Calibri"/>
          <w:noProof/>
          <w:szCs w:val="22"/>
          <w:lang w:val="it-IT" w:eastAsia="en-US"/>
        </w:rPr>
        <w:t xml:space="preserve">è stato somministrato per via endovenosa ogni quattro settimane in monoterapia. Negli </w:t>
      </w:r>
      <w:del w:id="8086" w:author="Author">
        <w:r>
          <w:rPr>
            <w:rFonts w:eastAsia="Calibri"/>
            <w:noProof/>
            <w:szCs w:val="22"/>
            <w:lang w:val="it-IT" w:eastAsia="en-US"/>
          </w:rPr>
          <w:delText xml:space="preserve">studi </w:delText>
        </w:r>
      </w:del>
      <w:ins w:id="8087" w:author="Author">
        <w:r>
          <w:rPr>
            <w:rFonts w:eastAsia="Calibri"/>
            <w:noProof/>
            <w:szCs w:val="22"/>
            <w:lang w:val="it-IT" w:eastAsia="en-US"/>
          </w:rPr>
          <w:t xml:space="preserve">Studi </w:t>
        </w:r>
      </w:ins>
      <w:r>
        <w:rPr>
          <w:rFonts w:eastAsia="Calibri"/>
          <w:noProof/>
          <w:szCs w:val="22"/>
          <w:lang w:val="it-IT" w:eastAsia="en-US"/>
        </w:rPr>
        <w:t xml:space="preserve">II, III e V, </w:t>
      </w:r>
      <w:r>
        <w:rPr>
          <w:noProof/>
          <w:lang w:val="it-IT"/>
        </w:rPr>
        <w:t xml:space="preserve">tocilizumab </w:t>
      </w:r>
      <w:r>
        <w:rPr>
          <w:rFonts w:eastAsia="Calibri"/>
          <w:noProof/>
          <w:szCs w:val="22"/>
          <w:lang w:val="it-IT" w:eastAsia="en-US"/>
        </w:rPr>
        <w:t xml:space="preserve">è stato somministrato per via endovenosa ogni quattro settimane in associazione con MTX versus placebo e MTX. Nello </w:t>
      </w:r>
      <w:del w:id="8088" w:author="Author">
        <w:r>
          <w:rPr>
            <w:rFonts w:eastAsia="Calibri"/>
            <w:noProof/>
            <w:szCs w:val="22"/>
            <w:lang w:val="it-IT" w:eastAsia="en-US"/>
          </w:rPr>
          <w:delText xml:space="preserve">studio </w:delText>
        </w:r>
      </w:del>
      <w:ins w:id="8089" w:author="Author">
        <w:r>
          <w:rPr>
            <w:rFonts w:eastAsia="Calibri"/>
            <w:noProof/>
            <w:szCs w:val="22"/>
            <w:lang w:val="it-IT" w:eastAsia="en-US"/>
          </w:rPr>
          <w:t xml:space="preserve">Studio </w:t>
        </w:r>
      </w:ins>
      <w:r>
        <w:rPr>
          <w:rFonts w:eastAsia="Calibri"/>
          <w:noProof/>
          <w:szCs w:val="22"/>
          <w:lang w:val="it-IT" w:eastAsia="en-US"/>
        </w:rPr>
        <w:t xml:space="preserve">IV, </w:t>
      </w:r>
      <w:r>
        <w:rPr>
          <w:noProof/>
          <w:lang w:val="it-IT"/>
        </w:rPr>
        <w:t xml:space="preserve">tocilizumab </w:t>
      </w:r>
      <w:r>
        <w:rPr>
          <w:rFonts w:eastAsia="Calibri"/>
          <w:noProof/>
          <w:szCs w:val="22"/>
          <w:lang w:val="it-IT" w:eastAsia="en-US"/>
        </w:rPr>
        <w:t>è stato somministrato per via endovenosa ogni 4 settimane in associazione con altri DMARD versus placebo e altri DMARD. L’endpoint primario di ciascuno dei cinque studi è stata la percentuale dei pazienti che hanno conseguito una risposta ACR 20 alla settimana 24.</w:t>
      </w:r>
    </w:p>
    <w:p>
      <w:pPr>
        <w:numPr>
          <w:ilvl w:val="12"/>
          <w:numId w:val="0"/>
        </w:numPr>
        <w:ind w:right="-2"/>
        <w:rPr>
          <w:noProof/>
          <w:szCs w:val="22"/>
          <w:lang w:val="it-IT"/>
        </w:rPr>
      </w:pPr>
    </w:p>
    <w:p>
      <w:pPr>
        <w:numPr>
          <w:ilvl w:val="12"/>
          <w:numId w:val="0"/>
        </w:numPr>
        <w:ind w:right="-2"/>
        <w:rPr>
          <w:rFonts w:eastAsia="Calibri"/>
          <w:noProof/>
          <w:szCs w:val="22"/>
          <w:lang w:val="it-IT" w:eastAsia="en-US"/>
        </w:rPr>
      </w:pPr>
      <w:r>
        <w:rPr>
          <w:rFonts w:eastAsia="Calibri"/>
          <w:noProof/>
          <w:szCs w:val="22"/>
          <w:lang w:val="it-IT" w:eastAsia="en-US"/>
        </w:rPr>
        <w:lastRenderedPageBreak/>
        <w:t xml:space="preserve">Lo </w:t>
      </w:r>
      <w:del w:id="8090" w:author="Author">
        <w:r>
          <w:rPr>
            <w:rFonts w:eastAsia="Calibri"/>
            <w:noProof/>
            <w:szCs w:val="22"/>
            <w:lang w:val="it-IT" w:eastAsia="en-US"/>
          </w:rPr>
          <w:delText xml:space="preserve">studio </w:delText>
        </w:r>
      </w:del>
      <w:ins w:id="8091" w:author="Author">
        <w:del w:id="8092" w:author="Author">
          <w:r>
            <w:rPr>
              <w:rFonts w:eastAsia="Calibri"/>
              <w:noProof/>
              <w:szCs w:val="22"/>
              <w:lang w:val="it-IT" w:eastAsia="en-US"/>
            </w:rPr>
            <w:delText>s</w:delText>
          </w:r>
        </w:del>
        <w:r>
          <w:rPr>
            <w:rFonts w:eastAsia="Calibri"/>
            <w:noProof/>
            <w:szCs w:val="22"/>
            <w:lang w:val="it-IT" w:eastAsia="en-US"/>
          </w:rPr>
          <w:t xml:space="preserve">Studio </w:t>
        </w:r>
      </w:ins>
      <w:r>
        <w:rPr>
          <w:rFonts w:eastAsia="Calibri"/>
          <w:noProof/>
          <w:szCs w:val="22"/>
          <w:lang w:val="it-IT" w:eastAsia="en-US"/>
        </w:rPr>
        <w:t xml:space="preserve">I ha valutato 673 pazienti non trattati con MTX nei sei mesi precedenti la randomizzazione e che non avevano interrotto il precedente trattamento con MTX a causa di effetti tossici di rilievo clinico o assenza di risposta. La maggior parte dei pazienti (67%) era naïve al MTX. Dosi da 8 mg/kg di </w:t>
      </w:r>
      <w:r>
        <w:rPr>
          <w:noProof/>
          <w:lang w:val="it-IT"/>
        </w:rPr>
        <w:t xml:space="preserve">tocilizumab </w:t>
      </w:r>
      <w:r>
        <w:rPr>
          <w:rFonts w:eastAsia="Calibri"/>
          <w:noProof/>
          <w:szCs w:val="22"/>
          <w:lang w:val="it-IT" w:eastAsia="en-US"/>
        </w:rPr>
        <w:t>sono state somministrate ogni quattro settimane in monoterapia. Il gruppo di confronto è stato trattato a cadenza settimanale con MTX (con titolazione della dose da 7,5 mg fino a un massimo di 20 mg a settimana per un periodo di otto settimane).</w:t>
      </w:r>
    </w:p>
    <w:p>
      <w:pPr>
        <w:numPr>
          <w:ilvl w:val="12"/>
          <w:numId w:val="0"/>
        </w:numPr>
        <w:ind w:right="-2"/>
        <w:rPr>
          <w:noProof/>
          <w:szCs w:val="22"/>
          <w:lang w:val="it-IT"/>
        </w:rPr>
      </w:pPr>
    </w:p>
    <w:p>
      <w:pPr>
        <w:numPr>
          <w:ilvl w:val="12"/>
          <w:numId w:val="0"/>
        </w:numPr>
        <w:ind w:right="-2"/>
        <w:rPr>
          <w:noProof/>
          <w:szCs w:val="22"/>
          <w:lang w:val="it-IT" w:eastAsia="en-US"/>
        </w:rPr>
      </w:pPr>
      <w:r>
        <w:rPr>
          <w:rFonts w:eastAsia="Calibri"/>
          <w:noProof/>
          <w:szCs w:val="22"/>
          <w:lang w:val="it-IT" w:eastAsia="en-US"/>
        </w:rPr>
        <w:t xml:space="preserve">Lo </w:t>
      </w:r>
      <w:del w:id="8093" w:author="Author">
        <w:r>
          <w:rPr>
            <w:rFonts w:eastAsia="Calibri"/>
            <w:noProof/>
            <w:szCs w:val="22"/>
            <w:lang w:val="it-IT" w:eastAsia="en-US"/>
          </w:rPr>
          <w:delText xml:space="preserve">studio </w:delText>
        </w:r>
      </w:del>
      <w:ins w:id="8094" w:author="Author">
        <w:r>
          <w:rPr>
            <w:rFonts w:eastAsia="Calibri"/>
            <w:noProof/>
            <w:szCs w:val="22"/>
            <w:lang w:val="it-IT" w:eastAsia="en-US"/>
          </w:rPr>
          <w:t xml:space="preserve">Studio </w:t>
        </w:r>
      </w:ins>
      <w:r>
        <w:rPr>
          <w:rFonts w:eastAsia="Calibri"/>
          <w:noProof/>
          <w:szCs w:val="22"/>
          <w:lang w:val="it-IT" w:eastAsia="en-US"/>
        </w:rPr>
        <w:t>II, uno studio della durata di due anni con analisi pianificate alla settimana 24, alla settimana 52 e alla settimana 104, ha valutato 1</w:t>
      </w:r>
      <w:del w:id="8095" w:author="Author">
        <w:r>
          <w:rPr>
            <w:rFonts w:eastAsia="Calibri"/>
            <w:noProof/>
            <w:szCs w:val="22"/>
            <w:lang w:val="it-IT" w:eastAsia="en-US"/>
          </w:rPr>
          <w:delText>.</w:delText>
        </w:r>
      </w:del>
      <w:ins w:id="8096" w:author="Author">
        <w:r>
          <w:rPr>
            <w:rFonts w:eastAsia="Calibri"/>
            <w:noProof/>
            <w:szCs w:val="22"/>
            <w:lang w:val="it-IT" w:eastAsia="en-US"/>
          </w:rPr>
          <w:t> </w:t>
        </w:r>
      </w:ins>
      <w:r>
        <w:rPr>
          <w:rFonts w:eastAsia="Calibri"/>
          <w:noProof/>
          <w:szCs w:val="22"/>
          <w:lang w:val="it-IT" w:eastAsia="en-US"/>
        </w:rPr>
        <w:t xml:space="preserve">196 pazienti con una risposta clinica a MTX inadeguata. Dosi da 4 o 8 mg/kg di </w:t>
      </w:r>
      <w:r>
        <w:rPr>
          <w:noProof/>
          <w:lang w:val="it-IT"/>
        </w:rPr>
        <w:t xml:space="preserve">tocilizumab </w:t>
      </w:r>
      <w:r>
        <w:rPr>
          <w:rFonts w:eastAsia="Calibri"/>
          <w:noProof/>
          <w:szCs w:val="22"/>
          <w:lang w:val="it-IT" w:eastAsia="en-US"/>
        </w:rPr>
        <w:t xml:space="preserve">o placebo sono state somministrate in cieco ogni quattro settimane per 52 settimane in associazione con una dose stabile di MTX (da 10 mg a 25 mg a settimana). Dopo 52 settimane, tutti i pazienti potevano ricevere il trattamento in aperto con </w:t>
      </w:r>
      <w:r>
        <w:rPr>
          <w:noProof/>
          <w:lang w:val="it-IT"/>
        </w:rPr>
        <w:t xml:space="preserve">tocilizumab </w:t>
      </w:r>
      <w:r>
        <w:rPr>
          <w:rFonts w:eastAsia="Calibri"/>
          <w:noProof/>
          <w:szCs w:val="22"/>
          <w:lang w:val="it-IT" w:eastAsia="en-US"/>
        </w:rPr>
        <w:t>8 mg/kg. Tra i pazienti che hanno completato lo studio</w:t>
      </w:r>
      <w:ins w:id="8097" w:author="Author">
        <w:r>
          <w:rPr>
            <w:rFonts w:eastAsia="Calibri"/>
            <w:noProof/>
            <w:szCs w:val="22"/>
            <w:lang w:val="it-IT" w:eastAsia="en-US"/>
          </w:rPr>
          <w:t xml:space="preserve"> clinico</w:t>
        </w:r>
      </w:ins>
      <w:r>
        <w:rPr>
          <w:rFonts w:eastAsia="Calibri"/>
          <w:noProof/>
          <w:szCs w:val="22"/>
          <w:lang w:val="it-IT" w:eastAsia="en-US"/>
        </w:rPr>
        <w:t xml:space="preserve"> e che sono stati inizialmente randomizzati a placebo</w:t>
      </w:r>
      <w:del w:id="8098" w:author="Author">
        <w:r>
          <w:rPr>
            <w:rFonts w:eastAsia="Calibri"/>
            <w:noProof/>
            <w:szCs w:val="22"/>
            <w:lang w:val="it-IT" w:eastAsia="en-US"/>
          </w:rPr>
          <w:delText xml:space="preserve"> </w:delText>
        </w:r>
      </w:del>
      <w:ins w:id="8099" w:author="Author">
        <w:r>
          <w:rPr>
            <w:rFonts w:eastAsia="Calibri"/>
            <w:noProof/>
            <w:szCs w:val="22"/>
            <w:lang w:val="it-IT" w:eastAsia="en-US"/>
          </w:rPr>
          <w:t> </w:t>
        </w:r>
      </w:ins>
      <w:r>
        <w:rPr>
          <w:rFonts w:eastAsia="Calibri"/>
          <w:noProof/>
          <w:szCs w:val="22"/>
          <w:lang w:val="it-IT" w:eastAsia="en-US"/>
        </w:rPr>
        <w:t>+</w:t>
      </w:r>
      <w:ins w:id="8100" w:author="Author">
        <w:r>
          <w:rPr>
            <w:rFonts w:eastAsia="Calibri"/>
            <w:noProof/>
            <w:szCs w:val="22"/>
            <w:lang w:val="it-IT" w:eastAsia="en-US"/>
          </w:rPr>
          <w:t> </w:t>
        </w:r>
      </w:ins>
      <w:del w:id="8101" w:author="Author">
        <w:r>
          <w:rPr>
            <w:rFonts w:eastAsia="Calibri"/>
            <w:noProof/>
            <w:szCs w:val="22"/>
            <w:lang w:val="it-IT" w:eastAsia="en-US"/>
          </w:rPr>
          <w:delText xml:space="preserve"> </w:delText>
        </w:r>
      </w:del>
      <w:r>
        <w:rPr>
          <w:rFonts w:eastAsia="Calibri"/>
          <w:noProof/>
          <w:szCs w:val="22"/>
          <w:lang w:val="it-IT" w:eastAsia="en-US"/>
        </w:rPr>
        <w:t xml:space="preserve">MTX, l’86% ha ricevuto </w:t>
      </w:r>
      <w:r>
        <w:rPr>
          <w:noProof/>
          <w:lang w:val="it-IT"/>
        </w:rPr>
        <w:t xml:space="preserve">tocilizumab </w:t>
      </w:r>
      <w:r>
        <w:rPr>
          <w:rFonts w:eastAsia="Calibri"/>
          <w:noProof/>
          <w:szCs w:val="22"/>
          <w:lang w:val="it-IT" w:eastAsia="en-US"/>
        </w:rPr>
        <w:t>alla dose di 8 mg/kg in aperto nel corso del secondo anno. L’endpoint primario alla settimana 24 è stata la percentuale dei pazienti che hanno conseguito una risposta ACR 20. Alla settimana 52 e alla settimana 104 gli endpoint coprimari sono stati la prevenzione del danno articolare e il miglioramento della funzione fisica.</w:t>
      </w:r>
    </w:p>
    <w:p>
      <w:pPr>
        <w:numPr>
          <w:ilvl w:val="12"/>
          <w:numId w:val="0"/>
        </w:numPr>
        <w:ind w:right="-2"/>
        <w:rPr>
          <w:noProof/>
          <w:szCs w:val="22"/>
          <w:lang w:val="it-IT"/>
        </w:rPr>
      </w:pPr>
    </w:p>
    <w:p>
      <w:pPr>
        <w:numPr>
          <w:ilvl w:val="12"/>
          <w:numId w:val="0"/>
        </w:numPr>
        <w:ind w:right="-2"/>
        <w:rPr>
          <w:rFonts w:eastAsia="Calibri"/>
          <w:noProof/>
          <w:szCs w:val="22"/>
          <w:lang w:val="it-IT" w:eastAsia="en-US"/>
        </w:rPr>
      </w:pPr>
      <w:r>
        <w:rPr>
          <w:rFonts w:eastAsia="Calibri"/>
          <w:noProof/>
          <w:szCs w:val="22"/>
          <w:lang w:val="it-IT" w:eastAsia="en-US"/>
        </w:rPr>
        <w:t xml:space="preserve">Lo </w:t>
      </w:r>
      <w:del w:id="8102" w:author="Author">
        <w:r>
          <w:rPr>
            <w:rFonts w:eastAsia="Calibri"/>
            <w:noProof/>
            <w:szCs w:val="22"/>
            <w:lang w:val="it-IT" w:eastAsia="en-US"/>
          </w:rPr>
          <w:delText xml:space="preserve">studio </w:delText>
        </w:r>
      </w:del>
      <w:ins w:id="8103" w:author="Author">
        <w:r>
          <w:rPr>
            <w:rFonts w:eastAsia="Calibri"/>
            <w:noProof/>
            <w:szCs w:val="22"/>
            <w:lang w:val="it-IT" w:eastAsia="en-US"/>
          </w:rPr>
          <w:t xml:space="preserve">Studio </w:t>
        </w:r>
      </w:ins>
      <w:r>
        <w:rPr>
          <w:rFonts w:eastAsia="Calibri"/>
          <w:noProof/>
          <w:szCs w:val="22"/>
          <w:lang w:val="it-IT" w:eastAsia="en-US"/>
        </w:rPr>
        <w:t xml:space="preserve">III ha valutato 623 pazienti con una risposta clinica a MTX inadeguata. Dosi da 4 a 8 mg/kg di </w:t>
      </w:r>
      <w:r>
        <w:rPr>
          <w:noProof/>
          <w:lang w:val="it-IT"/>
        </w:rPr>
        <w:t xml:space="preserve">tocilizumab </w:t>
      </w:r>
      <w:r>
        <w:rPr>
          <w:rFonts w:eastAsia="Calibri"/>
          <w:noProof/>
          <w:szCs w:val="22"/>
          <w:lang w:val="it-IT" w:eastAsia="en-US"/>
        </w:rPr>
        <w:t>o placebo sono state somministrate ogni quattro settimane in associazione con una dose stabile di MTX (da 10 mg a 25 mg a settimana).</w:t>
      </w:r>
    </w:p>
    <w:p>
      <w:pPr>
        <w:numPr>
          <w:ilvl w:val="12"/>
          <w:numId w:val="0"/>
        </w:numPr>
        <w:ind w:right="-2"/>
        <w:rPr>
          <w:noProof/>
          <w:szCs w:val="22"/>
          <w:lang w:val="it-IT"/>
        </w:rPr>
      </w:pPr>
    </w:p>
    <w:p>
      <w:pPr>
        <w:numPr>
          <w:ilvl w:val="12"/>
          <w:numId w:val="0"/>
        </w:numPr>
        <w:ind w:right="-2"/>
        <w:rPr>
          <w:rFonts w:eastAsia="Calibri"/>
          <w:noProof/>
          <w:szCs w:val="22"/>
          <w:lang w:val="it-IT" w:eastAsia="en-US"/>
        </w:rPr>
      </w:pPr>
      <w:r>
        <w:rPr>
          <w:rFonts w:eastAsia="Calibri"/>
          <w:noProof/>
          <w:szCs w:val="22"/>
          <w:lang w:val="it-IT" w:eastAsia="en-US"/>
        </w:rPr>
        <w:t xml:space="preserve">Lo </w:t>
      </w:r>
      <w:del w:id="8104" w:author="Author">
        <w:r>
          <w:rPr>
            <w:rFonts w:eastAsia="Calibri"/>
            <w:noProof/>
            <w:szCs w:val="22"/>
            <w:lang w:val="it-IT" w:eastAsia="en-US"/>
          </w:rPr>
          <w:delText xml:space="preserve">studio </w:delText>
        </w:r>
      </w:del>
      <w:ins w:id="8105" w:author="Author">
        <w:r>
          <w:rPr>
            <w:rFonts w:eastAsia="Calibri"/>
            <w:noProof/>
            <w:szCs w:val="22"/>
            <w:lang w:val="it-IT" w:eastAsia="en-US"/>
          </w:rPr>
          <w:t xml:space="preserve">Studio </w:t>
        </w:r>
      </w:ins>
      <w:r>
        <w:rPr>
          <w:rFonts w:eastAsia="Calibri"/>
          <w:noProof/>
          <w:szCs w:val="22"/>
          <w:lang w:val="it-IT" w:eastAsia="en-US"/>
        </w:rPr>
        <w:t>IV ha valutato 1</w:t>
      </w:r>
      <w:del w:id="8106" w:author="Author">
        <w:r>
          <w:rPr>
            <w:rFonts w:eastAsia="Calibri"/>
            <w:noProof/>
            <w:szCs w:val="22"/>
            <w:lang w:val="it-IT" w:eastAsia="en-US"/>
          </w:rPr>
          <w:delText>.</w:delText>
        </w:r>
      </w:del>
      <w:ins w:id="8107" w:author="Author">
        <w:r>
          <w:rPr>
            <w:rFonts w:eastAsia="Calibri"/>
            <w:noProof/>
            <w:szCs w:val="22"/>
            <w:lang w:val="it-IT" w:eastAsia="en-US"/>
          </w:rPr>
          <w:t> </w:t>
        </w:r>
      </w:ins>
      <w:r>
        <w:rPr>
          <w:rFonts w:eastAsia="Calibri"/>
          <w:noProof/>
          <w:szCs w:val="22"/>
          <w:lang w:val="it-IT" w:eastAsia="en-US"/>
        </w:rPr>
        <w:t xml:space="preserve">220 pazienti con una risposta inadeguata alla terapia reumatologica in atto, inclusi uno o più DMARD. Dosi da 8 mg/kg di </w:t>
      </w:r>
      <w:r>
        <w:rPr>
          <w:noProof/>
          <w:lang w:val="it-IT"/>
        </w:rPr>
        <w:t xml:space="preserve">tocilizumab </w:t>
      </w:r>
      <w:r>
        <w:rPr>
          <w:rFonts w:eastAsia="Calibri"/>
          <w:noProof/>
          <w:szCs w:val="22"/>
          <w:lang w:val="it-IT" w:eastAsia="en-US"/>
        </w:rPr>
        <w:t>o placebo sono state somministrate ogni quattro settimane in associazione con una dose stabile di DMARD.</w:t>
      </w:r>
    </w:p>
    <w:p>
      <w:pPr>
        <w:numPr>
          <w:ilvl w:val="12"/>
          <w:numId w:val="0"/>
        </w:numPr>
        <w:ind w:right="-2"/>
        <w:rPr>
          <w:noProof/>
          <w:szCs w:val="22"/>
          <w:lang w:val="it-IT"/>
        </w:rPr>
      </w:pPr>
    </w:p>
    <w:p>
      <w:pPr>
        <w:keepNext/>
        <w:keepLines/>
        <w:numPr>
          <w:ilvl w:val="12"/>
          <w:numId w:val="0"/>
        </w:numPr>
        <w:rPr>
          <w:rFonts w:eastAsia="Calibri"/>
          <w:noProof/>
          <w:szCs w:val="22"/>
          <w:lang w:val="it-IT" w:eastAsia="en-US"/>
        </w:rPr>
      </w:pPr>
      <w:r>
        <w:rPr>
          <w:rFonts w:eastAsia="Calibri"/>
          <w:noProof/>
          <w:szCs w:val="22"/>
          <w:lang w:val="it-IT" w:eastAsia="en-US"/>
        </w:rPr>
        <w:t xml:space="preserve">Lo </w:t>
      </w:r>
      <w:del w:id="8108" w:author="Author">
        <w:r>
          <w:rPr>
            <w:rFonts w:eastAsia="Calibri"/>
            <w:noProof/>
            <w:szCs w:val="22"/>
            <w:lang w:val="it-IT" w:eastAsia="en-US"/>
          </w:rPr>
          <w:delText xml:space="preserve">studio </w:delText>
        </w:r>
      </w:del>
      <w:ins w:id="8109" w:author="Author">
        <w:r>
          <w:rPr>
            <w:rFonts w:eastAsia="Calibri"/>
            <w:noProof/>
            <w:szCs w:val="22"/>
            <w:lang w:val="it-IT" w:eastAsia="en-US"/>
          </w:rPr>
          <w:t xml:space="preserve">Studio </w:t>
        </w:r>
      </w:ins>
      <w:r>
        <w:rPr>
          <w:rFonts w:eastAsia="Calibri"/>
          <w:noProof/>
          <w:szCs w:val="22"/>
          <w:lang w:val="it-IT" w:eastAsia="en-US"/>
        </w:rPr>
        <w:t xml:space="preserve">V ha valutato 499 pazienti con risposta clinica inadeguata o intolleranza a una o più terapie con antagonisti del TNF. La terapia con antagonista del TNF è stata interrotta prima della randomizzazione. Dosi di 4 o 8 mg/kg di </w:t>
      </w:r>
      <w:r>
        <w:rPr>
          <w:noProof/>
          <w:lang w:val="it-IT"/>
        </w:rPr>
        <w:t xml:space="preserve">tocilizumab </w:t>
      </w:r>
      <w:r>
        <w:rPr>
          <w:rFonts w:eastAsia="Calibri"/>
          <w:noProof/>
          <w:szCs w:val="22"/>
          <w:lang w:val="it-IT" w:eastAsia="en-US"/>
        </w:rPr>
        <w:t>o placebo sono state somministrate ogni quattro settimane in associazione con una dose stabile di MTX (da 10 mg a 25 mg a settimana).</w:t>
      </w:r>
    </w:p>
    <w:p>
      <w:pPr>
        <w:numPr>
          <w:ilvl w:val="12"/>
          <w:numId w:val="0"/>
        </w:numPr>
        <w:ind w:right="-2"/>
        <w:rPr>
          <w:noProof/>
          <w:szCs w:val="22"/>
          <w:lang w:val="it-IT"/>
        </w:rPr>
      </w:pPr>
    </w:p>
    <w:p>
      <w:pPr>
        <w:numPr>
          <w:ilvl w:val="12"/>
          <w:numId w:val="0"/>
        </w:numPr>
        <w:ind w:right="-2"/>
        <w:rPr>
          <w:i/>
          <w:iCs/>
          <w:noProof/>
          <w:szCs w:val="22"/>
          <w:u w:val="single"/>
          <w:lang w:val="it-IT" w:eastAsia="en-US"/>
        </w:rPr>
      </w:pPr>
      <w:r>
        <w:rPr>
          <w:rFonts w:eastAsia="Calibri"/>
          <w:i/>
          <w:iCs/>
          <w:noProof/>
          <w:szCs w:val="22"/>
          <w:u w:val="single"/>
          <w:lang w:val="it-IT" w:eastAsia="en-US"/>
        </w:rPr>
        <w:t>Risposta clinica</w:t>
      </w:r>
    </w:p>
    <w:p>
      <w:pPr>
        <w:numPr>
          <w:ilvl w:val="12"/>
          <w:numId w:val="0"/>
        </w:numPr>
        <w:ind w:right="-2"/>
        <w:rPr>
          <w:noProof/>
          <w:szCs w:val="22"/>
          <w:lang w:val="it-IT" w:eastAsia="en-US"/>
        </w:rPr>
      </w:pPr>
      <w:r>
        <w:rPr>
          <w:rFonts w:eastAsia="Calibri"/>
          <w:noProof/>
          <w:szCs w:val="22"/>
          <w:lang w:val="it-IT" w:eastAsia="en-US"/>
        </w:rPr>
        <w:t>In tutti gli studi</w:t>
      </w:r>
      <w:ins w:id="8110" w:author="Author">
        <w:del w:id="8111" w:author="Author">
          <w:r>
            <w:rPr>
              <w:rFonts w:eastAsia="Calibri"/>
              <w:noProof/>
              <w:szCs w:val="22"/>
              <w:lang w:val="it-IT" w:eastAsia="en-US"/>
            </w:rPr>
            <w:delText xml:space="preserve"> clinici</w:delText>
          </w:r>
        </w:del>
      </w:ins>
      <w:r>
        <w:rPr>
          <w:rFonts w:eastAsia="Calibri"/>
          <w:noProof/>
          <w:szCs w:val="22"/>
          <w:lang w:val="it-IT" w:eastAsia="en-US"/>
        </w:rPr>
        <w:t xml:space="preserve">, i pazienti trattati con </w:t>
      </w:r>
      <w:r>
        <w:rPr>
          <w:noProof/>
          <w:lang w:val="it-IT"/>
        </w:rPr>
        <w:t xml:space="preserve">tocilizumab </w:t>
      </w:r>
      <w:r>
        <w:rPr>
          <w:rFonts w:eastAsia="Calibri"/>
          <w:noProof/>
          <w:szCs w:val="22"/>
          <w:lang w:val="it-IT" w:eastAsia="en-US"/>
        </w:rPr>
        <w:t xml:space="preserve">alla dose di 8 mg/kg hanno manifestato tassi di risposta ACR 20, 50, 70 </w:t>
      </w:r>
      <w:ins w:id="8112" w:author="Author">
        <w:r>
          <w:rPr>
            <w:rFonts w:eastAsia="Calibri"/>
            <w:noProof/>
            <w:szCs w:val="22"/>
            <w:lang w:val="it-IT" w:eastAsia="en-US"/>
          </w:rPr>
          <w:t xml:space="preserve">a 6 mesi </w:t>
        </w:r>
      </w:ins>
      <w:r>
        <w:rPr>
          <w:rFonts w:eastAsia="Calibri"/>
          <w:noProof/>
          <w:szCs w:val="22"/>
          <w:lang w:val="it-IT" w:eastAsia="en-US"/>
        </w:rPr>
        <w:t xml:space="preserve">significativamente più elevati </w:t>
      </w:r>
      <w:del w:id="8113" w:author="Author">
        <w:r>
          <w:rPr>
            <w:rFonts w:eastAsia="Calibri"/>
            <w:noProof/>
            <w:szCs w:val="22"/>
            <w:lang w:val="it-IT" w:eastAsia="en-US"/>
          </w:rPr>
          <w:delText xml:space="preserve">a 6 mesi </w:delText>
        </w:r>
      </w:del>
      <w:r>
        <w:rPr>
          <w:rFonts w:eastAsia="Calibri"/>
          <w:noProof/>
          <w:szCs w:val="22"/>
          <w:lang w:val="it-IT" w:eastAsia="en-US"/>
        </w:rPr>
        <w:t xml:space="preserve">rispetto al gruppo di controllo (Tabella 5). Nello </w:t>
      </w:r>
      <w:del w:id="8114" w:author="Author">
        <w:r>
          <w:rPr>
            <w:rFonts w:eastAsia="Calibri"/>
            <w:noProof/>
            <w:szCs w:val="22"/>
            <w:lang w:val="it-IT" w:eastAsia="en-US"/>
          </w:rPr>
          <w:delText xml:space="preserve">studio </w:delText>
        </w:r>
      </w:del>
      <w:ins w:id="8115" w:author="Author">
        <w:r>
          <w:rPr>
            <w:rFonts w:eastAsia="Calibri"/>
            <w:noProof/>
            <w:szCs w:val="22"/>
            <w:lang w:val="it-IT" w:eastAsia="en-US"/>
          </w:rPr>
          <w:t xml:space="preserve">Studio </w:t>
        </w:r>
      </w:ins>
      <w:r>
        <w:rPr>
          <w:rFonts w:eastAsia="Calibri"/>
          <w:noProof/>
          <w:szCs w:val="22"/>
          <w:lang w:val="it-IT" w:eastAsia="en-US"/>
        </w:rPr>
        <w:t>I è stata dimostrata la superiorità di tocilizumab alla dose di 8 mg/kg rispetto al prodotto attivo di confronto MTX.</w:t>
      </w:r>
    </w:p>
    <w:p>
      <w:pPr>
        <w:numPr>
          <w:ilvl w:val="12"/>
          <w:numId w:val="0"/>
        </w:numPr>
        <w:ind w:right="-2"/>
        <w:rPr>
          <w:noProof/>
          <w:szCs w:val="22"/>
          <w:lang w:val="it-IT"/>
        </w:rPr>
      </w:pPr>
    </w:p>
    <w:p>
      <w:pPr>
        <w:numPr>
          <w:ilvl w:val="12"/>
          <w:numId w:val="0"/>
        </w:numPr>
        <w:ind w:right="-2"/>
        <w:rPr>
          <w:rFonts w:eastAsia="Calibri"/>
          <w:noProof/>
          <w:szCs w:val="22"/>
          <w:lang w:val="it-IT" w:eastAsia="en-US"/>
        </w:rPr>
      </w:pPr>
      <w:r>
        <w:rPr>
          <w:rFonts w:eastAsia="Calibri"/>
          <w:noProof/>
          <w:szCs w:val="22"/>
          <w:lang w:val="it-IT" w:eastAsia="en-US"/>
        </w:rPr>
        <w:t>L’effetto del trattamento sui pazienti è stato simile a prescindere da stato del fattore reumatoide, età, sesso, razza, numero di trattamenti precedenti o stato della malattia. L’insorgenza dell’effetto è stata rapida (già alla settimana 2) e l’entità della risposta ha continuato a migliorare con il proseguimento del trattamento. Risposte durevoli e continuative sono state osservate per più di 3 anni negli studi di estensione in aperto da I a V</w:t>
      </w:r>
      <w:del w:id="8116" w:author="Author">
        <w:r>
          <w:rPr>
            <w:rFonts w:eastAsia="Calibri"/>
            <w:noProof/>
            <w:szCs w:val="22"/>
            <w:lang w:val="it-IT" w:eastAsia="en-US"/>
          </w:rPr>
          <w:delText xml:space="preserve"> in atto</w:delText>
        </w:r>
      </w:del>
      <w:r>
        <w:rPr>
          <w:rFonts w:eastAsia="Calibri"/>
          <w:noProof/>
          <w:szCs w:val="22"/>
          <w:lang w:val="it-IT" w:eastAsia="en-US"/>
        </w:rPr>
        <w:t>.</w:t>
      </w:r>
    </w:p>
    <w:p>
      <w:pPr>
        <w:numPr>
          <w:ilvl w:val="12"/>
          <w:numId w:val="0"/>
        </w:numPr>
        <w:ind w:right="-2"/>
        <w:rPr>
          <w:noProof/>
          <w:szCs w:val="22"/>
          <w:lang w:val="it-IT"/>
        </w:rPr>
      </w:pPr>
    </w:p>
    <w:p>
      <w:pPr>
        <w:numPr>
          <w:ilvl w:val="12"/>
          <w:numId w:val="0"/>
        </w:numPr>
        <w:ind w:right="-2"/>
        <w:rPr>
          <w:rFonts w:eastAsia="Calibri"/>
          <w:noProof/>
          <w:szCs w:val="22"/>
          <w:lang w:val="it-IT" w:eastAsia="en-US"/>
        </w:rPr>
      </w:pPr>
      <w:r>
        <w:rPr>
          <w:rFonts w:eastAsia="Calibri"/>
          <w:noProof/>
          <w:szCs w:val="22"/>
          <w:lang w:val="it-IT" w:eastAsia="en-US"/>
        </w:rPr>
        <w:t>Nei pazienti trattati con tocilizumab alla dose di 8 mg/kg sono stati notati miglioramenti significativi in tutte le singole componenti della risposta ACR, incluse le seguenti: conta delle articolazioni dolenti e tumefatte; valutazione globale di paziente e medico; punteggi dell’indice di invalidità; valutazione del dolore e PCR rispetto ai pazienti trattati con placebo più MTX o altri DMARD in tutti gli studi.</w:t>
      </w:r>
    </w:p>
    <w:p>
      <w:pPr>
        <w:numPr>
          <w:ilvl w:val="12"/>
          <w:numId w:val="0"/>
        </w:numPr>
        <w:ind w:right="-2"/>
        <w:rPr>
          <w:noProof/>
          <w:szCs w:val="22"/>
          <w:lang w:val="it-IT"/>
        </w:rPr>
      </w:pPr>
    </w:p>
    <w:p>
      <w:pPr>
        <w:numPr>
          <w:ilvl w:val="12"/>
          <w:numId w:val="0"/>
        </w:numPr>
        <w:ind w:right="-2"/>
        <w:rPr>
          <w:noProof/>
          <w:szCs w:val="22"/>
          <w:lang w:val="it-IT" w:eastAsia="en-US"/>
        </w:rPr>
      </w:pPr>
      <w:r>
        <w:rPr>
          <w:rFonts w:eastAsia="Calibri"/>
          <w:noProof/>
          <w:szCs w:val="22"/>
          <w:lang w:val="it-IT" w:eastAsia="en-US"/>
        </w:rPr>
        <w:t xml:space="preserve">I pazienti degli studi </w:t>
      </w:r>
      <w:ins w:id="8117" w:author="Author">
        <w:r>
          <w:rPr>
            <w:rFonts w:eastAsia="Calibri"/>
            <w:noProof/>
            <w:szCs w:val="22"/>
            <w:lang w:val="it-IT" w:eastAsia="en-US"/>
          </w:rPr>
          <w:t xml:space="preserve">clinici </w:t>
        </w:r>
      </w:ins>
      <w:r>
        <w:rPr>
          <w:rFonts w:eastAsia="Calibri"/>
          <w:noProof/>
          <w:szCs w:val="22"/>
          <w:lang w:val="it-IT" w:eastAsia="en-US"/>
        </w:rPr>
        <w:t xml:space="preserve">da I a V avevano un Punteggio di Attività di Malattia (DAS28) al basale di 6,5-6,8. </w:t>
      </w:r>
      <w:ins w:id="8118" w:author="Author">
        <w:r>
          <w:rPr>
            <w:rFonts w:eastAsia="Calibri"/>
            <w:noProof/>
            <w:szCs w:val="22"/>
            <w:lang w:val="it-IT" w:eastAsia="en-US"/>
          </w:rPr>
          <w:t xml:space="preserve">Una </w:t>
        </w:r>
      </w:ins>
      <w:del w:id="8119" w:author="Author">
        <w:r>
          <w:rPr>
            <w:rFonts w:eastAsia="Calibri"/>
            <w:noProof/>
            <w:szCs w:val="22"/>
            <w:lang w:val="it-IT" w:eastAsia="en-US"/>
          </w:rPr>
          <w:delText>R</w:delText>
        </w:r>
      </w:del>
      <w:ins w:id="8120" w:author="Author">
        <w:r>
          <w:rPr>
            <w:rFonts w:eastAsia="Calibri"/>
            <w:noProof/>
            <w:szCs w:val="22"/>
            <w:lang w:val="it-IT" w:eastAsia="en-US"/>
          </w:rPr>
          <w:t>r</w:t>
        </w:r>
      </w:ins>
      <w:r>
        <w:rPr>
          <w:rFonts w:eastAsia="Calibri"/>
          <w:noProof/>
          <w:szCs w:val="22"/>
          <w:lang w:val="it-IT" w:eastAsia="en-US"/>
        </w:rPr>
        <w:t>iduzio</w:t>
      </w:r>
      <w:ins w:id="8121" w:author="Author">
        <w:r>
          <w:rPr>
            <w:rFonts w:eastAsia="Calibri"/>
            <w:noProof/>
            <w:szCs w:val="22"/>
            <w:lang w:val="it-IT" w:eastAsia="en-US"/>
          </w:rPr>
          <w:t>e</w:t>
        </w:r>
      </w:ins>
      <w:r>
        <w:rPr>
          <w:rFonts w:eastAsia="Calibri"/>
          <w:noProof/>
          <w:szCs w:val="22"/>
          <w:lang w:val="it-IT" w:eastAsia="en-US"/>
        </w:rPr>
        <w:t>n</w:t>
      </w:r>
      <w:del w:id="8122" w:author="Author">
        <w:r>
          <w:rPr>
            <w:rFonts w:eastAsia="Calibri"/>
            <w:noProof/>
            <w:szCs w:val="22"/>
            <w:lang w:val="it-IT" w:eastAsia="en-US"/>
          </w:rPr>
          <w:delText>i</w:delText>
        </w:r>
      </w:del>
      <w:r>
        <w:rPr>
          <w:rFonts w:eastAsia="Calibri"/>
          <w:noProof/>
          <w:szCs w:val="22"/>
          <w:lang w:val="it-IT" w:eastAsia="en-US"/>
        </w:rPr>
        <w:t xml:space="preserve"> significativ</w:t>
      </w:r>
      <w:ins w:id="8123" w:author="Author">
        <w:r>
          <w:rPr>
            <w:rFonts w:eastAsia="Calibri"/>
            <w:noProof/>
            <w:szCs w:val="22"/>
            <w:lang w:val="it-IT" w:eastAsia="en-US"/>
          </w:rPr>
          <w:t>a</w:t>
        </w:r>
      </w:ins>
      <w:del w:id="8124" w:author="Author">
        <w:r>
          <w:rPr>
            <w:rFonts w:eastAsia="Calibri"/>
            <w:noProof/>
            <w:szCs w:val="22"/>
            <w:lang w:val="it-IT" w:eastAsia="en-US"/>
          </w:rPr>
          <w:delText>e</w:delText>
        </w:r>
      </w:del>
      <w:r>
        <w:rPr>
          <w:rFonts w:eastAsia="Calibri"/>
          <w:noProof/>
          <w:szCs w:val="22"/>
          <w:lang w:val="it-IT" w:eastAsia="en-US"/>
        </w:rPr>
        <w:t xml:space="preserve"> nel DAS28 dal basale (miglioramento medio) di 3,1-3,4 </w:t>
      </w:r>
      <w:del w:id="8125" w:author="Author">
        <w:r>
          <w:rPr>
            <w:rFonts w:eastAsia="Calibri"/>
            <w:noProof/>
            <w:szCs w:val="22"/>
            <w:lang w:val="it-IT" w:eastAsia="en-US"/>
          </w:rPr>
          <w:delText xml:space="preserve">sono </w:delText>
        </w:r>
      </w:del>
      <w:ins w:id="8126" w:author="Author">
        <w:r>
          <w:rPr>
            <w:rFonts w:eastAsia="Calibri"/>
            <w:noProof/>
            <w:szCs w:val="22"/>
            <w:lang w:val="it-IT" w:eastAsia="en-US"/>
          </w:rPr>
          <w:t xml:space="preserve">è </w:t>
        </w:r>
      </w:ins>
      <w:del w:id="8127" w:author="Author">
        <w:r>
          <w:rPr>
            <w:rFonts w:eastAsia="Calibri"/>
            <w:noProof/>
            <w:szCs w:val="22"/>
            <w:lang w:val="it-IT" w:eastAsia="en-US"/>
          </w:rPr>
          <w:delText xml:space="preserve">state </w:delText>
        </w:r>
      </w:del>
      <w:ins w:id="8128" w:author="Author">
        <w:r>
          <w:rPr>
            <w:rFonts w:eastAsia="Calibri"/>
            <w:noProof/>
            <w:szCs w:val="22"/>
            <w:lang w:val="it-IT" w:eastAsia="en-US"/>
          </w:rPr>
          <w:t xml:space="preserve">stata </w:t>
        </w:r>
      </w:ins>
      <w:del w:id="8129" w:author="Author">
        <w:r>
          <w:rPr>
            <w:rFonts w:eastAsia="Calibri"/>
            <w:noProof/>
            <w:szCs w:val="22"/>
            <w:lang w:val="it-IT" w:eastAsia="en-US"/>
          </w:rPr>
          <w:delText xml:space="preserve">osservate </w:delText>
        </w:r>
      </w:del>
      <w:ins w:id="8130" w:author="Author">
        <w:r>
          <w:rPr>
            <w:rFonts w:eastAsia="Calibri"/>
            <w:noProof/>
            <w:szCs w:val="22"/>
            <w:lang w:val="it-IT" w:eastAsia="en-US"/>
          </w:rPr>
          <w:t xml:space="preserve">osservata </w:t>
        </w:r>
      </w:ins>
      <w:r>
        <w:rPr>
          <w:rFonts w:eastAsia="Calibri"/>
          <w:noProof/>
          <w:szCs w:val="22"/>
          <w:lang w:val="it-IT" w:eastAsia="en-US"/>
        </w:rPr>
        <w:t xml:space="preserve">nei pazienti trattati con tocilizumab rispetto ai pazienti di controllo (1,3-2,1). La percentuale dei pazienti che hanno raggiunto la remissione clinica secondo i criteri del DAS28 (DAS28 &lt;2,6) era significativamente maggiore nei pazienti che avevano ricevuto tocilizumab (28-34%) rispetto all’1-12% dei pazienti di controllo alla settimana 24. Nello </w:t>
      </w:r>
      <w:del w:id="8131" w:author="Author">
        <w:r>
          <w:rPr>
            <w:rFonts w:eastAsia="Calibri"/>
            <w:noProof/>
            <w:szCs w:val="22"/>
            <w:lang w:val="it-IT" w:eastAsia="en-US"/>
          </w:rPr>
          <w:delText xml:space="preserve">studio </w:delText>
        </w:r>
      </w:del>
      <w:ins w:id="8132" w:author="Author">
        <w:r>
          <w:rPr>
            <w:rFonts w:eastAsia="Calibri"/>
            <w:noProof/>
            <w:szCs w:val="22"/>
            <w:lang w:val="it-IT" w:eastAsia="en-US"/>
          </w:rPr>
          <w:t xml:space="preserve">Studio </w:t>
        </w:r>
      </w:ins>
      <w:r>
        <w:rPr>
          <w:rFonts w:eastAsia="Calibri"/>
          <w:noProof/>
          <w:szCs w:val="22"/>
          <w:lang w:val="it-IT" w:eastAsia="en-US"/>
        </w:rPr>
        <w:t>II, il 65% dei pazienti ha raggiunto un DAS28 &lt;2,6 alla settimana 104 rispetto al 48% dei pazienti alla settimana 52 e al 33% dei pazienti alla settimana 24.</w:t>
      </w:r>
    </w:p>
    <w:p>
      <w:pPr>
        <w:outlineLvl w:val="0"/>
        <w:rPr>
          <w:noProof/>
          <w:szCs w:val="22"/>
          <w:lang w:val="it-IT"/>
        </w:rPr>
      </w:pPr>
    </w:p>
    <w:p>
      <w:pPr>
        <w:numPr>
          <w:ilvl w:val="12"/>
          <w:numId w:val="0"/>
        </w:numPr>
        <w:ind w:right="-2"/>
        <w:rPr>
          <w:noProof/>
          <w:szCs w:val="22"/>
          <w:lang w:val="it-IT" w:eastAsia="en-US"/>
        </w:rPr>
      </w:pPr>
      <w:r>
        <w:rPr>
          <w:rFonts w:eastAsia="Calibri"/>
          <w:noProof/>
          <w:szCs w:val="22"/>
          <w:lang w:val="it-IT" w:eastAsia="en-US"/>
        </w:rPr>
        <w:t xml:space="preserve">In un’analisi di dati </w:t>
      </w:r>
      <w:del w:id="8133" w:author="Author">
        <w:r>
          <w:rPr>
            <w:rFonts w:eastAsia="Calibri"/>
            <w:noProof/>
            <w:szCs w:val="22"/>
            <w:lang w:val="it-IT" w:eastAsia="en-US"/>
          </w:rPr>
          <w:delText xml:space="preserve">accorpati </w:delText>
        </w:r>
      </w:del>
      <w:ins w:id="8134" w:author="Author">
        <w:r>
          <w:rPr>
            <w:rFonts w:eastAsia="Calibri"/>
            <w:noProof/>
            <w:szCs w:val="22"/>
            <w:lang w:val="it-IT" w:eastAsia="en-US"/>
          </w:rPr>
          <w:t xml:space="preserve">aggregati </w:t>
        </w:r>
      </w:ins>
      <w:r>
        <w:rPr>
          <w:rFonts w:eastAsia="Calibri"/>
          <w:noProof/>
          <w:szCs w:val="22"/>
          <w:lang w:val="it-IT" w:eastAsia="en-US"/>
        </w:rPr>
        <w:t xml:space="preserve">degli </w:t>
      </w:r>
      <w:ins w:id="8135" w:author="Author">
        <w:r>
          <w:rPr>
            <w:rFonts w:eastAsia="Calibri"/>
            <w:noProof/>
            <w:szCs w:val="22"/>
            <w:lang w:val="it-IT" w:eastAsia="en-US"/>
          </w:rPr>
          <w:t>S</w:t>
        </w:r>
      </w:ins>
      <w:del w:id="8136" w:author="Author">
        <w:r>
          <w:rPr>
            <w:rFonts w:eastAsia="Calibri"/>
            <w:noProof/>
            <w:szCs w:val="22"/>
            <w:lang w:val="it-IT" w:eastAsia="en-US"/>
          </w:rPr>
          <w:delText>s</w:delText>
        </w:r>
      </w:del>
      <w:r>
        <w:rPr>
          <w:rFonts w:eastAsia="Calibri"/>
          <w:noProof/>
          <w:szCs w:val="22"/>
          <w:lang w:val="it-IT" w:eastAsia="en-US"/>
        </w:rPr>
        <w:t>tudi II, III e IV, la percentuale dei pazienti che hanno conseguito una risposta ACR 20, 50 e 70 è stata significativamente maggiore (rispettivamente 59% vs. 50%; 37% vs. 27%; 18% vs. 11%) nel gruppo trattato con tocilizumab 8 mg/kg più DMARD rispetto al gruppo trattato con tocilizumab 4 mg/kg più DMARD (p &lt;0,03). Analogamente, la percentuale dei pazienti che hanno conseguito una remissione in base al criterio DAS28 (DAS28 &lt;2,6) è stata significativamente maggiore (rispettivamente 31% vs. 16%) nei pazienti trattati con tocilizumab 8 mg/kg più DMARD rispetto ai pazienti trattati con tocilizumab 4 mg/kg più DMARD (p &lt;0,0001).</w:t>
      </w:r>
    </w:p>
    <w:p>
      <w:pPr>
        <w:numPr>
          <w:ilvl w:val="12"/>
          <w:numId w:val="0"/>
        </w:numPr>
        <w:rPr>
          <w:noProof/>
          <w:szCs w:val="22"/>
          <w:lang w:val="it-IT"/>
        </w:rPr>
        <w:pPrChange w:id="8137" w:author="Author">
          <w:pPr>
            <w:keepNext/>
            <w:keepLines/>
            <w:numPr>
              <w:ilvl w:val="12"/>
            </w:numPr>
            <w:ind w:right="-2"/>
          </w:pPr>
        </w:pPrChange>
      </w:pPr>
    </w:p>
    <w:p>
      <w:pPr>
        <w:keepNext/>
        <w:keepLines/>
        <w:widowControl w:val="0"/>
        <w:numPr>
          <w:ilvl w:val="12"/>
          <w:numId w:val="0"/>
        </w:numPr>
        <w:ind w:right="-2"/>
        <w:rPr>
          <w:rFonts w:eastAsia="Calibri"/>
          <w:bCs/>
          <w:i/>
          <w:noProof/>
          <w:szCs w:val="22"/>
          <w:lang w:val="it-IT" w:eastAsia="en-US"/>
        </w:rPr>
      </w:pPr>
      <w:r>
        <w:rPr>
          <w:rFonts w:eastAsia="Calibri"/>
          <w:bCs/>
          <w:i/>
          <w:noProof/>
          <w:szCs w:val="22"/>
          <w:lang w:val="it-IT" w:eastAsia="en-US"/>
        </w:rPr>
        <w:t xml:space="preserve">Tabella 5. Risposte ACR osservate negli studi </w:t>
      </w:r>
      <w:ins w:id="8138" w:author="Author">
        <w:r>
          <w:rPr>
            <w:rFonts w:eastAsia="Calibri"/>
            <w:bCs/>
            <w:i/>
            <w:noProof/>
            <w:szCs w:val="22"/>
            <w:lang w:val="it-IT" w:eastAsia="en-US"/>
          </w:rPr>
          <w:t xml:space="preserve">clinici </w:t>
        </w:r>
      </w:ins>
      <w:r>
        <w:rPr>
          <w:rFonts w:eastAsia="Calibri"/>
          <w:bCs/>
          <w:i/>
          <w:noProof/>
          <w:szCs w:val="22"/>
          <w:lang w:val="it-IT" w:eastAsia="en-US"/>
        </w:rPr>
        <w:t>controllati con placebo/MTX/DMARD (% di pazienti)</w:t>
      </w:r>
    </w:p>
    <w:p>
      <w:pPr>
        <w:keepNext/>
        <w:keepLines/>
        <w:widowControl w:val="0"/>
        <w:numPr>
          <w:ilvl w:val="12"/>
          <w:numId w:val="0"/>
        </w:numPr>
        <w:ind w:right="-2"/>
        <w:rPr>
          <w:i/>
          <w:noProof/>
          <w:szCs w:val="22"/>
          <w:lang w:val="it-IT" w:eastAsia="en-US"/>
        </w:rPr>
      </w:pPr>
    </w:p>
    <w:tbl>
      <w:tblP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Change w:id="8139" w:author="Author">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PrChange>
      </w:tblPr>
      <w:tblGrid>
        <w:gridCol w:w="846"/>
        <w:gridCol w:w="717"/>
        <w:gridCol w:w="700"/>
        <w:gridCol w:w="854"/>
        <w:gridCol w:w="847"/>
        <w:gridCol w:w="889"/>
        <w:gridCol w:w="839"/>
        <w:gridCol w:w="980"/>
        <w:gridCol w:w="896"/>
        <w:gridCol w:w="910"/>
        <w:gridCol w:w="616"/>
        <w:tblGridChange w:id="8140">
          <w:tblGrid>
            <w:gridCol w:w="12"/>
            <w:gridCol w:w="846"/>
            <w:gridCol w:w="142"/>
            <w:gridCol w:w="575"/>
            <w:gridCol w:w="700"/>
            <w:gridCol w:w="77"/>
            <w:gridCol w:w="777"/>
            <w:gridCol w:w="847"/>
            <w:gridCol w:w="176"/>
            <w:gridCol w:w="713"/>
            <w:gridCol w:w="839"/>
            <w:gridCol w:w="248"/>
            <w:gridCol w:w="732"/>
            <w:gridCol w:w="896"/>
            <w:gridCol w:w="352"/>
            <w:gridCol w:w="900"/>
            <w:gridCol w:w="262"/>
            <w:gridCol w:w="626"/>
            <w:gridCol w:w="12"/>
          </w:tblGrid>
        </w:tblGridChange>
      </w:tblGrid>
      <w:tr>
        <w:trPr>
          <w:cantSplit/>
          <w:tblHeader/>
          <w:trPrChange w:id="8141" w:author="Author">
            <w:trPr>
              <w:gridBefore w:val="1"/>
              <w:cantSplit/>
            </w:trPr>
          </w:trPrChange>
        </w:trPr>
        <w:tc>
          <w:tcPr>
            <w:tcW w:w="846" w:type="dxa"/>
            <w:tcPrChange w:id="8142" w:author="Author">
              <w:tcPr>
                <w:tcW w:w="988" w:type="dxa"/>
                <w:gridSpan w:val="2"/>
              </w:tcPr>
            </w:tcPrChange>
          </w:tcPr>
          <w:p>
            <w:pPr>
              <w:keepNext/>
              <w:widowControl w:val="0"/>
              <w:numPr>
                <w:ilvl w:val="12"/>
                <w:numId w:val="0"/>
              </w:numPr>
              <w:suppressAutoHyphens/>
              <w:jc w:val="center"/>
              <w:rPr>
                <w:noProof/>
                <w:sz w:val="18"/>
                <w:szCs w:val="18"/>
                <w:lang w:val="it-IT"/>
                <w:rPrChange w:id="8143" w:author="Author">
                  <w:rPr>
                    <w:szCs w:val="22"/>
                    <w:lang w:val="it-IT"/>
                  </w:rPr>
                </w:rPrChange>
              </w:rPr>
              <w:pPrChange w:id="8144" w:author="Author">
                <w:pPr>
                  <w:keepNext/>
                  <w:keepLines/>
                  <w:widowControl w:val="0"/>
                  <w:numPr>
                    <w:ilvl w:val="12"/>
                  </w:numPr>
                  <w:ind w:right="-2"/>
                  <w:jc w:val="center"/>
                </w:pPr>
              </w:pPrChange>
            </w:pPr>
          </w:p>
        </w:tc>
        <w:tc>
          <w:tcPr>
            <w:tcW w:w="1417" w:type="dxa"/>
            <w:gridSpan w:val="2"/>
            <w:tcBorders>
              <w:bottom w:val="single" w:sz="4" w:space="0" w:color="auto"/>
            </w:tcBorders>
            <w:tcPrChange w:id="8145" w:author="Author">
              <w:tcPr>
                <w:tcW w:w="1352" w:type="dxa"/>
                <w:gridSpan w:val="3"/>
                <w:tcBorders>
                  <w:bottom w:val="single" w:sz="4" w:space="0" w:color="auto"/>
                </w:tcBorders>
              </w:tcPr>
            </w:tcPrChange>
          </w:tcPr>
          <w:p>
            <w:pPr>
              <w:keepNext/>
              <w:widowControl w:val="0"/>
              <w:numPr>
                <w:ilvl w:val="12"/>
                <w:numId w:val="0"/>
              </w:numPr>
              <w:suppressAutoHyphens/>
              <w:jc w:val="center"/>
              <w:rPr>
                <w:b/>
                <w:bCs/>
                <w:noProof/>
                <w:sz w:val="18"/>
                <w:szCs w:val="18"/>
                <w:lang w:val="it-IT" w:eastAsia="en-US"/>
                <w:rPrChange w:id="8146" w:author="Author">
                  <w:rPr>
                    <w:b/>
                    <w:bCs/>
                    <w:szCs w:val="22"/>
                    <w:lang w:val="it-IT" w:eastAsia="en-US"/>
                  </w:rPr>
                </w:rPrChange>
              </w:rPr>
              <w:pPrChange w:id="8147" w:author="Author">
                <w:pPr>
                  <w:keepNext/>
                  <w:keepLines/>
                  <w:widowControl w:val="0"/>
                  <w:numPr>
                    <w:ilvl w:val="12"/>
                  </w:numPr>
                  <w:ind w:right="-2"/>
                  <w:jc w:val="center"/>
                </w:pPr>
              </w:pPrChange>
            </w:pPr>
            <w:r>
              <w:rPr>
                <w:rFonts w:eastAsia="Calibri"/>
                <w:b/>
                <w:bCs/>
                <w:noProof/>
                <w:sz w:val="18"/>
                <w:szCs w:val="18"/>
                <w:lang w:val="it-IT" w:eastAsia="en-US"/>
                <w:rPrChange w:id="8148" w:author="Author">
                  <w:rPr>
                    <w:rFonts w:eastAsia="Calibri"/>
                    <w:b/>
                    <w:bCs/>
                    <w:szCs w:val="22"/>
                    <w:lang w:val="it-IT" w:eastAsia="en-US"/>
                  </w:rPr>
                </w:rPrChange>
              </w:rPr>
              <w:t>Studio I</w:t>
            </w:r>
          </w:p>
          <w:p>
            <w:pPr>
              <w:keepNext/>
              <w:widowControl w:val="0"/>
              <w:numPr>
                <w:ilvl w:val="12"/>
                <w:numId w:val="0"/>
              </w:numPr>
              <w:suppressAutoHyphens/>
              <w:jc w:val="center"/>
              <w:rPr>
                <w:b/>
                <w:bCs/>
                <w:noProof/>
                <w:sz w:val="18"/>
                <w:szCs w:val="18"/>
                <w:lang w:val="it-IT" w:eastAsia="en-US"/>
                <w:rPrChange w:id="8149" w:author="Author">
                  <w:rPr>
                    <w:b/>
                    <w:bCs/>
                    <w:szCs w:val="22"/>
                    <w:lang w:val="it-IT" w:eastAsia="en-US"/>
                  </w:rPr>
                </w:rPrChange>
              </w:rPr>
              <w:pPrChange w:id="8150" w:author="Author">
                <w:pPr>
                  <w:keepNext/>
                  <w:keepLines/>
                  <w:widowControl w:val="0"/>
                  <w:numPr>
                    <w:ilvl w:val="12"/>
                  </w:numPr>
                  <w:ind w:right="-2"/>
                  <w:jc w:val="center"/>
                </w:pPr>
              </w:pPrChange>
            </w:pPr>
            <w:r>
              <w:rPr>
                <w:rFonts w:eastAsia="Calibri"/>
                <w:b/>
                <w:bCs/>
                <w:noProof/>
                <w:sz w:val="18"/>
                <w:szCs w:val="18"/>
                <w:lang w:val="it-IT" w:eastAsia="en-US"/>
                <w:rPrChange w:id="8151" w:author="Author">
                  <w:rPr>
                    <w:rFonts w:eastAsia="Calibri"/>
                    <w:b/>
                    <w:bCs/>
                    <w:szCs w:val="22"/>
                    <w:lang w:val="it-IT" w:eastAsia="en-US"/>
                  </w:rPr>
                </w:rPrChange>
              </w:rPr>
              <w:t>AMBITION</w:t>
            </w:r>
          </w:p>
        </w:tc>
        <w:tc>
          <w:tcPr>
            <w:tcW w:w="1701" w:type="dxa"/>
            <w:gridSpan w:val="2"/>
            <w:tcBorders>
              <w:bottom w:val="single" w:sz="4" w:space="0" w:color="auto"/>
            </w:tcBorders>
            <w:tcPrChange w:id="8152" w:author="Author">
              <w:tcPr>
                <w:tcW w:w="1800" w:type="dxa"/>
                <w:gridSpan w:val="3"/>
                <w:tcBorders>
                  <w:bottom w:val="single" w:sz="4" w:space="0" w:color="auto"/>
                </w:tcBorders>
              </w:tcPr>
            </w:tcPrChange>
          </w:tcPr>
          <w:p>
            <w:pPr>
              <w:keepNext/>
              <w:widowControl w:val="0"/>
              <w:numPr>
                <w:ilvl w:val="12"/>
                <w:numId w:val="0"/>
              </w:numPr>
              <w:suppressAutoHyphens/>
              <w:jc w:val="center"/>
              <w:rPr>
                <w:b/>
                <w:bCs/>
                <w:noProof/>
                <w:sz w:val="18"/>
                <w:szCs w:val="18"/>
                <w:lang w:val="it-IT" w:eastAsia="en-US"/>
                <w:rPrChange w:id="8153" w:author="Author">
                  <w:rPr>
                    <w:b/>
                    <w:bCs/>
                    <w:szCs w:val="22"/>
                    <w:lang w:val="it-IT" w:eastAsia="en-US"/>
                  </w:rPr>
                </w:rPrChange>
              </w:rPr>
              <w:pPrChange w:id="8154" w:author="Author">
                <w:pPr>
                  <w:keepNext/>
                  <w:keepLines/>
                  <w:widowControl w:val="0"/>
                  <w:numPr>
                    <w:ilvl w:val="12"/>
                  </w:numPr>
                  <w:ind w:right="-2"/>
                  <w:jc w:val="center"/>
                </w:pPr>
              </w:pPrChange>
            </w:pPr>
            <w:r>
              <w:rPr>
                <w:rFonts w:eastAsia="Calibri"/>
                <w:b/>
                <w:bCs/>
                <w:noProof/>
                <w:sz w:val="18"/>
                <w:szCs w:val="18"/>
                <w:lang w:val="it-IT" w:eastAsia="en-US"/>
                <w:rPrChange w:id="8155" w:author="Author">
                  <w:rPr>
                    <w:rFonts w:eastAsia="Calibri"/>
                    <w:b/>
                    <w:bCs/>
                    <w:szCs w:val="22"/>
                    <w:lang w:val="it-IT" w:eastAsia="en-US"/>
                  </w:rPr>
                </w:rPrChange>
              </w:rPr>
              <w:t>Studio II</w:t>
            </w:r>
          </w:p>
          <w:p>
            <w:pPr>
              <w:keepNext/>
              <w:widowControl w:val="0"/>
              <w:numPr>
                <w:ilvl w:val="12"/>
                <w:numId w:val="0"/>
              </w:numPr>
              <w:suppressAutoHyphens/>
              <w:jc w:val="center"/>
              <w:rPr>
                <w:noProof/>
                <w:sz w:val="18"/>
                <w:szCs w:val="18"/>
                <w:lang w:val="it-IT" w:eastAsia="en-US"/>
                <w:rPrChange w:id="8156" w:author="Author">
                  <w:rPr>
                    <w:szCs w:val="22"/>
                    <w:lang w:val="it-IT" w:eastAsia="en-US"/>
                  </w:rPr>
                </w:rPrChange>
              </w:rPr>
              <w:pPrChange w:id="8157" w:author="Author">
                <w:pPr>
                  <w:keepNext/>
                  <w:keepLines/>
                  <w:widowControl w:val="0"/>
                  <w:numPr>
                    <w:ilvl w:val="12"/>
                  </w:numPr>
                  <w:ind w:right="-2"/>
                  <w:jc w:val="center"/>
                </w:pPr>
              </w:pPrChange>
            </w:pPr>
            <w:r>
              <w:rPr>
                <w:rFonts w:eastAsia="Calibri"/>
                <w:b/>
                <w:bCs/>
                <w:noProof/>
                <w:sz w:val="18"/>
                <w:szCs w:val="18"/>
                <w:lang w:val="it-IT" w:eastAsia="en-US"/>
                <w:rPrChange w:id="8158" w:author="Author">
                  <w:rPr>
                    <w:rFonts w:eastAsia="Calibri"/>
                    <w:b/>
                    <w:bCs/>
                    <w:szCs w:val="22"/>
                    <w:lang w:val="it-IT" w:eastAsia="en-US"/>
                  </w:rPr>
                </w:rPrChange>
              </w:rPr>
              <w:t>LITHE</w:t>
            </w:r>
          </w:p>
        </w:tc>
        <w:tc>
          <w:tcPr>
            <w:tcW w:w="1728" w:type="dxa"/>
            <w:gridSpan w:val="2"/>
            <w:tcBorders>
              <w:bottom w:val="single" w:sz="4" w:space="0" w:color="auto"/>
            </w:tcBorders>
            <w:tcPrChange w:id="8159" w:author="Author">
              <w:tcPr>
                <w:tcW w:w="1800" w:type="dxa"/>
                <w:gridSpan w:val="3"/>
                <w:tcBorders>
                  <w:bottom w:val="single" w:sz="4" w:space="0" w:color="auto"/>
                </w:tcBorders>
              </w:tcPr>
            </w:tcPrChange>
          </w:tcPr>
          <w:p>
            <w:pPr>
              <w:keepNext/>
              <w:widowControl w:val="0"/>
              <w:numPr>
                <w:ilvl w:val="12"/>
                <w:numId w:val="0"/>
              </w:numPr>
              <w:suppressAutoHyphens/>
              <w:jc w:val="center"/>
              <w:rPr>
                <w:b/>
                <w:bCs/>
                <w:noProof/>
                <w:sz w:val="18"/>
                <w:szCs w:val="18"/>
                <w:lang w:val="it-IT" w:eastAsia="en-US"/>
                <w:rPrChange w:id="8160" w:author="Author">
                  <w:rPr>
                    <w:b/>
                    <w:bCs/>
                    <w:szCs w:val="22"/>
                    <w:lang w:val="it-IT" w:eastAsia="en-US"/>
                  </w:rPr>
                </w:rPrChange>
              </w:rPr>
              <w:pPrChange w:id="8161" w:author="Author">
                <w:pPr>
                  <w:keepNext/>
                  <w:keepLines/>
                  <w:widowControl w:val="0"/>
                  <w:numPr>
                    <w:ilvl w:val="12"/>
                  </w:numPr>
                  <w:ind w:right="-2"/>
                  <w:jc w:val="center"/>
                </w:pPr>
              </w:pPrChange>
            </w:pPr>
            <w:r>
              <w:rPr>
                <w:rFonts w:eastAsia="Calibri"/>
                <w:b/>
                <w:bCs/>
                <w:noProof/>
                <w:sz w:val="18"/>
                <w:szCs w:val="18"/>
                <w:lang w:val="it-IT" w:eastAsia="en-US"/>
                <w:rPrChange w:id="8162" w:author="Author">
                  <w:rPr>
                    <w:rFonts w:eastAsia="Calibri"/>
                    <w:b/>
                    <w:bCs/>
                    <w:szCs w:val="22"/>
                    <w:lang w:val="it-IT" w:eastAsia="en-US"/>
                  </w:rPr>
                </w:rPrChange>
              </w:rPr>
              <w:t>Studio III</w:t>
            </w:r>
          </w:p>
          <w:p>
            <w:pPr>
              <w:keepNext/>
              <w:widowControl w:val="0"/>
              <w:numPr>
                <w:ilvl w:val="12"/>
                <w:numId w:val="0"/>
              </w:numPr>
              <w:suppressAutoHyphens/>
              <w:jc w:val="center"/>
              <w:rPr>
                <w:noProof/>
                <w:sz w:val="18"/>
                <w:szCs w:val="18"/>
                <w:lang w:val="it-IT" w:eastAsia="en-US"/>
                <w:rPrChange w:id="8163" w:author="Author">
                  <w:rPr>
                    <w:szCs w:val="22"/>
                    <w:lang w:val="it-IT" w:eastAsia="en-US"/>
                  </w:rPr>
                </w:rPrChange>
              </w:rPr>
              <w:pPrChange w:id="8164" w:author="Author">
                <w:pPr>
                  <w:keepNext/>
                  <w:keepLines/>
                  <w:widowControl w:val="0"/>
                  <w:numPr>
                    <w:ilvl w:val="12"/>
                  </w:numPr>
                  <w:ind w:right="-2"/>
                  <w:jc w:val="center"/>
                </w:pPr>
              </w:pPrChange>
            </w:pPr>
            <w:r>
              <w:rPr>
                <w:rFonts w:eastAsia="Calibri"/>
                <w:b/>
                <w:bCs/>
                <w:noProof/>
                <w:sz w:val="18"/>
                <w:szCs w:val="18"/>
                <w:lang w:val="it-IT" w:eastAsia="en-US"/>
                <w:rPrChange w:id="8165" w:author="Author">
                  <w:rPr>
                    <w:rFonts w:eastAsia="Calibri"/>
                    <w:b/>
                    <w:bCs/>
                    <w:szCs w:val="22"/>
                    <w:lang w:val="it-IT" w:eastAsia="en-US"/>
                  </w:rPr>
                </w:rPrChange>
              </w:rPr>
              <w:t>OPTION</w:t>
            </w:r>
          </w:p>
        </w:tc>
        <w:tc>
          <w:tcPr>
            <w:tcW w:w="1876" w:type="dxa"/>
            <w:gridSpan w:val="2"/>
            <w:tcBorders>
              <w:bottom w:val="single" w:sz="4" w:space="0" w:color="auto"/>
            </w:tcBorders>
            <w:tcPrChange w:id="8166" w:author="Author">
              <w:tcPr>
                <w:tcW w:w="1980" w:type="dxa"/>
                <w:gridSpan w:val="3"/>
                <w:tcBorders>
                  <w:bottom w:val="single" w:sz="4" w:space="0" w:color="auto"/>
                </w:tcBorders>
              </w:tcPr>
            </w:tcPrChange>
          </w:tcPr>
          <w:p>
            <w:pPr>
              <w:keepNext/>
              <w:widowControl w:val="0"/>
              <w:numPr>
                <w:ilvl w:val="12"/>
                <w:numId w:val="0"/>
              </w:numPr>
              <w:suppressAutoHyphens/>
              <w:jc w:val="center"/>
              <w:rPr>
                <w:b/>
                <w:bCs/>
                <w:noProof/>
                <w:sz w:val="18"/>
                <w:szCs w:val="18"/>
                <w:lang w:val="it-IT" w:eastAsia="en-US"/>
                <w:rPrChange w:id="8167" w:author="Author">
                  <w:rPr>
                    <w:b/>
                    <w:bCs/>
                    <w:szCs w:val="22"/>
                    <w:lang w:val="it-IT" w:eastAsia="en-US"/>
                  </w:rPr>
                </w:rPrChange>
              </w:rPr>
              <w:pPrChange w:id="8168" w:author="Author">
                <w:pPr>
                  <w:keepNext/>
                  <w:keepLines/>
                  <w:widowControl w:val="0"/>
                  <w:numPr>
                    <w:ilvl w:val="12"/>
                  </w:numPr>
                  <w:ind w:right="-2"/>
                  <w:jc w:val="center"/>
                </w:pPr>
              </w:pPrChange>
            </w:pPr>
            <w:r>
              <w:rPr>
                <w:rFonts w:eastAsia="Calibri"/>
                <w:b/>
                <w:bCs/>
                <w:noProof/>
                <w:sz w:val="18"/>
                <w:szCs w:val="18"/>
                <w:lang w:val="it-IT" w:eastAsia="en-US"/>
                <w:rPrChange w:id="8169" w:author="Author">
                  <w:rPr>
                    <w:rFonts w:eastAsia="Calibri"/>
                    <w:b/>
                    <w:bCs/>
                    <w:szCs w:val="22"/>
                    <w:lang w:val="it-IT" w:eastAsia="en-US"/>
                  </w:rPr>
                </w:rPrChange>
              </w:rPr>
              <w:t>Studio IV</w:t>
            </w:r>
          </w:p>
          <w:p>
            <w:pPr>
              <w:keepNext/>
              <w:widowControl w:val="0"/>
              <w:numPr>
                <w:ilvl w:val="12"/>
                <w:numId w:val="0"/>
              </w:numPr>
              <w:suppressAutoHyphens/>
              <w:jc w:val="center"/>
              <w:rPr>
                <w:b/>
                <w:bCs/>
                <w:noProof/>
                <w:sz w:val="18"/>
                <w:szCs w:val="18"/>
                <w:lang w:val="it-IT" w:eastAsia="en-US"/>
                <w:rPrChange w:id="8170" w:author="Author">
                  <w:rPr>
                    <w:b/>
                    <w:bCs/>
                    <w:szCs w:val="22"/>
                    <w:lang w:val="it-IT" w:eastAsia="en-US"/>
                  </w:rPr>
                </w:rPrChange>
              </w:rPr>
              <w:pPrChange w:id="8171" w:author="Author">
                <w:pPr>
                  <w:keepNext/>
                  <w:keepLines/>
                  <w:widowControl w:val="0"/>
                  <w:numPr>
                    <w:ilvl w:val="12"/>
                  </w:numPr>
                  <w:ind w:right="-2"/>
                  <w:jc w:val="center"/>
                </w:pPr>
              </w:pPrChange>
            </w:pPr>
            <w:r>
              <w:rPr>
                <w:rFonts w:eastAsia="Calibri"/>
                <w:b/>
                <w:bCs/>
                <w:noProof/>
                <w:sz w:val="18"/>
                <w:szCs w:val="18"/>
                <w:lang w:val="it-IT" w:eastAsia="en-US"/>
                <w:rPrChange w:id="8172" w:author="Author">
                  <w:rPr>
                    <w:rFonts w:eastAsia="Calibri"/>
                    <w:b/>
                    <w:bCs/>
                    <w:szCs w:val="22"/>
                    <w:lang w:val="it-IT" w:eastAsia="en-US"/>
                  </w:rPr>
                </w:rPrChange>
              </w:rPr>
              <w:t>TOWARD</w:t>
            </w:r>
          </w:p>
        </w:tc>
        <w:tc>
          <w:tcPr>
            <w:tcW w:w="1526" w:type="dxa"/>
            <w:gridSpan w:val="2"/>
            <w:tcBorders>
              <w:bottom w:val="single" w:sz="4" w:space="0" w:color="auto"/>
            </w:tcBorders>
            <w:tcPrChange w:id="8173" w:author="Author">
              <w:tcPr>
                <w:tcW w:w="1800" w:type="dxa"/>
                <w:gridSpan w:val="4"/>
                <w:tcBorders>
                  <w:bottom w:val="single" w:sz="4" w:space="0" w:color="auto"/>
                </w:tcBorders>
              </w:tcPr>
            </w:tcPrChange>
          </w:tcPr>
          <w:p>
            <w:pPr>
              <w:keepNext/>
              <w:widowControl w:val="0"/>
              <w:numPr>
                <w:ilvl w:val="12"/>
                <w:numId w:val="0"/>
              </w:numPr>
              <w:suppressAutoHyphens/>
              <w:jc w:val="center"/>
              <w:rPr>
                <w:b/>
                <w:bCs/>
                <w:noProof/>
                <w:sz w:val="18"/>
                <w:szCs w:val="18"/>
                <w:lang w:val="it-IT" w:eastAsia="en-US"/>
                <w:rPrChange w:id="8174" w:author="Author">
                  <w:rPr>
                    <w:b/>
                    <w:bCs/>
                    <w:szCs w:val="22"/>
                    <w:lang w:val="it-IT" w:eastAsia="en-US"/>
                  </w:rPr>
                </w:rPrChange>
              </w:rPr>
              <w:pPrChange w:id="8175" w:author="Author">
                <w:pPr>
                  <w:keepNext/>
                  <w:keepLines/>
                  <w:widowControl w:val="0"/>
                  <w:numPr>
                    <w:ilvl w:val="12"/>
                  </w:numPr>
                  <w:ind w:right="-2"/>
                  <w:jc w:val="center"/>
                </w:pPr>
              </w:pPrChange>
            </w:pPr>
            <w:r>
              <w:rPr>
                <w:rFonts w:eastAsia="Calibri"/>
                <w:b/>
                <w:bCs/>
                <w:noProof/>
                <w:sz w:val="18"/>
                <w:szCs w:val="18"/>
                <w:lang w:val="it-IT" w:eastAsia="en-US"/>
                <w:rPrChange w:id="8176" w:author="Author">
                  <w:rPr>
                    <w:rFonts w:eastAsia="Calibri"/>
                    <w:b/>
                    <w:bCs/>
                    <w:szCs w:val="22"/>
                    <w:lang w:val="it-IT" w:eastAsia="en-US"/>
                  </w:rPr>
                </w:rPrChange>
              </w:rPr>
              <w:t>Studio V</w:t>
            </w:r>
          </w:p>
          <w:p>
            <w:pPr>
              <w:keepNext/>
              <w:widowControl w:val="0"/>
              <w:numPr>
                <w:ilvl w:val="12"/>
                <w:numId w:val="0"/>
              </w:numPr>
              <w:suppressAutoHyphens/>
              <w:jc w:val="center"/>
              <w:rPr>
                <w:b/>
                <w:bCs/>
                <w:noProof/>
                <w:sz w:val="18"/>
                <w:szCs w:val="18"/>
                <w:lang w:val="it-IT" w:eastAsia="en-US"/>
                <w:rPrChange w:id="8177" w:author="Author">
                  <w:rPr>
                    <w:b/>
                    <w:bCs/>
                    <w:szCs w:val="22"/>
                    <w:lang w:val="it-IT" w:eastAsia="en-US"/>
                  </w:rPr>
                </w:rPrChange>
              </w:rPr>
              <w:pPrChange w:id="8178" w:author="Author">
                <w:pPr>
                  <w:keepNext/>
                  <w:keepLines/>
                  <w:widowControl w:val="0"/>
                  <w:numPr>
                    <w:ilvl w:val="12"/>
                  </w:numPr>
                  <w:ind w:right="-2"/>
                  <w:jc w:val="center"/>
                </w:pPr>
              </w:pPrChange>
            </w:pPr>
            <w:r>
              <w:rPr>
                <w:rFonts w:eastAsia="Calibri"/>
                <w:b/>
                <w:bCs/>
                <w:noProof/>
                <w:sz w:val="18"/>
                <w:szCs w:val="18"/>
                <w:lang w:val="it-IT" w:eastAsia="en-US"/>
                <w:rPrChange w:id="8179" w:author="Author">
                  <w:rPr>
                    <w:rFonts w:eastAsia="Calibri"/>
                    <w:b/>
                    <w:bCs/>
                    <w:szCs w:val="22"/>
                    <w:lang w:val="it-IT" w:eastAsia="en-US"/>
                  </w:rPr>
                </w:rPrChange>
              </w:rPr>
              <w:t>RADIATE</w:t>
            </w:r>
          </w:p>
        </w:tc>
      </w:tr>
      <w:tr>
        <w:trPr>
          <w:cantSplit/>
          <w:tblHeader/>
          <w:trPrChange w:id="8180" w:author="Author">
            <w:trPr>
              <w:gridBefore w:val="1"/>
              <w:cantSplit/>
            </w:trPr>
          </w:trPrChange>
        </w:trPr>
        <w:tc>
          <w:tcPr>
            <w:tcW w:w="846" w:type="dxa"/>
            <w:tcPrChange w:id="8181" w:author="Author">
              <w:tcPr>
                <w:tcW w:w="846" w:type="dxa"/>
              </w:tcPr>
            </w:tcPrChange>
          </w:tcPr>
          <w:p>
            <w:pPr>
              <w:keepNext/>
              <w:widowControl w:val="0"/>
              <w:numPr>
                <w:ilvl w:val="12"/>
                <w:numId w:val="0"/>
              </w:numPr>
              <w:suppressAutoHyphens/>
              <w:rPr>
                <w:noProof/>
                <w:sz w:val="18"/>
                <w:szCs w:val="18"/>
                <w:lang w:val="it-IT" w:eastAsia="en-US"/>
                <w:rPrChange w:id="8182" w:author="Author">
                  <w:rPr>
                    <w:szCs w:val="22"/>
                    <w:lang w:val="it-IT" w:eastAsia="en-US"/>
                  </w:rPr>
                </w:rPrChange>
              </w:rPr>
              <w:pPrChange w:id="8183" w:author="Author">
                <w:pPr>
                  <w:keepNext/>
                  <w:keepLines/>
                  <w:widowControl w:val="0"/>
                  <w:numPr>
                    <w:ilvl w:val="12"/>
                  </w:numPr>
                  <w:ind w:right="-2"/>
                </w:pPr>
              </w:pPrChange>
            </w:pPr>
            <w:r>
              <w:rPr>
                <w:rFonts w:eastAsia="Calibri"/>
                <w:bCs/>
                <w:noProof/>
                <w:sz w:val="18"/>
                <w:szCs w:val="18"/>
                <w:lang w:val="it-IT" w:eastAsia="en-US"/>
                <w:rPrChange w:id="8184" w:author="Author">
                  <w:rPr>
                    <w:rFonts w:eastAsia="Calibri"/>
                    <w:bCs/>
                    <w:szCs w:val="22"/>
                    <w:lang w:val="it-IT" w:eastAsia="en-US"/>
                  </w:rPr>
                </w:rPrChange>
              </w:rPr>
              <w:t>settimana</w:t>
            </w:r>
          </w:p>
        </w:tc>
        <w:tc>
          <w:tcPr>
            <w:tcW w:w="717" w:type="dxa"/>
            <w:tcBorders>
              <w:right w:val="single" w:sz="4" w:space="0" w:color="auto"/>
            </w:tcBorders>
            <w:tcPrChange w:id="8185" w:author="Author">
              <w:tcPr>
                <w:tcW w:w="717" w:type="dxa"/>
                <w:gridSpan w:val="2"/>
                <w:tcBorders>
                  <w:right w:val="single" w:sz="4" w:space="0" w:color="auto"/>
                </w:tcBorders>
              </w:tcPr>
            </w:tcPrChange>
          </w:tcPr>
          <w:p>
            <w:pPr>
              <w:keepNext/>
              <w:widowControl w:val="0"/>
              <w:numPr>
                <w:ilvl w:val="12"/>
                <w:numId w:val="0"/>
              </w:numPr>
              <w:suppressAutoHyphens/>
              <w:jc w:val="center"/>
              <w:rPr>
                <w:b/>
                <w:bCs/>
                <w:noProof/>
                <w:sz w:val="18"/>
                <w:szCs w:val="18"/>
                <w:lang w:val="it-IT" w:eastAsia="en-US"/>
                <w:rPrChange w:id="8186" w:author="Author">
                  <w:rPr>
                    <w:b/>
                    <w:bCs/>
                    <w:szCs w:val="22"/>
                    <w:lang w:val="it-IT" w:eastAsia="en-US"/>
                  </w:rPr>
                </w:rPrChange>
              </w:rPr>
              <w:pPrChange w:id="8187" w:author="Author">
                <w:pPr>
                  <w:keepNext/>
                  <w:keepLines/>
                  <w:widowControl w:val="0"/>
                  <w:numPr>
                    <w:ilvl w:val="12"/>
                  </w:numPr>
                  <w:ind w:right="-2"/>
                  <w:jc w:val="center"/>
                </w:pPr>
              </w:pPrChange>
            </w:pPr>
            <w:r>
              <w:rPr>
                <w:rFonts w:eastAsia="Calibri"/>
                <w:b/>
                <w:bCs/>
                <w:noProof/>
                <w:sz w:val="18"/>
                <w:szCs w:val="18"/>
                <w:lang w:val="it-IT" w:eastAsia="en-US"/>
                <w:rPrChange w:id="8188" w:author="Author">
                  <w:rPr>
                    <w:rFonts w:eastAsia="Calibri"/>
                    <w:b/>
                    <w:bCs/>
                    <w:szCs w:val="22"/>
                    <w:lang w:val="it-IT" w:eastAsia="en-US"/>
                  </w:rPr>
                </w:rPrChange>
              </w:rPr>
              <w:t>TCZ</w:t>
            </w:r>
          </w:p>
          <w:p>
            <w:pPr>
              <w:keepNext/>
              <w:widowControl w:val="0"/>
              <w:numPr>
                <w:ilvl w:val="12"/>
                <w:numId w:val="0"/>
              </w:numPr>
              <w:suppressAutoHyphens/>
              <w:jc w:val="center"/>
              <w:rPr>
                <w:noProof/>
                <w:sz w:val="18"/>
                <w:szCs w:val="18"/>
                <w:lang w:val="it-IT" w:eastAsia="en-US"/>
                <w:rPrChange w:id="8189" w:author="Author">
                  <w:rPr>
                    <w:szCs w:val="22"/>
                    <w:lang w:val="it-IT" w:eastAsia="en-US"/>
                  </w:rPr>
                </w:rPrChange>
              </w:rPr>
              <w:pPrChange w:id="8190" w:author="Author">
                <w:pPr>
                  <w:keepNext/>
                  <w:keepLines/>
                  <w:widowControl w:val="0"/>
                  <w:numPr>
                    <w:ilvl w:val="12"/>
                  </w:numPr>
                  <w:ind w:right="-2"/>
                  <w:jc w:val="center"/>
                </w:pPr>
              </w:pPrChange>
            </w:pPr>
            <w:r>
              <w:rPr>
                <w:rFonts w:eastAsia="Calibri"/>
                <w:b/>
                <w:bCs/>
                <w:noProof/>
                <w:sz w:val="18"/>
                <w:szCs w:val="18"/>
                <w:lang w:val="it-IT" w:eastAsia="en-US"/>
                <w:rPrChange w:id="8191" w:author="Author">
                  <w:rPr>
                    <w:rFonts w:eastAsia="Calibri"/>
                    <w:b/>
                    <w:bCs/>
                    <w:szCs w:val="22"/>
                    <w:lang w:val="it-IT" w:eastAsia="en-US"/>
                  </w:rPr>
                </w:rPrChange>
              </w:rPr>
              <w:t>8 mg/kg</w:t>
            </w:r>
          </w:p>
        </w:tc>
        <w:tc>
          <w:tcPr>
            <w:tcW w:w="700" w:type="dxa"/>
            <w:tcBorders>
              <w:left w:val="single" w:sz="4" w:space="0" w:color="auto"/>
              <w:right w:val="single" w:sz="4" w:space="0" w:color="auto"/>
            </w:tcBorders>
            <w:tcPrChange w:id="8192" w:author="Author">
              <w:tcPr>
                <w:tcW w:w="700" w:type="dxa"/>
                <w:tcBorders>
                  <w:left w:val="single" w:sz="4" w:space="0" w:color="auto"/>
                  <w:right w:val="single" w:sz="4" w:space="0" w:color="auto"/>
                </w:tcBorders>
              </w:tcPr>
            </w:tcPrChange>
          </w:tcPr>
          <w:p>
            <w:pPr>
              <w:keepNext/>
              <w:widowControl w:val="0"/>
              <w:numPr>
                <w:ilvl w:val="12"/>
                <w:numId w:val="0"/>
              </w:numPr>
              <w:suppressAutoHyphens/>
              <w:jc w:val="center"/>
              <w:rPr>
                <w:noProof/>
                <w:sz w:val="18"/>
                <w:szCs w:val="18"/>
                <w:lang w:val="it-IT" w:eastAsia="en-US"/>
                <w:rPrChange w:id="8193" w:author="Author">
                  <w:rPr>
                    <w:szCs w:val="22"/>
                    <w:lang w:val="it-IT" w:eastAsia="en-US"/>
                  </w:rPr>
                </w:rPrChange>
              </w:rPr>
              <w:pPrChange w:id="8194" w:author="Author">
                <w:pPr>
                  <w:keepNext/>
                  <w:keepLines/>
                  <w:widowControl w:val="0"/>
                  <w:numPr>
                    <w:ilvl w:val="12"/>
                  </w:numPr>
                  <w:ind w:right="-2"/>
                  <w:jc w:val="center"/>
                </w:pPr>
              </w:pPrChange>
            </w:pPr>
            <w:r>
              <w:rPr>
                <w:rFonts w:eastAsia="Calibri"/>
                <w:b/>
                <w:bCs/>
                <w:noProof/>
                <w:sz w:val="18"/>
                <w:szCs w:val="18"/>
                <w:lang w:val="it-IT" w:eastAsia="en-US"/>
                <w:rPrChange w:id="8195" w:author="Author">
                  <w:rPr>
                    <w:rFonts w:eastAsia="Calibri"/>
                    <w:b/>
                    <w:bCs/>
                    <w:szCs w:val="22"/>
                    <w:lang w:val="it-IT" w:eastAsia="en-US"/>
                  </w:rPr>
                </w:rPrChange>
              </w:rPr>
              <w:t>MTX</w:t>
            </w:r>
          </w:p>
        </w:tc>
        <w:tc>
          <w:tcPr>
            <w:tcW w:w="854" w:type="dxa"/>
            <w:tcBorders>
              <w:left w:val="single" w:sz="4" w:space="0" w:color="auto"/>
              <w:right w:val="single" w:sz="4" w:space="0" w:color="auto"/>
            </w:tcBorders>
            <w:tcPrChange w:id="8196" w:author="Author">
              <w:tcPr>
                <w:tcW w:w="854" w:type="dxa"/>
                <w:gridSpan w:val="2"/>
                <w:tcBorders>
                  <w:left w:val="single" w:sz="4" w:space="0" w:color="auto"/>
                  <w:right w:val="single" w:sz="4" w:space="0" w:color="auto"/>
                </w:tcBorders>
              </w:tcPr>
            </w:tcPrChange>
          </w:tcPr>
          <w:p>
            <w:pPr>
              <w:keepNext/>
              <w:widowControl w:val="0"/>
              <w:numPr>
                <w:ilvl w:val="12"/>
                <w:numId w:val="0"/>
              </w:numPr>
              <w:suppressAutoHyphens/>
              <w:jc w:val="center"/>
              <w:rPr>
                <w:b/>
                <w:bCs/>
                <w:noProof/>
                <w:sz w:val="18"/>
                <w:szCs w:val="18"/>
                <w:lang w:val="it-IT" w:eastAsia="en-US"/>
                <w:rPrChange w:id="8197" w:author="Author">
                  <w:rPr>
                    <w:b/>
                    <w:bCs/>
                    <w:szCs w:val="22"/>
                    <w:lang w:val="it-IT" w:eastAsia="en-US"/>
                  </w:rPr>
                </w:rPrChange>
              </w:rPr>
              <w:pPrChange w:id="8198" w:author="Author">
                <w:pPr>
                  <w:keepNext/>
                  <w:keepLines/>
                  <w:widowControl w:val="0"/>
                  <w:numPr>
                    <w:ilvl w:val="12"/>
                  </w:numPr>
                  <w:ind w:right="-2"/>
                  <w:jc w:val="center"/>
                </w:pPr>
              </w:pPrChange>
            </w:pPr>
            <w:r>
              <w:rPr>
                <w:rFonts w:eastAsia="Calibri"/>
                <w:b/>
                <w:bCs/>
                <w:noProof/>
                <w:sz w:val="18"/>
                <w:szCs w:val="18"/>
                <w:lang w:val="it-IT" w:eastAsia="en-US"/>
                <w:rPrChange w:id="8199" w:author="Author">
                  <w:rPr>
                    <w:rFonts w:eastAsia="Calibri"/>
                    <w:b/>
                    <w:bCs/>
                    <w:szCs w:val="22"/>
                    <w:lang w:val="it-IT" w:eastAsia="en-US"/>
                  </w:rPr>
                </w:rPrChange>
              </w:rPr>
              <w:t>TCZ</w:t>
            </w:r>
          </w:p>
          <w:p>
            <w:pPr>
              <w:keepNext/>
              <w:widowControl w:val="0"/>
              <w:numPr>
                <w:ilvl w:val="12"/>
                <w:numId w:val="0"/>
              </w:numPr>
              <w:suppressAutoHyphens/>
              <w:jc w:val="center"/>
              <w:rPr>
                <w:b/>
                <w:bCs/>
                <w:noProof/>
                <w:sz w:val="18"/>
                <w:szCs w:val="18"/>
                <w:lang w:val="it-IT" w:eastAsia="en-US"/>
                <w:rPrChange w:id="8200" w:author="Author">
                  <w:rPr>
                    <w:b/>
                    <w:bCs/>
                    <w:szCs w:val="22"/>
                    <w:lang w:val="it-IT" w:eastAsia="en-US"/>
                  </w:rPr>
                </w:rPrChange>
              </w:rPr>
              <w:pPrChange w:id="8201" w:author="Author">
                <w:pPr>
                  <w:keepNext/>
                  <w:keepLines/>
                  <w:widowControl w:val="0"/>
                  <w:numPr>
                    <w:ilvl w:val="12"/>
                  </w:numPr>
                  <w:ind w:right="-2"/>
                  <w:jc w:val="center"/>
                </w:pPr>
              </w:pPrChange>
            </w:pPr>
            <w:r>
              <w:rPr>
                <w:rFonts w:eastAsia="Calibri"/>
                <w:b/>
                <w:bCs/>
                <w:noProof/>
                <w:sz w:val="18"/>
                <w:szCs w:val="18"/>
                <w:lang w:val="it-IT" w:eastAsia="en-US"/>
                <w:rPrChange w:id="8202" w:author="Author">
                  <w:rPr>
                    <w:rFonts w:eastAsia="Calibri"/>
                    <w:b/>
                    <w:bCs/>
                    <w:szCs w:val="22"/>
                    <w:lang w:val="it-IT" w:eastAsia="en-US"/>
                  </w:rPr>
                </w:rPrChange>
              </w:rPr>
              <w:t>8 mg/kg + MTX</w:t>
            </w:r>
          </w:p>
        </w:tc>
        <w:tc>
          <w:tcPr>
            <w:tcW w:w="847" w:type="dxa"/>
            <w:tcBorders>
              <w:left w:val="single" w:sz="4" w:space="0" w:color="auto"/>
              <w:right w:val="single" w:sz="4" w:space="0" w:color="auto"/>
            </w:tcBorders>
            <w:tcPrChange w:id="8203" w:author="Author">
              <w:tcPr>
                <w:tcW w:w="847" w:type="dxa"/>
                <w:tcBorders>
                  <w:left w:val="single" w:sz="4" w:space="0" w:color="auto"/>
                  <w:right w:val="single" w:sz="4" w:space="0" w:color="auto"/>
                </w:tcBorders>
              </w:tcPr>
            </w:tcPrChange>
          </w:tcPr>
          <w:p>
            <w:pPr>
              <w:keepNext/>
              <w:widowControl w:val="0"/>
              <w:numPr>
                <w:ilvl w:val="12"/>
                <w:numId w:val="0"/>
              </w:numPr>
              <w:suppressAutoHyphens/>
              <w:jc w:val="center"/>
              <w:rPr>
                <w:noProof/>
                <w:sz w:val="18"/>
                <w:szCs w:val="18"/>
                <w:lang w:val="it-IT" w:eastAsia="en-US"/>
                <w:rPrChange w:id="8204" w:author="Author">
                  <w:rPr>
                    <w:szCs w:val="22"/>
                    <w:lang w:val="it-IT" w:eastAsia="en-US"/>
                  </w:rPr>
                </w:rPrChange>
              </w:rPr>
              <w:pPrChange w:id="8205" w:author="Author">
                <w:pPr>
                  <w:keepNext/>
                  <w:keepLines/>
                  <w:widowControl w:val="0"/>
                  <w:numPr>
                    <w:ilvl w:val="12"/>
                  </w:numPr>
                  <w:ind w:right="-2"/>
                  <w:jc w:val="center"/>
                </w:pPr>
              </w:pPrChange>
            </w:pPr>
            <w:r>
              <w:rPr>
                <w:rFonts w:eastAsia="Calibri"/>
                <w:b/>
                <w:bCs/>
                <w:noProof/>
                <w:sz w:val="18"/>
                <w:szCs w:val="18"/>
                <w:lang w:val="it-IT" w:eastAsia="en-US"/>
                <w:rPrChange w:id="8206" w:author="Author">
                  <w:rPr>
                    <w:rFonts w:eastAsia="Calibri"/>
                    <w:b/>
                    <w:bCs/>
                    <w:szCs w:val="22"/>
                    <w:lang w:val="it-IT" w:eastAsia="en-US"/>
                  </w:rPr>
                </w:rPrChange>
              </w:rPr>
              <w:t>PBO + MTX</w:t>
            </w:r>
          </w:p>
        </w:tc>
        <w:tc>
          <w:tcPr>
            <w:tcW w:w="889" w:type="dxa"/>
            <w:tcBorders>
              <w:left w:val="single" w:sz="4" w:space="0" w:color="auto"/>
              <w:right w:val="single" w:sz="4" w:space="0" w:color="auto"/>
            </w:tcBorders>
            <w:tcPrChange w:id="8207" w:author="Author">
              <w:tcPr>
                <w:tcW w:w="889" w:type="dxa"/>
                <w:gridSpan w:val="2"/>
                <w:tcBorders>
                  <w:left w:val="single" w:sz="4" w:space="0" w:color="auto"/>
                  <w:right w:val="single" w:sz="4" w:space="0" w:color="auto"/>
                </w:tcBorders>
              </w:tcPr>
            </w:tcPrChange>
          </w:tcPr>
          <w:p>
            <w:pPr>
              <w:keepNext/>
              <w:widowControl w:val="0"/>
              <w:numPr>
                <w:ilvl w:val="12"/>
                <w:numId w:val="0"/>
              </w:numPr>
              <w:suppressAutoHyphens/>
              <w:jc w:val="center"/>
              <w:rPr>
                <w:b/>
                <w:bCs/>
                <w:noProof/>
                <w:sz w:val="18"/>
                <w:szCs w:val="18"/>
                <w:lang w:val="it-IT" w:eastAsia="en-US"/>
                <w:rPrChange w:id="8208" w:author="Author">
                  <w:rPr>
                    <w:b/>
                    <w:bCs/>
                    <w:szCs w:val="22"/>
                    <w:lang w:val="it-IT" w:eastAsia="en-US"/>
                  </w:rPr>
                </w:rPrChange>
              </w:rPr>
              <w:pPrChange w:id="8209" w:author="Author">
                <w:pPr>
                  <w:keepNext/>
                  <w:keepLines/>
                  <w:widowControl w:val="0"/>
                  <w:numPr>
                    <w:ilvl w:val="12"/>
                  </w:numPr>
                  <w:ind w:right="-2"/>
                  <w:jc w:val="center"/>
                </w:pPr>
              </w:pPrChange>
            </w:pPr>
            <w:r>
              <w:rPr>
                <w:rFonts w:eastAsia="Calibri"/>
                <w:b/>
                <w:bCs/>
                <w:noProof/>
                <w:sz w:val="18"/>
                <w:szCs w:val="18"/>
                <w:lang w:val="it-IT" w:eastAsia="en-US"/>
                <w:rPrChange w:id="8210" w:author="Author">
                  <w:rPr>
                    <w:rFonts w:eastAsia="Calibri"/>
                    <w:b/>
                    <w:bCs/>
                    <w:szCs w:val="22"/>
                    <w:lang w:val="it-IT" w:eastAsia="en-US"/>
                  </w:rPr>
                </w:rPrChange>
              </w:rPr>
              <w:t>TCZ</w:t>
            </w:r>
          </w:p>
          <w:p>
            <w:pPr>
              <w:keepNext/>
              <w:widowControl w:val="0"/>
              <w:numPr>
                <w:ilvl w:val="12"/>
                <w:numId w:val="0"/>
              </w:numPr>
              <w:suppressAutoHyphens/>
              <w:jc w:val="center"/>
              <w:rPr>
                <w:b/>
                <w:bCs/>
                <w:noProof/>
                <w:sz w:val="18"/>
                <w:szCs w:val="18"/>
                <w:lang w:val="it-IT" w:eastAsia="en-US"/>
                <w:rPrChange w:id="8211" w:author="Author">
                  <w:rPr>
                    <w:b/>
                    <w:bCs/>
                    <w:szCs w:val="22"/>
                    <w:lang w:val="it-IT" w:eastAsia="en-US"/>
                  </w:rPr>
                </w:rPrChange>
              </w:rPr>
              <w:pPrChange w:id="8212" w:author="Author">
                <w:pPr>
                  <w:keepNext/>
                  <w:keepLines/>
                  <w:widowControl w:val="0"/>
                  <w:numPr>
                    <w:ilvl w:val="12"/>
                  </w:numPr>
                  <w:ind w:right="-2"/>
                  <w:jc w:val="center"/>
                </w:pPr>
              </w:pPrChange>
            </w:pPr>
            <w:r>
              <w:rPr>
                <w:rFonts w:eastAsia="Calibri"/>
                <w:b/>
                <w:bCs/>
                <w:noProof/>
                <w:sz w:val="18"/>
                <w:szCs w:val="18"/>
                <w:lang w:val="it-IT" w:eastAsia="en-US"/>
                <w:rPrChange w:id="8213" w:author="Author">
                  <w:rPr>
                    <w:rFonts w:eastAsia="Calibri"/>
                    <w:b/>
                    <w:bCs/>
                    <w:szCs w:val="22"/>
                    <w:lang w:val="it-IT" w:eastAsia="en-US"/>
                  </w:rPr>
                </w:rPrChange>
              </w:rPr>
              <w:t>8 mg/kg + MTX</w:t>
            </w:r>
          </w:p>
        </w:tc>
        <w:tc>
          <w:tcPr>
            <w:tcW w:w="839" w:type="dxa"/>
            <w:tcBorders>
              <w:left w:val="single" w:sz="4" w:space="0" w:color="auto"/>
            </w:tcBorders>
            <w:tcPrChange w:id="8214" w:author="Author">
              <w:tcPr>
                <w:tcW w:w="839" w:type="dxa"/>
                <w:tcBorders>
                  <w:left w:val="single" w:sz="4" w:space="0" w:color="auto"/>
                </w:tcBorders>
              </w:tcPr>
            </w:tcPrChange>
          </w:tcPr>
          <w:p>
            <w:pPr>
              <w:keepNext/>
              <w:widowControl w:val="0"/>
              <w:numPr>
                <w:ilvl w:val="12"/>
                <w:numId w:val="0"/>
              </w:numPr>
              <w:suppressAutoHyphens/>
              <w:jc w:val="center"/>
              <w:rPr>
                <w:b/>
                <w:bCs/>
                <w:noProof/>
                <w:sz w:val="18"/>
                <w:szCs w:val="18"/>
                <w:lang w:val="it-IT" w:eastAsia="en-US"/>
                <w:rPrChange w:id="8215" w:author="Author">
                  <w:rPr>
                    <w:b/>
                    <w:bCs/>
                    <w:szCs w:val="22"/>
                    <w:lang w:val="it-IT" w:eastAsia="en-US"/>
                  </w:rPr>
                </w:rPrChange>
              </w:rPr>
              <w:pPrChange w:id="8216" w:author="Author">
                <w:pPr>
                  <w:keepNext/>
                  <w:keepLines/>
                  <w:widowControl w:val="0"/>
                  <w:numPr>
                    <w:ilvl w:val="12"/>
                  </w:numPr>
                  <w:ind w:right="-2"/>
                  <w:jc w:val="center"/>
                </w:pPr>
              </w:pPrChange>
            </w:pPr>
            <w:r>
              <w:rPr>
                <w:rFonts w:eastAsia="Calibri"/>
                <w:b/>
                <w:bCs/>
                <w:noProof/>
                <w:sz w:val="18"/>
                <w:szCs w:val="18"/>
                <w:lang w:val="it-IT" w:eastAsia="en-US"/>
                <w:rPrChange w:id="8217" w:author="Author">
                  <w:rPr>
                    <w:rFonts w:eastAsia="Calibri"/>
                    <w:b/>
                    <w:bCs/>
                    <w:szCs w:val="22"/>
                    <w:lang w:val="it-IT" w:eastAsia="en-US"/>
                  </w:rPr>
                </w:rPrChange>
              </w:rPr>
              <w:t>PBO + MTX</w:t>
            </w:r>
          </w:p>
        </w:tc>
        <w:tc>
          <w:tcPr>
            <w:tcW w:w="980" w:type="dxa"/>
            <w:tcBorders>
              <w:left w:val="nil"/>
              <w:right w:val="single" w:sz="4" w:space="0" w:color="auto"/>
            </w:tcBorders>
            <w:tcPrChange w:id="8218" w:author="Author">
              <w:tcPr>
                <w:tcW w:w="980" w:type="dxa"/>
                <w:gridSpan w:val="2"/>
                <w:tcBorders>
                  <w:left w:val="nil"/>
                  <w:right w:val="single" w:sz="4" w:space="0" w:color="auto"/>
                </w:tcBorders>
              </w:tcPr>
            </w:tcPrChange>
          </w:tcPr>
          <w:p>
            <w:pPr>
              <w:keepNext/>
              <w:widowControl w:val="0"/>
              <w:numPr>
                <w:ilvl w:val="12"/>
                <w:numId w:val="0"/>
              </w:numPr>
              <w:suppressAutoHyphens/>
              <w:jc w:val="center"/>
              <w:rPr>
                <w:b/>
                <w:bCs/>
                <w:noProof/>
                <w:sz w:val="18"/>
                <w:szCs w:val="18"/>
                <w:lang w:val="it-IT" w:eastAsia="en-US"/>
                <w:rPrChange w:id="8219" w:author="Author">
                  <w:rPr>
                    <w:b/>
                    <w:bCs/>
                    <w:szCs w:val="22"/>
                    <w:lang w:val="it-IT" w:eastAsia="en-US"/>
                  </w:rPr>
                </w:rPrChange>
              </w:rPr>
              <w:pPrChange w:id="8220" w:author="Author">
                <w:pPr>
                  <w:keepNext/>
                  <w:keepLines/>
                  <w:widowControl w:val="0"/>
                  <w:numPr>
                    <w:ilvl w:val="12"/>
                  </w:numPr>
                  <w:ind w:right="-2"/>
                  <w:jc w:val="center"/>
                </w:pPr>
              </w:pPrChange>
            </w:pPr>
            <w:r>
              <w:rPr>
                <w:rFonts w:eastAsia="Calibri"/>
                <w:b/>
                <w:bCs/>
                <w:noProof/>
                <w:sz w:val="18"/>
                <w:szCs w:val="18"/>
                <w:lang w:val="it-IT" w:eastAsia="en-US"/>
                <w:rPrChange w:id="8221" w:author="Author">
                  <w:rPr>
                    <w:rFonts w:eastAsia="Calibri"/>
                    <w:b/>
                    <w:bCs/>
                    <w:szCs w:val="22"/>
                    <w:lang w:val="it-IT" w:eastAsia="en-US"/>
                  </w:rPr>
                </w:rPrChange>
              </w:rPr>
              <w:t>TCZ</w:t>
            </w:r>
          </w:p>
          <w:p>
            <w:pPr>
              <w:keepNext/>
              <w:widowControl w:val="0"/>
              <w:numPr>
                <w:ilvl w:val="12"/>
                <w:numId w:val="0"/>
              </w:numPr>
              <w:suppressAutoHyphens/>
              <w:jc w:val="center"/>
              <w:rPr>
                <w:b/>
                <w:bCs/>
                <w:noProof/>
                <w:sz w:val="18"/>
                <w:szCs w:val="18"/>
                <w:lang w:val="it-IT" w:eastAsia="en-US"/>
                <w:rPrChange w:id="8222" w:author="Author">
                  <w:rPr>
                    <w:b/>
                    <w:bCs/>
                    <w:szCs w:val="22"/>
                    <w:lang w:val="it-IT" w:eastAsia="en-US"/>
                  </w:rPr>
                </w:rPrChange>
              </w:rPr>
              <w:pPrChange w:id="8223" w:author="Author">
                <w:pPr>
                  <w:keepNext/>
                  <w:keepLines/>
                  <w:widowControl w:val="0"/>
                  <w:numPr>
                    <w:ilvl w:val="12"/>
                  </w:numPr>
                  <w:ind w:right="-2"/>
                  <w:jc w:val="center"/>
                </w:pPr>
              </w:pPrChange>
            </w:pPr>
            <w:r>
              <w:rPr>
                <w:rFonts w:eastAsia="Calibri"/>
                <w:b/>
                <w:bCs/>
                <w:noProof/>
                <w:sz w:val="18"/>
                <w:szCs w:val="18"/>
                <w:lang w:val="it-IT" w:eastAsia="en-US"/>
                <w:rPrChange w:id="8224" w:author="Author">
                  <w:rPr>
                    <w:rFonts w:eastAsia="Calibri"/>
                    <w:b/>
                    <w:bCs/>
                    <w:szCs w:val="22"/>
                    <w:lang w:val="it-IT" w:eastAsia="en-US"/>
                  </w:rPr>
                </w:rPrChange>
              </w:rPr>
              <w:t>8 mg/kg + DMARD</w:t>
            </w:r>
          </w:p>
        </w:tc>
        <w:tc>
          <w:tcPr>
            <w:tcW w:w="896" w:type="dxa"/>
            <w:tcBorders>
              <w:left w:val="single" w:sz="4" w:space="0" w:color="auto"/>
            </w:tcBorders>
            <w:tcPrChange w:id="8225" w:author="Author">
              <w:tcPr>
                <w:tcW w:w="896" w:type="dxa"/>
                <w:tcBorders>
                  <w:left w:val="single" w:sz="4" w:space="0" w:color="auto"/>
                </w:tcBorders>
              </w:tcPr>
            </w:tcPrChange>
          </w:tcPr>
          <w:p>
            <w:pPr>
              <w:keepNext/>
              <w:widowControl w:val="0"/>
              <w:numPr>
                <w:ilvl w:val="12"/>
                <w:numId w:val="0"/>
              </w:numPr>
              <w:suppressAutoHyphens/>
              <w:jc w:val="center"/>
              <w:rPr>
                <w:b/>
                <w:bCs/>
                <w:noProof/>
                <w:sz w:val="18"/>
                <w:szCs w:val="18"/>
                <w:lang w:val="it-IT" w:eastAsia="en-US"/>
                <w:rPrChange w:id="8226" w:author="Author">
                  <w:rPr>
                    <w:b/>
                    <w:bCs/>
                    <w:szCs w:val="22"/>
                    <w:lang w:val="it-IT" w:eastAsia="en-US"/>
                  </w:rPr>
                </w:rPrChange>
              </w:rPr>
              <w:pPrChange w:id="8227" w:author="Author">
                <w:pPr>
                  <w:keepNext/>
                  <w:keepLines/>
                  <w:widowControl w:val="0"/>
                  <w:numPr>
                    <w:ilvl w:val="12"/>
                  </w:numPr>
                  <w:ind w:right="-2"/>
                  <w:jc w:val="center"/>
                </w:pPr>
              </w:pPrChange>
            </w:pPr>
            <w:r>
              <w:rPr>
                <w:rFonts w:eastAsia="Calibri"/>
                <w:b/>
                <w:bCs/>
                <w:noProof/>
                <w:sz w:val="18"/>
                <w:szCs w:val="18"/>
                <w:lang w:val="it-IT" w:eastAsia="en-US"/>
                <w:rPrChange w:id="8228" w:author="Author">
                  <w:rPr>
                    <w:rFonts w:eastAsia="Calibri"/>
                    <w:b/>
                    <w:bCs/>
                    <w:szCs w:val="22"/>
                    <w:lang w:val="it-IT" w:eastAsia="en-US"/>
                  </w:rPr>
                </w:rPrChange>
              </w:rPr>
              <w:t>PBO + DMARD</w:t>
            </w:r>
          </w:p>
        </w:tc>
        <w:tc>
          <w:tcPr>
            <w:tcW w:w="910" w:type="dxa"/>
            <w:tcBorders>
              <w:left w:val="nil"/>
              <w:right w:val="single" w:sz="4" w:space="0" w:color="auto"/>
            </w:tcBorders>
            <w:tcPrChange w:id="8229" w:author="Author">
              <w:tcPr>
                <w:tcW w:w="1252" w:type="dxa"/>
                <w:gridSpan w:val="2"/>
                <w:tcBorders>
                  <w:left w:val="nil"/>
                  <w:right w:val="single" w:sz="4" w:space="0" w:color="auto"/>
                </w:tcBorders>
              </w:tcPr>
            </w:tcPrChange>
          </w:tcPr>
          <w:p>
            <w:pPr>
              <w:keepNext/>
              <w:widowControl w:val="0"/>
              <w:numPr>
                <w:ilvl w:val="12"/>
                <w:numId w:val="0"/>
              </w:numPr>
              <w:suppressAutoHyphens/>
              <w:jc w:val="center"/>
              <w:rPr>
                <w:b/>
                <w:bCs/>
                <w:noProof/>
                <w:sz w:val="18"/>
                <w:szCs w:val="18"/>
                <w:lang w:val="it-IT" w:eastAsia="en-US"/>
                <w:rPrChange w:id="8230" w:author="Author">
                  <w:rPr>
                    <w:b/>
                    <w:bCs/>
                    <w:szCs w:val="22"/>
                    <w:lang w:val="it-IT" w:eastAsia="en-US"/>
                  </w:rPr>
                </w:rPrChange>
              </w:rPr>
              <w:pPrChange w:id="8231" w:author="Author">
                <w:pPr>
                  <w:keepNext/>
                  <w:keepLines/>
                  <w:widowControl w:val="0"/>
                  <w:numPr>
                    <w:ilvl w:val="12"/>
                  </w:numPr>
                  <w:ind w:right="-2"/>
                  <w:jc w:val="center"/>
                </w:pPr>
              </w:pPrChange>
            </w:pPr>
            <w:r>
              <w:rPr>
                <w:rFonts w:eastAsia="Calibri"/>
                <w:b/>
                <w:bCs/>
                <w:noProof/>
                <w:sz w:val="18"/>
                <w:szCs w:val="18"/>
                <w:lang w:val="it-IT" w:eastAsia="en-US"/>
                <w:rPrChange w:id="8232" w:author="Author">
                  <w:rPr>
                    <w:rFonts w:eastAsia="Calibri"/>
                    <w:b/>
                    <w:bCs/>
                    <w:szCs w:val="22"/>
                    <w:lang w:val="it-IT" w:eastAsia="en-US"/>
                  </w:rPr>
                </w:rPrChange>
              </w:rPr>
              <w:t>TCZ 8 mg/kg + MTX</w:t>
            </w:r>
          </w:p>
        </w:tc>
        <w:tc>
          <w:tcPr>
            <w:tcW w:w="616" w:type="dxa"/>
            <w:tcBorders>
              <w:left w:val="single" w:sz="4" w:space="0" w:color="auto"/>
            </w:tcBorders>
            <w:tcPrChange w:id="8233" w:author="Author">
              <w:tcPr>
                <w:tcW w:w="900" w:type="dxa"/>
                <w:gridSpan w:val="3"/>
                <w:tcBorders>
                  <w:left w:val="single" w:sz="4" w:space="0" w:color="auto"/>
                </w:tcBorders>
              </w:tcPr>
            </w:tcPrChange>
          </w:tcPr>
          <w:p>
            <w:pPr>
              <w:keepNext/>
              <w:widowControl w:val="0"/>
              <w:numPr>
                <w:ilvl w:val="12"/>
                <w:numId w:val="0"/>
              </w:numPr>
              <w:suppressAutoHyphens/>
              <w:jc w:val="center"/>
              <w:rPr>
                <w:b/>
                <w:bCs/>
                <w:noProof/>
                <w:sz w:val="18"/>
                <w:szCs w:val="18"/>
                <w:lang w:val="it-IT" w:eastAsia="en-US"/>
                <w:rPrChange w:id="8234" w:author="Author">
                  <w:rPr>
                    <w:b/>
                    <w:bCs/>
                    <w:szCs w:val="22"/>
                    <w:lang w:val="it-IT" w:eastAsia="en-US"/>
                  </w:rPr>
                </w:rPrChange>
              </w:rPr>
              <w:pPrChange w:id="8235" w:author="Author">
                <w:pPr>
                  <w:keepNext/>
                  <w:keepLines/>
                  <w:widowControl w:val="0"/>
                  <w:numPr>
                    <w:ilvl w:val="12"/>
                  </w:numPr>
                  <w:ind w:right="-2"/>
                  <w:jc w:val="center"/>
                </w:pPr>
              </w:pPrChange>
            </w:pPr>
            <w:r>
              <w:rPr>
                <w:rFonts w:eastAsia="Calibri"/>
                <w:b/>
                <w:bCs/>
                <w:noProof/>
                <w:sz w:val="18"/>
                <w:szCs w:val="18"/>
                <w:lang w:val="it-IT" w:eastAsia="en-US"/>
                <w:rPrChange w:id="8236" w:author="Author">
                  <w:rPr>
                    <w:rFonts w:eastAsia="Calibri"/>
                    <w:b/>
                    <w:bCs/>
                    <w:szCs w:val="22"/>
                    <w:lang w:val="it-IT" w:eastAsia="en-US"/>
                  </w:rPr>
                </w:rPrChange>
              </w:rPr>
              <w:t>PBO + MTX</w:t>
            </w:r>
            <w:del w:id="8237" w:author="Author">
              <w:r>
                <w:rPr>
                  <w:rFonts w:eastAsia="Calibri"/>
                  <w:b/>
                  <w:bCs/>
                  <w:noProof/>
                  <w:sz w:val="18"/>
                  <w:szCs w:val="18"/>
                  <w:lang w:val="it-IT" w:eastAsia="en-US"/>
                  <w:rPrChange w:id="8238" w:author="Author">
                    <w:rPr>
                      <w:rFonts w:eastAsia="Calibri"/>
                      <w:b/>
                      <w:bCs/>
                      <w:szCs w:val="22"/>
                      <w:lang w:val="it-IT" w:eastAsia="en-US"/>
                    </w:rPr>
                  </w:rPrChange>
                </w:rPr>
                <w:br/>
              </w:r>
            </w:del>
          </w:p>
        </w:tc>
      </w:tr>
      <w:tr>
        <w:trPr>
          <w:cantSplit/>
          <w:tblHeader/>
          <w:trPrChange w:id="8239" w:author="Author">
            <w:trPr>
              <w:gridBefore w:val="1"/>
              <w:cantSplit/>
            </w:trPr>
          </w:trPrChange>
        </w:trPr>
        <w:tc>
          <w:tcPr>
            <w:tcW w:w="846" w:type="dxa"/>
            <w:tcPrChange w:id="8240" w:author="Author">
              <w:tcPr>
                <w:tcW w:w="846" w:type="dxa"/>
              </w:tcPr>
            </w:tcPrChange>
          </w:tcPr>
          <w:p>
            <w:pPr>
              <w:keepNext/>
              <w:widowControl w:val="0"/>
              <w:numPr>
                <w:ilvl w:val="12"/>
                <w:numId w:val="0"/>
              </w:numPr>
              <w:suppressAutoHyphens/>
              <w:jc w:val="center"/>
              <w:rPr>
                <w:b/>
                <w:bCs/>
                <w:noProof/>
                <w:sz w:val="18"/>
                <w:szCs w:val="18"/>
                <w:lang w:val="it-IT"/>
                <w:rPrChange w:id="8241" w:author="Author">
                  <w:rPr>
                    <w:b/>
                    <w:bCs/>
                    <w:szCs w:val="22"/>
                    <w:lang w:val="it-IT"/>
                  </w:rPr>
                </w:rPrChange>
              </w:rPr>
              <w:pPrChange w:id="8242" w:author="Author">
                <w:pPr>
                  <w:keepNext/>
                  <w:keepLines/>
                  <w:widowControl w:val="0"/>
                  <w:numPr>
                    <w:ilvl w:val="12"/>
                  </w:numPr>
                  <w:ind w:right="-2"/>
                  <w:jc w:val="center"/>
                </w:pPr>
              </w:pPrChange>
            </w:pPr>
          </w:p>
        </w:tc>
        <w:tc>
          <w:tcPr>
            <w:tcW w:w="717" w:type="dxa"/>
            <w:tcBorders>
              <w:right w:val="single" w:sz="4" w:space="0" w:color="auto"/>
            </w:tcBorders>
            <w:tcPrChange w:id="8243" w:author="Author">
              <w:tcPr>
                <w:tcW w:w="717" w:type="dxa"/>
                <w:gridSpan w:val="2"/>
                <w:tcBorders>
                  <w:right w:val="single" w:sz="4" w:space="0" w:color="auto"/>
                </w:tcBorders>
              </w:tcPr>
            </w:tcPrChange>
          </w:tcPr>
          <w:p>
            <w:pPr>
              <w:keepNext/>
              <w:widowControl w:val="0"/>
              <w:numPr>
                <w:ilvl w:val="12"/>
                <w:numId w:val="0"/>
              </w:numPr>
              <w:suppressAutoHyphens/>
              <w:jc w:val="center"/>
              <w:rPr>
                <w:b/>
                <w:bCs/>
                <w:noProof/>
                <w:sz w:val="18"/>
                <w:szCs w:val="18"/>
                <w:lang w:val="it-IT" w:eastAsia="en-US"/>
                <w:rPrChange w:id="8244" w:author="Author">
                  <w:rPr>
                    <w:b/>
                    <w:bCs/>
                    <w:szCs w:val="22"/>
                    <w:lang w:val="it-IT" w:eastAsia="en-US"/>
                  </w:rPr>
                </w:rPrChange>
              </w:rPr>
              <w:pPrChange w:id="8245" w:author="Author">
                <w:pPr>
                  <w:keepNext/>
                  <w:keepLines/>
                  <w:widowControl w:val="0"/>
                  <w:numPr>
                    <w:ilvl w:val="12"/>
                  </w:numPr>
                  <w:ind w:right="-2"/>
                  <w:jc w:val="center"/>
                </w:pPr>
              </w:pPrChange>
            </w:pPr>
            <w:del w:id="8246" w:author="Author">
              <w:r>
                <w:rPr>
                  <w:rFonts w:eastAsia="Calibri"/>
                  <w:b/>
                  <w:bCs/>
                  <w:noProof/>
                  <w:sz w:val="18"/>
                  <w:szCs w:val="18"/>
                  <w:lang w:val="it-IT" w:eastAsia="en-US"/>
                  <w:rPrChange w:id="8247" w:author="Author">
                    <w:rPr>
                      <w:rFonts w:eastAsia="Calibri"/>
                      <w:b/>
                      <w:bCs/>
                      <w:szCs w:val="22"/>
                      <w:lang w:val="it-IT" w:eastAsia="en-US"/>
                    </w:rPr>
                  </w:rPrChange>
                </w:rPr>
                <w:delText xml:space="preserve">N </w:delText>
              </w:r>
            </w:del>
            <w:ins w:id="8248" w:author="Author">
              <w:r>
                <w:rPr>
                  <w:rFonts w:eastAsia="Calibri"/>
                  <w:b/>
                  <w:bCs/>
                  <w:noProof/>
                  <w:sz w:val="18"/>
                  <w:szCs w:val="18"/>
                  <w:lang w:val="it-IT" w:eastAsia="en-US"/>
                  <w:rPrChange w:id="8249" w:author="Author">
                    <w:rPr>
                      <w:rFonts w:eastAsia="Calibri"/>
                      <w:b/>
                      <w:bCs/>
                      <w:szCs w:val="22"/>
                      <w:lang w:val="it-IT" w:eastAsia="en-US"/>
                    </w:rPr>
                  </w:rPrChange>
                </w:rPr>
                <w:t>n </w:t>
              </w:r>
            </w:ins>
            <w:r>
              <w:rPr>
                <w:rFonts w:eastAsia="Calibri"/>
                <w:b/>
                <w:bCs/>
                <w:noProof/>
                <w:sz w:val="18"/>
                <w:szCs w:val="18"/>
                <w:lang w:val="it-IT" w:eastAsia="en-US"/>
                <w:rPrChange w:id="8250" w:author="Author">
                  <w:rPr>
                    <w:rFonts w:eastAsia="Calibri"/>
                    <w:b/>
                    <w:bCs/>
                    <w:szCs w:val="22"/>
                    <w:lang w:val="it-IT" w:eastAsia="en-US"/>
                  </w:rPr>
                </w:rPrChange>
              </w:rPr>
              <w:t>=</w:t>
            </w:r>
            <w:ins w:id="8251" w:author="Author">
              <w:r>
                <w:rPr>
                  <w:rFonts w:eastAsia="Calibri"/>
                  <w:b/>
                  <w:bCs/>
                  <w:noProof/>
                  <w:sz w:val="18"/>
                  <w:szCs w:val="18"/>
                  <w:lang w:val="it-IT" w:eastAsia="en-US"/>
                  <w:rPrChange w:id="8252" w:author="Author">
                    <w:rPr>
                      <w:rFonts w:eastAsia="Calibri"/>
                      <w:b/>
                      <w:bCs/>
                      <w:szCs w:val="22"/>
                      <w:lang w:val="it-IT" w:eastAsia="en-US"/>
                    </w:rPr>
                  </w:rPrChange>
                </w:rPr>
                <w:t> </w:t>
              </w:r>
            </w:ins>
          </w:p>
          <w:p>
            <w:pPr>
              <w:keepNext/>
              <w:widowControl w:val="0"/>
              <w:numPr>
                <w:ilvl w:val="12"/>
                <w:numId w:val="0"/>
              </w:numPr>
              <w:suppressAutoHyphens/>
              <w:jc w:val="center"/>
              <w:rPr>
                <w:b/>
                <w:bCs/>
                <w:noProof/>
                <w:sz w:val="18"/>
                <w:szCs w:val="18"/>
                <w:lang w:val="it-IT" w:eastAsia="en-US"/>
                <w:rPrChange w:id="8253" w:author="Author">
                  <w:rPr>
                    <w:b/>
                    <w:bCs/>
                    <w:szCs w:val="22"/>
                    <w:lang w:val="it-IT" w:eastAsia="en-US"/>
                  </w:rPr>
                </w:rPrChange>
              </w:rPr>
              <w:pPrChange w:id="8254" w:author="Author">
                <w:pPr>
                  <w:keepNext/>
                  <w:keepLines/>
                  <w:widowControl w:val="0"/>
                  <w:numPr>
                    <w:ilvl w:val="12"/>
                  </w:numPr>
                  <w:ind w:right="-2"/>
                  <w:jc w:val="center"/>
                </w:pPr>
              </w:pPrChange>
            </w:pPr>
            <w:r>
              <w:rPr>
                <w:rFonts w:eastAsia="Calibri"/>
                <w:b/>
                <w:bCs/>
                <w:noProof/>
                <w:sz w:val="18"/>
                <w:szCs w:val="18"/>
                <w:lang w:val="it-IT" w:eastAsia="en-US"/>
                <w:rPrChange w:id="8255" w:author="Author">
                  <w:rPr>
                    <w:rFonts w:eastAsia="Calibri"/>
                    <w:b/>
                    <w:bCs/>
                    <w:szCs w:val="22"/>
                    <w:lang w:val="it-IT" w:eastAsia="en-US"/>
                  </w:rPr>
                </w:rPrChange>
              </w:rPr>
              <w:t>286</w:t>
            </w:r>
          </w:p>
        </w:tc>
        <w:tc>
          <w:tcPr>
            <w:tcW w:w="700" w:type="dxa"/>
            <w:tcBorders>
              <w:left w:val="single" w:sz="4" w:space="0" w:color="auto"/>
              <w:right w:val="single" w:sz="4" w:space="0" w:color="auto"/>
            </w:tcBorders>
            <w:tcPrChange w:id="8256" w:author="Author">
              <w:tcPr>
                <w:tcW w:w="700" w:type="dxa"/>
                <w:tcBorders>
                  <w:left w:val="single" w:sz="4" w:space="0" w:color="auto"/>
                  <w:right w:val="single" w:sz="4" w:space="0" w:color="auto"/>
                </w:tcBorders>
              </w:tcPr>
            </w:tcPrChange>
          </w:tcPr>
          <w:p>
            <w:pPr>
              <w:keepNext/>
              <w:widowControl w:val="0"/>
              <w:numPr>
                <w:ilvl w:val="12"/>
                <w:numId w:val="0"/>
              </w:numPr>
              <w:suppressAutoHyphens/>
              <w:jc w:val="center"/>
              <w:rPr>
                <w:b/>
                <w:bCs/>
                <w:noProof/>
                <w:sz w:val="18"/>
                <w:szCs w:val="18"/>
                <w:lang w:val="it-IT" w:eastAsia="en-US"/>
                <w:rPrChange w:id="8257" w:author="Author">
                  <w:rPr>
                    <w:b/>
                    <w:bCs/>
                    <w:szCs w:val="22"/>
                    <w:lang w:val="it-IT" w:eastAsia="en-US"/>
                  </w:rPr>
                </w:rPrChange>
              </w:rPr>
              <w:pPrChange w:id="8258" w:author="Author">
                <w:pPr>
                  <w:keepNext/>
                  <w:keepLines/>
                  <w:widowControl w:val="0"/>
                  <w:numPr>
                    <w:ilvl w:val="12"/>
                  </w:numPr>
                  <w:ind w:right="-2"/>
                  <w:jc w:val="center"/>
                </w:pPr>
              </w:pPrChange>
            </w:pPr>
            <w:del w:id="8259" w:author="Author">
              <w:r>
                <w:rPr>
                  <w:rFonts w:eastAsia="Calibri"/>
                  <w:b/>
                  <w:bCs/>
                  <w:noProof/>
                  <w:sz w:val="18"/>
                  <w:szCs w:val="18"/>
                  <w:lang w:val="it-IT" w:eastAsia="en-US"/>
                  <w:rPrChange w:id="8260" w:author="Author">
                    <w:rPr>
                      <w:rFonts w:eastAsia="Calibri"/>
                      <w:b/>
                      <w:bCs/>
                      <w:szCs w:val="22"/>
                      <w:lang w:val="it-IT" w:eastAsia="en-US"/>
                    </w:rPr>
                  </w:rPrChange>
                </w:rPr>
                <w:delText xml:space="preserve">N </w:delText>
              </w:r>
            </w:del>
            <w:ins w:id="8261" w:author="Author">
              <w:r>
                <w:rPr>
                  <w:rFonts w:eastAsia="Calibri"/>
                  <w:b/>
                  <w:bCs/>
                  <w:noProof/>
                  <w:sz w:val="18"/>
                  <w:szCs w:val="18"/>
                  <w:lang w:val="it-IT" w:eastAsia="en-US"/>
                  <w:rPrChange w:id="8262" w:author="Author">
                    <w:rPr>
                      <w:rFonts w:eastAsia="Calibri"/>
                      <w:b/>
                      <w:bCs/>
                      <w:szCs w:val="22"/>
                      <w:lang w:val="it-IT" w:eastAsia="en-US"/>
                    </w:rPr>
                  </w:rPrChange>
                </w:rPr>
                <w:t>n </w:t>
              </w:r>
            </w:ins>
            <w:r>
              <w:rPr>
                <w:rFonts w:eastAsia="Calibri"/>
                <w:b/>
                <w:bCs/>
                <w:noProof/>
                <w:sz w:val="18"/>
                <w:szCs w:val="18"/>
                <w:lang w:val="it-IT" w:eastAsia="en-US"/>
                <w:rPrChange w:id="8263" w:author="Author">
                  <w:rPr>
                    <w:rFonts w:eastAsia="Calibri"/>
                    <w:b/>
                    <w:bCs/>
                    <w:szCs w:val="22"/>
                    <w:lang w:val="it-IT" w:eastAsia="en-US"/>
                  </w:rPr>
                </w:rPrChange>
              </w:rPr>
              <w:t>=</w:t>
            </w:r>
            <w:ins w:id="8264" w:author="Author">
              <w:r>
                <w:rPr>
                  <w:rFonts w:eastAsia="Calibri"/>
                  <w:b/>
                  <w:bCs/>
                  <w:noProof/>
                  <w:sz w:val="18"/>
                  <w:szCs w:val="18"/>
                  <w:lang w:val="it-IT" w:eastAsia="en-US"/>
                  <w:rPrChange w:id="8265" w:author="Author">
                    <w:rPr>
                      <w:rFonts w:eastAsia="Calibri"/>
                      <w:b/>
                      <w:bCs/>
                      <w:szCs w:val="22"/>
                      <w:lang w:val="it-IT" w:eastAsia="en-US"/>
                    </w:rPr>
                  </w:rPrChange>
                </w:rPr>
                <w:t> </w:t>
              </w:r>
            </w:ins>
          </w:p>
          <w:p>
            <w:pPr>
              <w:keepNext/>
              <w:widowControl w:val="0"/>
              <w:numPr>
                <w:ilvl w:val="12"/>
                <w:numId w:val="0"/>
              </w:numPr>
              <w:suppressAutoHyphens/>
              <w:jc w:val="center"/>
              <w:rPr>
                <w:b/>
                <w:bCs/>
                <w:noProof/>
                <w:sz w:val="18"/>
                <w:szCs w:val="18"/>
                <w:lang w:val="it-IT" w:eastAsia="en-US"/>
                <w:rPrChange w:id="8266" w:author="Author">
                  <w:rPr>
                    <w:b/>
                    <w:bCs/>
                    <w:szCs w:val="22"/>
                    <w:lang w:val="it-IT" w:eastAsia="en-US"/>
                  </w:rPr>
                </w:rPrChange>
              </w:rPr>
              <w:pPrChange w:id="8267" w:author="Author">
                <w:pPr>
                  <w:keepNext/>
                  <w:keepLines/>
                  <w:widowControl w:val="0"/>
                  <w:numPr>
                    <w:ilvl w:val="12"/>
                  </w:numPr>
                  <w:ind w:right="-2"/>
                  <w:jc w:val="center"/>
                </w:pPr>
              </w:pPrChange>
            </w:pPr>
            <w:r>
              <w:rPr>
                <w:rFonts w:eastAsia="Calibri"/>
                <w:b/>
                <w:bCs/>
                <w:noProof/>
                <w:sz w:val="18"/>
                <w:szCs w:val="18"/>
                <w:lang w:val="it-IT" w:eastAsia="en-US"/>
                <w:rPrChange w:id="8268" w:author="Author">
                  <w:rPr>
                    <w:rFonts w:eastAsia="Calibri"/>
                    <w:b/>
                    <w:bCs/>
                    <w:szCs w:val="22"/>
                    <w:lang w:val="it-IT" w:eastAsia="en-US"/>
                  </w:rPr>
                </w:rPrChange>
              </w:rPr>
              <w:t>284</w:t>
            </w:r>
          </w:p>
        </w:tc>
        <w:tc>
          <w:tcPr>
            <w:tcW w:w="854" w:type="dxa"/>
            <w:tcBorders>
              <w:left w:val="single" w:sz="4" w:space="0" w:color="auto"/>
              <w:right w:val="single" w:sz="4" w:space="0" w:color="auto"/>
            </w:tcBorders>
            <w:tcPrChange w:id="8269" w:author="Author">
              <w:tcPr>
                <w:tcW w:w="854" w:type="dxa"/>
                <w:gridSpan w:val="2"/>
                <w:tcBorders>
                  <w:left w:val="single" w:sz="4" w:space="0" w:color="auto"/>
                  <w:right w:val="single" w:sz="4" w:space="0" w:color="auto"/>
                </w:tcBorders>
              </w:tcPr>
            </w:tcPrChange>
          </w:tcPr>
          <w:p>
            <w:pPr>
              <w:keepNext/>
              <w:widowControl w:val="0"/>
              <w:numPr>
                <w:ilvl w:val="12"/>
                <w:numId w:val="0"/>
              </w:numPr>
              <w:suppressAutoHyphens/>
              <w:jc w:val="center"/>
              <w:rPr>
                <w:b/>
                <w:bCs/>
                <w:noProof/>
                <w:sz w:val="18"/>
                <w:szCs w:val="18"/>
                <w:lang w:val="it-IT" w:eastAsia="en-US"/>
                <w:rPrChange w:id="8270" w:author="Author">
                  <w:rPr>
                    <w:b/>
                    <w:bCs/>
                    <w:szCs w:val="22"/>
                    <w:lang w:val="it-IT" w:eastAsia="en-US"/>
                  </w:rPr>
                </w:rPrChange>
              </w:rPr>
              <w:pPrChange w:id="8271" w:author="Author">
                <w:pPr>
                  <w:keepNext/>
                  <w:keepLines/>
                  <w:widowControl w:val="0"/>
                  <w:numPr>
                    <w:ilvl w:val="12"/>
                  </w:numPr>
                  <w:ind w:right="-2"/>
                  <w:jc w:val="center"/>
                </w:pPr>
              </w:pPrChange>
            </w:pPr>
            <w:del w:id="8272" w:author="Author">
              <w:r>
                <w:rPr>
                  <w:rFonts w:eastAsia="Calibri"/>
                  <w:b/>
                  <w:bCs/>
                  <w:noProof/>
                  <w:sz w:val="18"/>
                  <w:szCs w:val="18"/>
                  <w:lang w:val="it-IT" w:eastAsia="en-US"/>
                  <w:rPrChange w:id="8273" w:author="Author">
                    <w:rPr>
                      <w:rFonts w:eastAsia="Calibri"/>
                      <w:b/>
                      <w:bCs/>
                      <w:szCs w:val="22"/>
                      <w:lang w:val="it-IT" w:eastAsia="en-US"/>
                    </w:rPr>
                  </w:rPrChange>
                </w:rPr>
                <w:delText xml:space="preserve">N </w:delText>
              </w:r>
            </w:del>
            <w:ins w:id="8274" w:author="Author">
              <w:r>
                <w:rPr>
                  <w:rFonts w:eastAsia="Calibri"/>
                  <w:b/>
                  <w:bCs/>
                  <w:noProof/>
                  <w:sz w:val="18"/>
                  <w:szCs w:val="18"/>
                  <w:lang w:val="it-IT" w:eastAsia="en-US"/>
                  <w:rPrChange w:id="8275" w:author="Author">
                    <w:rPr>
                      <w:rFonts w:eastAsia="Calibri"/>
                      <w:b/>
                      <w:bCs/>
                      <w:szCs w:val="22"/>
                      <w:lang w:val="it-IT" w:eastAsia="en-US"/>
                    </w:rPr>
                  </w:rPrChange>
                </w:rPr>
                <w:t>n </w:t>
              </w:r>
            </w:ins>
            <w:r>
              <w:rPr>
                <w:rFonts w:eastAsia="Calibri"/>
                <w:b/>
                <w:bCs/>
                <w:noProof/>
                <w:sz w:val="18"/>
                <w:szCs w:val="18"/>
                <w:lang w:val="it-IT" w:eastAsia="en-US"/>
                <w:rPrChange w:id="8276" w:author="Author">
                  <w:rPr>
                    <w:rFonts w:eastAsia="Calibri"/>
                    <w:b/>
                    <w:bCs/>
                    <w:szCs w:val="22"/>
                    <w:lang w:val="it-IT" w:eastAsia="en-US"/>
                  </w:rPr>
                </w:rPrChange>
              </w:rPr>
              <w:t>=</w:t>
            </w:r>
            <w:ins w:id="8277" w:author="Author">
              <w:r>
                <w:rPr>
                  <w:rFonts w:eastAsia="Calibri"/>
                  <w:b/>
                  <w:bCs/>
                  <w:noProof/>
                  <w:sz w:val="18"/>
                  <w:szCs w:val="18"/>
                  <w:lang w:val="it-IT" w:eastAsia="en-US"/>
                  <w:rPrChange w:id="8278" w:author="Author">
                    <w:rPr>
                      <w:rFonts w:eastAsia="Calibri"/>
                      <w:b/>
                      <w:bCs/>
                      <w:szCs w:val="22"/>
                      <w:lang w:val="it-IT" w:eastAsia="en-US"/>
                    </w:rPr>
                  </w:rPrChange>
                </w:rPr>
                <w:t> </w:t>
              </w:r>
            </w:ins>
          </w:p>
          <w:p>
            <w:pPr>
              <w:keepNext/>
              <w:widowControl w:val="0"/>
              <w:numPr>
                <w:ilvl w:val="12"/>
                <w:numId w:val="0"/>
              </w:numPr>
              <w:suppressAutoHyphens/>
              <w:jc w:val="center"/>
              <w:rPr>
                <w:b/>
                <w:bCs/>
                <w:noProof/>
                <w:sz w:val="18"/>
                <w:szCs w:val="18"/>
                <w:lang w:val="it-IT" w:eastAsia="en-US"/>
                <w:rPrChange w:id="8279" w:author="Author">
                  <w:rPr>
                    <w:b/>
                    <w:bCs/>
                    <w:szCs w:val="22"/>
                    <w:lang w:val="it-IT" w:eastAsia="en-US"/>
                  </w:rPr>
                </w:rPrChange>
              </w:rPr>
              <w:pPrChange w:id="8280" w:author="Author">
                <w:pPr>
                  <w:keepNext/>
                  <w:keepLines/>
                  <w:widowControl w:val="0"/>
                  <w:numPr>
                    <w:ilvl w:val="12"/>
                  </w:numPr>
                  <w:ind w:right="-2"/>
                  <w:jc w:val="center"/>
                </w:pPr>
              </w:pPrChange>
            </w:pPr>
            <w:r>
              <w:rPr>
                <w:rFonts w:eastAsia="Calibri"/>
                <w:b/>
                <w:bCs/>
                <w:noProof/>
                <w:sz w:val="18"/>
                <w:szCs w:val="18"/>
                <w:lang w:val="it-IT" w:eastAsia="en-US"/>
                <w:rPrChange w:id="8281" w:author="Author">
                  <w:rPr>
                    <w:rFonts w:eastAsia="Calibri"/>
                    <w:b/>
                    <w:bCs/>
                    <w:szCs w:val="22"/>
                    <w:lang w:val="it-IT" w:eastAsia="en-US"/>
                  </w:rPr>
                </w:rPrChange>
              </w:rPr>
              <w:t>398</w:t>
            </w:r>
          </w:p>
        </w:tc>
        <w:tc>
          <w:tcPr>
            <w:tcW w:w="847" w:type="dxa"/>
            <w:tcBorders>
              <w:left w:val="single" w:sz="4" w:space="0" w:color="auto"/>
              <w:right w:val="single" w:sz="4" w:space="0" w:color="auto"/>
            </w:tcBorders>
            <w:tcPrChange w:id="8282" w:author="Author">
              <w:tcPr>
                <w:tcW w:w="847" w:type="dxa"/>
                <w:tcBorders>
                  <w:left w:val="single" w:sz="4" w:space="0" w:color="auto"/>
                  <w:right w:val="single" w:sz="4" w:space="0" w:color="auto"/>
                </w:tcBorders>
              </w:tcPr>
            </w:tcPrChange>
          </w:tcPr>
          <w:p>
            <w:pPr>
              <w:keepNext/>
              <w:widowControl w:val="0"/>
              <w:numPr>
                <w:ilvl w:val="12"/>
                <w:numId w:val="0"/>
              </w:numPr>
              <w:suppressAutoHyphens/>
              <w:jc w:val="center"/>
              <w:rPr>
                <w:b/>
                <w:bCs/>
                <w:noProof/>
                <w:sz w:val="18"/>
                <w:szCs w:val="18"/>
                <w:lang w:val="it-IT" w:eastAsia="en-US"/>
                <w:rPrChange w:id="8283" w:author="Author">
                  <w:rPr>
                    <w:b/>
                    <w:bCs/>
                    <w:szCs w:val="22"/>
                    <w:lang w:val="it-IT" w:eastAsia="en-US"/>
                  </w:rPr>
                </w:rPrChange>
              </w:rPr>
              <w:pPrChange w:id="8284" w:author="Author">
                <w:pPr>
                  <w:keepNext/>
                  <w:keepLines/>
                  <w:widowControl w:val="0"/>
                  <w:numPr>
                    <w:ilvl w:val="12"/>
                  </w:numPr>
                  <w:ind w:right="-2"/>
                  <w:jc w:val="center"/>
                </w:pPr>
              </w:pPrChange>
            </w:pPr>
            <w:del w:id="8285" w:author="Author">
              <w:r>
                <w:rPr>
                  <w:rFonts w:eastAsia="Calibri"/>
                  <w:b/>
                  <w:bCs/>
                  <w:noProof/>
                  <w:sz w:val="18"/>
                  <w:szCs w:val="18"/>
                  <w:lang w:val="it-IT" w:eastAsia="en-US"/>
                  <w:rPrChange w:id="8286" w:author="Author">
                    <w:rPr>
                      <w:rFonts w:eastAsia="Calibri"/>
                      <w:b/>
                      <w:bCs/>
                      <w:szCs w:val="22"/>
                      <w:lang w:val="it-IT" w:eastAsia="en-US"/>
                    </w:rPr>
                  </w:rPrChange>
                </w:rPr>
                <w:delText xml:space="preserve">N </w:delText>
              </w:r>
            </w:del>
            <w:ins w:id="8287" w:author="Author">
              <w:r>
                <w:rPr>
                  <w:rFonts w:eastAsia="Calibri"/>
                  <w:b/>
                  <w:bCs/>
                  <w:noProof/>
                  <w:sz w:val="18"/>
                  <w:szCs w:val="18"/>
                  <w:lang w:val="it-IT" w:eastAsia="en-US"/>
                  <w:rPrChange w:id="8288" w:author="Author">
                    <w:rPr>
                      <w:rFonts w:eastAsia="Calibri"/>
                      <w:b/>
                      <w:bCs/>
                      <w:szCs w:val="22"/>
                      <w:lang w:val="it-IT" w:eastAsia="en-US"/>
                    </w:rPr>
                  </w:rPrChange>
                </w:rPr>
                <w:t>n </w:t>
              </w:r>
            </w:ins>
            <w:r>
              <w:rPr>
                <w:rFonts w:eastAsia="Calibri"/>
                <w:b/>
                <w:bCs/>
                <w:noProof/>
                <w:sz w:val="18"/>
                <w:szCs w:val="18"/>
                <w:lang w:val="it-IT" w:eastAsia="en-US"/>
                <w:rPrChange w:id="8289" w:author="Author">
                  <w:rPr>
                    <w:rFonts w:eastAsia="Calibri"/>
                    <w:b/>
                    <w:bCs/>
                    <w:szCs w:val="22"/>
                    <w:lang w:val="it-IT" w:eastAsia="en-US"/>
                  </w:rPr>
                </w:rPrChange>
              </w:rPr>
              <w:t>=</w:t>
            </w:r>
            <w:ins w:id="8290" w:author="Author">
              <w:r>
                <w:rPr>
                  <w:rFonts w:eastAsia="Calibri"/>
                  <w:b/>
                  <w:bCs/>
                  <w:noProof/>
                  <w:sz w:val="18"/>
                  <w:szCs w:val="18"/>
                  <w:lang w:val="it-IT" w:eastAsia="en-US"/>
                  <w:rPrChange w:id="8291" w:author="Author">
                    <w:rPr>
                      <w:rFonts w:eastAsia="Calibri"/>
                      <w:b/>
                      <w:bCs/>
                      <w:szCs w:val="22"/>
                      <w:lang w:val="it-IT" w:eastAsia="en-US"/>
                    </w:rPr>
                  </w:rPrChange>
                </w:rPr>
                <w:t> </w:t>
              </w:r>
            </w:ins>
          </w:p>
          <w:p>
            <w:pPr>
              <w:keepNext/>
              <w:widowControl w:val="0"/>
              <w:numPr>
                <w:ilvl w:val="12"/>
                <w:numId w:val="0"/>
              </w:numPr>
              <w:suppressAutoHyphens/>
              <w:jc w:val="center"/>
              <w:rPr>
                <w:b/>
                <w:bCs/>
                <w:noProof/>
                <w:sz w:val="18"/>
                <w:szCs w:val="18"/>
                <w:lang w:val="it-IT" w:eastAsia="en-US"/>
                <w:rPrChange w:id="8292" w:author="Author">
                  <w:rPr>
                    <w:b/>
                    <w:bCs/>
                    <w:szCs w:val="22"/>
                    <w:lang w:val="it-IT" w:eastAsia="en-US"/>
                  </w:rPr>
                </w:rPrChange>
              </w:rPr>
              <w:pPrChange w:id="8293" w:author="Author">
                <w:pPr>
                  <w:keepNext/>
                  <w:keepLines/>
                  <w:widowControl w:val="0"/>
                  <w:numPr>
                    <w:ilvl w:val="12"/>
                  </w:numPr>
                  <w:ind w:right="-2"/>
                  <w:jc w:val="center"/>
                </w:pPr>
              </w:pPrChange>
            </w:pPr>
            <w:r>
              <w:rPr>
                <w:rFonts w:eastAsia="Calibri"/>
                <w:b/>
                <w:bCs/>
                <w:noProof/>
                <w:sz w:val="18"/>
                <w:szCs w:val="18"/>
                <w:lang w:val="it-IT" w:eastAsia="en-US"/>
                <w:rPrChange w:id="8294" w:author="Author">
                  <w:rPr>
                    <w:rFonts w:eastAsia="Calibri"/>
                    <w:b/>
                    <w:bCs/>
                    <w:szCs w:val="22"/>
                    <w:lang w:val="it-IT" w:eastAsia="en-US"/>
                  </w:rPr>
                </w:rPrChange>
              </w:rPr>
              <w:t>393</w:t>
            </w:r>
          </w:p>
        </w:tc>
        <w:tc>
          <w:tcPr>
            <w:tcW w:w="889" w:type="dxa"/>
            <w:tcBorders>
              <w:left w:val="single" w:sz="4" w:space="0" w:color="auto"/>
              <w:right w:val="single" w:sz="4" w:space="0" w:color="auto"/>
            </w:tcBorders>
            <w:tcPrChange w:id="8295" w:author="Author">
              <w:tcPr>
                <w:tcW w:w="889" w:type="dxa"/>
                <w:gridSpan w:val="2"/>
                <w:tcBorders>
                  <w:left w:val="single" w:sz="4" w:space="0" w:color="auto"/>
                  <w:right w:val="single" w:sz="4" w:space="0" w:color="auto"/>
                </w:tcBorders>
              </w:tcPr>
            </w:tcPrChange>
          </w:tcPr>
          <w:p>
            <w:pPr>
              <w:keepNext/>
              <w:widowControl w:val="0"/>
              <w:numPr>
                <w:ilvl w:val="12"/>
                <w:numId w:val="0"/>
              </w:numPr>
              <w:suppressAutoHyphens/>
              <w:jc w:val="center"/>
              <w:rPr>
                <w:b/>
                <w:bCs/>
                <w:noProof/>
                <w:sz w:val="18"/>
                <w:szCs w:val="18"/>
                <w:lang w:val="it-IT" w:eastAsia="en-US"/>
                <w:rPrChange w:id="8296" w:author="Author">
                  <w:rPr>
                    <w:b/>
                    <w:bCs/>
                    <w:szCs w:val="22"/>
                    <w:lang w:val="it-IT" w:eastAsia="en-US"/>
                  </w:rPr>
                </w:rPrChange>
              </w:rPr>
              <w:pPrChange w:id="8297" w:author="Author">
                <w:pPr>
                  <w:keepNext/>
                  <w:keepLines/>
                  <w:widowControl w:val="0"/>
                  <w:numPr>
                    <w:ilvl w:val="12"/>
                  </w:numPr>
                  <w:ind w:right="-2"/>
                  <w:jc w:val="center"/>
                </w:pPr>
              </w:pPrChange>
            </w:pPr>
            <w:del w:id="8298" w:author="Author">
              <w:r>
                <w:rPr>
                  <w:rFonts w:eastAsia="Calibri"/>
                  <w:b/>
                  <w:bCs/>
                  <w:noProof/>
                  <w:sz w:val="18"/>
                  <w:szCs w:val="18"/>
                  <w:lang w:val="it-IT" w:eastAsia="en-US"/>
                  <w:rPrChange w:id="8299" w:author="Author">
                    <w:rPr>
                      <w:rFonts w:eastAsia="Calibri"/>
                      <w:b/>
                      <w:bCs/>
                      <w:szCs w:val="22"/>
                      <w:lang w:val="it-IT" w:eastAsia="en-US"/>
                    </w:rPr>
                  </w:rPrChange>
                </w:rPr>
                <w:delText xml:space="preserve">N </w:delText>
              </w:r>
            </w:del>
            <w:ins w:id="8300" w:author="Author">
              <w:r>
                <w:rPr>
                  <w:rFonts w:eastAsia="Calibri"/>
                  <w:b/>
                  <w:bCs/>
                  <w:noProof/>
                  <w:sz w:val="18"/>
                  <w:szCs w:val="18"/>
                  <w:lang w:val="it-IT" w:eastAsia="en-US"/>
                  <w:rPrChange w:id="8301" w:author="Author">
                    <w:rPr>
                      <w:rFonts w:eastAsia="Calibri"/>
                      <w:b/>
                      <w:bCs/>
                      <w:szCs w:val="22"/>
                      <w:lang w:val="it-IT" w:eastAsia="en-US"/>
                    </w:rPr>
                  </w:rPrChange>
                </w:rPr>
                <w:t>n </w:t>
              </w:r>
            </w:ins>
            <w:r>
              <w:rPr>
                <w:rFonts w:eastAsia="Calibri"/>
                <w:b/>
                <w:bCs/>
                <w:noProof/>
                <w:sz w:val="18"/>
                <w:szCs w:val="18"/>
                <w:lang w:val="it-IT" w:eastAsia="en-US"/>
                <w:rPrChange w:id="8302" w:author="Author">
                  <w:rPr>
                    <w:rFonts w:eastAsia="Calibri"/>
                    <w:b/>
                    <w:bCs/>
                    <w:szCs w:val="22"/>
                    <w:lang w:val="it-IT" w:eastAsia="en-US"/>
                  </w:rPr>
                </w:rPrChange>
              </w:rPr>
              <w:t>=</w:t>
            </w:r>
            <w:ins w:id="8303" w:author="Author">
              <w:r>
                <w:rPr>
                  <w:rFonts w:eastAsia="Calibri"/>
                  <w:b/>
                  <w:bCs/>
                  <w:noProof/>
                  <w:sz w:val="18"/>
                  <w:szCs w:val="18"/>
                  <w:lang w:val="it-IT" w:eastAsia="en-US"/>
                  <w:rPrChange w:id="8304" w:author="Author">
                    <w:rPr>
                      <w:rFonts w:eastAsia="Calibri"/>
                      <w:b/>
                      <w:bCs/>
                      <w:szCs w:val="22"/>
                      <w:lang w:val="it-IT" w:eastAsia="en-US"/>
                    </w:rPr>
                  </w:rPrChange>
                </w:rPr>
                <w:t> </w:t>
              </w:r>
            </w:ins>
          </w:p>
          <w:p>
            <w:pPr>
              <w:keepNext/>
              <w:widowControl w:val="0"/>
              <w:numPr>
                <w:ilvl w:val="12"/>
                <w:numId w:val="0"/>
              </w:numPr>
              <w:suppressAutoHyphens/>
              <w:jc w:val="center"/>
              <w:rPr>
                <w:b/>
                <w:bCs/>
                <w:noProof/>
                <w:sz w:val="18"/>
                <w:szCs w:val="18"/>
                <w:lang w:val="it-IT" w:eastAsia="en-US"/>
                <w:rPrChange w:id="8305" w:author="Author">
                  <w:rPr>
                    <w:b/>
                    <w:bCs/>
                    <w:szCs w:val="22"/>
                    <w:lang w:val="it-IT" w:eastAsia="en-US"/>
                  </w:rPr>
                </w:rPrChange>
              </w:rPr>
              <w:pPrChange w:id="8306" w:author="Author">
                <w:pPr>
                  <w:keepNext/>
                  <w:keepLines/>
                  <w:widowControl w:val="0"/>
                  <w:numPr>
                    <w:ilvl w:val="12"/>
                  </w:numPr>
                  <w:ind w:right="-2"/>
                  <w:jc w:val="center"/>
                </w:pPr>
              </w:pPrChange>
            </w:pPr>
            <w:r>
              <w:rPr>
                <w:rFonts w:eastAsia="Calibri"/>
                <w:b/>
                <w:bCs/>
                <w:noProof/>
                <w:sz w:val="18"/>
                <w:szCs w:val="18"/>
                <w:lang w:val="it-IT" w:eastAsia="en-US"/>
                <w:rPrChange w:id="8307" w:author="Author">
                  <w:rPr>
                    <w:rFonts w:eastAsia="Calibri"/>
                    <w:b/>
                    <w:bCs/>
                    <w:szCs w:val="22"/>
                    <w:lang w:val="it-IT" w:eastAsia="en-US"/>
                  </w:rPr>
                </w:rPrChange>
              </w:rPr>
              <w:t>205</w:t>
            </w:r>
          </w:p>
        </w:tc>
        <w:tc>
          <w:tcPr>
            <w:tcW w:w="839" w:type="dxa"/>
            <w:tcBorders>
              <w:left w:val="single" w:sz="4" w:space="0" w:color="auto"/>
            </w:tcBorders>
            <w:tcPrChange w:id="8308" w:author="Author">
              <w:tcPr>
                <w:tcW w:w="839" w:type="dxa"/>
                <w:tcBorders>
                  <w:left w:val="single" w:sz="4" w:space="0" w:color="auto"/>
                </w:tcBorders>
              </w:tcPr>
            </w:tcPrChange>
          </w:tcPr>
          <w:p>
            <w:pPr>
              <w:keepNext/>
              <w:widowControl w:val="0"/>
              <w:numPr>
                <w:ilvl w:val="12"/>
                <w:numId w:val="0"/>
              </w:numPr>
              <w:suppressAutoHyphens/>
              <w:jc w:val="center"/>
              <w:rPr>
                <w:b/>
                <w:bCs/>
                <w:noProof/>
                <w:sz w:val="18"/>
                <w:szCs w:val="18"/>
                <w:lang w:val="it-IT" w:eastAsia="en-US"/>
                <w:rPrChange w:id="8309" w:author="Author">
                  <w:rPr>
                    <w:b/>
                    <w:bCs/>
                    <w:szCs w:val="22"/>
                    <w:lang w:val="it-IT" w:eastAsia="en-US"/>
                  </w:rPr>
                </w:rPrChange>
              </w:rPr>
              <w:pPrChange w:id="8310" w:author="Author">
                <w:pPr>
                  <w:keepNext/>
                  <w:keepLines/>
                  <w:widowControl w:val="0"/>
                  <w:numPr>
                    <w:ilvl w:val="12"/>
                  </w:numPr>
                  <w:ind w:right="-2"/>
                  <w:jc w:val="center"/>
                </w:pPr>
              </w:pPrChange>
            </w:pPr>
            <w:del w:id="8311" w:author="Author">
              <w:r>
                <w:rPr>
                  <w:rFonts w:eastAsia="Calibri"/>
                  <w:b/>
                  <w:bCs/>
                  <w:noProof/>
                  <w:sz w:val="18"/>
                  <w:szCs w:val="18"/>
                  <w:lang w:val="it-IT" w:eastAsia="en-US"/>
                  <w:rPrChange w:id="8312" w:author="Author">
                    <w:rPr>
                      <w:rFonts w:eastAsia="Calibri"/>
                      <w:b/>
                      <w:bCs/>
                      <w:szCs w:val="22"/>
                      <w:lang w:val="it-IT" w:eastAsia="en-US"/>
                    </w:rPr>
                  </w:rPrChange>
                </w:rPr>
                <w:delText xml:space="preserve">N </w:delText>
              </w:r>
            </w:del>
            <w:ins w:id="8313" w:author="Author">
              <w:r>
                <w:rPr>
                  <w:rFonts w:eastAsia="Calibri"/>
                  <w:b/>
                  <w:bCs/>
                  <w:noProof/>
                  <w:sz w:val="18"/>
                  <w:szCs w:val="18"/>
                  <w:lang w:val="it-IT" w:eastAsia="en-US"/>
                  <w:rPrChange w:id="8314" w:author="Author">
                    <w:rPr>
                      <w:rFonts w:eastAsia="Calibri"/>
                      <w:b/>
                      <w:bCs/>
                      <w:szCs w:val="22"/>
                      <w:lang w:val="it-IT" w:eastAsia="en-US"/>
                    </w:rPr>
                  </w:rPrChange>
                </w:rPr>
                <w:t>n </w:t>
              </w:r>
            </w:ins>
            <w:r>
              <w:rPr>
                <w:rFonts w:eastAsia="Calibri"/>
                <w:b/>
                <w:bCs/>
                <w:noProof/>
                <w:sz w:val="18"/>
                <w:szCs w:val="18"/>
                <w:lang w:val="it-IT" w:eastAsia="en-US"/>
                <w:rPrChange w:id="8315" w:author="Author">
                  <w:rPr>
                    <w:rFonts w:eastAsia="Calibri"/>
                    <w:b/>
                    <w:bCs/>
                    <w:szCs w:val="22"/>
                    <w:lang w:val="it-IT" w:eastAsia="en-US"/>
                  </w:rPr>
                </w:rPrChange>
              </w:rPr>
              <w:t>=</w:t>
            </w:r>
            <w:ins w:id="8316" w:author="Author">
              <w:r>
                <w:rPr>
                  <w:rFonts w:eastAsia="Calibri"/>
                  <w:b/>
                  <w:bCs/>
                  <w:noProof/>
                  <w:sz w:val="18"/>
                  <w:szCs w:val="18"/>
                  <w:lang w:val="it-IT" w:eastAsia="en-US"/>
                  <w:rPrChange w:id="8317" w:author="Author">
                    <w:rPr>
                      <w:rFonts w:eastAsia="Calibri"/>
                      <w:b/>
                      <w:bCs/>
                      <w:szCs w:val="22"/>
                      <w:lang w:val="it-IT" w:eastAsia="en-US"/>
                    </w:rPr>
                  </w:rPrChange>
                </w:rPr>
                <w:t> </w:t>
              </w:r>
            </w:ins>
          </w:p>
          <w:p>
            <w:pPr>
              <w:keepNext/>
              <w:widowControl w:val="0"/>
              <w:numPr>
                <w:ilvl w:val="12"/>
                <w:numId w:val="0"/>
              </w:numPr>
              <w:suppressAutoHyphens/>
              <w:jc w:val="center"/>
              <w:rPr>
                <w:b/>
                <w:bCs/>
                <w:noProof/>
                <w:sz w:val="18"/>
                <w:szCs w:val="18"/>
                <w:lang w:val="it-IT" w:eastAsia="en-US"/>
                <w:rPrChange w:id="8318" w:author="Author">
                  <w:rPr>
                    <w:b/>
                    <w:bCs/>
                    <w:szCs w:val="22"/>
                    <w:lang w:val="it-IT" w:eastAsia="en-US"/>
                  </w:rPr>
                </w:rPrChange>
              </w:rPr>
              <w:pPrChange w:id="8319" w:author="Author">
                <w:pPr>
                  <w:keepNext/>
                  <w:keepLines/>
                  <w:widowControl w:val="0"/>
                  <w:numPr>
                    <w:ilvl w:val="12"/>
                  </w:numPr>
                  <w:ind w:right="-2"/>
                  <w:jc w:val="center"/>
                </w:pPr>
              </w:pPrChange>
            </w:pPr>
            <w:r>
              <w:rPr>
                <w:rFonts w:eastAsia="Calibri"/>
                <w:b/>
                <w:bCs/>
                <w:noProof/>
                <w:sz w:val="18"/>
                <w:szCs w:val="18"/>
                <w:lang w:val="it-IT" w:eastAsia="en-US"/>
                <w:rPrChange w:id="8320" w:author="Author">
                  <w:rPr>
                    <w:rFonts w:eastAsia="Calibri"/>
                    <w:b/>
                    <w:bCs/>
                    <w:szCs w:val="22"/>
                    <w:lang w:val="it-IT" w:eastAsia="en-US"/>
                  </w:rPr>
                </w:rPrChange>
              </w:rPr>
              <w:t>204</w:t>
            </w:r>
          </w:p>
        </w:tc>
        <w:tc>
          <w:tcPr>
            <w:tcW w:w="980" w:type="dxa"/>
            <w:tcBorders>
              <w:left w:val="nil"/>
              <w:right w:val="single" w:sz="4" w:space="0" w:color="auto"/>
            </w:tcBorders>
            <w:tcPrChange w:id="8321" w:author="Author">
              <w:tcPr>
                <w:tcW w:w="980" w:type="dxa"/>
                <w:gridSpan w:val="2"/>
                <w:tcBorders>
                  <w:left w:val="nil"/>
                  <w:right w:val="single" w:sz="4" w:space="0" w:color="auto"/>
                </w:tcBorders>
              </w:tcPr>
            </w:tcPrChange>
          </w:tcPr>
          <w:p>
            <w:pPr>
              <w:keepNext/>
              <w:widowControl w:val="0"/>
              <w:numPr>
                <w:ilvl w:val="12"/>
                <w:numId w:val="0"/>
              </w:numPr>
              <w:suppressAutoHyphens/>
              <w:jc w:val="center"/>
              <w:rPr>
                <w:b/>
                <w:bCs/>
                <w:noProof/>
                <w:sz w:val="18"/>
                <w:szCs w:val="18"/>
                <w:lang w:val="it-IT" w:eastAsia="en-US"/>
                <w:rPrChange w:id="8322" w:author="Author">
                  <w:rPr>
                    <w:b/>
                    <w:bCs/>
                    <w:szCs w:val="22"/>
                    <w:lang w:val="it-IT" w:eastAsia="en-US"/>
                  </w:rPr>
                </w:rPrChange>
              </w:rPr>
              <w:pPrChange w:id="8323" w:author="Author">
                <w:pPr>
                  <w:keepNext/>
                  <w:keepLines/>
                  <w:widowControl w:val="0"/>
                  <w:numPr>
                    <w:ilvl w:val="12"/>
                  </w:numPr>
                  <w:ind w:right="-2"/>
                  <w:jc w:val="center"/>
                </w:pPr>
              </w:pPrChange>
            </w:pPr>
            <w:del w:id="8324" w:author="Author">
              <w:r>
                <w:rPr>
                  <w:rFonts w:eastAsia="Calibri"/>
                  <w:b/>
                  <w:bCs/>
                  <w:noProof/>
                  <w:sz w:val="18"/>
                  <w:szCs w:val="18"/>
                  <w:lang w:val="it-IT" w:eastAsia="en-US"/>
                  <w:rPrChange w:id="8325" w:author="Author">
                    <w:rPr>
                      <w:rFonts w:eastAsia="Calibri"/>
                      <w:b/>
                      <w:bCs/>
                      <w:szCs w:val="22"/>
                      <w:lang w:val="it-IT" w:eastAsia="en-US"/>
                    </w:rPr>
                  </w:rPrChange>
                </w:rPr>
                <w:delText xml:space="preserve">N </w:delText>
              </w:r>
            </w:del>
            <w:ins w:id="8326" w:author="Author">
              <w:r>
                <w:rPr>
                  <w:rFonts w:eastAsia="Calibri"/>
                  <w:b/>
                  <w:bCs/>
                  <w:noProof/>
                  <w:sz w:val="18"/>
                  <w:szCs w:val="18"/>
                  <w:lang w:val="it-IT" w:eastAsia="en-US"/>
                  <w:rPrChange w:id="8327" w:author="Author">
                    <w:rPr>
                      <w:rFonts w:eastAsia="Calibri"/>
                      <w:b/>
                      <w:bCs/>
                      <w:szCs w:val="22"/>
                      <w:lang w:val="it-IT" w:eastAsia="en-US"/>
                    </w:rPr>
                  </w:rPrChange>
                </w:rPr>
                <w:t>n </w:t>
              </w:r>
            </w:ins>
            <w:r>
              <w:rPr>
                <w:rFonts w:eastAsia="Calibri"/>
                <w:b/>
                <w:bCs/>
                <w:noProof/>
                <w:sz w:val="18"/>
                <w:szCs w:val="18"/>
                <w:lang w:val="it-IT" w:eastAsia="en-US"/>
                <w:rPrChange w:id="8328" w:author="Author">
                  <w:rPr>
                    <w:rFonts w:eastAsia="Calibri"/>
                    <w:b/>
                    <w:bCs/>
                    <w:szCs w:val="22"/>
                    <w:lang w:val="it-IT" w:eastAsia="en-US"/>
                  </w:rPr>
                </w:rPrChange>
              </w:rPr>
              <w:t>=</w:t>
            </w:r>
            <w:ins w:id="8329" w:author="Author">
              <w:r>
                <w:rPr>
                  <w:rFonts w:eastAsia="Calibri"/>
                  <w:b/>
                  <w:bCs/>
                  <w:noProof/>
                  <w:sz w:val="18"/>
                  <w:szCs w:val="18"/>
                  <w:lang w:val="it-IT" w:eastAsia="en-US"/>
                  <w:rPrChange w:id="8330" w:author="Author">
                    <w:rPr>
                      <w:rFonts w:eastAsia="Calibri"/>
                      <w:b/>
                      <w:bCs/>
                      <w:szCs w:val="22"/>
                      <w:lang w:val="it-IT" w:eastAsia="en-US"/>
                    </w:rPr>
                  </w:rPrChange>
                </w:rPr>
                <w:t> </w:t>
              </w:r>
            </w:ins>
          </w:p>
          <w:p>
            <w:pPr>
              <w:keepNext/>
              <w:widowControl w:val="0"/>
              <w:numPr>
                <w:ilvl w:val="12"/>
                <w:numId w:val="0"/>
              </w:numPr>
              <w:suppressAutoHyphens/>
              <w:jc w:val="center"/>
              <w:rPr>
                <w:b/>
                <w:bCs/>
                <w:noProof/>
                <w:sz w:val="18"/>
                <w:szCs w:val="18"/>
                <w:lang w:val="it-IT" w:eastAsia="en-US"/>
                <w:rPrChange w:id="8331" w:author="Author">
                  <w:rPr>
                    <w:b/>
                    <w:bCs/>
                    <w:szCs w:val="22"/>
                    <w:lang w:val="it-IT" w:eastAsia="en-US"/>
                  </w:rPr>
                </w:rPrChange>
              </w:rPr>
              <w:pPrChange w:id="8332" w:author="Author">
                <w:pPr>
                  <w:keepNext/>
                  <w:keepLines/>
                  <w:widowControl w:val="0"/>
                  <w:numPr>
                    <w:ilvl w:val="12"/>
                  </w:numPr>
                  <w:ind w:right="-2"/>
                  <w:jc w:val="center"/>
                </w:pPr>
              </w:pPrChange>
            </w:pPr>
            <w:r>
              <w:rPr>
                <w:rFonts w:eastAsia="Calibri"/>
                <w:b/>
                <w:bCs/>
                <w:noProof/>
                <w:sz w:val="18"/>
                <w:szCs w:val="18"/>
                <w:lang w:val="it-IT" w:eastAsia="en-US"/>
                <w:rPrChange w:id="8333" w:author="Author">
                  <w:rPr>
                    <w:rFonts w:eastAsia="Calibri"/>
                    <w:b/>
                    <w:bCs/>
                    <w:szCs w:val="22"/>
                    <w:lang w:val="it-IT" w:eastAsia="en-US"/>
                  </w:rPr>
                </w:rPrChange>
              </w:rPr>
              <w:t>803</w:t>
            </w:r>
          </w:p>
        </w:tc>
        <w:tc>
          <w:tcPr>
            <w:tcW w:w="896" w:type="dxa"/>
            <w:tcBorders>
              <w:left w:val="single" w:sz="4" w:space="0" w:color="auto"/>
            </w:tcBorders>
            <w:tcPrChange w:id="8334" w:author="Author">
              <w:tcPr>
                <w:tcW w:w="896" w:type="dxa"/>
                <w:tcBorders>
                  <w:left w:val="single" w:sz="4" w:space="0" w:color="auto"/>
                </w:tcBorders>
              </w:tcPr>
            </w:tcPrChange>
          </w:tcPr>
          <w:p>
            <w:pPr>
              <w:keepNext/>
              <w:widowControl w:val="0"/>
              <w:numPr>
                <w:ilvl w:val="12"/>
                <w:numId w:val="0"/>
              </w:numPr>
              <w:suppressAutoHyphens/>
              <w:jc w:val="center"/>
              <w:rPr>
                <w:b/>
                <w:bCs/>
                <w:noProof/>
                <w:sz w:val="18"/>
                <w:szCs w:val="18"/>
                <w:lang w:val="it-IT" w:eastAsia="en-US"/>
                <w:rPrChange w:id="8335" w:author="Author">
                  <w:rPr>
                    <w:b/>
                    <w:bCs/>
                    <w:szCs w:val="22"/>
                    <w:lang w:val="it-IT" w:eastAsia="en-US"/>
                  </w:rPr>
                </w:rPrChange>
              </w:rPr>
              <w:pPrChange w:id="8336" w:author="Author">
                <w:pPr>
                  <w:keepNext/>
                  <w:keepLines/>
                  <w:widowControl w:val="0"/>
                  <w:numPr>
                    <w:ilvl w:val="12"/>
                  </w:numPr>
                  <w:ind w:right="-2"/>
                  <w:jc w:val="center"/>
                </w:pPr>
              </w:pPrChange>
            </w:pPr>
            <w:del w:id="8337" w:author="Author">
              <w:r>
                <w:rPr>
                  <w:rFonts w:eastAsia="Calibri"/>
                  <w:b/>
                  <w:bCs/>
                  <w:noProof/>
                  <w:sz w:val="18"/>
                  <w:szCs w:val="18"/>
                  <w:lang w:val="it-IT" w:eastAsia="en-US"/>
                  <w:rPrChange w:id="8338" w:author="Author">
                    <w:rPr>
                      <w:rFonts w:eastAsia="Calibri"/>
                      <w:b/>
                      <w:bCs/>
                      <w:szCs w:val="22"/>
                      <w:lang w:val="it-IT" w:eastAsia="en-US"/>
                    </w:rPr>
                  </w:rPrChange>
                </w:rPr>
                <w:delText xml:space="preserve">N </w:delText>
              </w:r>
            </w:del>
            <w:ins w:id="8339" w:author="Author">
              <w:r>
                <w:rPr>
                  <w:rFonts w:eastAsia="Calibri"/>
                  <w:b/>
                  <w:bCs/>
                  <w:noProof/>
                  <w:sz w:val="18"/>
                  <w:szCs w:val="18"/>
                  <w:lang w:val="it-IT" w:eastAsia="en-US"/>
                  <w:rPrChange w:id="8340" w:author="Author">
                    <w:rPr>
                      <w:rFonts w:eastAsia="Calibri"/>
                      <w:b/>
                      <w:bCs/>
                      <w:szCs w:val="22"/>
                      <w:lang w:val="it-IT" w:eastAsia="en-US"/>
                    </w:rPr>
                  </w:rPrChange>
                </w:rPr>
                <w:t>n </w:t>
              </w:r>
            </w:ins>
            <w:r>
              <w:rPr>
                <w:rFonts w:eastAsia="Calibri"/>
                <w:b/>
                <w:bCs/>
                <w:noProof/>
                <w:sz w:val="18"/>
                <w:szCs w:val="18"/>
                <w:lang w:val="it-IT" w:eastAsia="en-US"/>
                <w:rPrChange w:id="8341" w:author="Author">
                  <w:rPr>
                    <w:rFonts w:eastAsia="Calibri"/>
                    <w:b/>
                    <w:bCs/>
                    <w:szCs w:val="22"/>
                    <w:lang w:val="it-IT" w:eastAsia="en-US"/>
                  </w:rPr>
                </w:rPrChange>
              </w:rPr>
              <w:t>=</w:t>
            </w:r>
            <w:ins w:id="8342" w:author="Author">
              <w:r>
                <w:rPr>
                  <w:rFonts w:eastAsia="Calibri"/>
                  <w:b/>
                  <w:bCs/>
                  <w:noProof/>
                  <w:sz w:val="18"/>
                  <w:szCs w:val="18"/>
                  <w:lang w:val="it-IT" w:eastAsia="en-US"/>
                  <w:rPrChange w:id="8343" w:author="Author">
                    <w:rPr>
                      <w:rFonts w:eastAsia="Calibri"/>
                      <w:b/>
                      <w:bCs/>
                      <w:szCs w:val="22"/>
                      <w:lang w:val="it-IT" w:eastAsia="en-US"/>
                    </w:rPr>
                  </w:rPrChange>
                </w:rPr>
                <w:t> </w:t>
              </w:r>
            </w:ins>
          </w:p>
          <w:p>
            <w:pPr>
              <w:keepNext/>
              <w:widowControl w:val="0"/>
              <w:numPr>
                <w:ilvl w:val="12"/>
                <w:numId w:val="0"/>
              </w:numPr>
              <w:suppressAutoHyphens/>
              <w:jc w:val="center"/>
              <w:rPr>
                <w:b/>
                <w:bCs/>
                <w:noProof/>
                <w:sz w:val="18"/>
                <w:szCs w:val="18"/>
                <w:lang w:val="it-IT" w:eastAsia="en-US"/>
                <w:rPrChange w:id="8344" w:author="Author">
                  <w:rPr>
                    <w:b/>
                    <w:bCs/>
                    <w:szCs w:val="22"/>
                    <w:lang w:val="it-IT" w:eastAsia="en-US"/>
                  </w:rPr>
                </w:rPrChange>
              </w:rPr>
              <w:pPrChange w:id="8345" w:author="Author">
                <w:pPr>
                  <w:keepNext/>
                  <w:keepLines/>
                  <w:widowControl w:val="0"/>
                  <w:numPr>
                    <w:ilvl w:val="12"/>
                  </w:numPr>
                  <w:ind w:right="-2"/>
                  <w:jc w:val="center"/>
                </w:pPr>
              </w:pPrChange>
            </w:pPr>
            <w:r>
              <w:rPr>
                <w:rFonts w:eastAsia="Calibri"/>
                <w:b/>
                <w:bCs/>
                <w:noProof/>
                <w:sz w:val="18"/>
                <w:szCs w:val="18"/>
                <w:lang w:val="it-IT" w:eastAsia="en-US"/>
                <w:rPrChange w:id="8346" w:author="Author">
                  <w:rPr>
                    <w:rFonts w:eastAsia="Calibri"/>
                    <w:b/>
                    <w:bCs/>
                    <w:szCs w:val="22"/>
                    <w:lang w:val="it-IT" w:eastAsia="en-US"/>
                  </w:rPr>
                </w:rPrChange>
              </w:rPr>
              <w:t>413</w:t>
            </w:r>
          </w:p>
        </w:tc>
        <w:tc>
          <w:tcPr>
            <w:tcW w:w="910" w:type="dxa"/>
            <w:tcBorders>
              <w:left w:val="nil"/>
              <w:right w:val="single" w:sz="4" w:space="0" w:color="auto"/>
            </w:tcBorders>
            <w:tcPrChange w:id="8347" w:author="Author">
              <w:tcPr>
                <w:tcW w:w="1252" w:type="dxa"/>
                <w:gridSpan w:val="2"/>
                <w:tcBorders>
                  <w:left w:val="nil"/>
                  <w:right w:val="single" w:sz="4" w:space="0" w:color="auto"/>
                </w:tcBorders>
              </w:tcPr>
            </w:tcPrChange>
          </w:tcPr>
          <w:p>
            <w:pPr>
              <w:keepNext/>
              <w:widowControl w:val="0"/>
              <w:numPr>
                <w:ilvl w:val="12"/>
                <w:numId w:val="0"/>
              </w:numPr>
              <w:suppressAutoHyphens/>
              <w:jc w:val="center"/>
              <w:rPr>
                <w:b/>
                <w:bCs/>
                <w:noProof/>
                <w:sz w:val="18"/>
                <w:szCs w:val="18"/>
                <w:lang w:val="it-IT" w:eastAsia="en-US"/>
                <w:rPrChange w:id="8348" w:author="Author">
                  <w:rPr>
                    <w:b/>
                    <w:bCs/>
                    <w:szCs w:val="22"/>
                    <w:lang w:val="it-IT" w:eastAsia="en-US"/>
                  </w:rPr>
                </w:rPrChange>
              </w:rPr>
              <w:pPrChange w:id="8349" w:author="Author">
                <w:pPr>
                  <w:keepNext/>
                  <w:keepLines/>
                  <w:widowControl w:val="0"/>
                  <w:numPr>
                    <w:ilvl w:val="12"/>
                  </w:numPr>
                  <w:ind w:right="-2"/>
                  <w:jc w:val="center"/>
                </w:pPr>
              </w:pPrChange>
            </w:pPr>
            <w:del w:id="8350" w:author="Author">
              <w:r>
                <w:rPr>
                  <w:rFonts w:eastAsia="Calibri"/>
                  <w:b/>
                  <w:bCs/>
                  <w:noProof/>
                  <w:sz w:val="18"/>
                  <w:szCs w:val="18"/>
                  <w:lang w:val="it-IT" w:eastAsia="en-US"/>
                  <w:rPrChange w:id="8351" w:author="Author">
                    <w:rPr>
                      <w:rFonts w:eastAsia="Calibri"/>
                      <w:b/>
                      <w:bCs/>
                      <w:szCs w:val="22"/>
                      <w:lang w:val="it-IT" w:eastAsia="en-US"/>
                    </w:rPr>
                  </w:rPrChange>
                </w:rPr>
                <w:delText xml:space="preserve">N </w:delText>
              </w:r>
            </w:del>
            <w:ins w:id="8352" w:author="Author">
              <w:r>
                <w:rPr>
                  <w:rFonts w:eastAsia="Calibri"/>
                  <w:b/>
                  <w:bCs/>
                  <w:noProof/>
                  <w:sz w:val="18"/>
                  <w:szCs w:val="18"/>
                  <w:lang w:val="it-IT" w:eastAsia="en-US"/>
                  <w:rPrChange w:id="8353" w:author="Author">
                    <w:rPr>
                      <w:rFonts w:eastAsia="Calibri"/>
                      <w:b/>
                      <w:bCs/>
                      <w:szCs w:val="22"/>
                      <w:lang w:val="it-IT" w:eastAsia="en-US"/>
                    </w:rPr>
                  </w:rPrChange>
                </w:rPr>
                <w:t>n </w:t>
              </w:r>
            </w:ins>
            <w:r>
              <w:rPr>
                <w:rFonts w:eastAsia="Calibri"/>
                <w:b/>
                <w:bCs/>
                <w:noProof/>
                <w:sz w:val="18"/>
                <w:szCs w:val="18"/>
                <w:lang w:val="it-IT" w:eastAsia="en-US"/>
                <w:rPrChange w:id="8354" w:author="Author">
                  <w:rPr>
                    <w:rFonts w:eastAsia="Calibri"/>
                    <w:b/>
                    <w:bCs/>
                    <w:szCs w:val="22"/>
                    <w:lang w:val="it-IT" w:eastAsia="en-US"/>
                  </w:rPr>
                </w:rPrChange>
              </w:rPr>
              <w:t>=</w:t>
            </w:r>
            <w:ins w:id="8355" w:author="Author">
              <w:r>
                <w:rPr>
                  <w:rFonts w:eastAsia="Calibri"/>
                  <w:b/>
                  <w:bCs/>
                  <w:noProof/>
                  <w:sz w:val="18"/>
                  <w:szCs w:val="18"/>
                  <w:lang w:val="it-IT" w:eastAsia="en-US"/>
                  <w:rPrChange w:id="8356" w:author="Author">
                    <w:rPr>
                      <w:rFonts w:eastAsia="Calibri"/>
                      <w:b/>
                      <w:bCs/>
                      <w:szCs w:val="22"/>
                      <w:lang w:val="it-IT" w:eastAsia="en-US"/>
                    </w:rPr>
                  </w:rPrChange>
                </w:rPr>
                <w:t> </w:t>
              </w:r>
            </w:ins>
          </w:p>
          <w:p>
            <w:pPr>
              <w:keepNext/>
              <w:widowControl w:val="0"/>
              <w:numPr>
                <w:ilvl w:val="12"/>
                <w:numId w:val="0"/>
              </w:numPr>
              <w:suppressAutoHyphens/>
              <w:jc w:val="center"/>
              <w:rPr>
                <w:b/>
                <w:bCs/>
                <w:noProof/>
                <w:sz w:val="18"/>
                <w:szCs w:val="18"/>
                <w:lang w:val="it-IT" w:eastAsia="en-US"/>
                <w:rPrChange w:id="8357" w:author="Author">
                  <w:rPr>
                    <w:b/>
                    <w:bCs/>
                    <w:szCs w:val="22"/>
                    <w:lang w:val="it-IT" w:eastAsia="en-US"/>
                  </w:rPr>
                </w:rPrChange>
              </w:rPr>
              <w:pPrChange w:id="8358" w:author="Author">
                <w:pPr>
                  <w:keepNext/>
                  <w:keepLines/>
                  <w:widowControl w:val="0"/>
                  <w:numPr>
                    <w:ilvl w:val="12"/>
                  </w:numPr>
                  <w:ind w:right="-2"/>
                  <w:jc w:val="center"/>
                </w:pPr>
              </w:pPrChange>
            </w:pPr>
            <w:r>
              <w:rPr>
                <w:rFonts w:eastAsia="Calibri"/>
                <w:b/>
                <w:bCs/>
                <w:noProof/>
                <w:sz w:val="18"/>
                <w:szCs w:val="18"/>
                <w:lang w:val="it-IT" w:eastAsia="en-US"/>
                <w:rPrChange w:id="8359" w:author="Author">
                  <w:rPr>
                    <w:rFonts w:eastAsia="Calibri"/>
                    <w:b/>
                    <w:bCs/>
                    <w:szCs w:val="22"/>
                    <w:lang w:val="it-IT" w:eastAsia="en-US"/>
                  </w:rPr>
                </w:rPrChange>
              </w:rPr>
              <w:t>170</w:t>
            </w:r>
          </w:p>
        </w:tc>
        <w:tc>
          <w:tcPr>
            <w:tcW w:w="616" w:type="dxa"/>
            <w:tcBorders>
              <w:left w:val="single" w:sz="4" w:space="0" w:color="auto"/>
            </w:tcBorders>
            <w:tcPrChange w:id="8360" w:author="Author">
              <w:tcPr>
                <w:tcW w:w="900" w:type="dxa"/>
                <w:gridSpan w:val="3"/>
                <w:tcBorders>
                  <w:left w:val="single" w:sz="4" w:space="0" w:color="auto"/>
                </w:tcBorders>
              </w:tcPr>
            </w:tcPrChange>
          </w:tcPr>
          <w:p>
            <w:pPr>
              <w:keepNext/>
              <w:widowControl w:val="0"/>
              <w:numPr>
                <w:ilvl w:val="12"/>
                <w:numId w:val="0"/>
              </w:numPr>
              <w:suppressAutoHyphens/>
              <w:jc w:val="center"/>
              <w:rPr>
                <w:b/>
                <w:bCs/>
                <w:noProof/>
                <w:sz w:val="18"/>
                <w:szCs w:val="18"/>
                <w:lang w:val="it-IT" w:eastAsia="en-US"/>
                <w:rPrChange w:id="8361" w:author="Author">
                  <w:rPr>
                    <w:b/>
                    <w:bCs/>
                    <w:szCs w:val="22"/>
                    <w:lang w:val="it-IT" w:eastAsia="en-US"/>
                  </w:rPr>
                </w:rPrChange>
              </w:rPr>
              <w:pPrChange w:id="8362" w:author="Author">
                <w:pPr>
                  <w:keepNext/>
                  <w:keepLines/>
                  <w:widowControl w:val="0"/>
                  <w:numPr>
                    <w:ilvl w:val="12"/>
                  </w:numPr>
                  <w:ind w:right="-2"/>
                  <w:jc w:val="center"/>
                </w:pPr>
              </w:pPrChange>
            </w:pPr>
            <w:del w:id="8363" w:author="Author">
              <w:r>
                <w:rPr>
                  <w:rFonts w:eastAsia="Calibri"/>
                  <w:b/>
                  <w:bCs/>
                  <w:noProof/>
                  <w:sz w:val="18"/>
                  <w:szCs w:val="18"/>
                  <w:lang w:val="it-IT" w:eastAsia="en-US"/>
                  <w:rPrChange w:id="8364" w:author="Author">
                    <w:rPr>
                      <w:rFonts w:eastAsia="Calibri"/>
                      <w:b/>
                      <w:bCs/>
                      <w:szCs w:val="22"/>
                      <w:lang w:val="it-IT" w:eastAsia="en-US"/>
                    </w:rPr>
                  </w:rPrChange>
                </w:rPr>
                <w:delText xml:space="preserve">N </w:delText>
              </w:r>
            </w:del>
            <w:ins w:id="8365" w:author="Author">
              <w:r>
                <w:rPr>
                  <w:rFonts w:eastAsia="Calibri"/>
                  <w:b/>
                  <w:bCs/>
                  <w:noProof/>
                  <w:sz w:val="18"/>
                  <w:szCs w:val="18"/>
                  <w:lang w:val="it-IT" w:eastAsia="en-US"/>
                  <w:rPrChange w:id="8366" w:author="Author">
                    <w:rPr>
                      <w:rFonts w:eastAsia="Calibri"/>
                      <w:b/>
                      <w:bCs/>
                      <w:szCs w:val="22"/>
                      <w:lang w:val="it-IT" w:eastAsia="en-US"/>
                    </w:rPr>
                  </w:rPrChange>
                </w:rPr>
                <w:t>n </w:t>
              </w:r>
            </w:ins>
            <w:r>
              <w:rPr>
                <w:rFonts w:eastAsia="Calibri"/>
                <w:b/>
                <w:bCs/>
                <w:noProof/>
                <w:sz w:val="18"/>
                <w:szCs w:val="18"/>
                <w:lang w:val="it-IT" w:eastAsia="en-US"/>
                <w:rPrChange w:id="8367" w:author="Author">
                  <w:rPr>
                    <w:rFonts w:eastAsia="Calibri"/>
                    <w:b/>
                    <w:bCs/>
                    <w:szCs w:val="22"/>
                    <w:lang w:val="it-IT" w:eastAsia="en-US"/>
                  </w:rPr>
                </w:rPrChange>
              </w:rPr>
              <w:t>=</w:t>
            </w:r>
            <w:ins w:id="8368" w:author="Author">
              <w:r>
                <w:rPr>
                  <w:rFonts w:eastAsia="Calibri"/>
                  <w:b/>
                  <w:bCs/>
                  <w:noProof/>
                  <w:sz w:val="18"/>
                  <w:szCs w:val="18"/>
                  <w:lang w:val="it-IT" w:eastAsia="en-US"/>
                  <w:rPrChange w:id="8369" w:author="Author">
                    <w:rPr>
                      <w:rFonts w:eastAsia="Calibri"/>
                      <w:b/>
                      <w:bCs/>
                      <w:szCs w:val="22"/>
                      <w:lang w:val="it-IT" w:eastAsia="en-US"/>
                    </w:rPr>
                  </w:rPrChange>
                </w:rPr>
                <w:t xml:space="preserve"> </w:t>
              </w:r>
            </w:ins>
          </w:p>
          <w:p>
            <w:pPr>
              <w:keepNext/>
              <w:widowControl w:val="0"/>
              <w:numPr>
                <w:ilvl w:val="12"/>
                <w:numId w:val="0"/>
              </w:numPr>
              <w:suppressAutoHyphens/>
              <w:jc w:val="center"/>
              <w:rPr>
                <w:b/>
                <w:bCs/>
                <w:noProof/>
                <w:sz w:val="18"/>
                <w:szCs w:val="18"/>
                <w:lang w:val="it-IT" w:eastAsia="en-US"/>
                <w:rPrChange w:id="8370" w:author="Author">
                  <w:rPr>
                    <w:b/>
                    <w:bCs/>
                    <w:szCs w:val="22"/>
                    <w:lang w:val="it-IT" w:eastAsia="en-US"/>
                  </w:rPr>
                </w:rPrChange>
              </w:rPr>
              <w:pPrChange w:id="8371" w:author="Author">
                <w:pPr>
                  <w:keepNext/>
                  <w:keepLines/>
                  <w:widowControl w:val="0"/>
                  <w:numPr>
                    <w:ilvl w:val="12"/>
                  </w:numPr>
                  <w:ind w:right="-2"/>
                  <w:jc w:val="center"/>
                </w:pPr>
              </w:pPrChange>
            </w:pPr>
            <w:r>
              <w:rPr>
                <w:rFonts w:eastAsia="Calibri"/>
                <w:b/>
                <w:bCs/>
                <w:noProof/>
                <w:sz w:val="18"/>
                <w:szCs w:val="18"/>
                <w:lang w:val="it-IT" w:eastAsia="en-US"/>
                <w:rPrChange w:id="8372" w:author="Author">
                  <w:rPr>
                    <w:rFonts w:eastAsia="Calibri"/>
                    <w:b/>
                    <w:bCs/>
                    <w:szCs w:val="22"/>
                    <w:lang w:val="it-IT" w:eastAsia="en-US"/>
                  </w:rPr>
                </w:rPrChange>
              </w:rPr>
              <w:t>158</w:t>
            </w:r>
          </w:p>
        </w:tc>
      </w:tr>
      <w:tr>
        <w:trPr>
          <w:cantSplit/>
        </w:trPr>
        <w:tc>
          <w:tcPr>
            <w:tcW w:w="9094" w:type="dxa"/>
            <w:gridSpan w:val="11"/>
          </w:tcPr>
          <w:p>
            <w:pPr>
              <w:keepNext/>
              <w:widowControl w:val="0"/>
              <w:numPr>
                <w:ilvl w:val="12"/>
                <w:numId w:val="0"/>
              </w:numPr>
              <w:suppressAutoHyphens/>
              <w:jc w:val="center"/>
              <w:rPr>
                <w:b/>
                <w:noProof/>
                <w:sz w:val="18"/>
                <w:szCs w:val="18"/>
                <w:lang w:val="it-IT" w:eastAsia="en-US"/>
                <w:rPrChange w:id="8373" w:author="Author">
                  <w:rPr>
                    <w:b/>
                    <w:szCs w:val="22"/>
                    <w:lang w:val="it-IT" w:eastAsia="en-US"/>
                  </w:rPr>
                </w:rPrChange>
              </w:rPr>
              <w:pPrChange w:id="8374" w:author="Author">
                <w:pPr>
                  <w:keepNext/>
                  <w:keepLines/>
                  <w:widowControl w:val="0"/>
                  <w:numPr>
                    <w:ilvl w:val="12"/>
                  </w:numPr>
                  <w:ind w:right="-2"/>
                  <w:jc w:val="center"/>
                </w:pPr>
              </w:pPrChange>
            </w:pPr>
            <w:r>
              <w:rPr>
                <w:rFonts w:eastAsia="Calibri"/>
                <w:b/>
                <w:noProof/>
                <w:sz w:val="18"/>
                <w:szCs w:val="18"/>
                <w:lang w:val="it-IT" w:eastAsia="en-US"/>
                <w:rPrChange w:id="8375" w:author="Author">
                  <w:rPr>
                    <w:rFonts w:eastAsia="Calibri"/>
                    <w:b/>
                    <w:szCs w:val="22"/>
                    <w:lang w:val="it-IT" w:eastAsia="en-US"/>
                  </w:rPr>
                </w:rPrChange>
              </w:rPr>
              <w:t>ACR 20</w:t>
            </w:r>
          </w:p>
        </w:tc>
      </w:tr>
      <w:tr>
        <w:trPr>
          <w:cantSplit/>
          <w:trPrChange w:id="8376" w:author="Author">
            <w:trPr>
              <w:gridBefore w:val="1"/>
              <w:cantSplit/>
            </w:trPr>
          </w:trPrChange>
        </w:trPr>
        <w:tc>
          <w:tcPr>
            <w:tcW w:w="846" w:type="dxa"/>
            <w:tcBorders>
              <w:right w:val="single" w:sz="4" w:space="0" w:color="auto"/>
            </w:tcBorders>
            <w:tcPrChange w:id="8377" w:author="Author">
              <w:tcPr>
                <w:tcW w:w="846" w:type="dxa"/>
                <w:tcBorders>
                  <w:right w:val="single" w:sz="4" w:space="0" w:color="auto"/>
                </w:tcBorders>
              </w:tcPr>
            </w:tcPrChange>
          </w:tcPr>
          <w:p>
            <w:pPr>
              <w:keepNext/>
              <w:widowControl w:val="0"/>
              <w:numPr>
                <w:ilvl w:val="12"/>
                <w:numId w:val="0"/>
              </w:numPr>
              <w:suppressAutoHyphens/>
              <w:jc w:val="center"/>
              <w:rPr>
                <w:noProof/>
                <w:sz w:val="18"/>
                <w:szCs w:val="18"/>
                <w:lang w:val="it-IT" w:eastAsia="en-US"/>
                <w:rPrChange w:id="8378" w:author="Author">
                  <w:rPr>
                    <w:szCs w:val="22"/>
                    <w:lang w:val="it-IT" w:eastAsia="en-US"/>
                  </w:rPr>
                </w:rPrChange>
              </w:rPr>
              <w:pPrChange w:id="8379" w:author="Author">
                <w:pPr>
                  <w:keepNext/>
                  <w:keepLines/>
                  <w:widowControl w:val="0"/>
                  <w:numPr>
                    <w:ilvl w:val="12"/>
                  </w:numPr>
                  <w:ind w:right="-2"/>
                  <w:jc w:val="center"/>
                </w:pPr>
              </w:pPrChange>
            </w:pPr>
            <w:r>
              <w:rPr>
                <w:rFonts w:eastAsia="Calibri"/>
                <w:noProof/>
                <w:sz w:val="18"/>
                <w:szCs w:val="18"/>
                <w:lang w:val="it-IT" w:eastAsia="en-US"/>
                <w:rPrChange w:id="8380" w:author="Author">
                  <w:rPr>
                    <w:rFonts w:eastAsia="Calibri"/>
                    <w:szCs w:val="22"/>
                    <w:lang w:val="it-IT" w:eastAsia="en-US"/>
                  </w:rPr>
                </w:rPrChange>
              </w:rPr>
              <w:t>24</w:t>
            </w:r>
          </w:p>
        </w:tc>
        <w:tc>
          <w:tcPr>
            <w:tcW w:w="717" w:type="dxa"/>
            <w:tcBorders>
              <w:left w:val="single" w:sz="4" w:space="0" w:color="auto"/>
              <w:right w:val="single" w:sz="4" w:space="0" w:color="auto"/>
            </w:tcBorders>
            <w:tcPrChange w:id="8381" w:author="Author">
              <w:tcPr>
                <w:tcW w:w="717" w:type="dxa"/>
                <w:gridSpan w:val="2"/>
                <w:tcBorders>
                  <w:left w:val="single" w:sz="4" w:space="0" w:color="auto"/>
                  <w:right w:val="single" w:sz="4" w:space="0" w:color="auto"/>
                </w:tcBorders>
              </w:tcPr>
            </w:tcPrChange>
          </w:tcPr>
          <w:p>
            <w:pPr>
              <w:keepNext/>
              <w:widowControl w:val="0"/>
              <w:numPr>
                <w:ilvl w:val="12"/>
                <w:numId w:val="0"/>
              </w:numPr>
              <w:suppressAutoHyphens/>
              <w:jc w:val="center"/>
              <w:rPr>
                <w:noProof/>
                <w:sz w:val="18"/>
                <w:szCs w:val="18"/>
                <w:lang w:val="it-IT" w:eastAsia="en-US"/>
                <w:rPrChange w:id="8382" w:author="Author">
                  <w:rPr>
                    <w:szCs w:val="22"/>
                    <w:lang w:val="it-IT" w:eastAsia="en-US"/>
                  </w:rPr>
                </w:rPrChange>
              </w:rPr>
              <w:pPrChange w:id="8383" w:author="Author">
                <w:pPr>
                  <w:keepNext/>
                  <w:keepLines/>
                  <w:widowControl w:val="0"/>
                  <w:numPr>
                    <w:ilvl w:val="12"/>
                  </w:numPr>
                  <w:ind w:right="-2"/>
                  <w:jc w:val="center"/>
                </w:pPr>
              </w:pPrChange>
            </w:pPr>
            <w:r>
              <w:rPr>
                <w:rFonts w:eastAsia="Calibri"/>
                <w:noProof/>
                <w:sz w:val="18"/>
                <w:szCs w:val="18"/>
                <w:lang w:val="it-IT" w:eastAsia="en-US"/>
                <w:rPrChange w:id="8384" w:author="Author">
                  <w:rPr>
                    <w:rFonts w:eastAsia="Calibri"/>
                    <w:szCs w:val="22"/>
                    <w:lang w:val="it-IT" w:eastAsia="en-US"/>
                  </w:rPr>
                </w:rPrChange>
              </w:rPr>
              <w:t>70%***</w:t>
            </w:r>
          </w:p>
        </w:tc>
        <w:tc>
          <w:tcPr>
            <w:tcW w:w="700" w:type="dxa"/>
            <w:tcBorders>
              <w:left w:val="single" w:sz="4" w:space="0" w:color="auto"/>
              <w:right w:val="single" w:sz="4" w:space="0" w:color="auto"/>
            </w:tcBorders>
            <w:tcPrChange w:id="8385" w:author="Author">
              <w:tcPr>
                <w:tcW w:w="700" w:type="dxa"/>
                <w:tcBorders>
                  <w:left w:val="single" w:sz="4" w:space="0" w:color="auto"/>
                  <w:right w:val="single" w:sz="4" w:space="0" w:color="auto"/>
                </w:tcBorders>
              </w:tcPr>
            </w:tcPrChange>
          </w:tcPr>
          <w:p>
            <w:pPr>
              <w:keepNext/>
              <w:widowControl w:val="0"/>
              <w:numPr>
                <w:ilvl w:val="12"/>
                <w:numId w:val="0"/>
              </w:numPr>
              <w:suppressAutoHyphens/>
              <w:jc w:val="center"/>
              <w:rPr>
                <w:noProof/>
                <w:sz w:val="18"/>
                <w:szCs w:val="18"/>
                <w:lang w:val="it-IT" w:eastAsia="en-US"/>
                <w:rPrChange w:id="8386" w:author="Author">
                  <w:rPr>
                    <w:szCs w:val="22"/>
                    <w:lang w:val="it-IT" w:eastAsia="en-US"/>
                  </w:rPr>
                </w:rPrChange>
              </w:rPr>
              <w:pPrChange w:id="8387" w:author="Author">
                <w:pPr>
                  <w:keepNext/>
                  <w:keepLines/>
                  <w:widowControl w:val="0"/>
                  <w:numPr>
                    <w:ilvl w:val="12"/>
                  </w:numPr>
                  <w:ind w:right="-2"/>
                  <w:jc w:val="center"/>
                </w:pPr>
              </w:pPrChange>
            </w:pPr>
            <w:r>
              <w:rPr>
                <w:rFonts w:eastAsia="Calibri"/>
                <w:noProof/>
                <w:sz w:val="18"/>
                <w:szCs w:val="18"/>
                <w:lang w:val="it-IT" w:eastAsia="en-US"/>
                <w:rPrChange w:id="8388" w:author="Author">
                  <w:rPr>
                    <w:rFonts w:eastAsia="Calibri"/>
                    <w:szCs w:val="22"/>
                    <w:lang w:val="it-IT" w:eastAsia="en-US"/>
                  </w:rPr>
                </w:rPrChange>
              </w:rPr>
              <w:t>52%</w:t>
            </w:r>
          </w:p>
        </w:tc>
        <w:tc>
          <w:tcPr>
            <w:tcW w:w="854" w:type="dxa"/>
            <w:tcBorders>
              <w:left w:val="single" w:sz="4" w:space="0" w:color="auto"/>
              <w:right w:val="single" w:sz="4" w:space="0" w:color="auto"/>
            </w:tcBorders>
            <w:tcPrChange w:id="8389" w:author="Author">
              <w:tcPr>
                <w:tcW w:w="854" w:type="dxa"/>
                <w:gridSpan w:val="2"/>
                <w:tcBorders>
                  <w:left w:val="single" w:sz="4" w:space="0" w:color="auto"/>
                  <w:right w:val="single" w:sz="4" w:space="0" w:color="auto"/>
                </w:tcBorders>
              </w:tcPr>
            </w:tcPrChange>
          </w:tcPr>
          <w:p>
            <w:pPr>
              <w:keepNext/>
              <w:widowControl w:val="0"/>
              <w:numPr>
                <w:ilvl w:val="12"/>
                <w:numId w:val="0"/>
              </w:numPr>
              <w:suppressAutoHyphens/>
              <w:jc w:val="center"/>
              <w:rPr>
                <w:noProof/>
                <w:sz w:val="18"/>
                <w:szCs w:val="18"/>
                <w:lang w:val="it-IT" w:eastAsia="en-US"/>
                <w:rPrChange w:id="8390" w:author="Author">
                  <w:rPr>
                    <w:szCs w:val="22"/>
                    <w:lang w:val="it-IT" w:eastAsia="en-US"/>
                  </w:rPr>
                </w:rPrChange>
              </w:rPr>
              <w:pPrChange w:id="8391" w:author="Author">
                <w:pPr>
                  <w:keepNext/>
                  <w:keepLines/>
                  <w:widowControl w:val="0"/>
                  <w:numPr>
                    <w:ilvl w:val="12"/>
                  </w:numPr>
                  <w:ind w:right="-2"/>
                  <w:jc w:val="center"/>
                </w:pPr>
              </w:pPrChange>
            </w:pPr>
            <w:r>
              <w:rPr>
                <w:rFonts w:eastAsia="Calibri"/>
                <w:noProof/>
                <w:sz w:val="18"/>
                <w:szCs w:val="18"/>
                <w:lang w:val="it-IT" w:eastAsia="en-US"/>
                <w:rPrChange w:id="8392" w:author="Author">
                  <w:rPr>
                    <w:rFonts w:eastAsia="Calibri"/>
                    <w:szCs w:val="22"/>
                    <w:lang w:val="it-IT" w:eastAsia="en-US"/>
                  </w:rPr>
                </w:rPrChange>
              </w:rPr>
              <w:t>56%***</w:t>
            </w:r>
          </w:p>
        </w:tc>
        <w:tc>
          <w:tcPr>
            <w:tcW w:w="847" w:type="dxa"/>
            <w:tcBorders>
              <w:left w:val="single" w:sz="4" w:space="0" w:color="auto"/>
              <w:right w:val="single" w:sz="4" w:space="0" w:color="auto"/>
            </w:tcBorders>
            <w:tcPrChange w:id="8393" w:author="Author">
              <w:tcPr>
                <w:tcW w:w="847" w:type="dxa"/>
                <w:tcBorders>
                  <w:left w:val="single" w:sz="4" w:space="0" w:color="auto"/>
                  <w:right w:val="single" w:sz="4" w:space="0" w:color="auto"/>
                </w:tcBorders>
              </w:tcPr>
            </w:tcPrChange>
          </w:tcPr>
          <w:p>
            <w:pPr>
              <w:keepNext/>
              <w:widowControl w:val="0"/>
              <w:numPr>
                <w:ilvl w:val="12"/>
                <w:numId w:val="0"/>
              </w:numPr>
              <w:suppressAutoHyphens/>
              <w:jc w:val="center"/>
              <w:rPr>
                <w:noProof/>
                <w:sz w:val="18"/>
                <w:szCs w:val="18"/>
                <w:lang w:val="it-IT" w:eastAsia="en-US"/>
                <w:rPrChange w:id="8394" w:author="Author">
                  <w:rPr>
                    <w:szCs w:val="22"/>
                    <w:lang w:val="it-IT" w:eastAsia="en-US"/>
                  </w:rPr>
                </w:rPrChange>
              </w:rPr>
              <w:pPrChange w:id="8395" w:author="Author">
                <w:pPr>
                  <w:keepNext/>
                  <w:keepLines/>
                  <w:widowControl w:val="0"/>
                  <w:numPr>
                    <w:ilvl w:val="12"/>
                  </w:numPr>
                  <w:ind w:right="-2"/>
                  <w:jc w:val="center"/>
                </w:pPr>
              </w:pPrChange>
            </w:pPr>
            <w:r>
              <w:rPr>
                <w:rFonts w:eastAsia="Calibri"/>
                <w:noProof/>
                <w:sz w:val="18"/>
                <w:szCs w:val="18"/>
                <w:lang w:val="it-IT" w:eastAsia="en-US"/>
                <w:rPrChange w:id="8396" w:author="Author">
                  <w:rPr>
                    <w:rFonts w:eastAsia="Calibri"/>
                    <w:szCs w:val="22"/>
                    <w:lang w:val="it-IT" w:eastAsia="en-US"/>
                  </w:rPr>
                </w:rPrChange>
              </w:rPr>
              <w:t>27%</w:t>
            </w:r>
          </w:p>
        </w:tc>
        <w:tc>
          <w:tcPr>
            <w:tcW w:w="889" w:type="dxa"/>
            <w:tcBorders>
              <w:left w:val="single" w:sz="4" w:space="0" w:color="auto"/>
              <w:right w:val="single" w:sz="4" w:space="0" w:color="auto"/>
            </w:tcBorders>
            <w:tcPrChange w:id="8397" w:author="Author">
              <w:tcPr>
                <w:tcW w:w="889" w:type="dxa"/>
                <w:gridSpan w:val="2"/>
                <w:tcBorders>
                  <w:left w:val="single" w:sz="4" w:space="0" w:color="auto"/>
                  <w:right w:val="single" w:sz="4" w:space="0" w:color="auto"/>
                </w:tcBorders>
              </w:tcPr>
            </w:tcPrChange>
          </w:tcPr>
          <w:p>
            <w:pPr>
              <w:keepNext/>
              <w:widowControl w:val="0"/>
              <w:numPr>
                <w:ilvl w:val="12"/>
                <w:numId w:val="0"/>
              </w:numPr>
              <w:suppressAutoHyphens/>
              <w:jc w:val="center"/>
              <w:rPr>
                <w:noProof/>
                <w:sz w:val="18"/>
                <w:szCs w:val="18"/>
                <w:lang w:val="it-IT" w:eastAsia="en-US"/>
                <w:rPrChange w:id="8398" w:author="Author">
                  <w:rPr>
                    <w:szCs w:val="22"/>
                    <w:lang w:val="it-IT" w:eastAsia="en-US"/>
                  </w:rPr>
                </w:rPrChange>
              </w:rPr>
              <w:pPrChange w:id="8399" w:author="Author">
                <w:pPr>
                  <w:keepNext/>
                  <w:keepLines/>
                  <w:widowControl w:val="0"/>
                  <w:numPr>
                    <w:ilvl w:val="12"/>
                  </w:numPr>
                  <w:ind w:right="-2"/>
                  <w:jc w:val="center"/>
                </w:pPr>
              </w:pPrChange>
            </w:pPr>
            <w:r>
              <w:rPr>
                <w:rFonts w:eastAsia="Calibri"/>
                <w:noProof/>
                <w:sz w:val="18"/>
                <w:szCs w:val="18"/>
                <w:lang w:val="it-IT" w:eastAsia="en-US"/>
                <w:rPrChange w:id="8400" w:author="Author">
                  <w:rPr>
                    <w:rFonts w:eastAsia="Calibri"/>
                    <w:szCs w:val="22"/>
                    <w:lang w:val="it-IT" w:eastAsia="en-US"/>
                  </w:rPr>
                </w:rPrChange>
              </w:rPr>
              <w:t>59%***</w:t>
            </w:r>
          </w:p>
        </w:tc>
        <w:tc>
          <w:tcPr>
            <w:tcW w:w="839" w:type="dxa"/>
            <w:tcBorders>
              <w:left w:val="single" w:sz="4" w:space="0" w:color="auto"/>
            </w:tcBorders>
            <w:tcPrChange w:id="8401" w:author="Author">
              <w:tcPr>
                <w:tcW w:w="839" w:type="dxa"/>
                <w:tcBorders>
                  <w:left w:val="single" w:sz="4" w:space="0" w:color="auto"/>
                </w:tcBorders>
              </w:tcPr>
            </w:tcPrChange>
          </w:tcPr>
          <w:p>
            <w:pPr>
              <w:keepNext/>
              <w:widowControl w:val="0"/>
              <w:numPr>
                <w:ilvl w:val="12"/>
                <w:numId w:val="0"/>
              </w:numPr>
              <w:suppressAutoHyphens/>
              <w:jc w:val="center"/>
              <w:rPr>
                <w:noProof/>
                <w:sz w:val="18"/>
                <w:szCs w:val="18"/>
                <w:lang w:val="it-IT" w:eastAsia="en-US"/>
                <w:rPrChange w:id="8402" w:author="Author">
                  <w:rPr>
                    <w:szCs w:val="22"/>
                    <w:lang w:val="it-IT" w:eastAsia="en-US"/>
                  </w:rPr>
                </w:rPrChange>
              </w:rPr>
              <w:pPrChange w:id="8403" w:author="Author">
                <w:pPr>
                  <w:keepNext/>
                  <w:keepLines/>
                  <w:widowControl w:val="0"/>
                  <w:numPr>
                    <w:ilvl w:val="12"/>
                  </w:numPr>
                  <w:ind w:right="-2"/>
                  <w:jc w:val="center"/>
                </w:pPr>
              </w:pPrChange>
            </w:pPr>
            <w:r>
              <w:rPr>
                <w:rFonts w:eastAsia="Calibri"/>
                <w:noProof/>
                <w:sz w:val="18"/>
                <w:szCs w:val="18"/>
                <w:lang w:val="it-IT" w:eastAsia="en-US"/>
                <w:rPrChange w:id="8404" w:author="Author">
                  <w:rPr>
                    <w:rFonts w:eastAsia="Calibri"/>
                    <w:szCs w:val="22"/>
                    <w:lang w:val="it-IT" w:eastAsia="en-US"/>
                  </w:rPr>
                </w:rPrChange>
              </w:rPr>
              <w:t>26%</w:t>
            </w:r>
          </w:p>
        </w:tc>
        <w:tc>
          <w:tcPr>
            <w:tcW w:w="980" w:type="dxa"/>
            <w:tcBorders>
              <w:left w:val="nil"/>
            </w:tcBorders>
            <w:tcPrChange w:id="8405" w:author="Author">
              <w:tcPr>
                <w:tcW w:w="980" w:type="dxa"/>
                <w:gridSpan w:val="2"/>
                <w:tcBorders>
                  <w:left w:val="nil"/>
                </w:tcBorders>
              </w:tcPr>
            </w:tcPrChange>
          </w:tcPr>
          <w:p>
            <w:pPr>
              <w:keepNext/>
              <w:widowControl w:val="0"/>
              <w:numPr>
                <w:ilvl w:val="12"/>
                <w:numId w:val="0"/>
              </w:numPr>
              <w:suppressAutoHyphens/>
              <w:jc w:val="center"/>
              <w:rPr>
                <w:noProof/>
                <w:sz w:val="18"/>
                <w:szCs w:val="18"/>
                <w:lang w:val="it-IT" w:eastAsia="en-US"/>
                <w:rPrChange w:id="8406" w:author="Author">
                  <w:rPr>
                    <w:szCs w:val="22"/>
                    <w:lang w:val="it-IT" w:eastAsia="en-US"/>
                  </w:rPr>
                </w:rPrChange>
              </w:rPr>
              <w:pPrChange w:id="8407" w:author="Author">
                <w:pPr>
                  <w:keepNext/>
                  <w:keepLines/>
                  <w:widowControl w:val="0"/>
                  <w:numPr>
                    <w:ilvl w:val="12"/>
                  </w:numPr>
                  <w:ind w:right="-2"/>
                  <w:jc w:val="center"/>
                </w:pPr>
              </w:pPrChange>
            </w:pPr>
            <w:r>
              <w:rPr>
                <w:rFonts w:eastAsia="Calibri"/>
                <w:noProof/>
                <w:sz w:val="18"/>
                <w:szCs w:val="18"/>
                <w:lang w:val="it-IT" w:eastAsia="en-US"/>
                <w:rPrChange w:id="8408" w:author="Author">
                  <w:rPr>
                    <w:rFonts w:eastAsia="Calibri"/>
                    <w:szCs w:val="22"/>
                    <w:lang w:val="it-IT" w:eastAsia="en-US"/>
                  </w:rPr>
                </w:rPrChange>
              </w:rPr>
              <w:t>61%***</w:t>
            </w:r>
          </w:p>
        </w:tc>
        <w:tc>
          <w:tcPr>
            <w:tcW w:w="896" w:type="dxa"/>
            <w:tcBorders>
              <w:left w:val="nil"/>
            </w:tcBorders>
            <w:tcPrChange w:id="8409" w:author="Author">
              <w:tcPr>
                <w:tcW w:w="896" w:type="dxa"/>
                <w:tcBorders>
                  <w:left w:val="nil"/>
                </w:tcBorders>
              </w:tcPr>
            </w:tcPrChange>
          </w:tcPr>
          <w:p>
            <w:pPr>
              <w:keepNext/>
              <w:widowControl w:val="0"/>
              <w:numPr>
                <w:ilvl w:val="12"/>
                <w:numId w:val="0"/>
              </w:numPr>
              <w:suppressAutoHyphens/>
              <w:jc w:val="center"/>
              <w:rPr>
                <w:noProof/>
                <w:sz w:val="18"/>
                <w:szCs w:val="18"/>
                <w:lang w:val="it-IT" w:eastAsia="en-US"/>
                <w:rPrChange w:id="8410" w:author="Author">
                  <w:rPr>
                    <w:szCs w:val="22"/>
                    <w:lang w:val="it-IT" w:eastAsia="en-US"/>
                  </w:rPr>
                </w:rPrChange>
              </w:rPr>
              <w:pPrChange w:id="8411" w:author="Author">
                <w:pPr>
                  <w:keepNext/>
                  <w:keepLines/>
                  <w:widowControl w:val="0"/>
                  <w:numPr>
                    <w:ilvl w:val="12"/>
                  </w:numPr>
                  <w:ind w:right="-2"/>
                  <w:jc w:val="center"/>
                </w:pPr>
              </w:pPrChange>
            </w:pPr>
            <w:r>
              <w:rPr>
                <w:rFonts w:eastAsia="Calibri"/>
                <w:noProof/>
                <w:sz w:val="18"/>
                <w:szCs w:val="18"/>
                <w:lang w:val="it-IT" w:eastAsia="en-US"/>
                <w:rPrChange w:id="8412" w:author="Author">
                  <w:rPr>
                    <w:rFonts w:eastAsia="Calibri"/>
                    <w:szCs w:val="22"/>
                    <w:lang w:val="it-IT" w:eastAsia="en-US"/>
                  </w:rPr>
                </w:rPrChange>
              </w:rPr>
              <w:t>24%</w:t>
            </w:r>
          </w:p>
        </w:tc>
        <w:tc>
          <w:tcPr>
            <w:tcW w:w="910" w:type="dxa"/>
            <w:tcBorders>
              <w:left w:val="nil"/>
            </w:tcBorders>
            <w:tcPrChange w:id="8413" w:author="Author">
              <w:tcPr>
                <w:tcW w:w="1252" w:type="dxa"/>
                <w:gridSpan w:val="2"/>
                <w:tcBorders>
                  <w:left w:val="nil"/>
                </w:tcBorders>
              </w:tcPr>
            </w:tcPrChange>
          </w:tcPr>
          <w:p>
            <w:pPr>
              <w:keepNext/>
              <w:widowControl w:val="0"/>
              <w:numPr>
                <w:ilvl w:val="12"/>
                <w:numId w:val="0"/>
              </w:numPr>
              <w:suppressAutoHyphens/>
              <w:jc w:val="center"/>
              <w:rPr>
                <w:noProof/>
                <w:sz w:val="18"/>
                <w:szCs w:val="18"/>
                <w:lang w:val="it-IT" w:eastAsia="en-US"/>
                <w:rPrChange w:id="8414" w:author="Author">
                  <w:rPr>
                    <w:szCs w:val="22"/>
                    <w:lang w:val="it-IT" w:eastAsia="en-US"/>
                  </w:rPr>
                </w:rPrChange>
              </w:rPr>
              <w:pPrChange w:id="8415" w:author="Author">
                <w:pPr>
                  <w:keepNext/>
                  <w:keepLines/>
                  <w:widowControl w:val="0"/>
                  <w:numPr>
                    <w:ilvl w:val="12"/>
                  </w:numPr>
                  <w:ind w:right="-2"/>
                  <w:jc w:val="center"/>
                </w:pPr>
              </w:pPrChange>
            </w:pPr>
            <w:r>
              <w:rPr>
                <w:rFonts w:eastAsia="Calibri"/>
                <w:noProof/>
                <w:sz w:val="18"/>
                <w:szCs w:val="18"/>
                <w:lang w:val="it-IT" w:eastAsia="en-US"/>
                <w:rPrChange w:id="8416" w:author="Author">
                  <w:rPr>
                    <w:rFonts w:eastAsia="Calibri"/>
                    <w:szCs w:val="22"/>
                    <w:lang w:val="it-IT" w:eastAsia="en-US"/>
                  </w:rPr>
                </w:rPrChange>
              </w:rPr>
              <w:t>50%***</w:t>
            </w:r>
          </w:p>
        </w:tc>
        <w:tc>
          <w:tcPr>
            <w:tcW w:w="616" w:type="dxa"/>
            <w:tcBorders>
              <w:left w:val="nil"/>
            </w:tcBorders>
            <w:tcPrChange w:id="8417" w:author="Author">
              <w:tcPr>
                <w:tcW w:w="900" w:type="dxa"/>
                <w:gridSpan w:val="3"/>
                <w:tcBorders>
                  <w:left w:val="nil"/>
                </w:tcBorders>
              </w:tcPr>
            </w:tcPrChange>
          </w:tcPr>
          <w:p>
            <w:pPr>
              <w:keepNext/>
              <w:widowControl w:val="0"/>
              <w:numPr>
                <w:ilvl w:val="12"/>
                <w:numId w:val="0"/>
              </w:numPr>
              <w:suppressAutoHyphens/>
              <w:jc w:val="center"/>
              <w:rPr>
                <w:noProof/>
                <w:sz w:val="18"/>
                <w:szCs w:val="18"/>
                <w:lang w:val="it-IT" w:eastAsia="en-US"/>
                <w:rPrChange w:id="8418" w:author="Author">
                  <w:rPr>
                    <w:szCs w:val="22"/>
                    <w:lang w:val="it-IT" w:eastAsia="en-US"/>
                  </w:rPr>
                </w:rPrChange>
              </w:rPr>
              <w:pPrChange w:id="8419" w:author="Author">
                <w:pPr>
                  <w:keepNext/>
                  <w:keepLines/>
                  <w:widowControl w:val="0"/>
                  <w:numPr>
                    <w:ilvl w:val="12"/>
                  </w:numPr>
                  <w:ind w:right="-2"/>
                  <w:jc w:val="center"/>
                </w:pPr>
              </w:pPrChange>
            </w:pPr>
            <w:r>
              <w:rPr>
                <w:rFonts w:eastAsia="Calibri"/>
                <w:noProof/>
                <w:sz w:val="18"/>
                <w:szCs w:val="18"/>
                <w:lang w:val="it-IT" w:eastAsia="en-US"/>
                <w:rPrChange w:id="8420" w:author="Author">
                  <w:rPr>
                    <w:rFonts w:eastAsia="Calibri"/>
                    <w:szCs w:val="22"/>
                    <w:lang w:val="it-IT" w:eastAsia="en-US"/>
                  </w:rPr>
                </w:rPrChange>
              </w:rPr>
              <w:t>10%</w:t>
            </w:r>
          </w:p>
        </w:tc>
      </w:tr>
      <w:tr>
        <w:trPr>
          <w:cantSplit/>
          <w:trPrChange w:id="8421" w:author="Author">
            <w:trPr>
              <w:gridBefore w:val="1"/>
              <w:cantSplit/>
            </w:trPr>
          </w:trPrChange>
        </w:trPr>
        <w:tc>
          <w:tcPr>
            <w:tcW w:w="846" w:type="dxa"/>
            <w:tcBorders>
              <w:right w:val="single" w:sz="4" w:space="0" w:color="auto"/>
            </w:tcBorders>
            <w:tcPrChange w:id="8422" w:author="Author">
              <w:tcPr>
                <w:tcW w:w="846" w:type="dxa"/>
                <w:tcBorders>
                  <w:right w:val="single" w:sz="4" w:space="0" w:color="auto"/>
                </w:tcBorders>
              </w:tcPr>
            </w:tcPrChange>
          </w:tcPr>
          <w:p>
            <w:pPr>
              <w:widowControl w:val="0"/>
              <w:numPr>
                <w:ilvl w:val="12"/>
                <w:numId w:val="0"/>
              </w:numPr>
              <w:suppressAutoHyphens/>
              <w:jc w:val="center"/>
              <w:rPr>
                <w:noProof/>
                <w:sz w:val="18"/>
                <w:szCs w:val="18"/>
                <w:lang w:val="it-IT" w:eastAsia="en-US"/>
                <w:rPrChange w:id="8423" w:author="Author">
                  <w:rPr>
                    <w:szCs w:val="22"/>
                    <w:lang w:val="it-IT" w:eastAsia="en-US"/>
                  </w:rPr>
                </w:rPrChange>
              </w:rPr>
              <w:pPrChange w:id="8424" w:author="Author">
                <w:pPr>
                  <w:keepNext/>
                  <w:keepLines/>
                  <w:widowControl w:val="0"/>
                  <w:numPr>
                    <w:ilvl w:val="12"/>
                  </w:numPr>
                  <w:ind w:right="-2"/>
                  <w:jc w:val="center"/>
                </w:pPr>
              </w:pPrChange>
            </w:pPr>
            <w:r>
              <w:rPr>
                <w:rFonts w:eastAsia="Calibri"/>
                <w:noProof/>
                <w:sz w:val="18"/>
                <w:szCs w:val="18"/>
                <w:lang w:val="it-IT" w:eastAsia="en-US"/>
                <w:rPrChange w:id="8425" w:author="Author">
                  <w:rPr>
                    <w:rFonts w:eastAsia="Calibri"/>
                    <w:szCs w:val="22"/>
                    <w:lang w:val="it-IT" w:eastAsia="en-US"/>
                  </w:rPr>
                </w:rPrChange>
              </w:rPr>
              <w:t>52</w:t>
            </w:r>
          </w:p>
        </w:tc>
        <w:tc>
          <w:tcPr>
            <w:tcW w:w="717" w:type="dxa"/>
            <w:tcBorders>
              <w:left w:val="single" w:sz="4" w:space="0" w:color="auto"/>
              <w:right w:val="single" w:sz="4" w:space="0" w:color="auto"/>
            </w:tcBorders>
            <w:tcPrChange w:id="8426" w:author="Author">
              <w:tcPr>
                <w:tcW w:w="717" w:type="dxa"/>
                <w:gridSpan w:val="2"/>
                <w:tcBorders>
                  <w:left w:val="single" w:sz="4" w:space="0" w:color="auto"/>
                  <w:right w:val="single" w:sz="4" w:space="0" w:color="auto"/>
                </w:tcBorders>
              </w:tcPr>
            </w:tcPrChange>
          </w:tcPr>
          <w:p>
            <w:pPr>
              <w:widowControl w:val="0"/>
              <w:numPr>
                <w:ilvl w:val="12"/>
                <w:numId w:val="0"/>
              </w:numPr>
              <w:suppressAutoHyphens/>
              <w:jc w:val="center"/>
              <w:rPr>
                <w:noProof/>
                <w:sz w:val="18"/>
                <w:szCs w:val="18"/>
                <w:lang w:val="it-IT"/>
                <w:rPrChange w:id="8427" w:author="Author">
                  <w:rPr>
                    <w:szCs w:val="22"/>
                    <w:lang w:val="it-IT"/>
                  </w:rPr>
                </w:rPrChange>
              </w:rPr>
              <w:pPrChange w:id="8428" w:author="Author">
                <w:pPr>
                  <w:keepNext/>
                  <w:keepLines/>
                  <w:widowControl w:val="0"/>
                  <w:numPr>
                    <w:ilvl w:val="12"/>
                  </w:numPr>
                  <w:ind w:right="-2"/>
                  <w:jc w:val="center"/>
                </w:pPr>
              </w:pPrChange>
            </w:pPr>
          </w:p>
        </w:tc>
        <w:tc>
          <w:tcPr>
            <w:tcW w:w="700" w:type="dxa"/>
            <w:tcBorders>
              <w:left w:val="single" w:sz="4" w:space="0" w:color="auto"/>
              <w:right w:val="single" w:sz="4" w:space="0" w:color="auto"/>
            </w:tcBorders>
            <w:tcPrChange w:id="8429" w:author="Author">
              <w:tcPr>
                <w:tcW w:w="700" w:type="dxa"/>
                <w:tcBorders>
                  <w:left w:val="single" w:sz="4" w:space="0" w:color="auto"/>
                  <w:right w:val="single" w:sz="4" w:space="0" w:color="auto"/>
                </w:tcBorders>
              </w:tcPr>
            </w:tcPrChange>
          </w:tcPr>
          <w:p>
            <w:pPr>
              <w:widowControl w:val="0"/>
              <w:numPr>
                <w:ilvl w:val="12"/>
                <w:numId w:val="0"/>
              </w:numPr>
              <w:suppressAutoHyphens/>
              <w:jc w:val="center"/>
              <w:rPr>
                <w:noProof/>
                <w:sz w:val="18"/>
                <w:szCs w:val="18"/>
                <w:lang w:val="it-IT"/>
                <w:rPrChange w:id="8430" w:author="Author">
                  <w:rPr>
                    <w:szCs w:val="22"/>
                    <w:lang w:val="it-IT"/>
                  </w:rPr>
                </w:rPrChange>
              </w:rPr>
              <w:pPrChange w:id="8431" w:author="Author">
                <w:pPr>
                  <w:keepNext/>
                  <w:keepLines/>
                  <w:widowControl w:val="0"/>
                  <w:numPr>
                    <w:ilvl w:val="12"/>
                  </w:numPr>
                  <w:ind w:right="-2"/>
                  <w:jc w:val="center"/>
                </w:pPr>
              </w:pPrChange>
            </w:pPr>
          </w:p>
        </w:tc>
        <w:tc>
          <w:tcPr>
            <w:tcW w:w="854" w:type="dxa"/>
            <w:tcBorders>
              <w:left w:val="single" w:sz="4" w:space="0" w:color="auto"/>
              <w:right w:val="single" w:sz="4" w:space="0" w:color="auto"/>
            </w:tcBorders>
            <w:tcPrChange w:id="8432" w:author="Author">
              <w:tcPr>
                <w:tcW w:w="854" w:type="dxa"/>
                <w:gridSpan w:val="2"/>
                <w:tcBorders>
                  <w:left w:val="single" w:sz="4" w:space="0" w:color="auto"/>
                  <w:right w:val="single" w:sz="4" w:space="0" w:color="auto"/>
                </w:tcBorders>
              </w:tcPr>
            </w:tcPrChange>
          </w:tcPr>
          <w:p>
            <w:pPr>
              <w:widowControl w:val="0"/>
              <w:numPr>
                <w:ilvl w:val="12"/>
                <w:numId w:val="0"/>
              </w:numPr>
              <w:suppressAutoHyphens/>
              <w:jc w:val="center"/>
              <w:rPr>
                <w:noProof/>
                <w:sz w:val="18"/>
                <w:szCs w:val="18"/>
                <w:lang w:val="it-IT" w:eastAsia="en-US"/>
                <w:rPrChange w:id="8433" w:author="Author">
                  <w:rPr>
                    <w:szCs w:val="22"/>
                    <w:lang w:val="it-IT" w:eastAsia="en-US"/>
                  </w:rPr>
                </w:rPrChange>
              </w:rPr>
              <w:pPrChange w:id="8434" w:author="Author">
                <w:pPr>
                  <w:keepNext/>
                  <w:keepLines/>
                  <w:widowControl w:val="0"/>
                  <w:numPr>
                    <w:ilvl w:val="12"/>
                  </w:numPr>
                  <w:ind w:right="-2"/>
                  <w:jc w:val="center"/>
                </w:pPr>
              </w:pPrChange>
            </w:pPr>
            <w:r>
              <w:rPr>
                <w:rFonts w:eastAsia="Calibri"/>
                <w:noProof/>
                <w:sz w:val="18"/>
                <w:szCs w:val="18"/>
                <w:lang w:val="it-IT" w:eastAsia="en-US"/>
                <w:rPrChange w:id="8435" w:author="Author">
                  <w:rPr>
                    <w:rFonts w:eastAsia="Calibri"/>
                    <w:szCs w:val="22"/>
                    <w:lang w:val="it-IT" w:eastAsia="en-US"/>
                  </w:rPr>
                </w:rPrChange>
              </w:rPr>
              <w:t>56%***</w:t>
            </w:r>
          </w:p>
        </w:tc>
        <w:tc>
          <w:tcPr>
            <w:tcW w:w="847" w:type="dxa"/>
            <w:tcBorders>
              <w:left w:val="single" w:sz="4" w:space="0" w:color="auto"/>
              <w:right w:val="single" w:sz="4" w:space="0" w:color="auto"/>
            </w:tcBorders>
            <w:tcPrChange w:id="8436" w:author="Author">
              <w:tcPr>
                <w:tcW w:w="847" w:type="dxa"/>
                <w:tcBorders>
                  <w:left w:val="single" w:sz="4" w:space="0" w:color="auto"/>
                  <w:right w:val="single" w:sz="4" w:space="0" w:color="auto"/>
                </w:tcBorders>
              </w:tcPr>
            </w:tcPrChange>
          </w:tcPr>
          <w:p>
            <w:pPr>
              <w:widowControl w:val="0"/>
              <w:numPr>
                <w:ilvl w:val="12"/>
                <w:numId w:val="0"/>
              </w:numPr>
              <w:suppressAutoHyphens/>
              <w:jc w:val="center"/>
              <w:rPr>
                <w:noProof/>
                <w:sz w:val="18"/>
                <w:szCs w:val="18"/>
                <w:lang w:val="it-IT" w:eastAsia="en-US"/>
                <w:rPrChange w:id="8437" w:author="Author">
                  <w:rPr>
                    <w:szCs w:val="22"/>
                    <w:lang w:val="it-IT" w:eastAsia="en-US"/>
                  </w:rPr>
                </w:rPrChange>
              </w:rPr>
              <w:pPrChange w:id="8438" w:author="Author">
                <w:pPr>
                  <w:keepNext/>
                  <w:keepLines/>
                  <w:widowControl w:val="0"/>
                  <w:numPr>
                    <w:ilvl w:val="12"/>
                  </w:numPr>
                  <w:ind w:right="-2"/>
                  <w:jc w:val="center"/>
                </w:pPr>
              </w:pPrChange>
            </w:pPr>
            <w:r>
              <w:rPr>
                <w:rFonts w:eastAsia="Calibri"/>
                <w:noProof/>
                <w:sz w:val="18"/>
                <w:szCs w:val="18"/>
                <w:lang w:val="it-IT" w:eastAsia="en-US"/>
                <w:rPrChange w:id="8439" w:author="Author">
                  <w:rPr>
                    <w:rFonts w:eastAsia="Calibri"/>
                    <w:szCs w:val="22"/>
                    <w:lang w:val="it-IT" w:eastAsia="en-US"/>
                  </w:rPr>
                </w:rPrChange>
              </w:rPr>
              <w:t>25%</w:t>
            </w:r>
          </w:p>
        </w:tc>
        <w:tc>
          <w:tcPr>
            <w:tcW w:w="889" w:type="dxa"/>
            <w:tcBorders>
              <w:left w:val="single" w:sz="4" w:space="0" w:color="auto"/>
              <w:right w:val="single" w:sz="4" w:space="0" w:color="auto"/>
            </w:tcBorders>
            <w:tcPrChange w:id="8440" w:author="Author">
              <w:tcPr>
                <w:tcW w:w="889" w:type="dxa"/>
                <w:gridSpan w:val="2"/>
                <w:tcBorders>
                  <w:left w:val="single" w:sz="4" w:space="0" w:color="auto"/>
                  <w:right w:val="single" w:sz="4" w:space="0" w:color="auto"/>
                </w:tcBorders>
              </w:tcPr>
            </w:tcPrChange>
          </w:tcPr>
          <w:p>
            <w:pPr>
              <w:widowControl w:val="0"/>
              <w:numPr>
                <w:ilvl w:val="12"/>
                <w:numId w:val="0"/>
              </w:numPr>
              <w:suppressAutoHyphens/>
              <w:jc w:val="center"/>
              <w:rPr>
                <w:noProof/>
                <w:sz w:val="18"/>
                <w:szCs w:val="18"/>
                <w:lang w:val="it-IT"/>
                <w:rPrChange w:id="8441" w:author="Author">
                  <w:rPr>
                    <w:szCs w:val="22"/>
                    <w:lang w:val="it-IT"/>
                  </w:rPr>
                </w:rPrChange>
              </w:rPr>
              <w:pPrChange w:id="8442" w:author="Author">
                <w:pPr>
                  <w:keepNext/>
                  <w:keepLines/>
                  <w:widowControl w:val="0"/>
                  <w:numPr>
                    <w:ilvl w:val="12"/>
                  </w:numPr>
                  <w:ind w:right="-2"/>
                  <w:jc w:val="center"/>
                </w:pPr>
              </w:pPrChange>
            </w:pPr>
          </w:p>
        </w:tc>
        <w:tc>
          <w:tcPr>
            <w:tcW w:w="839" w:type="dxa"/>
            <w:tcBorders>
              <w:left w:val="single" w:sz="4" w:space="0" w:color="auto"/>
            </w:tcBorders>
            <w:tcPrChange w:id="8443" w:author="Author">
              <w:tcPr>
                <w:tcW w:w="839" w:type="dxa"/>
                <w:tcBorders>
                  <w:left w:val="single" w:sz="4" w:space="0" w:color="auto"/>
                </w:tcBorders>
              </w:tcPr>
            </w:tcPrChange>
          </w:tcPr>
          <w:p>
            <w:pPr>
              <w:widowControl w:val="0"/>
              <w:numPr>
                <w:ilvl w:val="12"/>
                <w:numId w:val="0"/>
              </w:numPr>
              <w:suppressAutoHyphens/>
              <w:jc w:val="center"/>
              <w:rPr>
                <w:noProof/>
                <w:sz w:val="18"/>
                <w:szCs w:val="18"/>
                <w:lang w:val="it-IT"/>
                <w:rPrChange w:id="8444" w:author="Author">
                  <w:rPr>
                    <w:szCs w:val="22"/>
                    <w:lang w:val="it-IT"/>
                  </w:rPr>
                </w:rPrChange>
              </w:rPr>
              <w:pPrChange w:id="8445" w:author="Author">
                <w:pPr>
                  <w:keepNext/>
                  <w:keepLines/>
                  <w:widowControl w:val="0"/>
                  <w:numPr>
                    <w:ilvl w:val="12"/>
                  </w:numPr>
                  <w:ind w:right="-2"/>
                  <w:jc w:val="center"/>
                </w:pPr>
              </w:pPrChange>
            </w:pPr>
          </w:p>
        </w:tc>
        <w:tc>
          <w:tcPr>
            <w:tcW w:w="980" w:type="dxa"/>
            <w:tcBorders>
              <w:left w:val="nil"/>
            </w:tcBorders>
            <w:tcPrChange w:id="8446" w:author="Author">
              <w:tcPr>
                <w:tcW w:w="980" w:type="dxa"/>
                <w:gridSpan w:val="2"/>
                <w:tcBorders>
                  <w:left w:val="nil"/>
                </w:tcBorders>
              </w:tcPr>
            </w:tcPrChange>
          </w:tcPr>
          <w:p>
            <w:pPr>
              <w:widowControl w:val="0"/>
              <w:numPr>
                <w:ilvl w:val="12"/>
                <w:numId w:val="0"/>
              </w:numPr>
              <w:suppressAutoHyphens/>
              <w:jc w:val="center"/>
              <w:rPr>
                <w:noProof/>
                <w:sz w:val="18"/>
                <w:szCs w:val="18"/>
                <w:lang w:val="it-IT"/>
                <w:rPrChange w:id="8447" w:author="Author">
                  <w:rPr>
                    <w:szCs w:val="22"/>
                    <w:lang w:val="it-IT"/>
                  </w:rPr>
                </w:rPrChange>
              </w:rPr>
              <w:pPrChange w:id="8448" w:author="Author">
                <w:pPr>
                  <w:keepNext/>
                  <w:keepLines/>
                  <w:widowControl w:val="0"/>
                  <w:numPr>
                    <w:ilvl w:val="12"/>
                  </w:numPr>
                  <w:ind w:right="-2"/>
                  <w:jc w:val="center"/>
                </w:pPr>
              </w:pPrChange>
            </w:pPr>
          </w:p>
        </w:tc>
        <w:tc>
          <w:tcPr>
            <w:tcW w:w="896" w:type="dxa"/>
            <w:tcBorders>
              <w:left w:val="nil"/>
            </w:tcBorders>
            <w:tcPrChange w:id="8449" w:author="Author">
              <w:tcPr>
                <w:tcW w:w="896" w:type="dxa"/>
                <w:tcBorders>
                  <w:left w:val="nil"/>
                </w:tcBorders>
              </w:tcPr>
            </w:tcPrChange>
          </w:tcPr>
          <w:p>
            <w:pPr>
              <w:widowControl w:val="0"/>
              <w:numPr>
                <w:ilvl w:val="12"/>
                <w:numId w:val="0"/>
              </w:numPr>
              <w:suppressAutoHyphens/>
              <w:jc w:val="center"/>
              <w:rPr>
                <w:noProof/>
                <w:sz w:val="18"/>
                <w:szCs w:val="18"/>
                <w:lang w:val="it-IT"/>
                <w:rPrChange w:id="8450" w:author="Author">
                  <w:rPr>
                    <w:szCs w:val="22"/>
                    <w:lang w:val="it-IT"/>
                  </w:rPr>
                </w:rPrChange>
              </w:rPr>
              <w:pPrChange w:id="8451" w:author="Author">
                <w:pPr>
                  <w:keepNext/>
                  <w:keepLines/>
                  <w:widowControl w:val="0"/>
                  <w:numPr>
                    <w:ilvl w:val="12"/>
                  </w:numPr>
                  <w:ind w:right="-2"/>
                  <w:jc w:val="center"/>
                </w:pPr>
              </w:pPrChange>
            </w:pPr>
          </w:p>
        </w:tc>
        <w:tc>
          <w:tcPr>
            <w:tcW w:w="910" w:type="dxa"/>
            <w:tcBorders>
              <w:left w:val="nil"/>
            </w:tcBorders>
            <w:tcPrChange w:id="8452" w:author="Author">
              <w:tcPr>
                <w:tcW w:w="1252" w:type="dxa"/>
                <w:gridSpan w:val="2"/>
                <w:tcBorders>
                  <w:left w:val="nil"/>
                </w:tcBorders>
              </w:tcPr>
            </w:tcPrChange>
          </w:tcPr>
          <w:p>
            <w:pPr>
              <w:widowControl w:val="0"/>
              <w:numPr>
                <w:ilvl w:val="12"/>
                <w:numId w:val="0"/>
              </w:numPr>
              <w:suppressAutoHyphens/>
              <w:jc w:val="center"/>
              <w:rPr>
                <w:noProof/>
                <w:sz w:val="18"/>
                <w:szCs w:val="18"/>
                <w:lang w:val="it-IT"/>
                <w:rPrChange w:id="8453" w:author="Author">
                  <w:rPr>
                    <w:szCs w:val="22"/>
                    <w:lang w:val="it-IT"/>
                  </w:rPr>
                </w:rPrChange>
              </w:rPr>
              <w:pPrChange w:id="8454" w:author="Author">
                <w:pPr>
                  <w:keepNext/>
                  <w:keepLines/>
                  <w:widowControl w:val="0"/>
                  <w:numPr>
                    <w:ilvl w:val="12"/>
                  </w:numPr>
                  <w:ind w:right="-2"/>
                  <w:jc w:val="center"/>
                </w:pPr>
              </w:pPrChange>
            </w:pPr>
          </w:p>
        </w:tc>
        <w:tc>
          <w:tcPr>
            <w:tcW w:w="616" w:type="dxa"/>
            <w:tcBorders>
              <w:left w:val="nil"/>
            </w:tcBorders>
            <w:tcPrChange w:id="8455" w:author="Author">
              <w:tcPr>
                <w:tcW w:w="900" w:type="dxa"/>
                <w:gridSpan w:val="3"/>
                <w:tcBorders>
                  <w:left w:val="nil"/>
                </w:tcBorders>
              </w:tcPr>
            </w:tcPrChange>
          </w:tcPr>
          <w:p>
            <w:pPr>
              <w:widowControl w:val="0"/>
              <w:numPr>
                <w:ilvl w:val="12"/>
                <w:numId w:val="0"/>
              </w:numPr>
              <w:suppressAutoHyphens/>
              <w:jc w:val="center"/>
              <w:rPr>
                <w:noProof/>
                <w:sz w:val="18"/>
                <w:szCs w:val="18"/>
                <w:lang w:val="it-IT"/>
                <w:rPrChange w:id="8456" w:author="Author">
                  <w:rPr>
                    <w:szCs w:val="22"/>
                    <w:lang w:val="it-IT"/>
                  </w:rPr>
                </w:rPrChange>
              </w:rPr>
              <w:pPrChange w:id="8457" w:author="Author">
                <w:pPr>
                  <w:keepNext/>
                  <w:keepLines/>
                  <w:widowControl w:val="0"/>
                  <w:numPr>
                    <w:ilvl w:val="12"/>
                  </w:numPr>
                  <w:ind w:right="-2"/>
                  <w:jc w:val="center"/>
                </w:pPr>
              </w:pPrChange>
            </w:pPr>
          </w:p>
        </w:tc>
      </w:tr>
      <w:tr>
        <w:trPr>
          <w:cantSplit/>
        </w:trPr>
        <w:tc>
          <w:tcPr>
            <w:tcW w:w="9094" w:type="dxa"/>
            <w:gridSpan w:val="11"/>
          </w:tcPr>
          <w:p>
            <w:pPr>
              <w:keepNext/>
              <w:widowControl w:val="0"/>
              <w:numPr>
                <w:ilvl w:val="12"/>
                <w:numId w:val="0"/>
              </w:numPr>
              <w:suppressAutoHyphens/>
              <w:jc w:val="center"/>
              <w:rPr>
                <w:b/>
                <w:noProof/>
                <w:sz w:val="18"/>
                <w:szCs w:val="18"/>
                <w:lang w:val="it-IT" w:eastAsia="en-US"/>
                <w:rPrChange w:id="8458" w:author="Author">
                  <w:rPr>
                    <w:b/>
                    <w:szCs w:val="22"/>
                    <w:lang w:val="it-IT" w:eastAsia="en-US"/>
                  </w:rPr>
                </w:rPrChange>
              </w:rPr>
              <w:pPrChange w:id="8459" w:author="Author">
                <w:pPr>
                  <w:keepNext/>
                  <w:keepLines/>
                  <w:widowControl w:val="0"/>
                  <w:numPr>
                    <w:ilvl w:val="12"/>
                  </w:numPr>
                  <w:ind w:right="-2"/>
                  <w:jc w:val="center"/>
                </w:pPr>
              </w:pPrChange>
            </w:pPr>
            <w:r>
              <w:rPr>
                <w:rFonts w:eastAsia="Calibri"/>
                <w:b/>
                <w:noProof/>
                <w:sz w:val="18"/>
                <w:szCs w:val="18"/>
                <w:lang w:val="it-IT" w:eastAsia="en-US"/>
                <w:rPrChange w:id="8460" w:author="Author">
                  <w:rPr>
                    <w:rFonts w:eastAsia="Calibri"/>
                    <w:b/>
                    <w:szCs w:val="22"/>
                    <w:lang w:val="it-IT" w:eastAsia="en-US"/>
                  </w:rPr>
                </w:rPrChange>
              </w:rPr>
              <w:t>ACR 50</w:t>
            </w:r>
          </w:p>
        </w:tc>
      </w:tr>
      <w:tr>
        <w:trPr>
          <w:cantSplit/>
          <w:trPrChange w:id="8461" w:author="Author">
            <w:trPr>
              <w:gridBefore w:val="1"/>
              <w:cantSplit/>
            </w:trPr>
          </w:trPrChange>
        </w:trPr>
        <w:tc>
          <w:tcPr>
            <w:tcW w:w="846" w:type="dxa"/>
            <w:tcBorders>
              <w:right w:val="single" w:sz="4" w:space="0" w:color="auto"/>
            </w:tcBorders>
            <w:tcPrChange w:id="8462" w:author="Author">
              <w:tcPr>
                <w:tcW w:w="846" w:type="dxa"/>
                <w:tcBorders>
                  <w:right w:val="single" w:sz="4" w:space="0" w:color="auto"/>
                </w:tcBorders>
              </w:tcPr>
            </w:tcPrChange>
          </w:tcPr>
          <w:p>
            <w:pPr>
              <w:keepNext/>
              <w:widowControl w:val="0"/>
              <w:numPr>
                <w:ilvl w:val="12"/>
                <w:numId w:val="0"/>
              </w:numPr>
              <w:suppressAutoHyphens/>
              <w:jc w:val="center"/>
              <w:rPr>
                <w:noProof/>
                <w:sz w:val="18"/>
                <w:szCs w:val="18"/>
                <w:lang w:val="it-IT" w:eastAsia="en-US"/>
                <w:rPrChange w:id="8463" w:author="Author">
                  <w:rPr>
                    <w:szCs w:val="22"/>
                    <w:lang w:val="it-IT" w:eastAsia="en-US"/>
                  </w:rPr>
                </w:rPrChange>
              </w:rPr>
              <w:pPrChange w:id="8464" w:author="Author">
                <w:pPr>
                  <w:keepNext/>
                  <w:keepLines/>
                  <w:widowControl w:val="0"/>
                  <w:numPr>
                    <w:ilvl w:val="12"/>
                  </w:numPr>
                  <w:ind w:right="-2"/>
                  <w:jc w:val="center"/>
                </w:pPr>
              </w:pPrChange>
            </w:pPr>
            <w:r>
              <w:rPr>
                <w:rFonts w:eastAsia="Calibri"/>
                <w:noProof/>
                <w:sz w:val="18"/>
                <w:szCs w:val="18"/>
                <w:lang w:val="it-IT" w:eastAsia="en-US"/>
                <w:rPrChange w:id="8465" w:author="Author">
                  <w:rPr>
                    <w:rFonts w:eastAsia="Calibri"/>
                    <w:szCs w:val="22"/>
                    <w:lang w:val="it-IT" w:eastAsia="en-US"/>
                  </w:rPr>
                </w:rPrChange>
              </w:rPr>
              <w:t>24</w:t>
            </w:r>
          </w:p>
        </w:tc>
        <w:tc>
          <w:tcPr>
            <w:tcW w:w="717" w:type="dxa"/>
            <w:tcBorders>
              <w:left w:val="single" w:sz="4" w:space="0" w:color="auto"/>
              <w:right w:val="single" w:sz="4" w:space="0" w:color="auto"/>
            </w:tcBorders>
            <w:tcPrChange w:id="8466" w:author="Author">
              <w:tcPr>
                <w:tcW w:w="717" w:type="dxa"/>
                <w:gridSpan w:val="2"/>
                <w:tcBorders>
                  <w:left w:val="single" w:sz="4" w:space="0" w:color="auto"/>
                  <w:right w:val="single" w:sz="4" w:space="0" w:color="auto"/>
                </w:tcBorders>
              </w:tcPr>
            </w:tcPrChange>
          </w:tcPr>
          <w:p>
            <w:pPr>
              <w:keepNext/>
              <w:widowControl w:val="0"/>
              <w:numPr>
                <w:ilvl w:val="12"/>
                <w:numId w:val="0"/>
              </w:numPr>
              <w:suppressAutoHyphens/>
              <w:jc w:val="center"/>
              <w:rPr>
                <w:noProof/>
                <w:sz w:val="18"/>
                <w:szCs w:val="18"/>
                <w:lang w:val="it-IT" w:eastAsia="en-US"/>
                <w:rPrChange w:id="8467" w:author="Author">
                  <w:rPr>
                    <w:szCs w:val="22"/>
                    <w:lang w:val="it-IT" w:eastAsia="en-US"/>
                  </w:rPr>
                </w:rPrChange>
              </w:rPr>
              <w:pPrChange w:id="8468" w:author="Author">
                <w:pPr>
                  <w:keepNext/>
                  <w:keepLines/>
                  <w:widowControl w:val="0"/>
                  <w:numPr>
                    <w:ilvl w:val="12"/>
                  </w:numPr>
                  <w:ind w:right="-2"/>
                  <w:jc w:val="center"/>
                </w:pPr>
              </w:pPrChange>
            </w:pPr>
            <w:r>
              <w:rPr>
                <w:rFonts w:eastAsia="Calibri"/>
                <w:noProof/>
                <w:sz w:val="18"/>
                <w:szCs w:val="18"/>
                <w:lang w:val="it-IT" w:eastAsia="en-US"/>
                <w:rPrChange w:id="8469" w:author="Author">
                  <w:rPr>
                    <w:rFonts w:eastAsia="Calibri"/>
                    <w:szCs w:val="22"/>
                    <w:lang w:val="it-IT" w:eastAsia="en-US"/>
                  </w:rPr>
                </w:rPrChange>
              </w:rPr>
              <w:t>44%**</w:t>
            </w:r>
          </w:p>
        </w:tc>
        <w:tc>
          <w:tcPr>
            <w:tcW w:w="700" w:type="dxa"/>
            <w:tcBorders>
              <w:left w:val="single" w:sz="4" w:space="0" w:color="auto"/>
              <w:right w:val="single" w:sz="4" w:space="0" w:color="auto"/>
            </w:tcBorders>
            <w:tcPrChange w:id="8470" w:author="Author">
              <w:tcPr>
                <w:tcW w:w="700" w:type="dxa"/>
                <w:tcBorders>
                  <w:left w:val="single" w:sz="4" w:space="0" w:color="auto"/>
                  <w:right w:val="single" w:sz="4" w:space="0" w:color="auto"/>
                </w:tcBorders>
              </w:tcPr>
            </w:tcPrChange>
          </w:tcPr>
          <w:p>
            <w:pPr>
              <w:keepNext/>
              <w:widowControl w:val="0"/>
              <w:numPr>
                <w:ilvl w:val="12"/>
                <w:numId w:val="0"/>
              </w:numPr>
              <w:suppressAutoHyphens/>
              <w:jc w:val="center"/>
              <w:rPr>
                <w:noProof/>
                <w:sz w:val="18"/>
                <w:szCs w:val="18"/>
                <w:lang w:val="it-IT" w:eastAsia="en-US"/>
                <w:rPrChange w:id="8471" w:author="Author">
                  <w:rPr>
                    <w:szCs w:val="22"/>
                    <w:lang w:val="it-IT" w:eastAsia="en-US"/>
                  </w:rPr>
                </w:rPrChange>
              </w:rPr>
              <w:pPrChange w:id="8472" w:author="Author">
                <w:pPr>
                  <w:keepNext/>
                  <w:keepLines/>
                  <w:widowControl w:val="0"/>
                  <w:numPr>
                    <w:ilvl w:val="12"/>
                  </w:numPr>
                  <w:ind w:right="-2"/>
                  <w:jc w:val="center"/>
                </w:pPr>
              </w:pPrChange>
            </w:pPr>
            <w:r>
              <w:rPr>
                <w:rFonts w:eastAsia="Calibri"/>
                <w:noProof/>
                <w:sz w:val="18"/>
                <w:szCs w:val="18"/>
                <w:lang w:val="it-IT" w:eastAsia="en-US"/>
                <w:rPrChange w:id="8473" w:author="Author">
                  <w:rPr>
                    <w:rFonts w:eastAsia="Calibri"/>
                    <w:szCs w:val="22"/>
                    <w:lang w:val="it-IT" w:eastAsia="en-US"/>
                  </w:rPr>
                </w:rPrChange>
              </w:rPr>
              <w:t>33%</w:t>
            </w:r>
          </w:p>
        </w:tc>
        <w:tc>
          <w:tcPr>
            <w:tcW w:w="854" w:type="dxa"/>
            <w:tcBorders>
              <w:left w:val="single" w:sz="4" w:space="0" w:color="auto"/>
              <w:right w:val="single" w:sz="4" w:space="0" w:color="auto"/>
            </w:tcBorders>
            <w:tcPrChange w:id="8474" w:author="Author">
              <w:tcPr>
                <w:tcW w:w="854" w:type="dxa"/>
                <w:gridSpan w:val="2"/>
                <w:tcBorders>
                  <w:left w:val="single" w:sz="4" w:space="0" w:color="auto"/>
                  <w:right w:val="single" w:sz="4" w:space="0" w:color="auto"/>
                </w:tcBorders>
              </w:tcPr>
            </w:tcPrChange>
          </w:tcPr>
          <w:p>
            <w:pPr>
              <w:keepNext/>
              <w:widowControl w:val="0"/>
              <w:numPr>
                <w:ilvl w:val="12"/>
                <w:numId w:val="0"/>
              </w:numPr>
              <w:suppressAutoHyphens/>
              <w:jc w:val="center"/>
              <w:rPr>
                <w:noProof/>
                <w:sz w:val="18"/>
                <w:szCs w:val="18"/>
                <w:lang w:val="it-IT" w:eastAsia="en-US"/>
                <w:rPrChange w:id="8475" w:author="Author">
                  <w:rPr>
                    <w:szCs w:val="22"/>
                    <w:lang w:val="it-IT" w:eastAsia="en-US"/>
                  </w:rPr>
                </w:rPrChange>
              </w:rPr>
              <w:pPrChange w:id="8476" w:author="Author">
                <w:pPr>
                  <w:keepNext/>
                  <w:keepLines/>
                  <w:widowControl w:val="0"/>
                  <w:numPr>
                    <w:ilvl w:val="12"/>
                  </w:numPr>
                  <w:ind w:right="-2"/>
                  <w:jc w:val="center"/>
                </w:pPr>
              </w:pPrChange>
            </w:pPr>
            <w:r>
              <w:rPr>
                <w:rFonts w:eastAsia="Calibri"/>
                <w:noProof/>
                <w:sz w:val="18"/>
                <w:szCs w:val="18"/>
                <w:lang w:val="it-IT" w:eastAsia="en-US"/>
                <w:rPrChange w:id="8477" w:author="Author">
                  <w:rPr>
                    <w:rFonts w:eastAsia="Calibri"/>
                    <w:szCs w:val="22"/>
                    <w:lang w:val="it-IT" w:eastAsia="en-US"/>
                  </w:rPr>
                </w:rPrChange>
              </w:rPr>
              <w:t>32%***</w:t>
            </w:r>
          </w:p>
        </w:tc>
        <w:tc>
          <w:tcPr>
            <w:tcW w:w="847" w:type="dxa"/>
            <w:tcBorders>
              <w:left w:val="single" w:sz="4" w:space="0" w:color="auto"/>
              <w:right w:val="single" w:sz="4" w:space="0" w:color="auto"/>
            </w:tcBorders>
            <w:tcPrChange w:id="8478" w:author="Author">
              <w:tcPr>
                <w:tcW w:w="847" w:type="dxa"/>
                <w:tcBorders>
                  <w:left w:val="single" w:sz="4" w:space="0" w:color="auto"/>
                  <w:right w:val="single" w:sz="4" w:space="0" w:color="auto"/>
                </w:tcBorders>
              </w:tcPr>
            </w:tcPrChange>
          </w:tcPr>
          <w:p>
            <w:pPr>
              <w:keepNext/>
              <w:widowControl w:val="0"/>
              <w:numPr>
                <w:ilvl w:val="12"/>
                <w:numId w:val="0"/>
              </w:numPr>
              <w:suppressAutoHyphens/>
              <w:jc w:val="center"/>
              <w:rPr>
                <w:noProof/>
                <w:sz w:val="18"/>
                <w:szCs w:val="18"/>
                <w:lang w:val="it-IT" w:eastAsia="en-US"/>
                <w:rPrChange w:id="8479" w:author="Author">
                  <w:rPr>
                    <w:szCs w:val="22"/>
                    <w:lang w:val="it-IT" w:eastAsia="en-US"/>
                  </w:rPr>
                </w:rPrChange>
              </w:rPr>
              <w:pPrChange w:id="8480" w:author="Author">
                <w:pPr>
                  <w:keepNext/>
                  <w:keepLines/>
                  <w:widowControl w:val="0"/>
                  <w:numPr>
                    <w:ilvl w:val="12"/>
                  </w:numPr>
                  <w:ind w:right="-2"/>
                  <w:jc w:val="center"/>
                </w:pPr>
              </w:pPrChange>
            </w:pPr>
            <w:r>
              <w:rPr>
                <w:rFonts w:eastAsia="Calibri"/>
                <w:noProof/>
                <w:sz w:val="18"/>
                <w:szCs w:val="18"/>
                <w:lang w:val="it-IT" w:eastAsia="en-US"/>
                <w:rPrChange w:id="8481" w:author="Author">
                  <w:rPr>
                    <w:rFonts w:eastAsia="Calibri"/>
                    <w:szCs w:val="22"/>
                    <w:lang w:val="it-IT" w:eastAsia="en-US"/>
                  </w:rPr>
                </w:rPrChange>
              </w:rPr>
              <w:t>10%</w:t>
            </w:r>
          </w:p>
        </w:tc>
        <w:tc>
          <w:tcPr>
            <w:tcW w:w="889" w:type="dxa"/>
            <w:tcBorders>
              <w:left w:val="single" w:sz="4" w:space="0" w:color="auto"/>
              <w:right w:val="single" w:sz="4" w:space="0" w:color="auto"/>
            </w:tcBorders>
            <w:tcPrChange w:id="8482" w:author="Author">
              <w:tcPr>
                <w:tcW w:w="889" w:type="dxa"/>
                <w:gridSpan w:val="2"/>
                <w:tcBorders>
                  <w:left w:val="single" w:sz="4" w:space="0" w:color="auto"/>
                  <w:right w:val="single" w:sz="4" w:space="0" w:color="auto"/>
                </w:tcBorders>
              </w:tcPr>
            </w:tcPrChange>
          </w:tcPr>
          <w:p>
            <w:pPr>
              <w:keepNext/>
              <w:widowControl w:val="0"/>
              <w:numPr>
                <w:ilvl w:val="12"/>
                <w:numId w:val="0"/>
              </w:numPr>
              <w:suppressAutoHyphens/>
              <w:jc w:val="center"/>
              <w:rPr>
                <w:noProof/>
                <w:sz w:val="18"/>
                <w:szCs w:val="18"/>
                <w:lang w:val="it-IT" w:eastAsia="en-US"/>
                <w:rPrChange w:id="8483" w:author="Author">
                  <w:rPr>
                    <w:szCs w:val="22"/>
                    <w:lang w:val="it-IT" w:eastAsia="en-US"/>
                  </w:rPr>
                </w:rPrChange>
              </w:rPr>
              <w:pPrChange w:id="8484" w:author="Author">
                <w:pPr>
                  <w:keepNext/>
                  <w:keepLines/>
                  <w:widowControl w:val="0"/>
                  <w:numPr>
                    <w:ilvl w:val="12"/>
                  </w:numPr>
                  <w:ind w:right="-2"/>
                  <w:jc w:val="center"/>
                </w:pPr>
              </w:pPrChange>
            </w:pPr>
            <w:r>
              <w:rPr>
                <w:rFonts w:eastAsia="Calibri"/>
                <w:noProof/>
                <w:sz w:val="18"/>
                <w:szCs w:val="18"/>
                <w:lang w:val="it-IT" w:eastAsia="en-US"/>
                <w:rPrChange w:id="8485" w:author="Author">
                  <w:rPr>
                    <w:rFonts w:eastAsia="Calibri"/>
                    <w:szCs w:val="22"/>
                    <w:lang w:val="it-IT" w:eastAsia="en-US"/>
                  </w:rPr>
                </w:rPrChange>
              </w:rPr>
              <w:t>44%***</w:t>
            </w:r>
          </w:p>
        </w:tc>
        <w:tc>
          <w:tcPr>
            <w:tcW w:w="839" w:type="dxa"/>
            <w:tcBorders>
              <w:left w:val="single" w:sz="4" w:space="0" w:color="auto"/>
            </w:tcBorders>
            <w:tcPrChange w:id="8486" w:author="Author">
              <w:tcPr>
                <w:tcW w:w="839" w:type="dxa"/>
                <w:tcBorders>
                  <w:left w:val="single" w:sz="4" w:space="0" w:color="auto"/>
                </w:tcBorders>
              </w:tcPr>
            </w:tcPrChange>
          </w:tcPr>
          <w:p>
            <w:pPr>
              <w:keepNext/>
              <w:widowControl w:val="0"/>
              <w:numPr>
                <w:ilvl w:val="12"/>
                <w:numId w:val="0"/>
              </w:numPr>
              <w:suppressAutoHyphens/>
              <w:jc w:val="center"/>
              <w:rPr>
                <w:noProof/>
                <w:sz w:val="18"/>
                <w:szCs w:val="18"/>
                <w:lang w:val="it-IT" w:eastAsia="en-US"/>
                <w:rPrChange w:id="8487" w:author="Author">
                  <w:rPr>
                    <w:szCs w:val="22"/>
                    <w:lang w:val="it-IT" w:eastAsia="en-US"/>
                  </w:rPr>
                </w:rPrChange>
              </w:rPr>
              <w:pPrChange w:id="8488" w:author="Author">
                <w:pPr>
                  <w:keepNext/>
                  <w:keepLines/>
                  <w:widowControl w:val="0"/>
                  <w:numPr>
                    <w:ilvl w:val="12"/>
                  </w:numPr>
                  <w:ind w:right="-2"/>
                  <w:jc w:val="center"/>
                </w:pPr>
              </w:pPrChange>
            </w:pPr>
            <w:r>
              <w:rPr>
                <w:rFonts w:eastAsia="Calibri"/>
                <w:noProof/>
                <w:sz w:val="18"/>
                <w:szCs w:val="18"/>
                <w:lang w:val="it-IT" w:eastAsia="en-US"/>
                <w:rPrChange w:id="8489" w:author="Author">
                  <w:rPr>
                    <w:rFonts w:eastAsia="Calibri"/>
                    <w:szCs w:val="22"/>
                    <w:lang w:val="it-IT" w:eastAsia="en-US"/>
                  </w:rPr>
                </w:rPrChange>
              </w:rPr>
              <w:t>11%</w:t>
            </w:r>
          </w:p>
        </w:tc>
        <w:tc>
          <w:tcPr>
            <w:tcW w:w="980" w:type="dxa"/>
            <w:tcBorders>
              <w:left w:val="nil"/>
            </w:tcBorders>
            <w:tcPrChange w:id="8490" w:author="Author">
              <w:tcPr>
                <w:tcW w:w="980" w:type="dxa"/>
                <w:gridSpan w:val="2"/>
                <w:tcBorders>
                  <w:left w:val="nil"/>
                </w:tcBorders>
              </w:tcPr>
            </w:tcPrChange>
          </w:tcPr>
          <w:p>
            <w:pPr>
              <w:keepNext/>
              <w:widowControl w:val="0"/>
              <w:numPr>
                <w:ilvl w:val="12"/>
                <w:numId w:val="0"/>
              </w:numPr>
              <w:suppressAutoHyphens/>
              <w:jc w:val="center"/>
              <w:rPr>
                <w:noProof/>
                <w:sz w:val="18"/>
                <w:szCs w:val="18"/>
                <w:lang w:val="it-IT" w:eastAsia="en-US"/>
                <w:rPrChange w:id="8491" w:author="Author">
                  <w:rPr>
                    <w:szCs w:val="22"/>
                    <w:lang w:val="it-IT" w:eastAsia="en-US"/>
                  </w:rPr>
                </w:rPrChange>
              </w:rPr>
              <w:pPrChange w:id="8492" w:author="Author">
                <w:pPr>
                  <w:keepNext/>
                  <w:keepLines/>
                  <w:widowControl w:val="0"/>
                  <w:numPr>
                    <w:ilvl w:val="12"/>
                  </w:numPr>
                  <w:ind w:right="-2"/>
                  <w:jc w:val="center"/>
                </w:pPr>
              </w:pPrChange>
            </w:pPr>
            <w:r>
              <w:rPr>
                <w:rFonts w:eastAsia="Calibri"/>
                <w:noProof/>
                <w:sz w:val="18"/>
                <w:szCs w:val="18"/>
                <w:lang w:val="it-IT" w:eastAsia="en-US"/>
                <w:rPrChange w:id="8493" w:author="Author">
                  <w:rPr>
                    <w:rFonts w:eastAsia="Calibri"/>
                    <w:szCs w:val="22"/>
                    <w:lang w:val="it-IT" w:eastAsia="en-US"/>
                  </w:rPr>
                </w:rPrChange>
              </w:rPr>
              <w:t>38%***</w:t>
            </w:r>
          </w:p>
        </w:tc>
        <w:tc>
          <w:tcPr>
            <w:tcW w:w="896" w:type="dxa"/>
            <w:tcBorders>
              <w:left w:val="nil"/>
            </w:tcBorders>
            <w:tcPrChange w:id="8494" w:author="Author">
              <w:tcPr>
                <w:tcW w:w="896" w:type="dxa"/>
                <w:tcBorders>
                  <w:left w:val="nil"/>
                </w:tcBorders>
              </w:tcPr>
            </w:tcPrChange>
          </w:tcPr>
          <w:p>
            <w:pPr>
              <w:keepNext/>
              <w:widowControl w:val="0"/>
              <w:numPr>
                <w:ilvl w:val="12"/>
                <w:numId w:val="0"/>
              </w:numPr>
              <w:suppressAutoHyphens/>
              <w:jc w:val="center"/>
              <w:rPr>
                <w:noProof/>
                <w:sz w:val="18"/>
                <w:szCs w:val="18"/>
                <w:lang w:val="it-IT" w:eastAsia="en-US"/>
                <w:rPrChange w:id="8495" w:author="Author">
                  <w:rPr>
                    <w:szCs w:val="22"/>
                    <w:lang w:val="it-IT" w:eastAsia="en-US"/>
                  </w:rPr>
                </w:rPrChange>
              </w:rPr>
              <w:pPrChange w:id="8496" w:author="Author">
                <w:pPr>
                  <w:keepNext/>
                  <w:keepLines/>
                  <w:widowControl w:val="0"/>
                  <w:numPr>
                    <w:ilvl w:val="12"/>
                  </w:numPr>
                  <w:ind w:right="-2"/>
                  <w:jc w:val="center"/>
                </w:pPr>
              </w:pPrChange>
            </w:pPr>
            <w:r>
              <w:rPr>
                <w:rFonts w:eastAsia="Calibri"/>
                <w:noProof/>
                <w:sz w:val="18"/>
                <w:szCs w:val="18"/>
                <w:lang w:val="it-IT" w:eastAsia="en-US"/>
                <w:rPrChange w:id="8497" w:author="Author">
                  <w:rPr>
                    <w:rFonts w:eastAsia="Calibri"/>
                    <w:szCs w:val="22"/>
                    <w:lang w:val="it-IT" w:eastAsia="en-US"/>
                  </w:rPr>
                </w:rPrChange>
              </w:rPr>
              <w:t>9%</w:t>
            </w:r>
          </w:p>
        </w:tc>
        <w:tc>
          <w:tcPr>
            <w:tcW w:w="910" w:type="dxa"/>
            <w:tcBorders>
              <w:left w:val="nil"/>
            </w:tcBorders>
            <w:tcPrChange w:id="8498" w:author="Author">
              <w:tcPr>
                <w:tcW w:w="1252" w:type="dxa"/>
                <w:gridSpan w:val="2"/>
                <w:tcBorders>
                  <w:left w:val="nil"/>
                </w:tcBorders>
              </w:tcPr>
            </w:tcPrChange>
          </w:tcPr>
          <w:p>
            <w:pPr>
              <w:keepNext/>
              <w:widowControl w:val="0"/>
              <w:numPr>
                <w:ilvl w:val="12"/>
                <w:numId w:val="0"/>
              </w:numPr>
              <w:suppressAutoHyphens/>
              <w:jc w:val="center"/>
              <w:rPr>
                <w:noProof/>
                <w:sz w:val="18"/>
                <w:szCs w:val="18"/>
                <w:lang w:val="it-IT" w:eastAsia="en-US"/>
                <w:rPrChange w:id="8499" w:author="Author">
                  <w:rPr>
                    <w:szCs w:val="22"/>
                    <w:lang w:val="it-IT" w:eastAsia="en-US"/>
                  </w:rPr>
                </w:rPrChange>
              </w:rPr>
              <w:pPrChange w:id="8500" w:author="Author">
                <w:pPr>
                  <w:keepNext/>
                  <w:keepLines/>
                  <w:widowControl w:val="0"/>
                  <w:numPr>
                    <w:ilvl w:val="12"/>
                  </w:numPr>
                  <w:ind w:right="-2"/>
                  <w:jc w:val="center"/>
                </w:pPr>
              </w:pPrChange>
            </w:pPr>
            <w:r>
              <w:rPr>
                <w:rFonts w:eastAsia="Calibri"/>
                <w:noProof/>
                <w:sz w:val="18"/>
                <w:szCs w:val="18"/>
                <w:lang w:val="it-IT" w:eastAsia="en-US"/>
                <w:rPrChange w:id="8501" w:author="Author">
                  <w:rPr>
                    <w:rFonts w:eastAsia="Calibri"/>
                    <w:szCs w:val="22"/>
                    <w:lang w:val="it-IT" w:eastAsia="en-US"/>
                  </w:rPr>
                </w:rPrChange>
              </w:rPr>
              <w:t>29%***</w:t>
            </w:r>
          </w:p>
        </w:tc>
        <w:tc>
          <w:tcPr>
            <w:tcW w:w="616" w:type="dxa"/>
            <w:tcBorders>
              <w:left w:val="nil"/>
            </w:tcBorders>
            <w:tcPrChange w:id="8502" w:author="Author">
              <w:tcPr>
                <w:tcW w:w="900" w:type="dxa"/>
                <w:gridSpan w:val="3"/>
                <w:tcBorders>
                  <w:left w:val="nil"/>
                </w:tcBorders>
              </w:tcPr>
            </w:tcPrChange>
          </w:tcPr>
          <w:p>
            <w:pPr>
              <w:keepNext/>
              <w:widowControl w:val="0"/>
              <w:numPr>
                <w:ilvl w:val="12"/>
                <w:numId w:val="0"/>
              </w:numPr>
              <w:suppressAutoHyphens/>
              <w:jc w:val="center"/>
              <w:rPr>
                <w:noProof/>
                <w:sz w:val="18"/>
                <w:szCs w:val="18"/>
                <w:lang w:val="it-IT" w:eastAsia="en-US"/>
                <w:rPrChange w:id="8503" w:author="Author">
                  <w:rPr>
                    <w:szCs w:val="22"/>
                    <w:lang w:val="it-IT" w:eastAsia="en-US"/>
                  </w:rPr>
                </w:rPrChange>
              </w:rPr>
              <w:pPrChange w:id="8504" w:author="Author">
                <w:pPr>
                  <w:keepNext/>
                  <w:keepLines/>
                  <w:widowControl w:val="0"/>
                  <w:numPr>
                    <w:ilvl w:val="12"/>
                  </w:numPr>
                  <w:ind w:right="-2"/>
                  <w:jc w:val="center"/>
                </w:pPr>
              </w:pPrChange>
            </w:pPr>
            <w:r>
              <w:rPr>
                <w:rFonts w:eastAsia="Calibri"/>
                <w:noProof/>
                <w:sz w:val="18"/>
                <w:szCs w:val="18"/>
                <w:lang w:val="it-IT" w:eastAsia="en-US"/>
                <w:rPrChange w:id="8505" w:author="Author">
                  <w:rPr>
                    <w:rFonts w:eastAsia="Calibri"/>
                    <w:szCs w:val="22"/>
                    <w:lang w:val="it-IT" w:eastAsia="en-US"/>
                  </w:rPr>
                </w:rPrChange>
              </w:rPr>
              <w:t>4%</w:t>
            </w:r>
          </w:p>
        </w:tc>
      </w:tr>
      <w:tr>
        <w:trPr>
          <w:cantSplit/>
          <w:trPrChange w:id="8506" w:author="Author">
            <w:trPr>
              <w:gridBefore w:val="1"/>
              <w:cantSplit/>
            </w:trPr>
          </w:trPrChange>
        </w:trPr>
        <w:tc>
          <w:tcPr>
            <w:tcW w:w="846" w:type="dxa"/>
            <w:tcBorders>
              <w:right w:val="single" w:sz="4" w:space="0" w:color="auto"/>
            </w:tcBorders>
            <w:tcPrChange w:id="8507" w:author="Author">
              <w:tcPr>
                <w:tcW w:w="846" w:type="dxa"/>
                <w:tcBorders>
                  <w:right w:val="single" w:sz="4" w:space="0" w:color="auto"/>
                </w:tcBorders>
              </w:tcPr>
            </w:tcPrChange>
          </w:tcPr>
          <w:p>
            <w:pPr>
              <w:widowControl w:val="0"/>
              <w:numPr>
                <w:ilvl w:val="12"/>
                <w:numId w:val="0"/>
              </w:numPr>
              <w:suppressAutoHyphens/>
              <w:jc w:val="center"/>
              <w:rPr>
                <w:noProof/>
                <w:sz w:val="18"/>
                <w:szCs w:val="18"/>
                <w:lang w:val="it-IT" w:eastAsia="en-US"/>
                <w:rPrChange w:id="8508" w:author="Author">
                  <w:rPr>
                    <w:szCs w:val="22"/>
                    <w:lang w:val="it-IT" w:eastAsia="en-US"/>
                  </w:rPr>
                </w:rPrChange>
              </w:rPr>
              <w:pPrChange w:id="8509" w:author="Author">
                <w:pPr>
                  <w:keepNext/>
                  <w:keepLines/>
                  <w:widowControl w:val="0"/>
                  <w:numPr>
                    <w:ilvl w:val="12"/>
                  </w:numPr>
                  <w:ind w:right="-2"/>
                  <w:jc w:val="center"/>
                </w:pPr>
              </w:pPrChange>
            </w:pPr>
            <w:r>
              <w:rPr>
                <w:rFonts w:eastAsia="Calibri"/>
                <w:noProof/>
                <w:sz w:val="18"/>
                <w:szCs w:val="18"/>
                <w:lang w:val="it-IT" w:eastAsia="en-US"/>
                <w:rPrChange w:id="8510" w:author="Author">
                  <w:rPr>
                    <w:rFonts w:eastAsia="Calibri"/>
                    <w:szCs w:val="22"/>
                    <w:lang w:val="it-IT" w:eastAsia="en-US"/>
                  </w:rPr>
                </w:rPrChange>
              </w:rPr>
              <w:t>52</w:t>
            </w:r>
          </w:p>
        </w:tc>
        <w:tc>
          <w:tcPr>
            <w:tcW w:w="717" w:type="dxa"/>
            <w:tcBorders>
              <w:left w:val="single" w:sz="4" w:space="0" w:color="auto"/>
              <w:right w:val="single" w:sz="4" w:space="0" w:color="auto"/>
            </w:tcBorders>
            <w:tcPrChange w:id="8511" w:author="Author">
              <w:tcPr>
                <w:tcW w:w="717" w:type="dxa"/>
                <w:gridSpan w:val="2"/>
                <w:tcBorders>
                  <w:left w:val="single" w:sz="4" w:space="0" w:color="auto"/>
                  <w:right w:val="single" w:sz="4" w:space="0" w:color="auto"/>
                </w:tcBorders>
              </w:tcPr>
            </w:tcPrChange>
          </w:tcPr>
          <w:p>
            <w:pPr>
              <w:widowControl w:val="0"/>
              <w:numPr>
                <w:ilvl w:val="12"/>
                <w:numId w:val="0"/>
              </w:numPr>
              <w:suppressAutoHyphens/>
              <w:jc w:val="center"/>
              <w:rPr>
                <w:noProof/>
                <w:sz w:val="18"/>
                <w:szCs w:val="18"/>
                <w:lang w:val="it-IT"/>
                <w:rPrChange w:id="8512" w:author="Author">
                  <w:rPr>
                    <w:szCs w:val="22"/>
                    <w:lang w:val="it-IT"/>
                  </w:rPr>
                </w:rPrChange>
              </w:rPr>
              <w:pPrChange w:id="8513" w:author="Author">
                <w:pPr>
                  <w:keepNext/>
                  <w:keepLines/>
                  <w:widowControl w:val="0"/>
                  <w:numPr>
                    <w:ilvl w:val="12"/>
                  </w:numPr>
                  <w:ind w:right="-2"/>
                  <w:jc w:val="center"/>
                </w:pPr>
              </w:pPrChange>
            </w:pPr>
          </w:p>
        </w:tc>
        <w:tc>
          <w:tcPr>
            <w:tcW w:w="700" w:type="dxa"/>
            <w:tcBorders>
              <w:left w:val="single" w:sz="4" w:space="0" w:color="auto"/>
              <w:right w:val="single" w:sz="4" w:space="0" w:color="auto"/>
            </w:tcBorders>
            <w:tcPrChange w:id="8514" w:author="Author">
              <w:tcPr>
                <w:tcW w:w="700" w:type="dxa"/>
                <w:tcBorders>
                  <w:left w:val="single" w:sz="4" w:space="0" w:color="auto"/>
                  <w:right w:val="single" w:sz="4" w:space="0" w:color="auto"/>
                </w:tcBorders>
              </w:tcPr>
            </w:tcPrChange>
          </w:tcPr>
          <w:p>
            <w:pPr>
              <w:widowControl w:val="0"/>
              <w:numPr>
                <w:ilvl w:val="12"/>
                <w:numId w:val="0"/>
              </w:numPr>
              <w:suppressAutoHyphens/>
              <w:jc w:val="center"/>
              <w:rPr>
                <w:noProof/>
                <w:sz w:val="18"/>
                <w:szCs w:val="18"/>
                <w:lang w:val="it-IT"/>
                <w:rPrChange w:id="8515" w:author="Author">
                  <w:rPr>
                    <w:szCs w:val="22"/>
                    <w:lang w:val="it-IT"/>
                  </w:rPr>
                </w:rPrChange>
              </w:rPr>
              <w:pPrChange w:id="8516" w:author="Author">
                <w:pPr>
                  <w:keepNext/>
                  <w:keepLines/>
                  <w:widowControl w:val="0"/>
                  <w:numPr>
                    <w:ilvl w:val="12"/>
                  </w:numPr>
                  <w:ind w:right="-2"/>
                  <w:jc w:val="center"/>
                </w:pPr>
              </w:pPrChange>
            </w:pPr>
          </w:p>
        </w:tc>
        <w:tc>
          <w:tcPr>
            <w:tcW w:w="854" w:type="dxa"/>
            <w:tcBorders>
              <w:left w:val="single" w:sz="4" w:space="0" w:color="auto"/>
              <w:right w:val="single" w:sz="4" w:space="0" w:color="auto"/>
            </w:tcBorders>
            <w:tcPrChange w:id="8517" w:author="Author">
              <w:tcPr>
                <w:tcW w:w="854" w:type="dxa"/>
                <w:gridSpan w:val="2"/>
                <w:tcBorders>
                  <w:left w:val="single" w:sz="4" w:space="0" w:color="auto"/>
                  <w:right w:val="single" w:sz="4" w:space="0" w:color="auto"/>
                </w:tcBorders>
              </w:tcPr>
            </w:tcPrChange>
          </w:tcPr>
          <w:p>
            <w:pPr>
              <w:widowControl w:val="0"/>
              <w:numPr>
                <w:ilvl w:val="12"/>
                <w:numId w:val="0"/>
              </w:numPr>
              <w:suppressAutoHyphens/>
              <w:jc w:val="center"/>
              <w:rPr>
                <w:noProof/>
                <w:sz w:val="18"/>
                <w:szCs w:val="18"/>
                <w:lang w:val="it-IT" w:eastAsia="en-US"/>
                <w:rPrChange w:id="8518" w:author="Author">
                  <w:rPr>
                    <w:szCs w:val="22"/>
                    <w:lang w:val="it-IT" w:eastAsia="en-US"/>
                  </w:rPr>
                </w:rPrChange>
              </w:rPr>
              <w:pPrChange w:id="8519" w:author="Author">
                <w:pPr>
                  <w:keepNext/>
                  <w:keepLines/>
                  <w:widowControl w:val="0"/>
                  <w:numPr>
                    <w:ilvl w:val="12"/>
                  </w:numPr>
                  <w:ind w:right="-2"/>
                  <w:jc w:val="center"/>
                </w:pPr>
              </w:pPrChange>
            </w:pPr>
            <w:r>
              <w:rPr>
                <w:rFonts w:eastAsia="Calibri"/>
                <w:noProof/>
                <w:sz w:val="18"/>
                <w:szCs w:val="18"/>
                <w:lang w:val="it-IT" w:eastAsia="en-US"/>
                <w:rPrChange w:id="8520" w:author="Author">
                  <w:rPr>
                    <w:rFonts w:eastAsia="Calibri"/>
                    <w:szCs w:val="22"/>
                    <w:lang w:val="it-IT" w:eastAsia="en-US"/>
                  </w:rPr>
                </w:rPrChange>
              </w:rPr>
              <w:t>36%***</w:t>
            </w:r>
          </w:p>
        </w:tc>
        <w:tc>
          <w:tcPr>
            <w:tcW w:w="847" w:type="dxa"/>
            <w:tcBorders>
              <w:left w:val="single" w:sz="4" w:space="0" w:color="auto"/>
              <w:right w:val="single" w:sz="4" w:space="0" w:color="auto"/>
            </w:tcBorders>
            <w:tcPrChange w:id="8521" w:author="Author">
              <w:tcPr>
                <w:tcW w:w="847" w:type="dxa"/>
                <w:tcBorders>
                  <w:left w:val="single" w:sz="4" w:space="0" w:color="auto"/>
                  <w:right w:val="single" w:sz="4" w:space="0" w:color="auto"/>
                </w:tcBorders>
              </w:tcPr>
            </w:tcPrChange>
          </w:tcPr>
          <w:p>
            <w:pPr>
              <w:widowControl w:val="0"/>
              <w:numPr>
                <w:ilvl w:val="12"/>
                <w:numId w:val="0"/>
              </w:numPr>
              <w:suppressAutoHyphens/>
              <w:jc w:val="center"/>
              <w:rPr>
                <w:noProof/>
                <w:sz w:val="18"/>
                <w:szCs w:val="18"/>
                <w:lang w:val="it-IT" w:eastAsia="en-US"/>
                <w:rPrChange w:id="8522" w:author="Author">
                  <w:rPr>
                    <w:szCs w:val="22"/>
                    <w:lang w:val="it-IT" w:eastAsia="en-US"/>
                  </w:rPr>
                </w:rPrChange>
              </w:rPr>
              <w:pPrChange w:id="8523" w:author="Author">
                <w:pPr>
                  <w:keepNext/>
                  <w:keepLines/>
                  <w:widowControl w:val="0"/>
                  <w:numPr>
                    <w:ilvl w:val="12"/>
                  </w:numPr>
                  <w:ind w:right="-2"/>
                  <w:jc w:val="center"/>
                </w:pPr>
              </w:pPrChange>
            </w:pPr>
            <w:r>
              <w:rPr>
                <w:rFonts w:eastAsia="Calibri"/>
                <w:noProof/>
                <w:sz w:val="18"/>
                <w:szCs w:val="18"/>
                <w:lang w:val="it-IT" w:eastAsia="en-US"/>
                <w:rPrChange w:id="8524" w:author="Author">
                  <w:rPr>
                    <w:rFonts w:eastAsia="Calibri"/>
                    <w:szCs w:val="22"/>
                    <w:lang w:val="it-IT" w:eastAsia="en-US"/>
                  </w:rPr>
                </w:rPrChange>
              </w:rPr>
              <w:t>10%</w:t>
            </w:r>
          </w:p>
        </w:tc>
        <w:tc>
          <w:tcPr>
            <w:tcW w:w="889" w:type="dxa"/>
            <w:tcBorders>
              <w:left w:val="single" w:sz="4" w:space="0" w:color="auto"/>
              <w:right w:val="single" w:sz="4" w:space="0" w:color="auto"/>
            </w:tcBorders>
            <w:tcPrChange w:id="8525" w:author="Author">
              <w:tcPr>
                <w:tcW w:w="889" w:type="dxa"/>
                <w:gridSpan w:val="2"/>
                <w:tcBorders>
                  <w:left w:val="single" w:sz="4" w:space="0" w:color="auto"/>
                  <w:right w:val="single" w:sz="4" w:space="0" w:color="auto"/>
                </w:tcBorders>
              </w:tcPr>
            </w:tcPrChange>
          </w:tcPr>
          <w:p>
            <w:pPr>
              <w:widowControl w:val="0"/>
              <w:numPr>
                <w:ilvl w:val="12"/>
                <w:numId w:val="0"/>
              </w:numPr>
              <w:suppressAutoHyphens/>
              <w:jc w:val="center"/>
              <w:rPr>
                <w:noProof/>
                <w:sz w:val="18"/>
                <w:szCs w:val="18"/>
                <w:lang w:val="it-IT"/>
                <w:rPrChange w:id="8526" w:author="Author">
                  <w:rPr>
                    <w:szCs w:val="22"/>
                    <w:lang w:val="it-IT"/>
                  </w:rPr>
                </w:rPrChange>
              </w:rPr>
              <w:pPrChange w:id="8527" w:author="Author">
                <w:pPr>
                  <w:keepNext/>
                  <w:keepLines/>
                  <w:widowControl w:val="0"/>
                  <w:numPr>
                    <w:ilvl w:val="12"/>
                  </w:numPr>
                  <w:ind w:right="-2"/>
                  <w:jc w:val="center"/>
                </w:pPr>
              </w:pPrChange>
            </w:pPr>
          </w:p>
        </w:tc>
        <w:tc>
          <w:tcPr>
            <w:tcW w:w="839" w:type="dxa"/>
            <w:tcBorders>
              <w:left w:val="single" w:sz="4" w:space="0" w:color="auto"/>
            </w:tcBorders>
            <w:tcPrChange w:id="8528" w:author="Author">
              <w:tcPr>
                <w:tcW w:w="839" w:type="dxa"/>
                <w:tcBorders>
                  <w:left w:val="single" w:sz="4" w:space="0" w:color="auto"/>
                </w:tcBorders>
              </w:tcPr>
            </w:tcPrChange>
          </w:tcPr>
          <w:p>
            <w:pPr>
              <w:widowControl w:val="0"/>
              <w:numPr>
                <w:ilvl w:val="12"/>
                <w:numId w:val="0"/>
              </w:numPr>
              <w:suppressAutoHyphens/>
              <w:jc w:val="center"/>
              <w:rPr>
                <w:noProof/>
                <w:sz w:val="18"/>
                <w:szCs w:val="18"/>
                <w:lang w:val="it-IT"/>
                <w:rPrChange w:id="8529" w:author="Author">
                  <w:rPr>
                    <w:szCs w:val="22"/>
                    <w:lang w:val="it-IT"/>
                  </w:rPr>
                </w:rPrChange>
              </w:rPr>
              <w:pPrChange w:id="8530" w:author="Author">
                <w:pPr>
                  <w:keepNext/>
                  <w:keepLines/>
                  <w:widowControl w:val="0"/>
                  <w:numPr>
                    <w:ilvl w:val="12"/>
                  </w:numPr>
                  <w:ind w:right="-2"/>
                  <w:jc w:val="center"/>
                </w:pPr>
              </w:pPrChange>
            </w:pPr>
          </w:p>
        </w:tc>
        <w:tc>
          <w:tcPr>
            <w:tcW w:w="980" w:type="dxa"/>
            <w:tcBorders>
              <w:left w:val="nil"/>
            </w:tcBorders>
            <w:tcPrChange w:id="8531" w:author="Author">
              <w:tcPr>
                <w:tcW w:w="980" w:type="dxa"/>
                <w:gridSpan w:val="2"/>
                <w:tcBorders>
                  <w:left w:val="nil"/>
                </w:tcBorders>
              </w:tcPr>
            </w:tcPrChange>
          </w:tcPr>
          <w:p>
            <w:pPr>
              <w:widowControl w:val="0"/>
              <w:numPr>
                <w:ilvl w:val="12"/>
                <w:numId w:val="0"/>
              </w:numPr>
              <w:suppressAutoHyphens/>
              <w:jc w:val="center"/>
              <w:rPr>
                <w:noProof/>
                <w:sz w:val="18"/>
                <w:szCs w:val="18"/>
                <w:lang w:val="it-IT"/>
                <w:rPrChange w:id="8532" w:author="Author">
                  <w:rPr>
                    <w:szCs w:val="22"/>
                    <w:lang w:val="it-IT"/>
                  </w:rPr>
                </w:rPrChange>
              </w:rPr>
              <w:pPrChange w:id="8533" w:author="Author">
                <w:pPr>
                  <w:keepNext/>
                  <w:keepLines/>
                  <w:widowControl w:val="0"/>
                  <w:numPr>
                    <w:ilvl w:val="12"/>
                  </w:numPr>
                  <w:ind w:right="-2"/>
                  <w:jc w:val="center"/>
                </w:pPr>
              </w:pPrChange>
            </w:pPr>
          </w:p>
        </w:tc>
        <w:tc>
          <w:tcPr>
            <w:tcW w:w="896" w:type="dxa"/>
            <w:tcBorders>
              <w:left w:val="nil"/>
            </w:tcBorders>
            <w:tcPrChange w:id="8534" w:author="Author">
              <w:tcPr>
                <w:tcW w:w="896" w:type="dxa"/>
                <w:tcBorders>
                  <w:left w:val="nil"/>
                </w:tcBorders>
              </w:tcPr>
            </w:tcPrChange>
          </w:tcPr>
          <w:p>
            <w:pPr>
              <w:widowControl w:val="0"/>
              <w:numPr>
                <w:ilvl w:val="12"/>
                <w:numId w:val="0"/>
              </w:numPr>
              <w:suppressAutoHyphens/>
              <w:jc w:val="center"/>
              <w:rPr>
                <w:noProof/>
                <w:sz w:val="18"/>
                <w:szCs w:val="18"/>
                <w:lang w:val="it-IT"/>
                <w:rPrChange w:id="8535" w:author="Author">
                  <w:rPr>
                    <w:szCs w:val="22"/>
                    <w:lang w:val="it-IT"/>
                  </w:rPr>
                </w:rPrChange>
              </w:rPr>
              <w:pPrChange w:id="8536" w:author="Author">
                <w:pPr>
                  <w:keepNext/>
                  <w:keepLines/>
                  <w:widowControl w:val="0"/>
                  <w:numPr>
                    <w:ilvl w:val="12"/>
                  </w:numPr>
                  <w:ind w:right="-2"/>
                  <w:jc w:val="center"/>
                </w:pPr>
              </w:pPrChange>
            </w:pPr>
          </w:p>
        </w:tc>
        <w:tc>
          <w:tcPr>
            <w:tcW w:w="910" w:type="dxa"/>
            <w:tcBorders>
              <w:left w:val="nil"/>
            </w:tcBorders>
            <w:tcPrChange w:id="8537" w:author="Author">
              <w:tcPr>
                <w:tcW w:w="1252" w:type="dxa"/>
                <w:gridSpan w:val="2"/>
                <w:tcBorders>
                  <w:left w:val="nil"/>
                </w:tcBorders>
              </w:tcPr>
            </w:tcPrChange>
          </w:tcPr>
          <w:p>
            <w:pPr>
              <w:widowControl w:val="0"/>
              <w:numPr>
                <w:ilvl w:val="12"/>
                <w:numId w:val="0"/>
              </w:numPr>
              <w:suppressAutoHyphens/>
              <w:jc w:val="center"/>
              <w:rPr>
                <w:noProof/>
                <w:sz w:val="18"/>
                <w:szCs w:val="18"/>
                <w:lang w:val="it-IT"/>
                <w:rPrChange w:id="8538" w:author="Author">
                  <w:rPr>
                    <w:szCs w:val="22"/>
                    <w:lang w:val="it-IT"/>
                  </w:rPr>
                </w:rPrChange>
              </w:rPr>
              <w:pPrChange w:id="8539" w:author="Author">
                <w:pPr>
                  <w:keepNext/>
                  <w:keepLines/>
                  <w:widowControl w:val="0"/>
                  <w:numPr>
                    <w:ilvl w:val="12"/>
                  </w:numPr>
                  <w:ind w:right="-2"/>
                  <w:jc w:val="center"/>
                </w:pPr>
              </w:pPrChange>
            </w:pPr>
          </w:p>
        </w:tc>
        <w:tc>
          <w:tcPr>
            <w:tcW w:w="616" w:type="dxa"/>
            <w:tcBorders>
              <w:left w:val="nil"/>
            </w:tcBorders>
            <w:tcPrChange w:id="8540" w:author="Author">
              <w:tcPr>
                <w:tcW w:w="900" w:type="dxa"/>
                <w:gridSpan w:val="3"/>
                <w:tcBorders>
                  <w:left w:val="nil"/>
                </w:tcBorders>
              </w:tcPr>
            </w:tcPrChange>
          </w:tcPr>
          <w:p>
            <w:pPr>
              <w:widowControl w:val="0"/>
              <w:numPr>
                <w:ilvl w:val="12"/>
                <w:numId w:val="0"/>
              </w:numPr>
              <w:suppressAutoHyphens/>
              <w:jc w:val="center"/>
              <w:rPr>
                <w:noProof/>
                <w:sz w:val="18"/>
                <w:szCs w:val="18"/>
                <w:lang w:val="it-IT"/>
                <w:rPrChange w:id="8541" w:author="Author">
                  <w:rPr>
                    <w:szCs w:val="22"/>
                    <w:lang w:val="it-IT"/>
                  </w:rPr>
                </w:rPrChange>
              </w:rPr>
              <w:pPrChange w:id="8542" w:author="Author">
                <w:pPr>
                  <w:keepNext/>
                  <w:keepLines/>
                  <w:widowControl w:val="0"/>
                  <w:numPr>
                    <w:ilvl w:val="12"/>
                  </w:numPr>
                  <w:ind w:right="-2"/>
                  <w:jc w:val="center"/>
                </w:pPr>
              </w:pPrChange>
            </w:pPr>
          </w:p>
        </w:tc>
      </w:tr>
      <w:tr>
        <w:tblPrEx>
          <w:tblPrExChange w:id="8543" w:author="Author">
            <w:tblPrEx>
              <w:tblInd w:w="-12" w:type="dxa"/>
              <w:tblCellMar>
                <w:top w:w="0" w:type="dxa"/>
                <w:left w:w="108" w:type="dxa"/>
                <w:bottom w:w="0" w:type="dxa"/>
                <w:right w:w="108" w:type="dxa"/>
              </w:tblCellMar>
            </w:tblPrEx>
          </w:tblPrExChange>
        </w:tblPrEx>
        <w:trPr>
          <w:cantSplit/>
          <w:trPrChange w:id="8544" w:author="Author">
            <w:trPr>
              <w:gridAfter w:val="0"/>
            </w:trPr>
          </w:trPrChange>
        </w:trPr>
        <w:tc>
          <w:tcPr>
            <w:tcW w:w="9094" w:type="dxa"/>
            <w:gridSpan w:val="11"/>
            <w:tcPrChange w:id="8545" w:author="Author">
              <w:tcPr>
                <w:tcW w:w="9720" w:type="dxa"/>
                <w:gridSpan w:val="18"/>
              </w:tcPr>
            </w:tcPrChange>
          </w:tcPr>
          <w:p>
            <w:pPr>
              <w:keepNext/>
              <w:widowControl w:val="0"/>
              <w:numPr>
                <w:ilvl w:val="12"/>
                <w:numId w:val="0"/>
              </w:numPr>
              <w:suppressAutoHyphens/>
              <w:jc w:val="center"/>
              <w:rPr>
                <w:b/>
                <w:noProof/>
                <w:sz w:val="18"/>
                <w:szCs w:val="18"/>
                <w:lang w:val="it-IT" w:eastAsia="en-US"/>
                <w:rPrChange w:id="8546" w:author="Author">
                  <w:rPr>
                    <w:b/>
                    <w:szCs w:val="22"/>
                    <w:lang w:val="it-IT" w:eastAsia="en-US"/>
                  </w:rPr>
                </w:rPrChange>
              </w:rPr>
              <w:pPrChange w:id="8547" w:author="Author">
                <w:pPr>
                  <w:keepNext/>
                  <w:keepLines/>
                  <w:widowControl w:val="0"/>
                  <w:numPr>
                    <w:ilvl w:val="12"/>
                  </w:numPr>
                  <w:ind w:right="-2"/>
                  <w:jc w:val="center"/>
                </w:pPr>
              </w:pPrChange>
            </w:pPr>
            <w:r>
              <w:rPr>
                <w:rFonts w:eastAsia="Calibri"/>
                <w:b/>
                <w:noProof/>
                <w:sz w:val="18"/>
                <w:szCs w:val="18"/>
                <w:lang w:val="it-IT" w:eastAsia="en-US"/>
                <w:rPrChange w:id="8548" w:author="Author">
                  <w:rPr>
                    <w:rFonts w:eastAsia="Calibri"/>
                    <w:b/>
                    <w:szCs w:val="22"/>
                    <w:lang w:val="it-IT" w:eastAsia="en-US"/>
                  </w:rPr>
                </w:rPrChange>
              </w:rPr>
              <w:t>ACR 70</w:t>
            </w:r>
          </w:p>
        </w:tc>
      </w:tr>
      <w:tr>
        <w:trPr>
          <w:cantSplit/>
          <w:trPrChange w:id="8549" w:author="Author">
            <w:trPr>
              <w:gridBefore w:val="1"/>
              <w:cantSplit/>
            </w:trPr>
          </w:trPrChange>
        </w:trPr>
        <w:tc>
          <w:tcPr>
            <w:tcW w:w="846" w:type="dxa"/>
            <w:tcBorders>
              <w:right w:val="single" w:sz="4" w:space="0" w:color="auto"/>
            </w:tcBorders>
            <w:tcPrChange w:id="8550" w:author="Author">
              <w:tcPr>
                <w:tcW w:w="846" w:type="dxa"/>
                <w:tcBorders>
                  <w:right w:val="single" w:sz="4" w:space="0" w:color="auto"/>
                </w:tcBorders>
              </w:tcPr>
            </w:tcPrChange>
          </w:tcPr>
          <w:p>
            <w:pPr>
              <w:keepNext/>
              <w:widowControl w:val="0"/>
              <w:numPr>
                <w:ilvl w:val="12"/>
                <w:numId w:val="0"/>
              </w:numPr>
              <w:suppressAutoHyphens/>
              <w:jc w:val="center"/>
              <w:rPr>
                <w:noProof/>
                <w:sz w:val="18"/>
                <w:szCs w:val="18"/>
                <w:lang w:val="it-IT" w:eastAsia="en-US"/>
                <w:rPrChange w:id="8551" w:author="Author">
                  <w:rPr>
                    <w:szCs w:val="22"/>
                    <w:lang w:val="it-IT" w:eastAsia="en-US"/>
                  </w:rPr>
                </w:rPrChange>
              </w:rPr>
              <w:pPrChange w:id="8552" w:author="Author">
                <w:pPr>
                  <w:keepNext/>
                  <w:keepLines/>
                  <w:widowControl w:val="0"/>
                  <w:numPr>
                    <w:ilvl w:val="12"/>
                  </w:numPr>
                  <w:ind w:right="-2"/>
                  <w:jc w:val="center"/>
                </w:pPr>
              </w:pPrChange>
            </w:pPr>
            <w:r>
              <w:rPr>
                <w:rFonts w:eastAsia="Calibri"/>
                <w:noProof/>
                <w:sz w:val="18"/>
                <w:szCs w:val="18"/>
                <w:lang w:val="it-IT" w:eastAsia="en-US"/>
                <w:rPrChange w:id="8553" w:author="Author">
                  <w:rPr>
                    <w:rFonts w:eastAsia="Calibri"/>
                    <w:szCs w:val="22"/>
                    <w:lang w:val="it-IT" w:eastAsia="en-US"/>
                  </w:rPr>
                </w:rPrChange>
              </w:rPr>
              <w:t>24</w:t>
            </w:r>
          </w:p>
        </w:tc>
        <w:tc>
          <w:tcPr>
            <w:tcW w:w="717" w:type="dxa"/>
            <w:tcBorders>
              <w:left w:val="single" w:sz="4" w:space="0" w:color="auto"/>
              <w:right w:val="single" w:sz="4" w:space="0" w:color="auto"/>
            </w:tcBorders>
            <w:tcPrChange w:id="8554" w:author="Author">
              <w:tcPr>
                <w:tcW w:w="717" w:type="dxa"/>
                <w:gridSpan w:val="2"/>
                <w:tcBorders>
                  <w:left w:val="single" w:sz="4" w:space="0" w:color="auto"/>
                  <w:right w:val="single" w:sz="4" w:space="0" w:color="auto"/>
                </w:tcBorders>
              </w:tcPr>
            </w:tcPrChange>
          </w:tcPr>
          <w:p>
            <w:pPr>
              <w:keepNext/>
              <w:widowControl w:val="0"/>
              <w:numPr>
                <w:ilvl w:val="12"/>
                <w:numId w:val="0"/>
              </w:numPr>
              <w:suppressAutoHyphens/>
              <w:jc w:val="center"/>
              <w:rPr>
                <w:noProof/>
                <w:sz w:val="18"/>
                <w:szCs w:val="18"/>
                <w:lang w:val="it-IT" w:eastAsia="en-US"/>
                <w:rPrChange w:id="8555" w:author="Author">
                  <w:rPr>
                    <w:szCs w:val="22"/>
                    <w:lang w:val="it-IT" w:eastAsia="en-US"/>
                  </w:rPr>
                </w:rPrChange>
              </w:rPr>
              <w:pPrChange w:id="8556" w:author="Author">
                <w:pPr>
                  <w:keepNext/>
                  <w:keepLines/>
                  <w:widowControl w:val="0"/>
                  <w:numPr>
                    <w:ilvl w:val="12"/>
                  </w:numPr>
                  <w:ind w:right="-2"/>
                  <w:jc w:val="center"/>
                </w:pPr>
              </w:pPrChange>
            </w:pPr>
            <w:r>
              <w:rPr>
                <w:rFonts w:eastAsia="Calibri"/>
                <w:noProof/>
                <w:sz w:val="18"/>
                <w:szCs w:val="18"/>
                <w:lang w:val="it-IT" w:eastAsia="en-US"/>
                <w:rPrChange w:id="8557" w:author="Author">
                  <w:rPr>
                    <w:rFonts w:eastAsia="Calibri"/>
                    <w:szCs w:val="22"/>
                    <w:lang w:val="it-IT" w:eastAsia="en-US"/>
                  </w:rPr>
                </w:rPrChange>
              </w:rPr>
              <w:t>28%**</w:t>
            </w:r>
          </w:p>
        </w:tc>
        <w:tc>
          <w:tcPr>
            <w:tcW w:w="700" w:type="dxa"/>
            <w:tcBorders>
              <w:left w:val="single" w:sz="4" w:space="0" w:color="auto"/>
              <w:right w:val="single" w:sz="4" w:space="0" w:color="auto"/>
            </w:tcBorders>
            <w:tcPrChange w:id="8558" w:author="Author">
              <w:tcPr>
                <w:tcW w:w="700" w:type="dxa"/>
                <w:tcBorders>
                  <w:left w:val="single" w:sz="4" w:space="0" w:color="auto"/>
                  <w:right w:val="single" w:sz="4" w:space="0" w:color="auto"/>
                </w:tcBorders>
              </w:tcPr>
            </w:tcPrChange>
          </w:tcPr>
          <w:p>
            <w:pPr>
              <w:keepNext/>
              <w:widowControl w:val="0"/>
              <w:numPr>
                <w:ilvl w:val="12"/>
                <w:numId w:val="0"/>
              </w:numPr>
              <w:suppressAutoHyphens/>
              <w:jc w:val="center"/>
              <w:rPr>
                <w:noProof/>
                <w:sz w:val="18"/>
                <w:szCs w:val="18"/>
                <w:lang w:val="it-IT" w:eastAsia="en-US"/>
                <w:rPrChange w:id="8559" w:author="Author">
                  <w:rPr>
                    <w:szCs w:val="22"/>
                    <w:lang w:val="it-IT" w:eastAsia="en-US"/>
                  </w:rPr>
                </w:rPrChange>
              </w:rPr>
              <w:pPrChange w:id="8560" w:author="Author">
                <w:pPr>
                  <w:keepNext/>
                  <w:keepLines/>
                  <w:widowControl w:val="0"/>
                  <w:numPr>
                    <w:ilvl w:val="12"/>
                  </w:numPr>
                  <w:ind w:right="-2"/>
                  <w:jc w:val="center"/>
                </w:pPr>
              </w:pPrChange>
            </w:pPr>
            <w:r>
              <w:rPr>
                <w:rFonts w:eastAsia="Calibri"/>
                <w:noProof/>
                <w:sz w:val="18"/>
                <w:szCs w:val="18"/>
                <w:lang w:val="it-IT" w:eastAsia="en-US"/>
                <w:rPrChange w:id="8561" w:author="Author">
                  <w:rPr>
                    <w:rFonts w:eastAsia="Calibri"/>
                    <w:szCs w:val="22"/>
                    <w:lang w:val="it-IT" w:eastAsia="en-US"/>
                  </w:rPr>
                </w:rPrChange>
              </w:rPr>
              <w:t>15%</w:t>
            </w:r>
          </w:p>
        </w:tc>
        <w:tc>
          <w:tcPr>
            <w:tcW w:w="854" w:type="dxa"/>
            <w:tcBorders>
              <w:left w:val="single" w:sz="4" w:space="0" w:color="auto"/>
              <w:right w:val="single" w:sz="4" w:space="0" w:color="auto"/>
            </w:tcBorders>
            <w:tcPrChange w:id="8562" w:author="Author">
              <w:tcPr>
                <w:tcW w:w="854" w:type="dxa"/>
                <w:gridSpan w:val="2"/>
                <w:tcBorders>
                  <w:left w:val="single" w:sz="4" w:space="0" w:color="auto"/>
                  <w:right w:val="single" w:sz="4" w:space="0" w:color="auto"/>
                </w:tcBorders>
              </w:tcPr>
            </w:tcPrChange>
          </w:tcPr>
          <w:p>
            <w:pPr>
              <w:keepNext/>
              <w:widowControl w:val="0"/>
              <w:numPr>
                <w:ilvl w:val="12"/>
                <w:numId w:val="0"/>
              </w:numPr>
              <w:suppressAutoHyphens/>
              <w:jc w:val="center"/>
              <w:rPr>
                <w:noProof/>
                <w:sz w:val="18"/>
                <w:szCs w:val="18"/>
                <w:lang w:val="it-IT" w:eastAsia="en-US"/>
                <w:rPrChange w:id="8563" w:author="Author">
                  <w:rPr>
                    <w:szCs w:val="22"/>
                    <w:lang w:val="it-IT" w:eastAsia="en-US"/>
                  </w:rPr>
                </w:rPrChange>
              </w:rPr>
              <w:pPrChange w:id="8564" w:author="Author">
                <w:pPr>
                  <w:keepNext/>
                  <w:keepLines/>
                  <w:widowControl w:val="0"/>
                  <w:numPr>
                    <w:ilvl w:val="12"/>
                  </w:numPr>
                  <w:ind w:right="-2"/>
                  <w:jc w:val="center"/>
                </w:pPr>
              </w:pPrChange>
            </w:pPr>
            <w:r>
              <w:rPr>
                <w:rFonts w:eastAsia="Calibri"/>
                <w:noProof/>
                <w:sz w:val="18"/>
                <w:szCs w:val="18"/>
                <w:lang w:val="it-IT" w:eastAsia="en-US"/>
                <w:rPrChange w:id="8565" w:author="Author">
                  <w:rPr>
                    <w:rFonts w:eastAsia="Calibri"/>
                    <w:szCs w:val="22"/>
                    <w:lang w:val="it-IT" w:eastAsia="en-US"/>
                  </w:rPr>
                </w:rPrChange>
              </w:rPr>
              <w:t>13%***</w:t>
            </w:r>
          </w:p>
        </w:tc>
        <w:tc>
          <w:tcPr>
            <w:tcW w:w="847" w:type="dxa"/>
            <w:tcBorders>
              <w:left w:val="single" w:sz="4" w:space="0" w:color="auto"/>
              <w:right w:val="single" w:sz="4" w:space="0" w:color="auto"/>
            </w:tcBorders>
            <w:tcPrChange w:id="8566" w:author="Author">
              <w:tcPr>
                <w:tcW w:w="847" w:type="dxa"/>
                <w:tcBorders>
                  <w:left w:val="single" w:sz="4" w:space="0" w:color="auto"/>
                  <w:right w:val="single" w:sz="4" w:space="0" w:color="auto"/>
                </w:tcBorders>
              </w:tcPr>
            </w:tcPrChange>
          </w:tcPr>
          <w:p>
            <w:pPr>
              <w:keepNext/>
              <w:widowControl w:val="0"/>
              <w:numPr>
                <w:ilvl w:val="12"/>
                <w:numId w:val="0"/>
              </w:numPr>
              <w:suppressAutoHyphens/>
              <w:jc w:val="center"/>
              <w:rPr>
                <w:noProof/>
                <w:sz w:val="18"/>
                <w:szCs w:val="18"/>
                <w:lang w:val="it-IT" w:eastAsia="en-US"/>
                <w:rPrChange w:id="8567" w:author="Author">
                  <w:rPr>
                    <w:szCs w:val="22"/>
                    <w:lang w:val="it-IT" w:eastAsia="en-US"/>
                  </w:rPr>
                </w:rPrChange>
              </w:rPr>
              <w:pPrChange w:id="8568" w:author="Author">
                <w:pPr>
                  <w:keepNext/>
                  <w:keepLines/>
                  <w:widowControl w:val="0"/>
                  <w:numPr>
                    <w:ilvl w:val="12"/>
                  </w:numPr>
                  <w:ind w:right="-2"/>
                  <w:jc w:val="center"/>
                </w:pPr>
              </w:pPrChange>
            </w:pPr>
            <w:r>
              <w:rPr>
                <w:rFonts w:eastAsia="Calibri"/>
                <w:noProof/>
                <w:sz w:val="18"/>
                <w:szCs w:val="18"/>
                <w:lang w:val="it-IT" w:eastAsia="en-US"/>
                <w:rPrChange w:id="8569" w:author="Author">
                  <w:rPr>
                    <w:rFonts w:eastAsia="Calibri"/>
                    <w:szCs w:val="22"/>
                    <w:lang w:val="it-IT" w:eastAsia="en-US"/>
                  </w:rPr>
                </w:rPrChange>
              </w:rPr>
              <w:t>2%</w:t>
            </w:r>
          </w:p>
        </w:tc>
        <w:tc>
          <w:tcPr>
            <w:tcW w:w="889" w:type="dxa"/>
            <w:tcBorders>
              <w:left w:val="single" w:sz="4" w:space="0" w:color="auto"/>
              <w:right w:val="single" w:sz="4" w:space="0" w:color="auto"/>
            </w:tcBorders>
            <w:tcPrChange w:id="8570" w:author="Author">
              <w:tcPr>
                <w:tcW w:w="889" w:type="dxa"/>
                <w:gridSpan w:val="2"/>
                <w:tcBorders>
                  <w:left w:val="single" w:sz="4" w:space="0" w:color="auto"/>
                  <w:right w:val="single" w:sz="4" w:space="0" w:color="auto"/>
                </w:tcBorders>
              </w:tcPr>
            </w:tcPrChange>
          </w:tcPr>
          <w:p>
            <w:pPr>
              <w:keepNext/>
              <w:widowControl w:val="0"/>
              <w:numPr>
                <w:ilvl w:val="12"/>
                <w:numId w:val="0"/>
              </w:numPr>
              <w:suppressAutoHyphens/>
              <w:jc w:val="center"/>
              <w:rPr>
                <w:noProof/>
                <w:sz w:val="18"/>
                <w:szCs w:val="18"/>
                <w:lang w:val="it-IT" w:eastAsia="en-US"/>
                <w:rPrChange w:id="8571" w:author="Author">
                  <w:rPr>
                    <w:szCs w:val="22"/>
                    <w:lang w:val="it-IT" w:eastAsia="en-US"/>
                  </w:rPr>
                </w:rPrChange>
              </w:rPr>
              <w:pPrChange w:id="8572" w:author="Author">
                <w:pPr>
                  <w:keepNext/>
                  <w:keepLines/>
                  <w:widowControl w:val="0"/>
                  <w:numPr>
                    <w:ilvl w:val="12"/>
                  </w:numPr>
                  <w:ind w:right="-2"/>
                  <w:jc w:val="center"/>
                </w:pPr>
              </w:pPrChange>
            </w:pPr>
            <w:r>
              <w:rPr>
                <w:rFonts w:eastAsia="Calibri"/>
                <w:noProof/>
                <w:sz w:val="18"/>
                <w:szCs w:val="18"/>
                <w:lang w:val="it-IT" w:eastAsia="en-US"/>
                <w:rPrChange w:id="8573" w:author="Author">
                  <w:rPr>
                    <w:rFonts w:eastAsia="Calibri"/>
                    <w:szCs w:val="22"/>
                    <w:lang w:val="it-IT" w:eastAsia="en-US"/>
                  </w:rPr>
                </w:rPrChange>
              </w:rPr>
              <w:t>22%***</w:t>
            </w:r>
          </w:p>
        </w:tc>
        <w:tc>
          <w:tcPr>
            <w:tcW w:w="839" w:type="dxa"/>
            <w:tcBorders>
              <w:left w:val="single" w:sz="4" w:space="0" w:color="auto"/>
            </w:tcBorders>
            <w:tcPrChange w:id="8574" w:author="Author">
              <w:tcPr>
                <w:tcW w:w="839" w:type="dxa"/>
                <w:tcBorders>
                  <w:left w:val="single" w:sz="4" w:space="0" w:color="auto"/>
                </w:tcBorders>
              </w:tcPr>
            </w:tcPrChange>
          </w:tcPr>
          <w:p>
            <w:pPr>
              <w:keepNext/>
              <w:widowControl w:val="0"/>
              <w:numPr>
                <w:ilvl w:val="12"/>
                <w:numId w:val="0"/>
              </w:numPr>
              <w:suppressAutoHyphens/>
              <w:jc w:val="center"/>
              <w:rPr>
                <w:noProof/>
                <w:sz w:val="18"/>
                <w:szCs w:val="18"/>
                <w:lang w:val="it-IT" w:eastAsia="en-US"/>
                <w:rPrChange w:id="8575" w:author="Author">
                  <w:rPr>
                    <w:szCs w:val="22"/>
                    <w:lang w:val="it-IT" w:eastAsia="en-US"/>
                  </w:rPr>
                </w:rPrChange>
              </w:rPr>
              <w:pPrChange w:id="8576" w:author="Author">
                <w:pPr>
                  <w:keepNext/>
                  <w:keepLines/>
                  <w:widowControl w:val="0"/>
                  <w:numPr>
                    <w:ilvl w:val="12"/>
                  </w:numPr>
                  <w:ind w:right="-2"/>
                  <w:jc w:val="center"/>
                </w:pPr>
              </w:pPrChange>
            </w:pPr>
            <w:r>
              <w:rPr>
                <w:rFonts w:eastAsia="Calibri"/>
                <w:noProof/>
                <w:sz w:val="18"/>
                <w:szCs w:val="18"/>
                <w:lang w:val="it-IT" w:eastAsia="en-US"/>
                <w:rPrChange w:id="8577" w:author="Author">
                  <w:rPr>
                    <w:rFonts w:eastAsia="Calibri"/>
                    <w:szCs w:val="22"/>
                    <w:lang w:val="it-IT" w:eastAsia="en-US"/>
                  </w:rPr>
                </w:rPrChange>
              </w:rPr>
              <w:t>2%</w:t>
            </w:r>
          </w:p>
        </w:tc>
        <w:tc>
          <w:tcPr>
            <w:tcW w:w="980" w:type="dxa"/>
            <w:tcBorders>
              <w:left w:val="nil"/>
            </w:tcBorders>
            <w:tcPrChange w:id="8578" w:author="Author">
              <w:tcPr>
                <w:tcW w:w="980" w:type="dxa"/>
                <w:gridSpan w:val="2"/>
                <w:tcBorders>
                  <w:left w:val="nil"/>
                </w:tcBorders>
              </w:tcPr>
            </w:tcPrChange>
          </w:tcPr>
          <w:p>
            <w:pPr>
              <w:keepNext/>
              <w:widowControl w:val="0"/>
              <w:numPr>
                <w:ilvl w:val="12"/>
                <w:numId w:val="0"/>
              </w:numPr>
              <w:suppressAutoHyphens/>
              <w:jc w:val="center"/>
              <w:rPr>
                <w:noProof/>
                <w:sz w:val="18"/>
                <w:szCs w:val="18"/>
                <w:lang w:val="it-IT" w:eastAsia="en-US"/>
                <w:rPrChange w:id="8579" w:author="Author">
                  <w:rPr>
                    <w:szCs w:val="22"/>
                    <w:lang w:val="it-IT" w:eastAsia="en-US"/>
                  </w:rPr>
                </w:rPrChange>
              </w:rPr>
              <w:pPrChange w:id="8580" w:author="Author">
                <w:pPr>
                  <w:keepNext/>
                  <w:keepLines/>
                  <w:widowControl w:val="0"/>
                  <w:numPr>
                    <w:ilvl w:val="12"/>
                  </w:numPr>
                  <w:ind w:right="-2"/>
                  <w:jc w:val="center"/>
                </w:pPr>
              </w:pPrChange>
            </w:pPr>
            <w:r>
              <w:rPr>
                <w:rFonts w:eastAsia="Calibri"/>
                <w:noProof/>
                <w:sz w:val="18"/>
                <w:szCs w:val="18"/>
                <w:lang w:val="it-IT" w:eastAsia="en-US"/>
                <w:rPrChange w:id="8581" w:author="Author">
                  <w:rPr>
                    <w:rFonts w:eastAsia="Calibri"/>
                    <w:szCs w:val="22"/>
                    <w:lang w:val="it-IT" w:eastAsia="en-US"/>
                  </w:rPr>
                </w:rPrChange>
              </w:rPr>
              <w:t>21%***</w:t>
            </w:r>
          </w:p>
        </w:tc>
        <w:tc>
          <w:tcPr>
            <w:tcW w:w="896" w:type="dxa"/>
            <w:tcBorders>
              <w:left w:val="nil"/>
            </w:tcBorders>
            <w:tcPrChange w:id="8582" w:author="Author">
              <w:tcPr>
                <w:tcW w:w="896" w:type="dxa"/>
                <w:tcBorders>
                  <w:left w:val="nil"/>
                </w:tcBorders>
              </w:tcPr>
            </w:tcPrChange>
          </w:tcPr>
          <w:p>
            <w:pPr>
              <w:keepNext/>
              <w:widowControl w:val="0"/>
              <w:numPr>
                <w:ilvl w:val="12"/>
                <w:numId w:val="0"/>
              </w:numPr>
              <w:suppressAutoHyphens/>
              <w:jc w:val="center"/>
              <w:rPr>
                <w:noProof/>
                <w:sz w:val="18"/>
                <w:szCs w:val="18"/>
                <w:lang w:val="it-IT" w:eastAsia="en-US"/>
                <w:rPrChange w:id="8583" w:author="Author">
                  <w:rPr>
                    <w:szCs w:val="22"/>
                    <w:lang w:val="it-IT" w:eastAsia="en-US"/>
                  </w:rPr>
                </w:rPrChange>
              </w:rPr>
              <w:pPrChange w:id="8584" w:author="Author">
                <w:pPr>
                  <w:keepNext/>
                  <w:keepLines/>
                  <w:widowControl w:val="0"/>
                  <w:numPr>
                    <w:ilvl w:val="12"/>
                  </w:numPr>
                  <w:ind w:right="-2"/>
                  <w:jc w:val="center"/>
                </w:pPr>
              </w:pPrChange>
            </w:pPr>
            <w:r>
              <w:rPr>
                <w:rFonts w:eastAsia="Calibri"/>
                <w:noProof/>
                <w:sz w:val="18"/>
                <w:szCs w:val="18"/>
                <w:lang w:val="it-IT" w:eastAsia="en-US"/>
                <w:rPrChange w:id="8585" w:author="Author">
                  <w:rPr>
                    <w:rFonts w:eastAsia="Calibri"/>
                    <w:szCs w:val="22"/>
                    <w:lang w:val="it-IT" w:eastAsia="en-US"/>
                  </w:rPr>
                </w:rPrChange>
              </w:rPr>
              <w:t>3%</w:t>
            </w:r>
          </w:p>
        </w:tc>
        <w:tc>
          <w:tcPr>
            <w:tcW w:w="910" w:type="dxa"/>
            <w:tcBorders>
              <w:left w:val="nil"/>
            </w:tcBorders>
            <w:tcPrChange w:id="8586" w:author="Author">
              <w:tcPr>
                <w:tcW w:w="1252" w:type="dxa"/>
                <w:gridSpan w:val="2"/>
                <w:tcBorders>
                  <w:left w:val="nil"/>
                </w:tcBorders>
              </w:tcPr>
            </w:tcPrChange>
          </w:tcPr>
          <w:p>
            <w:pPr>
              <w:keepNext/>
              <w:widowControl w:val="0"/>
              <w:numPr>
                <w:ilvl w:val="12"/>
                <w:numId w:val="0"/>
              </w:numPr>
              <w:suppressAutoHyphens/>
              <w:jc w:val="center"/>
              <w:rPr>
                <w:noProof/>
                <w:sz w:val="18"/>
                <w:szCs w:val="18"/>
                <w:lang w:val="it-IT" w:eastAsia="en-US"/>
                <w:rPrChange w:id="8587" w:author="Author">
                  <w:rPr>
                    <w:szCs w:val="22"/>
                    <w:lang w:val="it-IT" w:eastAsia="en-US"/>
                  </w:rPr>
                </w:rPrChange>
              </w:rPr>
              <w:pPrChange w:id="8588" w:author="Author">
                <w:pPr>
                  <w:keepNext/>
                  <w:keepLines/>
                  <w:widowControl w:val="0"/>
                  <w:numPr>
                    <w:ilvl w:val="12"/>
                  </w:numPr>
                  <w:ind w:right="-2"/>
                  <w:jc w:val="center"/>
                </w:pPr>
              </w:pPrChange>
            </w:pPr>
            <w:r>
              <w:rPr>
                <w:rFonts w:eastAsia="Calibri"/>
                <w:noProof/>
                <w:sz w:val="18"/>
                <w:szCs w:val="18"/>
                <w:lang w:val="it-IT" w:eastAsia="en-US"/>
                <w:rPrChange w:id="8589" w:author="Author">
                  <w:rPr>
                    <w:rFonts w:eastAsia="Calibri"/>
                    <w:szCs w:val="22"/>
                    <w:lang w:val="it-IT" w:eastAsia="en-US"/>
                  </w:rPr>
                </w:rPrChange>
              </w:rPr>
              <w:t>12%**</w:t>
            </w:r>
          </w:p>
        </w:tc>
        <w:tc>
          <w:tcPr>
            <w:tcW w:w="616" w:type="dxa"/>
            <w:tcBorders>
              <w:left w:val="nil"/>
            </w:tcBorders>
            <w:tcPrChange w:id="8590" w:author="Author">
              <w:tcPr>
                <w:tcW w:w="900" w:type="dxa"/>
                <w:gridSpan w:val="3"/>
                <w:tcBorders>
                  <w:left w:val="nil"/>
                </w:tcBorders>
              </w:tcPr>
            </w:tcPrChange>
          </w:tcPr>
          <w:p>
            <w:pPr>
              <w:keepNext/>
              <w:widowControl w:val="0"/>
              <w:numPr>
                <w:ilvl w:val="12"/>
                <w:numId w:val="0"/>
              </w:numPr>
              <w:suppressAutoHyphens/>
              <w:jc w:val="center"/>
              <w:rPr>
                <w:noProof/>
                <w:sz w:val="18"/>
                <w:szCs w:val="18"/>
                <w:lang w:val="it-IT" w:eastAsia="en-US"/>
                <w:rPrChange w:id="8591" w:author="Author">
                  <w:rPr>
                    <w:szCs w:val="22"/>
                    <w:lang w:val="it-IT" w:eastAsia="en-US"/>
                  </w:rPr>
                </w:rPrChange>
              </w:rPr>
              <w:pPrChange w:id="8592" w:author="Author">
                <w:pPr>
                  <w:keepNext/>
                  <w:keepLines/>
                  <w:widowControl w:val="0"/>
                  <w:numPr>
                    <w:ilvl w:val="12"/>
                  </w:numPr>
                  <w:ind w:right="-2"/>
                  <w:jc w:val="center"/>
                </w:pPr>
              </w:pPrChange>
            </w:pPr>
            <w:r>
              <w:rPr>
                <w:rFonts w:eastAsia="Calibri"/>
                <w:noProof/>
                <w:sz w:val="18"/>
                <w:szCs w:val="18"/>
                <w:lang w:val="it-IT" w:eastAsia="en-US"/>
                <w:rPrChange w:id="8593" w:author="Author">
                  <w:rPr>
                    <w:rFonts w:eastAsia="Calibri"/>
                    <w:szCs w:val="22"/>
                    <w:lang w:val="it-IT" w:eastAsia="en-US"/>
                  </w:rPr>
                </w:rPrChange>
              </w:rPr>
              <w:t>1%</w:t>
            </w:r>
          </w:p>
        </w:tc>
      </w:tr>
      <w:tr>
        <w:trPr>
          <w:cantSplit/>
          <w:trPrChange w:id="8594" w:author="Author">
            <w:trPr>
              <w:gridBefore w:val="1"/>
              <w:cantSplit/>
            </w:trPr>
          </w:trPrChange>
        </w:trPr>
        <w:tc>
          <w:tcPr>
            <w:tcW w:w="846" w:type="dxa"/>
            <w:tcPrChange w:id="8595" w:author="Author">
              <w:tcPr>
                <w:tcW w:w="846" w:type="dxa"/>
              </w:tcPr>
            </w:tcPrChange>
          </w:tcPr>
          <w:p>
            <w:pPr>
              <w:keepNext/>
              <w:widowControl w:val="0"/>
              <w:numPr>
                <w:ilvl w:val="12"/>
                <w:numId w:val="0"/>
              </w:numPr>
              <w:suppressAutoHyphens/>
              <w:jc w:val="center"/>
              <w:rPr>
                <w:noProof/>
                <w:sz w:val="18"/>
                <w:szCs w:val="18"/>
                <w:lang w:val="it-IT" w:eastAsia="en-US"/>
                <w:rPrChange w:id="8596" w:author="Author">
                  <w:rPr>
                    <w:szCs w:val="22"/>
                    <w:lang w:val="it-IT" w:eastAsia="en-US"/>
                  </w:rPr>
                </w:rPrChange>
              </w:rPr>
              <w:pPrChange w:id="8597" w:author="Author">
                <w:pPr>
                  <w:keepNext/>
                  <w:keepLines/>
                  <w:widowControl w:val="0"/>
                  <w:numPr>
                    <w:ilvl w:val="12"/>
                  </w:numPr>
                  <w:ind w:right="-2"/>
                  <w:jc w:val="center"/>
                </w:pPr>
              </w:pPrChange>
            </w:pPr>
            <w:r>
              <w:rPr>
                <w:rFonts w:eastAsia="Calibri"/>
                <w:noProof/>
                <w:sz w:val="18"/>
                <w:szCs w:val="18"/>
                <w:lang w:val="it-IT" w:eastAsia="en-US"/>
                <w:rPrChange w:id="8598" w:author="Author">
                  <w:rPr>
                    <w:rFonts w:eastAsia="Calibri"/>
                    <w:szCs w:val="22"/>
                    <w:lang w:val="it-IT" w:eastAsia="en-US"/>
                  </w:rPr>
                </w:rPrChange>
              </w:rPr>
              <w:t>52</w:t>
            </w:r>
          </w:p>
        </w:tc>
        <w:tc>
          <w:tcPr>
            <w:tcW w:w="717" w:type="dxa"/>
            <w:tcBorders>
              <w:right w:val="nil"/>
            </w:tcBorders>
            <w:tcPrChange w:id="8599" w:author="Author">
              <w:tcPr>
                <w:tcW w:w="717" w:type="dxa"/>
                <w:gridSpan w:val="2"/>
                <w:tcBorders>
                  <w:right w:val="nil"/>
                </w:tcBorders>
              </w:tcPr>
            </w:tcPrChange>
          </w:tcPr>
          <w:p>
            <w:pPr>
              <w:keepNext/>
              <w:widowControl w:val="0"/>
              <w:numPr>
                <w:ilvl w:val="12"/>
                <w:numId w:val="0"/>
              </w:numPr>
              <w:suppressAutoHyphens/>
              <w:jc w:val="center"/>
              <w:rPr>
                <w:noProof/>
                <w:sz w:val="18"/>
                <w:szCs w:val="18"/>
                <w:lang w:val="it-IT"/>
                <w:rPrChange w:id="8600" w:author="Author">
                  <w:rPr>
                    <w:szCs w:val="22"/>
                    <w:lang w:val="it-IT"/>
                  </w:rPr>
                </w:rPrChange>
              </w:rPr>
              <w:pPrChange w:id="8601" w:author="Author">
                <w:pPr>
                  <w:keepNext/>
                  <w:keepLines/>
                  <w:widowControl w:val="0"/>
                  <w:numPr>
                    <w:ilvl w:val="12"/>
                  </w:numPr>
                  <w:ind w:right="-2"/>
                  <w:jc w:val="center"/>
                </w:pPr>
              </w:pPrChange>
            </w:pPr>
          </w:p>
        </w:tc>
        <w:tc>
          <w:tcPr>
            <w:tcW w:w="700" w:type="dxa"/>
            <w:tcBorders>
              <w:left w:val="nil"/>
            </w:tcBorders>
            <w:tcPrChange w:id="8602" w:author="Author">
              <w:tcPr>
                <w:tcW w:w="700" w:type="dxa"/>
                <w:tcBorders>
                  <w:left w:val="nil"/>
                </w:tcBorders>
              </w:tcPr>
            </w:tcPrChange>
          </w:tcPr>
          <w:p>
            <w:pPr>
              <w:keepNext/>
              <w:widowControl w:val="0"/>
              <w:numPr>
                <w:ilvl w:val="12"/>
                <w:numId w:val="0"/>
              </w:numPr>
              <w:suppressAutoHyphens/>
              <w:jc w:val="center"/>
              <w:rPr>
                <w:noProof/>
                <w:sz w:val="18"/>
                <w:szCs w:val="18"/>
                <w:lang w:val="it-IT"/>
                <w:rPrChange w:id="8603" w:author="Author">
                  <w:rPr>
                    <w:szCs w:val="22"/>
                    <w:lang w:val="it-IT"/>
                  </w:rPr>
                </w:rPrChange>
              </w:rPr>
              <w:pPrChange w:id="8604" w:author="Author">
                <w:pPr>
                  <w:keepNext/>
                  <w:keepLines/>
                  <w:widowControl w:val="0"/>
                  <w:numPr>
                    <w:ilvl w:val="12"/>
                  </w:numPr>
                  <w:ind w:right="-2"/>
                  <w:jc w:val="center"/>
                </w:pPr>
              </w:pPrChange>
            </w:pPr>
          </w:p>
        </w:tc>
        <w:tc>
          <w:tcPr>
            <w:tcW w:w="854" w:type="dxa"/>
            <w:tcBorders>
              <w:right w:val="nil"/>
            </w:tcBorders>
            <w:tcPrChange w:id="8605" w:author="Author">
              <w:tcPr>
                <w:tcW w:w="854" w:type="dxa"/>
                <w:gridSpan w:val="2"/>
                <w:tcBorders>
                  <w:right w:val="nil"/>
                </w:tcBorders>
              </w:tcPr>
            </w:tcPrChange>
          </w:tcPr>
          <w:p>
            <w:pPr>
              <w:keepNext/>
              <w:widowControl w:val="0"/>
              <w:numPr>
                <w:ilvl w:val="12"/>
                <w:numId w:val="0"/>
              </w:numPr>
              <w:suppressAutoHyphens/>
              <w:jc w:val="center"/>
              <w:rPr>
                <w:noProof/>
                <w:sz w:val="18"/>
                <w:szCs w:val="18"/>
                <w:lang w:val="it-IT" w:eastAsia="en-US"/>
                <w:rPrChange w:id="8606" w:author="Author">
                  <w:rPr>
                    <w:szCs w:val="22"/>
                    <w:lang w:val="it-IT" w:eastAsia="en-US"/>
                  </w:rPr>
                </w:rPrChange>
              </w:rPr>
              <w:pPrChange w:id="8607" w:author="Author">
                <w:pPr>
                  <w:keepNext/>
                  <w:keepLines/>
                  <w:widowControl w:val="0"/>
                  <w:numPr>
                    <w:ilvl w:val="12"/>
                  </w:numPr>
                  <w:ind w:right="-2"/>
                  <w:jc w:val="center"/>
                </w:pPr>
              </w:pPrChange>
            </w:pPr>
            <w:r>
              <w:rPr>
                <w:rFonts w:eastAsia="Calibri"/>
                <w:noProof/>
                <w:sz w:val="18"/>
                <w:szCs w:val="18"/>
                <w:lang w:val="it-IT" w:eastAsia="en-US"/>
                <w:rPrChange w:id="8608" w:author="Author">
                  <w:rPr>
                    <w:rFonts w:eastAsia="Calibri"/>
                    <w:szCs w:val="22"/>
                    <w:lang w:val="it-IT" w:eastAsia="en-US"/>
                  </w:rPr>
                </w:rPrChange>
              </w:rPr>
              <w:t>20%***</w:t>
            </w:r>
          </w:p>
        </w:tc>
        <w:tc>
          <w:tcPr>
            <w:tcW w:w="847" w:type="dxa"/>
            <w:tcBorders>
              <w:left w:val="nil"/>
            </w:tcBorders>
            <w:tcPrChange w:id="8609" w:author="Author">
              <w:tcPr>
                <w:tcW w:w="847" w:type="dxa"/>
                <w:tcBorders>
                  <w:left w:val="nil"/>
                </w:tcBorders>
              </w:tcPr>
            </w:tcPrChange>
          </w:tcPr>
          <w:p>
            <w:pPr>
              <w:keepNext/>
              <w:widowControl w:val="0"/>
              <w:numPr>
                <w:ilvl w:val="12"/>
                <w:numId w:val="0"/>
              </w:numPr>
              <w:suppressAutoHyphens/>
              <w:jc w:val="center"/>
              <w:rPr>
                <w:noProof/>
                <w:sz w:val="18"/>
                <w:szCs w:val="18"/>
                <w:lang w:val="it-IT" w:eastAsia="en-US"/>
                <w:rPrChange w:id="8610" w:author="Author">
                  <w:rPr>
                    <w:szCs w:val="22"/>
                    <w:lang w:val="it-IT" w:eastAsia="en-US"/>
                  </w:rPr>
                </w:rPrChange>
              </w:rPr>
              <w:pPrChange w:id="8611" w:author="Author">
                <w:pPr>
                  <w:keepNext/>
                  <w:keepLines/>
                  <w:widowControl w:val="0"/>
                  <w:numPr>
                    <w:ilvl w:val="12"/>
                  </w:numPr>
                  <w:ind w:right="-2"/>
                  <w:jc w:val="center"/>
                </w:pPr>
              </w:pPrChange>
            </w:pPr>
            <w:r>
              <w:rPr>
                <w:rFonts w:eastAsia="Calibri"/>
                <w:noProof/>
                <w:sz w:val="18"/>
                <w:szCs w:val="18"/>
                <w:lang w:val="it-IT" w:eastAsia="en-US"/>
                <w:rPrChange w:id="8612" w:author="Author">
                  <w:rPr>
                    <w:rFonts w:eastAsia="Calibri"/>
                    <w:szCs w:val="22"/>
                    <w:lang w:val="it-IT" w:eastAsia="en-US"/>
                  </w:rPr>
                </w:rPrChange>
              </w:rPr>
              <w:t>4%</w:t>
            </w:r>
          </w:p>
        </w:tc>
        <w:tc>
          <w:tcPr>
            <w:tcW w:w="889" w:type="dxa"/>
            <w:tcBorders>
              <w:right w:val="nil"/>
            </w:tcBorders>
            <w:tcPrChange w:id="8613" w:author="Author">
              <w:tcPr>
                <w:tcW w:w="889" w:type="dxa"/>
                <w:gridSpan w:val="2"/>
                <w:tcBorders>
                  <w:right w:val="nil"/>
                </w:tcBorders>
              </w:tcPr>
            </w:tcPrChange>
          </w:tcPr>
          <w:p>
            <w:pPr>
              <w:keepNext/>
              <w:widowControl w:val="0"/>
              <w:numPr>
                <w:ilvl w:val="12"/>
                <w:numId w:val="0"/>
              </w:numPr>
              <w:suppressAutoHyphens/>
              <w:jc w:val="center"/>
              <w:rPr>
                <w:noProof/>
                <w:sz w:val="18"/>
                <w:szCs w:val="18"/>
                <w:lang w:val="it-IT"/>
                <w:rPrChange w:id="8614" w:author="Author">
                  <w:rPr>
                    <w:szCs w:val="22"/>
                    <w:lang w:val="it-IT"/>
                  </w:rPr>
                </w:rPrChange>
              </w:rPr>
              <w:pPrChange w:id="8615" w:author="Author">
                <w:pPr>
                  <w:keepNext/>
                  <w:keepLines/>
                  <w:widowControl w:val="0"/>
                  <w:numPr>
                    <w:ilvl w:val="12"/>
                  </w:numPr>
                  <w:ind w:right="-2"/>
                  <w:jc w:val="center"/>
                </w:pPr>
              </w:pPrChange>
            </w:pPr>
          </w:p>
        </w:tc>
        <w:tc>
          <w:tcPr>
            <w:tcW w:w="839" w:type="dxa"/>
            <w:tcBorders>
              <w:left w:val="nil"/>
            </w:tcBorders>
            <w:tcPrChange w:id="8616" w:author="Author">
              <w:tcPr>
                <w:tcW w:w="839" w:type="dxa"/>
                <w:tcBorders>
                  <w:left w:val="nil"/>
                </w:tcBorders>
              </w:tcPr>
            </w:tcPrChange>
          </w:tcPr>
          <w:p>
            <w:pPr>
              <w:keepNext/>
              <w:widowControl w:val="0"/>
              <w:numPr>
                <w:ilvl w:val="12"/>
                <w:numId w:val="0"/>
              </w:numPr>
              <w:suppressAutoHyphens/>
              <w:jc w:val="center"/>
              <w:rPr>
                <w:noProof/>
                <w:sz w:val="18"/>
                <w:szCs w:val="18"/>
                <w:lang w:val="it-IT"/>
                <w:rPrChange w:id="8617" w:author="Author">
                  <w:rPr>
                    <w:szCs w:val="22"/>
                    <w:lang w:val="it-IT"/>
                  </w:rPr>
                </w:rPrChange>
              </w:rPr>
              <w:pPrChange w:id="8618" w:author="Author">
                <w:pPr>
                  <w:keepNext/>
                  <w:keepLines/>
                  <w:widowControl w:val="0"/>
                  <w:numPr>
                    <w:ilvl w:val="12"/>
                  </w:numPr>
                  <w:ind w:right="-2"/>
                  <w:jc w:val="center"/>
                </w:pPr>
              </w:pPrChange>
            </w:pPr>
          </w:p>
        </w:tc>
        <w:tc>
          <w:tcPr>
            <w:tcW w:w="980" w:type="dxa"/>
            <w:tcBorders>
              <w:left w:val="nil"/>
            </w:tcBorders>
            <w:tcPrChange w:id="8619" w:author="Author">
              <w:tcPr>
                <w:tcW w:w="980" w:type="dxa"/>
                <w:gridSpan w:val="2"/>
                <w:tcBorders>
                  <w:left w:val="nil"/>
                </w:tcBorders>
              </w:tcPr>
            </w:tcPrChange>
          </w:tcPr>
          <w:p>
            <w:pPr>
              <w:keepNext/>
              <w:widowControl w:val="0"/>
              <w:numPr>
                <w:ilvl w:val="12"/>
                <w:numId w:val="0"/>
              </w:numPr>
              <w:suppressAutoHyphens/>
              <w:jc w:val="center"/>
              <w:rPr>
                <w:noProof/>
                <w:sz w:val="18"/>
                <w:szCs w:val="18"/>
                <w:lang w:val="it-IT"/>
                <w:rPrChange w:id="8620" w:author="Author">
                  <w:rPr>
                    <w:szCs w:val="22"/>
                    <w:lang w:val="it-IT"/>
                  </w:rPr>
                </w:rPrChange>
              </w:rPr>
              <w:pPrChange w:id="8621" w:author="Author">
                <w:pPr>
                  <w:keepNext/>
                  <w:keepLines/>
                  <w:widowControl w:val="0"/>
                  <w:numPr>
                    <w:ilvl w:val="12"/>
                  </w:numPr>
                  <w:ind w:right="-2"/>
                  <w:jc w:val="center"/>
                </w:pPr>
              </w:pPrChange>
            </w:pPr>
          </w:p>
        </w:tc>
        <w:tc>
          <w:tcPr>
            <w:tcW w:w="896" w:type="dxa"/>
            <w:tcBorders>
              <w:left w:val="nil"/>
            </w:tcBorders>
            <w:tcPrChange w:id="8622" w:author="Author">
              <w:tcPr>
                <w:tcW w:w="896" w:type="dxa"/>
                <w:tcBorders>
                  <w:left w:val="nil"/>
                </w:tcBorders>
              </w:tcPr>
            </w:tcPrChange>
          </w:tcPr>
          <w:p>
            <w:pPr>
              <w:keepNext/>
              <w:widowControl w:val="0"/>
              <w:numPr>
                <w:ilvl w:val="12"/>
                <w:numId w:val="0"/>
              </w:numPr>
              <w:suppressAutoHyphens/>
              <w:jc w:val="center"/>
              <w:rPr>
                <w:noProof/>
                <w:sz w:val="18"/>
                <w:szCs w:val="18"/>
                <w:lang w:val="it-IT"/>
                <w:rPrChange w:id="8623" w:author="Author">
                  <w:rPr>
                    <w:szCs w:val="22"/>
                    <w:lang w:val="it-IT"/>
                  </w:rPr>
                </w:rPrChange>
              </w:rPr>
              <w:pPrChange w:id="8624" w:author="Author">
                <w:pPr>
                  <w:keepNext/>
                  <w:keepLines/>
                  <w:widowControl w:val="0"/>
                  <w:numPr>
                    <w:ilvl w:val="12"/>
                  </w:numPr>
                  <w:ind w:right="-2"/>
                  <w:jc w:val="center"/>
                </w:pPr>
              </w:pPrChange>
            </w:pPr>
          </w:p>
        </w:tc>
        <w:tc>
          <w:tcPr>
            <w:tcW w:w="910" w:type="dxa"/>
            <w:tcBorders>
              <w:left w:val="nil"/>
            </w:tcBorders>
            <w:tcPrChange w:id="8625" w:author="Author">
              <w:tcPr>
                <w:tcW w:w="1252" w:type="dxa"/>
                <w:gridSpan w:val="2"/>
                <w:tcBorders>
                  <w:left w:val="nil"/>
                </w:tcBorders>
              </w:tcPr>
            </w:tcPrChange>
          </w:tcPr>
          <w:p>
            <w:pPr>
              <w:keepNext/>
              <w:widowControl w:val="0"/>
              <w:numPr>
                <w:ilvl w:val="12"/>
                <w:numId w:val="0"/>
              </w:numPr>
              <w:suppressAutoHyphens/>
              <w:jc w:val="center"/>
              <w:rPr>
                <w:noProof/>
                <w:sz w:val="18"/>
                <w:szCs w:val="18"/>
                <w:lang w:val="it-IT"/>
                <w:rPrChange w:id="8626" w:author="Author">
                  <w:rPr>
                    <w:szCs w:val="22"/>
                    <w:lang w:val="it-IT"/>
                  </w:rPr>
                </w:rPrChange>
              </w:rPr>
              <w:pPrChange w:id="8627" w:author="Author">
                <w:pPr>
                  <w:keepNext/>
                  <w:keepLines/>
                  <w:widowControl w:val="0"/>
                  <w:numPr>
                    <w:ilvl w:val="12"/>
                  </w:numPr>
                  <w:ind w:right="-2"/>
                  <w:jc w:val="center"/>
                </w:pPr>
              </w:pPrChange>
            </w:pPr>
          </w:p>
        </w:tc>
        <w:tc>
          <w:tcPr>
            <w:tcW w:w="616" w:type="dxa"/>
            <w:tcBorders>
              <w:left w:val="nil"/>
            </w:tcBorders>
            <w:tcPrChange w:id="8628" w:author="Author">
              <w:tcPr>
                <w:tcW w:w="900" w:type="dxa"/>
                <w:gridSpan w:val="3"/>
                <w:tcBorders>
                  <w:left w:val="nil"/>
                </w:tcBorders>
              </w:tcPr>
            </w:tcPrChange>
          </w:tcPr>
          <w:p>
            <w:pPr>
              <w:keepNext/>
              <w:widowControl w:val="0"/>
              <w:numPr>
                <w:ilvl w:val="12"/>
                <w:numId w:val="0"/>
              </w:numPr>
              <w:suppressAutoHyphens/>
              <w:jc w:val="center"/>
              <w:rPr>
                <w:noProof/>
                <w:sz w:val="18"/>
                <w:szCs w:val="18"/>
                <w:lang w:val="it-IT"/>
                <w:rPrChange w:id="8629" w:author="Author">
                  <w:rPr>
                    <w:szCs w:val="22"/>
                    <w:lang w:val="it-IT"/>
                  </w:rPr>
                </w:rPrChange>
              </w:rPr>
              <w:pPrChange w:id="8630" w:author="Author">
                <w:pPr>
                  <w:keepNext/>
                  <w:keepLines/>
                  <w:widowControl w:val="0"/>
                  <w:numPr>
                    <w:ilvl w:val="12"/>
                  </w:numPr>
                  <w:ind w:right="-2"/>
                  <w:jc w:val="center"/>
                </w:pPr>
              </w:pPrChange>
            </w:pPr>
          </w:p>
        </w:tc>
      </w:tr>
    </w:tbl>
    <w:p>
      <w:pPr>
        <w:widowControl w:val="0"/>
        <w:numPr>
          <w:ilvl w:val="12"/>
          <w:numId w:val="0"/>
        </w:numPr>
        <w:ind w:right="-2"/>
        <w:rPr>
          <w:i/>
          <w:iCs/>
          <w:noProof/>
          <w:sz w:val="18"/>
          <w:szCs w:val="18"/>
          <w:lang w:val="it-IT" w:eastAsia="en-US"/>
        </w:rPr>
      </w:pPr>
      <w:r>
        <w:rPr>
          <w:rFonts w:eastAsia="Calibri"/>
          <w:i/>
          <w:iCs/>
          <w:noProof/>
          <w:sz w:val="18"/>
          <w:szCs w:val="18"/>
          <w:lang w:val="it-IT" w:eastAsia="en-US"/>
        </w:rPr>
        <w:t xml:space="preserve">TCZ </w:t>
      </w:r>
      <w:r>
        <w:rPr>
          <w:rFonts w:eastAsia="Calibri"/>
          <w:i/>
          <w:iCs/>
          <w:noProof/>
          <w:sz w:val="18"/>
          <w:szCs w:val="18"/>
          <w:lang w:val="it-IT" w:eastAsia="en-US"/>
        </w:rPr>
        <w:tab/>
      </w:r>
      <w:r>
        <w:rPr>
          <w:rFonts w:eastAsia="Calibri"/>
          <w:i/>
          <w:iCs/>
          <w:noProof/>
          <w:sz w:val="18"/>
          <w:szCs w:val="18"/>
          <w:lang w:val="it-IT" w:eastAsia="en-US"/>
        </w:rPr>
        <w:tab/>
        <w:t xml:space="preserve">- </w:t>
      </w:r>
      <w:del w:id="8631" w:author="Author">
        <w:r>
          <w:rPr>
            <w:rFonts w:eastAsia="Calibri"/>
            <w:i/>
            <w:iCs/>
            <w:noProof/>
            <w:sz w:val="18"/>
            <w:szCs w:val="18"/>
            <w:lang w:val="it-IT" w:eastAsia="en-US"/>
          </w:rPr>
          <w:delText>T</w:delText>
        </w:r>
      </w:del>
      <w:ins w:id="8632" w:author="Author">
        <w:r>
          <w:rPr>
            <w:rFonts w:eastAsia="Calibri"/>
            <w:i/>
            <w:iCs/>
            <w:noProof/>
            <w:sz w:val="18"/>
            <w:szCs w:val="18"/>
            <w:lang w:val="it-IT" w:eastAsia="en-US"/>
          </w:rPr>
          <w:t>t</w:t>
        </w:r>
      </w:ins>
      <w:r>
        <w:rPr>
          <w:rFonts w:eastAsia="Calibri"/>
          <w:i/>
          <w:iCs/>
          <w:noProof/>
          <w:sz w:val="18"/>
          <w:szCs w:val="18"/>
          <w:lang w:val="it-IT" w:eastAsia="en-US"/>
        </w:rPr>
        <w:t>ocilizumab</w:t>
      </w:r>
    </w:p>
    <w:p>
      <w:pPr>
        <w:widowControl w:val="0"/>
        <w:numPr>
          <w:ilvl w:val="12"/>
          <w:numId w:val="0"/>
        </w:numPr>
        <w:ind w:right="-2"/>
        <w:rPr>
          <w:i/>
          <w:iCs/>
          <w:noProof/>
          <w:sz w:val="18"/>
          <w:szCs w:val="18"/>
          <w:lang w:val="it-IT" w:eastAsia="en-US"/>
        </w:rPr>
      </w:pPr>
      <w:r>
        <w:rPr>
          <w:rFonts w:eastAsia="Calibri"/>
          <w:i/>
          <w:iCs/>
          <w:noProof/>
          <w:sz w:val="18"/>
          <w:szCs w:val="18"/>
          <w:lang w:val="it-IT" w:eastAsia="en-US"/>
        </w:rPr>
        <w:t>MTX</w:t>
      </w:r>
      <w:r>
        <w:rPr>
          <w:rFonts w:eastAsia="Calibri"/>
          <w:i/>
          <w:iCs/>
          <w:noProof/>
          <w:sz w:val="18"/>
          <w:szCs w:val="18"/>
          <w:lang w:val="it-IT" w:eastAsia="en-US"/>
        </w:rPr>
        <w:tab/>
      </w:r>
      <w:r>
        <w:rPr>
          <w:rFonts w:eastAsia="Calibri"/>
          <w:i/>
          <w:iCs/>
          <w:noProof/>
          <w:sz w:val="18"/>
          <w:szCs w:val="18"/>
          <w:lang w:val="it-IT" w:eastAsia="en-US"/>
        </w:rPr>
        <w:tab/>
        <w:t xml:space="preserve">- </w:t>
      </w:r>
      <w:ins w:id="8633" w:author="Author">
        <w:r>
          <w:rPr>
            <w:rFonts w:eastAsia="Calibri"/>
            <w:i/>
            <w:iCs/>
            <w:noProof/>
            <w:sz w:val="18"/>
            <w:szCs w:val="18"/>
            <w:lang w:val="it-IT" w:eastAsia="en-US"/>
          </w:rPr>
          <w:t>m</w:t>
        </w:r>
      </w:ins>
      <w:del w:id="8634" w:author="Author">
        <w:r>
          <w:rPr>
            <w:rFonts w:eastAsia="Calibri"/>
            <w:i/>
            <w:iCs/>
            <w:noProof/>
            <w:sz w:val="18"/>
            <w:szCs w:val="18"/>
            <w:lang w:val="it-IT" w:eastAsia="en-US"/>
          </w:rPr>
          <w:delText>M</w:delText>
        </w:r>
      </w:del>
      <w:r>
        <w:rPr>
          <w:rFonts w:eastAsia="Calibri"/>
          <w:i/>
          <w:iCs/>
          <w:noProof/>
          <w:sz w:val="18"/>
          <w:szCs w:val="18"/>
          <w:lang w:val="it-IT" w:eastAsia="en-US"/>
        </w:rPr>
        <w:t>etotre</w:t>
      </w:r>
      <w:ins w:id="8635" w:author="Author">
        <w:r>
          <w:rPr>
            <w:rFonts w:eastAsia="Calibri"/>
            <w:i/>
            <w:iCs/>
            <w:noProof/>
            <w:sz w:val="18"/>
            <w:szCs w:val="18"/>
            <w:lang w:val="it-IT" w:eastAsia="en-US"/>
          </w:rPr>
          <w:t>x</w:t>
        </w:r>
      </w:ins>
      <w:del w:id="8636" w:author="Author">
        <w:r>
          <w:rPr>
            <w:rFonts w:eastAsia="Calibri"/>
            <w:i/>
            <w:iCs/>
            <w:noProof/>
            <w:sz w:val="18"/>
            <w:szCs w:val="18"/>
            <w:lang w:val="it-IT" w:eastAsia="en-US"/>
          </w:rPr>
          <w:delText>ss</w:delText>
        </w:r>
      </w:del>
      <w:r>
        <w:rPr>
          <w:rFonts w:eastAsia="Calibri"/>
          <w:i/>
          <w:iCs/>
          <w:noProof/>
          <w:sz w:val="18"/>
          <w:szCs w:val="18"/>
          <w:lang w:val="it-IT" w:eastAsia="en-US"/>
        </w:rPr>
        <w:t>ato</w:t>
      </w:r>
    </w:p>
    <w:p>
      <w:pPr>
        <w:widowControl w:val="0"/>
        <w:rPr>
          <w:i/>
          <w:noProof/>
          <w:sz w:val="18"/>
          <w:szCs w:val="18"/>
          <w:lang w:val="it-IT" w:eastAsia="en-US"/>
        </w:rPr>
      </w:pPr>
      <w:r>
        <w:rPr>
          <w:rFonts w:eastAsia="Calibri"/>
          <w:i/>
          <w:noProof/>
          <w:sz w:val="18"/>
          <w:szCs w:val="18"/>
          <w:lang w:val="it-IT" w:eastAsia="en-US"/>
        </w:rPr>
        <w:t>PBO</w:t>
      </w:r>
      <w:r>
        <w:rPr>
          <w:rFonts w:eastAsia="Calibri"/>
          <w:i/>
          <w:noProof/>
          <w:sz w:val="18"/>
          <w:szCs w:val="18"/>
          <w:lang w:val="it-IT" w:eastAsia="en-US"/>
        </w:rPr>
        <w:tab/>
      </w:r>
      <w:r>
        <w:rPr>
          <w:rFonts w:eastAsia="Calibri"/>
          <w:i/>
          <w:noProof/>
          <w:sz w:val="18"/>
          <w:szCs w:val="18"/>
          <w:lang w:val="it-IT" w:eastAsia="en-US"/>
        </w:rPr>
        <w:tab/>
        <w:t>- Placebo</w:t>
      </w:r>
    </w:p>
    <w:p>
      <w:pPr>
        <w:widowControl w:val="0"/>
        <w:numPr>
          <w:ilvl w:val="12"/>
          <w:numId w:val="0"/>
        </w:numPr>
        <w:ind w:right="-2"/>
        <w:rPr>
          <w:i/>
          <w:iCs/>
          <w:noProof/>
          <w:sz w:val="18"/>
          <w:szCs w:val="18"/>
          <w:lang w:val="it-IT" w:eastAsia="en-US"/>
        </w:rPr>
      </w:pPr>
      <w:r>
        <w:rPr>
          <w:rFonts w:eastAsia="Calibri"/>
          <w:i/>
          <w:iCs/>
          <w:noProof/>
          <w:sz w:val="18"/>
          <w:szCs w:val="18"/>
          <w:lang w:val="it-IT" w:eastAsia="en-US"/>
        </w:rPr>
        <w:t>DMARD</w:t>
      </w:r>
      <w:r>
        <w:rPr>
          <w:rFonts w:eastAsia="Calibri"/>
          <w:i/>
          <w:iCs/>
          <w:noProof/>
          <w:sz w:val="18"/>
          <w:szCs w:val="18"/>
          <w:lang w:val="it-IT" w:eastAsia="en-US"/>
        </w:rPr>
        <w:tab/>
        <w:t>Farmaco antireumatico modificante la malattia</w:t>
      </w:r>
    </w:p>
    <w:p>
      <w:pPr>
        <w:widowControl w:val="0"/>
        <w:rPr>
          <w:rFonts w:eastAsia="MS Mincho"/>
          <w:i/>
          <w:noProof/>
          <w:sz w:val="18"/>
          <w:szCs w:val="18"/>
          <w:lang w:val="it-IT" w:eastAsia="en-US"/>
        </w:rPr>
      </w:pPr>
      <w:r>
        <w:rPr>
          <w:rFonts w:eastAsia="Calibri"/>
          <w:i/>
          <w:iCs/>
          <w:noProof/>
          <w:sz w:val="18"/>
          <w:szCs w:val="18"/>
          <w:lang w:val="it-IT" w:eastAsia="en-US"/>
        </w:rPr>
        <w:t xml:space="preserve">** </w:t>
      </w:r>
      <w:r>
        <w:rPr>
          <w:rFonts w:eastAsia="Calibri"/>
          <w:i/>
          <w:iCs/>
          <w:noProof/>
          <w:sz w:val="18"/>
          <w:szCs w:val="18"/>
          <w:lang w:val="it-IT" w:eastAsia="en-US"/>
        </w:rPr>
        <w:tab/>
      </w:r>
      <w:r>
        <w:rPr>
          <w:rFonts w:eastAsia="Calibri"/>
          <w:i/>
          <w:iCs/>
          <w:noProof/>
          <w:sz w:val="18"/>
          <w:szCs w:val="18"/>
          <w:lang w:val="it-IT" w:eastAsia="en-US"/>
        </w:rPr>
        <w:tab/>
        <w:t>- p &lt;0,01, TCZ vs. PBO</w:t>
      </w:r>
      <w:del w:id="8637" w:author="Author">
        <w:r>
          <w:rPr>
            <w:rFonts w:eastAsia="Calibri"/>
            <w:i/>
            <w:iCs/>
            <w:noProof/>
            <w:sz w:val="18"/>
            <w:szCs w:val="18"/>
            <w:lang w:val="it-IT" w:eastAsia="en-US"/>
          </w:rPr>
          <w:delText xml:space="preserve"> </w:delText>
        </w:r>
      </w:del>
      <w:ins w:id="8638" w:author="Author">
        <w:r>
          <w:rPr>
            <w:rFonts w:eastAsia="Calibri"/>
            <w:i/>
            <w:iCs/>
            <w:noProof/>
            <w:sz w:val="18"/>
            <w:szCs w:val="18"/>
            <w:lang w:val="it-IT" w:eastAsia="en-US"/>
          </w:rPr>
          <w:t> </w:t>
        </w:r>
      </w:ins>
      <w:r>
        <w:rPr>
          <w:rFonts w:eastAsia="Calibri"/>
          <w:i/>
          <w:iCs/>
          <w:noProof/>
          <w:sz w:val="18"/>
          <w:szCs w:val="18"/>
          <w:lang w:val="it-IT" w:eastAsia="en-US"/>
        </w:rPr>
        <w:t>+</w:t>
      </w:r>
      <w:ins w:id="8639" w:author="Author">
        <w:r>
          <w:rPr>
            <w:rFonts w:eastAsia="Calibri"/>
            <w:i/>
            <w:iCs/>
            <w:noProof/>
            <w:sz w:val="18"/>
            <w:szCs w:val="18"/>
            <w:lang w:val="it-IT" w:eastAsia="en-US"/>
          </w:rPr>
          <w:t> </w:t>
        </w:r>
      </w:ins>
      <w:del w:id="8640" w:author="Author">
        <w:r>
          <w:rPr>
            <w:rFonts w:eastAsia="Calibri"/>
            <w:i/>
            <w:iCs/>
            <w:noProof/>
            <w:sz w:val="18"/>
            <w:szCs w:val="18"/>
            <w:lang w:val="it-IT" w:eastAsia="en-US"/>
          </w:rPr>
          <w:delText xml:space="preserve"> </w:delText>
        </w:r>
      </w:del>
      <w:r>
        <w:rPr>
          <w:rFonts w:eastAsia="Calibri"/>
          <w:i/>
          <w:iCs/>
          <w:noProof/>
          <w:sz w:val="18"/>
          <w:szCs w:val="18"/>
          <w:lang w:val="it-IT" w:eastAsia="en-US"/>
        </w:rPr>
        <w:t>MTX/DMARD</w:t>
      </w:r>
    </w:p>
    <w:p>
      <w:pPr>
        <w:widowControl w:val="0"/>
        <w:rPr>
          <w:rFonts w:eastAsia="MS Mincho"/>
          <w:i/>
          <w:iCs/>
          <w:noProof/>
          <w:sz w:val="18"/>
          <w:szCs w:val="18"/>
          <w:lang w:val="it-IT" w:eastAsia="en-US"/>
        </w:rPr>
      </w:pPr>
      <w:r>
        <w:rPr>
          <w:rFonts w:eastAsia="Calibri"/>
          <w:i/>
          <w:iCs/>
          <w:noProof/>
          <w:sz w:val="18"/>
          <w:szCs w:val="18"/>
          <w:lang w:val="it-IT" w:eastAsia="en-US"/>
        </w:rPr>
        <w:t>***</w:t>
      </w:r>
      <w:r>
        <w:rPr>
          <w:rFonts w:eastAsia="Calibri"/>
          <w:i/>
          <w:iCs/>
          <w:noProof/>
          <w:sz w:val="18"/>
          <w:szCs w:val="18"/>
          <w:lang w:val="it-IT" w:eastAsia="en-US"/>
        </w:rPr>
        <w:tab/>
      </w:r>
      <w:r>
        <w:rPr>
          <w:rFonts w:eastAsia="Calibri"/>
          <w:i/>
          <w:iCs/>
          <w:noProof/>
          <w:sz w:val="18"/>
          <w:szCs w:val="18"/>
          <w:lang w:val="it-IT" w:eastAsia="en-US"/>
        </w:rPr>
        <w:tab/>
        <w:t>- p &lt;0,0001, TCZ vs. PBO</w:t>
      </w:r>
      <w:del w:id="8641" w:author="Author">
        <w:r>
          <w:rPr>
            <w:rFonts w:eastAsia="Calibri"/>
            <w:i/>
            <w:iCs/>
            <w:noProof/>
            <w:sz w:val="18"/>
            <w:szCs w:val="18"/>
            <w:lang w:val="it-IT" w:eastAsia="en-US"/>
          </w:rPr>
          <w:delText xml:space="preserve"> </w:delText>
        </w:r>
      </w:del>
      <w:ins w:id="8642" w:author="Author">
        <w:r>
          <w:rPr>
            <w:rFonts w:eastAsia="Calibri"/>
            <w:i/>
            <w:iCs/>
            <w:noProof/>
            <w:sz w:val="18"/>
            <w:szCs w:val="18"/>
            <w:lang w:val="it-IT" w:eastAsia="en-US"/>
          </w:rPr>
          <w:t> </w:t>
        </w:r>
      </w:ins>
      <w:r>
        <w:rPr>
          <w:rFonts w:eastAsia="Calibri"/>
          <w:i/>
          <w:iCs/>
          <w:noProof/>
          <w:sz w:val="18"/>
          <w:szCs w:val="18"/>
          <w:lang w:val="it-IT" w:eastAsia="en-US"/>
        </w:rPr>
        <w:t>+</w:t>
      </w:r>
      <w:ins w:id="8643" w:author="Author">
        <w:r>
          <w:rPr>
            <w:rFonts w:eastAsia="Calibri"/>
            <w:i/>
            <w:iCs/>
            <w:noProof/>
            <w:sz w:val="18"/>
            <w:szCs w:val="18"/>
            <w:lang w:val="it-IT" w:eastAsia="en-US"/>
          </w:rPr>
          <w:t> </w:t>
        </w:r>
      </w:ins>
      <w:del w:id="8644" w:author="Author">
        <w:r>
          <w:rPr>
            <w:rFonts w:eastAsia="Calibri"/>
            <w:i/>
            <w:iCs/>
            <w:noProof/>
            <w:sz w:val="18"/>
            <w:szCs w:val="18"/>
            <w:lang w:val="it-IT" w:eastAsia="en-US"/>
          </w:rPr>
          <w:delText xml:space="preserve"> </w:delText>
        </w:r>
      </w:del>
      <w:r>
        <w:rPr>
          <w:rFonts w:eastAsia="Calibri"/>
          <w:i/>
          <w:iCs/>
          <w:noProof/>
          <w:sz w:val="18"/>
          <w:szCs w:val="18"/>
          <w:lang w:val="it-IT" w:eastAsia="en-US"/>
        </w:rPr>
        <w:t>MTX/DMARD</w:t>
      </w:r>
    </w:p>
    <w:p>
      <w:pPr>
        <w:widowControl w:val="0"/>
        <w:rPr>
          <w:iCs/>
          <w:noProof/>
          <w:szCs w:val="22"/>
          <w:lang w:val="it-IT"/>
        </w:rPr>
      </w:pPr>
    </w:p>
    <w:p>
      <w:pPr>
        <w:keepNext/>
        <w:keepLines/>
        <w:widowControl w:val="0"/>
        <w:rPr>
          <w:i/>
          <w:noProof/>
          <w:szCs w:val="22"/>
          <w:u w:val="single"/>
          <w:lang w:val="it-IT" w:eastAsia="en-US"/>
        </w:rPr>
      </w:pPr>
      <w:r>
        <w:rPr>
          <w:rFonts w:eastAsia="Calibri"/>
          <w:i/>
          <w:noProof/>
          <w:szCs w:val="22"/>
          <w:u w:val="single"/>
          <w:lang w:val="it-IT" w:eastAsia="en-US"/>
        </w:rPr>
        <w:t>Risposta clinica maggiore</w:t>
      </w:r>
    </w:p>
    <w:p>
      <w:pPr>
        <w:keepNext/>
        <w:keepLines/>
        <w:widowControl w:val="0"/>
        <w:rPr>
          <w:iCs/>
          <w:noProof/>
          <w:szCs w:val="22"/>
          <w:lang w:val="it-IT" w:eastAsia="en-US"/>
        </w:rPr>
      </w:pPr>
      <w:r>
        <w:rPr>
          <w:rFonts w:eastAsia="Calibri"/>
          <w:noProof/>
          <w:szCs w:val="22"/>
          <w:lang w:val="it-IT" w:eastAsia="en-US"/>
        </w:rPr>
        <w:t>Dopo due anni di trattamento con tocilizumab più MTX, il 14% dei pazienti ha raggiunto una risposta clinica maggiore (mantenimento della risposta ACR 70 per 24 settimane o più).</w:t>
      </w:r>
    </w:p>
    <w:p>
      <w:pPr>
        <w:keepNext/>
        <w:keepLines/>
        <w:widowControl w:val="0"/>
        <w:rPr>
          <w:iCs/>
          <w:noProof/>
          <w:szCs w:val="22"/>
          <w:lang w:val="it-IT"/>
        </w:rPr>
      </w:pPr>
    </w:p>
    <w:p>
      <w:pPr>
        <w:keepNext/>
        <w:keepLines/>
        <w:widowControl w:val="0"/>
        <w:rPr>
          <w:i/>
          <w:noProof/>
          <w:szCs w:val="22"/>
          <w:u w:val="single"/>
          <w:lang w:val="it-IT" w:eastAsia="en-US"/>
        </w:rPr>
      </w:pPr>
      <w:r>
        <w:rPr>
          <w:rFonts w:eastAsia="Calibri"/>
          <w:i/>
          <w:noProof/>
          <w:szCs w:val="22"/>
          <w:u w:val="single"/>
          <w:lang w:val="it-IT" w:eastAsia="en-US"/>
        </w:rPr>
        <w:t>Risposta radiografica</w:t>
      </w:r>
    </w:p>
    <w:p>
      <w:pPr>
        <w:keepNext/>
        <w:keepLines/>
        <w:widowControl w:val="0"/>
        <w:rPr>
          <w:noProof/>
          <w:szCs w:val="22"/>
          <w:lang w:val="it-IT" w:eastAsia="en-US"/>
        </w:rPr>
      </w:pPr>
      <w:r>
        <w:rPr>
          <w:rFonts w:eastAsia="Calibri"/>
          <w:noProof/>
          <w:szCs w:val="22"/>
          <w:lang w:val="it-IT" w:eastAsia="en-US"/>
        </w:rPr>
        <w:t xml:space="preserve">Nello </w:t>
      </w:r>
      <w:del w:id="8645" w:author="Author">
        <w:r>
          <w:rPr>
            <w:rFonts w:eastAsia="Calibri"/>
            <w:noProof/>
            <w:szCs w:val="22"/>
            <w:lang w:val="it-IT" w:eastAsia="en-US"/>
          </w:rPr>
          <w:delText xml:space="preserve">studio </w:delText>
        </w:r>
      </w:del>
      <w:ins w:id="8646" w:author="Author">
        <w:r>
          <w:rPr>
            <w:rFonts w:eastAsia="Calibri"/>
            <w:noProof/>
            <w:szCs w:val="22"/>
            <w:lang w:val="it-IT" w:eastAsia="en-US"/>
          </w:rPr>
          <w:t xml:space="preserve">Studio </w:t>
        </w:r>
      </w:ins>
      <w:r>
        <w:rPr>
          <w:rFonts w:eastAsia="Calibri"/>
          <w:noProof/>
          <w:szCs w:val="22"/>
          <w:lang w:val="it-IT" w:eastAsia="en-US"/>
        </w:rPr>
        <w:t>II condotto su pazienti con risposta inadeguata a MTX, l’inibizione del danno articolare strutturale è stata valutata radiograficamente ed espressa come variazione del punteggio di Sharp modificato e delle sue componenti, del punteggio dell’erosione e del punteggio relativo al restringimento dello spazio articolare. Nei pazienti trattati con tocilizumab si è ottenuta l’inibizione del danno articolare strutturale dimostrata da una progressione radiografica significativamente inferiore rispetto ai pazienti del gruppo di controllo (Tabella 6).</w:t>
      </w:r>
    </w:p>
    <w:p>
      <w:pPr>
        <w:rPr>
          <w:noProof/>
          <w:szCs w:val="22"/>
          <w:lang w:val="it-IT"/>
        </w:rPr>
      </w:pPr>
    </w:p>
    <w:p>
      <w:pPr>
        <w:rPr>
          <w:noProof/>
          <w:szCs w:val="22"/>
          <w:lang w:val="it-IT" w:eastAsia="en-US"/>
        </w:rPr>
      </w:pPr>
      <w:r>
        <w:rPr>
          <w:rFonts w:eastAsia="Calibri"/>
          <w:noProof/>
          <w:szCs w:val="22"/>
          <w:lang w:val="it-IT" w:eastAsia="en-US"/>
        </w:rPr>
        <w:t xml:space="preserve">Nella fase di estensione in aperto dello </w:t>
      </w:r>
      <w:del w:id="8647" w:author="Author">
        <w:r>
          <w:rPr>
            <w:rFonts w:eastAsia="Calibri"/>
            <w:noProof/>
            <w:szCs w:val="22"/>
            <w:lang w:val="it-IT" w:eastAsia="en-US"/>
          </w:rPr>
          <w:delText xml:space="preserve">studio </w:delText>
        </w:r>
      </w:del>
      <w:ins w:id="8648" w:author="Author">
        <w:r>
          <w:rPr>
            <w:rFonts w:eastAsia="Calibri"/>
            <w:noProof/>
            <w:szCs w:val="22"/>
            <w:lang w:val="it-IT" w:eastAsia="en-US"/>
          </w:rPr>
          <w:t xml:space="preserve">Studio </w:t>
        </w:r>
      </w:ins>
      <w:r>
        <w:rPr>
          <w:rFonts w:eastAsia="Calibri"/>
          <w:noProof/>
          <w:szCs w:val="22"/>
          <w:lang w:val="it-IT" w:eastAsia="en-US"/>
        </w:rPr>
        <w:t xml:space="preserve">II, l’inibizione della progressione del danno articolare nei pazienti trattati con tocilizumab più MTX si è mantenuta nel secondo anno di trattamento. Alla settimana 104, la </w:t>
      </w:r>
      <w:del w:id="8649" w:author="Author">
        <w:r>
          <w:rPr>
            <w:rFonts w:eastAsia="Calibri"/>
            <w:noProof/>
            <w:szCs w:val="22"/>
            <w:lang w:val="it-IT" w:eastAsia="en-US"/>
          </w:rPr>
          <w:delText xml:space="preserve">media di </w:delText>
        </w:r>
      </w:del>
      <w:r>
        <w:rPr>
          <w:rFonts w:eastAsia="Calibri"/>
          <w:noProof/>
          <w:szCs w:val="22"/>
          <w:lang w:val="it-IT" w:eastAsia="en-US"/>
        </w:rPr>
        <w:t xml:space="preserve">variazione </w:t>
      </w:r>
      <w:ins w:id="8650" w:author="Author">
        <w:r>
          <w:rPr>
            <w:rFonts w:eastAsia="Calibri"/>
            <w:noProof/>
            <w:szCs w:val="22"/>
            <w:lang w:val="it-IT" w:eastAsia="en-US"/>
          </w:rPr>
          <w:t xml:space="preserve">media rispetto </w:t>
        </w:r>
      </w:ins>
      <w:del w:id="8651" w:author="Author">
        <w:r>
          <w:rPr>
            <w:rFonts w:eastAsia="Calibri"/>
            <w:noProof/>
            <w:szCs w:val="22"/>
            <w:lang w:val="it-IT" w:eastAsia="en-US"/>
          </w:rPr>
          <w:delText>d</w:delText>
        </w:r>
      </w:del>
      <w:r>
        <w:rPr>
          <w:rFonts w:eastAsia="Calibri"/>
          <w:noProof/>
          <w:szCs w:val="22"/>
          <w:lang w:val="it-IT" w:eastAsia="en-US"/>
        </w:rPr>
        <w:t>al basale del punteggio totale Sharp-Genant è stata significativamente più bassa per i pazienti randomizzati a tocilizumab 8 mg/kg più MTX (p &lt;0,0001) rispetto ai pazienti randomizzati a placebo più MTX.</w:t>
      </w:r>
    </w:p>
    <w:p>
      <w:pPr>
        <w:rPr>
          <w:noProof/>
          <w:szCs w:val="22"/>
          <w:lang w:val="it-IT"/>
        </w:rPr>
      </w:pPr>
    </w:p>
    <w:p>
      <w:pPr>
        <w:keepNext/>
        <w:rPr>
          <w:rFonts w:eastAsia="Calibri"/>
          <w:bCs/>
          <w:i/>
          <w:noProof/>
          <w:szCs w:val="22"/>
          <w:lang w:val="it-IT" w:eastAsia="en-US"/>
        </w:rPr>
      </w:pPr>
      <w:r>
        <w:rPr>
          <w:rFonts w:eastAsia="Calibri"/>
          <w:bCs/>
          <w:i/>
          <w:noProof/>
          <w:szCs w:val="22"/>
          <w:lang w:val="it-IT" w:eastAsia="en-US"/>
        </w:rPr>
        <w:lastRenderedPageBreak/>
        <w:t xml:space="preserve">Tabella 6. Variazioni radiografiche medie nell’arco di 52 settimane nello </w:t>
      </w:r>
      <w:del w:id="8652" w:author="Author">
        <w:r>
          <w:rPr>
            <w:rFonts w:eastAsia="Calibri"/>
            <w:bCs/>
            <w:i/>
            <w:noProof/>
            <w:szCs w:val="22"/>
            <w:lang w:val="it-IT" w:eastAsia="en-US"/>
          </w:rPr>
          <w:delText xml:space="preserve">studio </w:delText>
        </w:r>
      </w:del>
      <w:ins w:id="8653" w:author="Author">
        <w:r>
          <w:rPr>
            <w:rFonts w:eastAsia="Calibri"/>
            <w:bCs/>
            <w:i/>
            <w:noProof/>
            <w:szCs w:val="22"/>
            <w:lang w:val="it-IT" w:eastAsia="en-US"/>
          </w:rPr>
          <w:t xml:space="preserve">Studio </w:t>
        </w:r>
      </w:ins>
      <w:r>
        <w:rPr>
          <w:rFonts w:eastAsia="Calibri"/>
          <w:bCs/>
          <w:i/>
          <w:noProof/>
          <w:szCs w:val="22"/>
          <w:lang w:val="it-IT" w:eastAsia="en-US"/>
        </w:rPr>
        <w:t>II</w:t>
      </w:r>
    </w:p>
    <w:p>
      <w:pPr>
        <w:keepNext/>
        <w:rPr>
          <w:i/>
          <w:noProof/>
          <w:szCs w:val="22"/>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Change w:id="8654"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PrChange>
      </w:tblPr>
      <w:tblGrid>
        <w:gridCol w:w="3256"/>
        <w:gridCol w:w="2976"/>
        <w:gridCol w:w="2694"/>
        <w:tblGridChange w:id="8655">
          <w:tblGrid>
            <w:gridCol w:w="2830"/>
            <w:gridCol w:w="2552"/>
            <w:gridCol w:w="2376"/>
          </w:tblGrid>
        </w:tblGridChange>
      </w:tblGrid>
      <w:tr>
        <w:trPr>
          <w:cantSplit/>
          <w:trPrChange w:id="8656" w:author="Author">
            <w:trPr>
              <w:cantSplit/>
            </w:trPr>
          </w:trPrChange>
        </w:trPr>
        <w:tc>
          <w:tcPr>
            <w:tcW w:w="3256" w:type="dxa"/>
            <w:tcPrChange w:id="8657" w:author="Author">
              <w:tcPr>
                <w:tcW w:w="2830" w:type="dxa"/>
              </w:tcPr>
            </w:tcPrChange>
          </w:tcPr>
          <w:p>
            <w:pPr>
              <w:keepNext/>
              <w:suppressAutoHyphens/>
              <w:rPr>
                <w:noProof/>
                <w:sz w:val="20"/>
                <w:lang w:val="it-IT"/>
                <w:rPrChange w:id="8658" w:author="Author">
                  <w:rPr>
                    <w:szCs w:val="22"/>
                    <w:lang w:val="it-IT"/>
                  </w:rPr>
                </w:rPrChange>
              </w:rPr>
              <w:pPrChange w:id="8659" w:author="Author">
                <w:pPr>
                  <w:keepNext/>
                </w:pPr>
              </w:pPrChange>
            </w:pPr>
          </w:p>
        </w:tc>
        <w:tc>
          <w:tcPr>
            <w:tcW w:w="2976" w:type="dxa"/>
            <w:tcPrChange w:id="8660" w:author="Author">
              <w:tcPr>
                <w:tcW w:w="2552" w:type="dxa"/>
              </w:tcPr>
            </w:tcPrChange>
          </w:tcPr>
          <w:p>
            <w:pPr>
              <w:keepNext/>
              <w:numPr>
                <w:ilvl w:val="12"/>
                <w:numId w:val="0"/>
              </w:numPr>
              <w:suppressAutoHyphens/>
              <w:jc w:val="center"/>
              <w:rPr>
                <w:rFonts w:eastAsia="Calibri"/>
                <w:b/>
                <w:bCs/>
                <w:noProof/>
                <w:sz w:val="20"/>
                <w:lang w:val="it-IT" w:eastAsia="en-US"/>
                <w:rPrChange w:id="8661" w:author="Author">
                  <w:rPr>
                    <w:rFonts w:eastAsia="Calibri"/>
                    <w:b/>
                    <w:bCs/>
                    <w:szCs w:val="22"/>
                    <w:lang w:val="it-IT" w:eastAsia="en-US"/>
                  </w:rPr>
                </w:rPrChange>
              </w:rPr>
              <w:pPrChange w:id="8662" w:author="Author">
                <w:pPr>
                  <w:keepNext/>
                  <w:numPr>
                    <w:ilvl w:val="12"/>
                  </w:numPr>
                  <w:ind w:right="-2"/>
                  <w:jc w:val="center"/>
                </w:pPr>
              </w:pPrChange>
            </w:pPr>
            <w:r>
              <w:rPr>
                <w:rFonts w:eastAsia="Calibri"/>
                <w:b/>
                <w:bCs/>
                <w:noProof/>
                <w:sz w:val="20"/>
                <w:lang w:val="it-IT" w:eastAsia="en-US"/>
                <w:rPrChange w:id="8663" w:author="Author">
                  <w:rPr>
                    <w:rFonts w:eastAsia="Calibri"/>
                    <w:b/>
                    <w:bCs/>
                    <w:szCs w:val="22"/>
                    <w:lang w:val="it-IT" w:eastAsia="en-US"/>
                  </w:rPr>
                </w:rPrChange>
              </w:rPr>
              <w:t>PBO + MTX</w:t>
            </w:r>
          </w:p>
          <w:p>
            <w:pPr>
              <w:keepNext/>
              <w:numPr>
                <w:ilvl w:val="12"/>
                <w:numId w:val="0"/>
              </w:numPr>
              <w:suppressAutoHyphens/>
              <w:jc w:val="center"/>
              <w:rPr>
                <w:b/>
                <w:bCs/>
                <w:noProof/>
                <w:sz w:val="20"/>
                <w:lang w:val="it-IT" w:eastAsia="en-US"/>
                <w:rPrChange w:id="8664" w:author="Author">
                  <w:rPr>
                    <w:b/>
                    <w:bCs/>
                    <w:szCs w:val="22"/>
                    <w:lang w:val="it-IT" w:eastAsia="en-US"/>
                  </w:rPr>
                </w:rPrChange>
              </w:rPr>
              <w:pPrChange w:id="8665" w:author="Author">
                <w:pPr>
                  <w:keepNext/>
                  <w:numPr>
                    <w:ilvl w:val="12"/>
                  </w:numPr>
                  <w:ind w:right="-2"/>
                  <w:jc w:val="center"/>
                </w:pPr>
              </w:pPrChange>
            </w:pPr>
            <w:r>
              <w:rPr>
                <w:rFonts w:eastAsia="Calibri"/>
                <w:b/>
                <w:bCs/>
                <w:noProof/>
                <w:sz w:val="20"/>
                <w:lang w:val="it-IT" w:eastAsia="en-US"/>
                <w:rPrChange w:id="8666" w:author="Author">
                  <w:rPr>
                    <w:rFonts w:eastAsia="Calibri"/>
                    <w:b/>
                    <w:bCs/>
                    <w:szCs w:val="22"/>
                    <w:lang w:val="it-IT" w:eastAsia="en-US"/>
                  </w:rPr>
                </w:rPrChange>
              </w:rPr>
              <w:t>(+TCZ dalla settimana 24)</w:t>
            </w:r>
          </w:p>
          <w:p>
            <w:pPr>
              <w:keepNext/>
              <w:suppressAutoHyphens/>
              <w:jc w:val="center"/>
              <w:rPr>
                <w:noProof/>
                <w:sz w:val="20"/>
                <w:lang w:val="it-IT" w:eastAsia="en-US"/>
                <w:rPrChange w:id="8667" w:author="Author">
                  <w:rPr>
                    <w:szCs w:val="22"/>
                    <w:lang w:val="it-IT" w:eastAsia="en-US"/>
                  </w:rPr>
                </w:rPrChange>
              </w:rPr>
              <w:pPrChange w:id="8668" w:author="Author">
                <w:pPr>
                  <w:keepNext/>
                  <w:jc w:val="center"/>
                </w:pPr>
              </w:pPrChange>
            </w:pPr>
            <w:del w:id="8669" w:author="Author">
              <w:r>
                <w:rPr>
                  <w:rFonts w:eastAsia="Calibri"/>
                  <w:b/>
                  <w:bCs/>
                  <w:noProof/>
                  <w:sz w:val="20"/>
                  <w:lang w:val="it-IT" w:eastAsia="en-US"/>
                  <w:rPrChange w:id="8670" w:author="Author">
                    <w:rPr>
                      <w:rFonts w:eastAsia="Calibri"/>
                      <w:b/>
                      <w:bCs/>
                      <w:szCs w:val="22"/>
                      <w:lang w:val="it-IT" w:eastAsia="en-US"/>
                    </w:rPr>
                  </w:rPrChange>
                </w:rPr>
                <w:delText xml:space="preserve">N </w:delText>
              </w:r>
            </w:del>
            <w:ins w:id="8671" w:author="Author">
              <w:r>
                <w:rPr>
                  <w:rFonts w:eastAsia="Calibri"/>
                  <w:b/>
                  <w:bCs/>
                  <w:noProof/>
                  <w:sz w:val="20"/>
                  <w:lang w:val="it-IT" w:eastAsia="en-US"/>
                  <w:rPrChange w:id="8672" w:author="Author">
                    <w:rPr>
                      <w:rFonts w:eastAsia="Calibri"/>
                      <w:b/>
                      <w:bCs/>
                      <w:szCs w:val="22"/>
                      <w:lang w:val="it-IT" w:eastAsia="en-US"/>
                    </w:rPr>
                  </w:rPrChange>
                </w:rPr>
                <w:t>n </w:t>
              </w:r>
            </w:ins>
            <w:r>
              <w:rPr>
                <w:rFonts w:eastAsia="Calibri"/>
                <w:b/>
                <w:bCs/>
                <w:noProof/>
                <w:sz w:val="20"/>
                <w:lang w:val="it-IT" w:eastAsia="en-US"/>
                <w:rPrChange w:id="8673" w:author="Author">
                  <w:rPr>
                    <w:rFonts w:eastAsia="Calibri"/>
                    <w:b/>
                    <w:bCs/>
                    <w:szCs w:val="22"/>
                    <w:lang w:val="it-IT" w:eastAsia="en-US"/>
                  </w:rPr>
                </w:rPrChange>
              </w:rPr>
              <w:t>=</w:t>
            </w:r>
            <w:ins w:id="8674" w:author="Author">
              <w:r>
                <w:rPr>
                  <w:rFonts w:eastAsia="Calibri"/>
                  <w:b/>
                  <w:bCs/>
                  <w:noProof/>
                  <w:sz w:val="20"/>
                  <w:lang w:val="it-IT" w:eastAsia="en-US"/>
                  <w:rPrChange w:id="8675" w:author="Author">
                    <w:rPr>
                      <w:rFonts w:eastAsia="Calibri"/>
                      <w:b/>
                      <w:bCs/>
                      <w:szCs w:val="22"/>
                      <w:lang w:val="it-IT" w:eastAsia="en-US"/>
                    </w:rPr>
                  </w:rPrChange>
                </w:rPr>
                <w:t> </w:t>
              </w:r>
            </w:ins>
            <w:del w:id="8676" w:author="Author">
              <w:r>
                <w:rPr>
                  <w:rFonts w:eastAsia="Calibri"/>
                  <w:b/>
                  <w:bCs/>
                  <w:noProof/>
                  <w:sz w:val="20"/>
                  <w:lang w:val="it-IT" w:eastAsia="en-US"/>
                  <w:rPrChange w:id="8677" w:author="Author">
                    <w:rPr>
                      <w:rFonts w:eastAsia="Calibri"/>
                      <w:b/>
                      <w:bCs/>
                      <w:szCs w:val="22"/>
                      <w:lang w:val="it-IT" w:eastAsia="en-US"/>
                    </w:rPr>
                  </w:rPrChange>
                </w:rPr>
                <w:delText xml:space="preserve"> </w:delText>
              </w:r>
            </w:del>
            <w:r>
              <w:rPr>
                <w:rFonts w:eastAsia="Calibri"/>
                <w:b/>
                <w:bCs/>
                <w:noProof/>
                <w:sz w:val="20"/>
                <w:lang w:val="it-IT" w:eastAsia="en-US"/>
                <w:rPrChange w:id="8678" w:author="Author">
                  <w:rPr>
                    <w:rFonts w:eastAsia="Calibri"/>
                    <w:b/>
                    <w:bCs/>
                    <w:szCs w:val="22"/>
                    <w:lang w:val="it-IT" w:eastAsia="en-US"/>
                  </w:rPr>
                </w:rPrChange>
              </w:rPr>
              <w:t>393</w:t>
            </w:r>
          </w:p>
        </w:tc>
        <w:tc>
          <w:tcPr>
            <w:tcW w:w="2694" w:type="dxa"/>
            <w:tcPrChange w:id="8679" w:author="Author">
              <w:tcPr>
                <w:tcW w:w="2376" w:type="dxa"/>
              </w:tcPr>
            </w:tcPrChange>
          </w:tcPr>
          <w:p>
            <w:pPr>
              <w:keepNext/>
              <w:suppressAutoHyphens/>
              <w:jc w:val="center"/>
              <w:rPr>
                <w:b/>
                <w:bCs/>
                <w:noProof/>
                <w:sz w:val="20"/>
                <w:lang w:val="pt-BR" w:eastAsia="en-US"/>
                <w:rPrChange w:id="8680" w:author="Author">
                  <w:rPr>
                    <w:b/>
                    <w:bCs/>
                    <w:szCs w:val="22"/>
                    <w:lang w:val="it-IT" w:eastAsia="en-US"/>
                  </w:rPr>
                </w:rPrChange>
              </w:rPr>
              <w:pPrChange w:id="8681" w:author="Author">
                <w:pPr>
                  <w:keepNext/>
                  <w:jc w:val="center"/>
                </w:pPr>
              </w:pPrChange>
            </w:pPr>
            <w:r>
              <w:rPr>
                <w:rFonts w:eastAsia="Calibri"/>
                <w:b/>
                <w:bCs/>
                <w:noProof/>
                <w:sz w:val="20"/>
                <w:lang w:val="pt-BR" w:eastAsia="en-US"/>
                <w:rPrChange w:id="8682" w:author="Author">
                  <w:rPr>
                    <w:rFonts w:eastAsia="Calibri"/>
                    <w:b/>
                    <w:bCs/>
                    <w:szCs w:val="22"/>
                    <w:lang w:val="it-IT" w:eastAsia="en-US"/>
                  </w:rPr>
                </w:rPrChange>
              </w:rPr>
              <w:t>TCZ 8 mg/kg + MTX</w:t>
            </w:r>
            <w:r>
              <w:rPr>
                <w:rFonts w:eastAsia="Calibri"/>
                <w:b/>
                <w:bCs/>
                <w:noProof/>
                <w:sz w:val="20"/>
                <w:lang w:val="pt-BR" w:eastAsia="en-US"/>
                <w:rPrChange w:id="8683" w:author="Author">
                  <w:rPr>
                    <w:rFonts w:eastAsia="Calibri"/>
                    <w:b/>
                    <w:bCs/>
                    <w:szCs w:val="22"/>
                    <w:lang w:val="it-IT" w:eastAsia="en-US"/>
                  </w:rPr>
                </w:rPrChange>
              </w:rPr>
              <w:br/>
            </w:r>
          </w:p>
          <w:p>
            <w:pPr>
              <w:keepNext/>
              <w:suppressAutoHyphens/>
              <w:jc w:val="center"/>
              <w:rPr>
                <w:noProof/>
                <w:sz w:val="20"/>
                <w:lang w:val="pt-BR" w:eastAsia="en-US"/>
                <w:rPrChange w:id="8684" w:author="Author">
                  <w:rPr>
                    <w:szCs w:val="22"/>
                    <w:lang w:val="it-IT" w:eastAsia="en-US"/>
                  </w:rPr>
                </w:rPrChange>
              </w:rPr>
              <w:pPrChange w:id="8685" w:author="Author">
                <w:pPr>
                  <w:keepNext/>
                  <w:jc w:val="center"/>
                </w:pPr>
              </w:pPrChange>
            </w:pPr>
            <w:del w:id="8686" w:author="Author">
              <w:r>
                <w:rPr>
                  <w:rFonts w:eastAsia="Calibri"/>
                  <w:b/>
                  <w:bCs/>
                  <w:noProof/>
                  <w:sz w:val="20"/>
                  <w:lang w:val="pt-BR" w:eastAsia="en-US"/>
                  <w:rPrChange w:id="8687" w:author="Author">
                    <w:rPr>
                      <w:rFonts w:eastAsia="Calibri"/>
                      <w:b/>
                      <w:bCs/>
                      <w:szCs w:val="22"/>
                      <w:lang w:val="it-IT" w:eastAsia="en-US"/>
                    </w:rPr>
                  </w:rPrChange>
                </w:rPr>
                <w:delText xml:space="preserve">N </w:delText>
              </w:r>
            </w:del>
            <w:ins w:id="8688" w:author="Author">
              <w:r>
                <w:rPr>
                  <w:rFonts w:eastAsia="Calibri"/>
                  <w:b/>
                  <w:bCs/>
                  <w:noProof/>
                  <w:sz w:val="20"/>
                  <w:lang w:val="pt-BR" w:eastAsia="en-US"/>
                  <w:rPrChange w:id="8689" w:author="Author">
                    <w:rPr>
                      <w:rFonts w:eastAsia="Calibri"/>
                      <w:b/>
                      <w:bCs/>
                      <w:szCs w:val="22"/>
                      <w:lang w:val="it-IT" w:eastAsia="en-US"/>
                    </w:rPr>
                  </w:rPrChange>
                </w:rPr>
                <w:t>n </w:t>
              </w:r>
            </w:ins>
            <w:r>
              <w:rPr>
                <w:rFonts w:eastAsia="Calibri"/>
                <w:b/>
                <w:bCs/>
                <w:noProof/>
                <w:sz w:val="20"/>
                <w:lang w:val="pt-BR" w:eastAsia="en-US"/>
                <w:rPrChange w:id="8690" w:author="Author">
                  <w:rPr>
                    <w:rFonts w:eastAsia="Calibri"/>
                    <w:b/>
                    <w:bCs/>
                    <w:szCs w:val="22"/>
                    <w:lang w:val="it-IT" w:eastAsia="en-US"/>
                  </w:rPr>
                </w:rPrChange>
              </w:rPr>
              <w:t>=</w:t>
            </w:r>
            <w:ins w:id="8691" w:author="Author">
              <w:r>
                <w:rPr>
                  <w:rFonts w:eastAsia="Calibri"/>
                  <w:b/>
                  <w:bCs/>
                  <w:noProof/>
                  <w:sz w:val="20"/>
                  <w:lang w:val="pt-BR" w:eastAsia="en-US"/>
                  <w:rPrChange w:id="8692" w:author="Author">
                    <w:rPr>
                      <w:rFonts w:eastAsia="Calibri"/>
                      <w:b/>
                      <w:bCs/>
                      <w:szCs w:val="22"/>
                      <w:lang w:val="it-IT" w:eastAsia="en-US"/>
                    </w:rPr>
                  </w:rPrChange>
                </w:rPr>
                <w:t> </w:t>
              </w:r>
            </w:ins>
            <w:del w:id="8693" w:author="Author">
              <w:r>
                <w:rPr>
                  <w:rFonts w:eastAsia="Calibri"/>
                  <w:b/>
                  <w:bCs/>
                  <w:noProof/>
                  <w:sz w:val="20"/>
                  <w:lang w:val="pt-BR" w:eastAsia="en-US"/>
                  <w:rPrChange w:id="8694" w:author="Author">
                    <w:rPr>
                      <w:rFonts w:eastAsia="Calibri"/>
                      <w:b/>
                      <w:bCs/>
                      <w:szCs w:val="22"/>
                      <w:lang w:val="it-IT" w:eastAsia="en-US"/>
                    </w:rPr>
                  </w:rPrChange>
                </w:rPr>
                <w:delText xml:space="preserve"> </w:delText>
              </w:r>
            </w:del>
            <w:r>
              <w:rPr>
                <w:rFonts w:eastAsia="Calibri"/>
                <w:b/>
                <w:bCs/>
                <w:noProof/>
                <w:sz w:val="20"/>
                <w:lang w:val="pt-BR" w:eastAsia="en-US"/>
                <w:rPrChange w:id="8695" w:author="Author">
                  <w:rPr>
                    <w:rFonts w:eastAsia="Calibri"/>
                    <w:b/>
                    <w:bCs/>
                    <w:szCs w:val="22"/>
                    <w:lang w:val="it-IT" w:eastAsia="en-US"/>
                  </w:rPr>
                </w:rPrChange>
              </w:rPr>
              <w:t>398</w:t>
            </w:r>
          </w:p>
        </w:tc>
      </w:tr>
      <w:tr>
        <w:trPr>
          <w:cantSplit/>
          <w:trPrChange w:id="8696" w:author="Author">
            <w:trPr>
              <w:cantSplit/>
            </w:trPr>
          </w:trPrChange>
        </w:trPr>
        <w:tc>
          <w:tcPr>
            <w:tcW w:w="3256" w:type="dxa"/>
            <w:tcPrChange w:id="8697" w:author="Author">
              <w:tcPr>
                <w:tcW w:w="2830" w:type="dxa"/>
              </w:tcPr>
            </w:tcPrChange>
          </w:tcPr>
          <w:p>
            <w:pPr>
              <w:keepNext/>
              <w:suppressAutoHyphens/>
              <w:rPr>
                <w:noProof/>
                <w:sz w:val="20"/>
                <w:lang w:val="it-IT" w:eastAsia="en-US"/>
                <w:rPrChange w:id="8698" w:author="Author">
                  <w:rPr>
                    <w:szCs w:val="22"/>
                    <w:lang w:val="it-IT" w:eastAsia="en-US"/>
                  </w:rPr>
                </w:rPrChange>
              </w:rPr>
              <w:pPrChange w:id="8699" w:author="Author">
                <w:pPr>
                  <w:keepNext/>
                </w:pPr>
              </w:pPrChange>
            </w:pPr>
            <w:r>
              <w:rPr>
                <w:rFonts w:eastAsia="Calibri"/>
                <w:noProof/>
                <w:sz w:val="20"/>
                <w:lang w:val="it-IT" w:eastAsia="en-US"/>
                <w:rPrChange w:id="8700" w:author="Author">
                  <w:rPr>
                    <w:rFonts w:eastAsia="Calibri"/>
                    <w:szCs w:val="22"/>
                    <w:lang w:val="it-IT" w:eastAsia="en-US"/>
                  </w:rPr>
                </w:rPrChange>
              </w:rPr>
              <w:t>Punteggio totale Sharp-Genant</w:t>
            </w:r>
          </w:p>
        </w:tc>
        <w:tc>
          <w:tcPr>
            <w:tcW w:w="2976" w:type="dxa"/>
            <w:tcPrChange w:id="8701" w:author="Author">
              <w:tcPr>
                <w:tcW w:w="2552" w:type="dxa"/>
              </w:tcPr>
            </w:tcPrChange>
          </w:tcPr>
          <w:p>
            <w:pPr>
              <w:keepNext/>
              <w:suppressAutoHyphens/>
              <w:jc w:val="center"/>
              <w:rPr>
                <w:noProof/>
                <w:sz w:val="20"/>
                <w:lang w:val="it-IT" w:eastAsia="en-US"/>
                <w:rPrChange w:id="8702" w:author="Author">
                  <w:rPr>
                    <w:szCs w:val="22"/>
                    <w:lang w:val="it-IT" w:eastAsia="en-US"/>
                  </w:rPr>
                </w:rPrChange>
              </w:rPr>
              <w:pPrChange w:id="8703" w:author="Author">
                <w:pPr>
                  <w:keepNext/>
                  <w:jc w:val="center"/>
                </w:pPr>
              </w:pPrChange>
            </w:pPr>
            <w:r>
              <w:rPr>
                <w:rFonts w:eastAsia="Calibri"/>
                <w:noProof/>
                <w:sz w:val="20"/>
                <w:lang w:val="it-IT" w:eastAsia="en-US"/>
                <w:rPrChange w:id="8704" w:author="Author">
                  <w:rPr>
                    <w:rFonts w:eastAsia="Calibri"/>
                    <w:szCs w:val="22"/>
                    <w:lang w:val="it-IT" w:eastAsia="en-US"/>
                  </w:rPr>
                </w:rPrChange>
              </w:rPr>
              <w:t>1,13</w:t>
            </w:r>
          </w:p>
        </w:tc>
        <w:tc>
          <w:tcPr>
            <w:tcW w:w="2694" w:type="dxa"/>
            <w:tcPrChange w:id="8705" w:author="Author">
              <w:tcPr>
                <w:tcW w:w="2376" w:type="dxa"/>
              </w:tcPr>
            </w:tcPrChange>
          </w:tcPr>
          <w:p>
            <w:pPr>
              <w:keepNext/>
              <w:suppressAutoHyphens/>
              <w:jc w:val="center"/>
              <w:rPr>
                <w:noProof/>
                <w:sz w:val="20"/>
                <w:lang w:val="it-IT" w:eastAsia="en-US"/>
                <w:rPrChange w:id="8706" w:author="Author">
                  <w:rPr>
                    <w:szCs w:val="22"/>
                    <w:lang w:val="it-IT" w:eastAsia="en-US"/>
                  </w:rPr>
                </w:rPrChange>
              </w:rPr>
              <w:pPrChange w:id="8707" w:author="Author">
                <w:pPr>
                  <w:keepNext/>
                  <w:jc w:val="center"/>
                </w:pPr>
              </w:pPrChange>
            </w:pPr>
            <w:r>
              <w:rPr>
                <w:rFonts w:eastAsia="Calibri"/>
                <w:noProof/>
                <w:sz w:val="20"/>
                <w:lang w:val="it-IT" w:eastAsia="en-US"/>
                <w:rPrChange w:id="8708" w:author="Author">
                  <w:rPr>
                    <w:rFonts w:eastAsia="Calibri"/>
                    <w:szCs w:val="22"/>
                    <w:lang w:val="it-IT" w:eastAsia="en-US"/>
                  </w:rPr>
                </w:rPrChange>
              </w:rPr>
              <w:t>0,29*</w:t>
            </w:r>
          </w:p>
        </w:tc>
      </w:tr>
      <w:tr>
        <w:trPr>
          <w:cantSplit/>
          <w:trPrChange w:id="8709" w:author="Author">
            <w:trPr>
              <w:cantSplit/>
            </w:trPr>
          </w:trPrChange>
        </w:trPr>
        <w:tc>
          <w:tcPr>
            <w:tcW w:w="3256" w:type="dxa"/>
            <w:tcPrChange w:id="8710" w:author="Author">
              <w:tcPr>
                <w:tcW w:w="2830" w:type="dxa"/>
              </w:tcPr>
            </w:tcPrChange>
          </w:tcPr>
          <w:p>
            <w:pPr>
              <w:keepNext/>
              <w:suppressAutoHyphens/>
              <w:rPr>
                <w:noProof/>
                <w:sz w:val="20"/>
                <w:lang w:val="it-IT" w:eastAsia="en-US"/>
                <w:rPrChange w:id="8711" w:author="Author">
                  <w:rPr>
                    <w:szCs w:val="22"/>
                    <w:lang w:val="it-IT" w:eastAsia="en-US"/>
                  </w:rPr>
                </w:rPrChange>
              </w:rPr>
              <w:pPrChange w:id="8712" w:author="Author">
                <w:pPr>
                  <w:keepNext/>
                </w:pPr>
              </w:pPrChange>
            </w:pPr>
            <w:r>
              <w:rPr>
                <w:rFonts w:eastAsia="Calibri"/>
                <w:noProof/>
                <w:sz w:val="20"/>
                <w:lang w:val="it-IT" w:eastAsia="en-US"/>
                <w:rPrChange w:id="8713" w:author="Author">
                  <w:rPr>
                    <w:rFonts w:eastAsia="Calibri"/>
                    <w:szCs w:val="22"/>
                    <w:lang w:val="it-IT" w:eastAsia="en-US"/>
                  </w:rPr>
                </w:rPrChange>
              </w:rPr>
              <w:t>Punteggio erosione</w:t>
            </w:r>
          </w:p>
        </w:tc>
        <w:tc>
          <w:tcPr>
            <w:tcW w:w="2976" w:type="dxa"/>
            <w:tcPrChange w:id="8714" w:author="Author">
              <w:tcPr>
                <w:tcW w:w="2552" w:type="dxa"/>
              </w:tcPr>
            </w:tcPrChange>
          </w:tcPr>
          <w:p>
            <w:pPr>
              <w:keepNext/>
              <w:suppressAutoHyphens/>
              <w:jc w:val="center"/>
              <w:rPr>
                <w:noProof/>
                <w:sz w:val="20"/>
                <w:lang w:val="it-IT" w:eastAsia="en-US"/>
                <w:rPrChange w:id="8715" w:author="Author">
                  <w:rPr>
                    <w:szCs w:val="22"/>
                    <w:lang w:val="it-IT" w:eastAsia="en-US"/>
                  </w:rPr>
                </w:rPrChange>
              </w:rPr>
              <w:pPrChange w:id="8716" w:author="Author">
                <w:pPr>
                  <w:keepNext/>
                  <w:jc w:val="center"/>
                </w:pPr>
              </w:pPrChange>
            </w:pPr>
            <w:r>
              <w:rPr>
                <w:rFonts w:eastAsia="Calibri"/>
                <w:noProof/>
                <w:sz w:val="20"/>
                <w:lang w:val="it-IT" w:eastAsia="en-US"/>
                <w:rPrChange w:id="8717" w:author="Author">
                  <w:rPr>
                    <w:rFonts w:eastAsia="Calibri"/>
                    <w:szCs w:val="22"/>
                    <w:lang w:val="it-IT" w:eastAsia="en-US"/>
                  </w:rPr>
                </w:rPrChange>
              </w:rPr>
              <w:t>0,71</w:t>
            </w:r>
          </w:p>
        </w:tc>
        <w:tc>
          <w:tcPr>
            <w:tcW w:w="2694" w:type="dxa"/>
            <w:tcPrChange w:id="8718" w:author="Author">
              <w:tcPr>
                <w:tcW w:w="2376" w:type="dxa"/>
              </w:tcPr>
            </w:tcPrChange>
          </w:tcPr>
          <w:p>
            <w:pPr>
              <w:keepNext/>
              <w:suppressAutoHyphens/>
              <w:jc w:val="center"/>
              <w:rPr>
                <w:noProof/>
                <w:sz w:val="20"/>
                <w:lang w:val="it-IT" w:eastAsia="en-US"/>
                <w:rPrChange w:id="8719" w:author="Author">
                  <w:rPr>
                    <w:szCs w:val="22"/>
                    <w:lang w:val="it-IT" w:eastAsia="en-US"/>
                  </w:rPr>
                </w:rPrChange>
              </w:rPr>
              <w:pPrChange w:id="8720" w:author="Author">
                <w:pPr>
                  <w:keepNext/>
                  <w:jc w:val="center"/>
                </w:pPr>
              </w:pPrChange>
            </w:pPr>
            <w:r>
              <w:rPr>
                <w:rFonts w:eastAsia="Calibri"/>
                <w:noProof/>
                <w:sz w:val="20"/>
                <w:lang w:val="it-IT" w:eastAsia="en-US"/>
                <w:rPrChange w:id="8721" w:author="Author">
                  <w:rPr>
                    <w:rFonts w:eastAsia="Calibri"/>
                    <w:szCs w:val="22"/>
                    <w:lang w:val="it-IT" w:eastAsia="en-US"/>
                  </w:rPr>
                </w:rPrChange>
              </w:rPr>
              <w:t>0,17*</w:t>
            </w:r>
          </w:p>
        </w:tc>
      </w:tr>
      <w:tr>
        <w:trPr>
          <w:cantSplit/>
          <w:trPrChange w:id="8722" w:author="Author">
            <w:trPr>
              <w:cantSplit/>
            </w:trPr>
          </w:trPrChange>
        </w:trPr>
        <w:tc>
          <w:tcPr>
            <w:tcW w:w="3256" w:type="dxa"/>
            <w:tcPrChange w:id="8723" w:author="Author">
              <w:tcPr>
                <w:tcW w:w="2830" w:type="dxa"/>
              </w:tcPr>
            </w:tcPrChange>
          </w:tcPr>
          <w:p>
            <w:pPr>
              <w:keepNext/>
              <w:suppressAutoHyphens/>
              <w:rPr>
                <w:noProof/>
                <w:sz w:val="20"/>
                <w:lang w:val="it-IT" w:eastAsia="en-US"/>
                <w:rPrChange w:id="8724" w:author="Author">
                  <w:rPr>
                    <w:szCs w:val="22"/>
                    <w:lang w:val="it-IT" w:eastAsia="en-US"/>
                  </w:rPr>
                </w:rPrChange>
              </w:rPr>
              <w:pPrChange w:id="8725" w:author="Author">
                <w:pPr>
                  <w:keepNext/>
                </w:pPr>
              </w:pPrChange>
            </w:pPr>
            <w:r>
              <w:rPr>
                <w:rFonts w:eastAsia="Calibri"/>
                <w:noProof/>
                <w:sz w:val="20"/>
                <w:lang w:val="it-IT" w:eastAsia="en-US"/>
                <w:rPrChange w:id="8726" w:author="Author">
                  <w:rPr>
                    <w:rFonts w:eastAsia="Calibri"/>
                    <w:szCs w:val="22"/>
                    <w:lang w:val="it-IT" w:eastAsia="en-US"/>
                  </w:rPr>
                </w:rPrChange>
              </w:rPr>
              <w:t>Punteggio JSN</w:t>
            </w:r>
          </w:p>
        </w:tc>
        <w:tc>
          <w:tcPr>
            <w:tcW w:w="2976" w:type="dxa"/>
            <w:tcPrChange w:id="8727" w:author="Author">
              <w:tcPr>
                <w:tcW w:w="2552" w:type="dxa"/>
              </w:tcPr>
            </w:tcPrChange>
          </w:tcPr>
          <w:p>
            <w:pPr>
              <w:keepNext/>
              <w:suppressAutoHyphens/>
              <w:jc w:val="center"/>
              <w:rPr>
                <w:noProof/>
                <w:sz w:val="20"/>
                <w:lang w:val="it-IT" w:eastAsia="en-US"/>
                <w:rPrChange w:id="8728" w:author="Author">
                  <w:rPr>
                    <w:szCs w:val="22"/>
                    <w:lang w:val="it-IT" w:eastAsia="en-US"/>
                  </w:rPr>
                </w:rPrChange>
              </w:rPr>
              <w:pPrChange w:id="8729" w:author="Author">
                <w:pPr>
                  <w:keepNext/>
                  <w:jc w:val="center"/>
                </w:pPr>
              </w:pPrChange>
            </w:pPr>
            <w:r>
              <w:rPr>
                <w:rFonts w:eastAsia="Calibri"/>
                <w:noProof/>
                <w:sz w:val="20"/>
                <w:lang w:val="it-IT" w:eastAsia="en-US"/>
                <w:rPrChange w:id="8730" w:author="Author">
                  <w:rPr>
                    <w:rFonts w:eastAsia="Calibri"/>
                    <w:szCs w:val="22"/>
                    <w:lang w:val="it-IT" w:eastAsia="en-US"/>
                  </w:rPr>
                </w:rPrChange>
              </w:rPr>
              <w:t>0,42</w:t>
            </w:r>
          </w:p>
        </w:tc>
        <w:tc>
          <w:tcPr>
            <w:tcW w:w="2694" w:type="dxa"/>
            <w:tcPrChange w:id="8731" w:author="Author">
              <w:tcPr>
                <w:tcW w:w="2376" w:type="dxa"/>
              </w:tcPr>
            </w:tcPrChange>
          </w:tcPr>
          <w:p>
            <w:pPr>
              <w:keepNext/>
              <w:suppressAutoHyphens/>
              <w:jc w:val="center"/>
              <w:rPr>
                <w:noProof/>
                <w:sz w:val="20"/>
                <w:lang w:val="it-IT" w:eastAsia="en-US"/>
                <w:rPrChange w:id="8732" w:author="Author">
                  <w:rPr>
                    <w:szCs w:val="22"/>
                    <w:lang w:val="it-IT" w:eastAsia="en-US"/>
                  </w:rPr>
                </w:rPrChange>
              </w:rPr>
              <w:pPrChange w:id="8733" w:author="Author">
                <w:pPr>
                  <w:keepNext/>
                  <w:jc w:val="center"/>
                </w:pPr>
              </w:pPrChange>
            </w:pPr>
            <w:r>
              <w:rPr>
                <w:rFonts w:eastAsia="Calibri"/>
                <w:noProof/>
                <w:sz w:val="20"/>
                <w:lang w:val="it-IT" w:eastAsia="en-US"/>
                <w:rPrChange w:id="8734" w:author="Author">
                  <w:rPr>
                    <w:rFonts w:eastAsia="Calibri"/>
                    <w:szCs w:val="22"/>
                    <w:lang w:val="it-IT" w:eastAsia="en-US"/>
                  </w:rPr>
                </w:rPrChange>
              </w:rPr>
              <w:t>0,12**</w:t>
            </w:r>
          </w:p>
        </w:tc>
      </w:tr>
    </w:tbl>
    <w:p>
      <w:pPr>
        <w:keepNext/>
        <w:rPr>
          <w:i/>
          <w:noProof/>
          <w:sz w:val="18"/>
          <w:szCs w:val="18"/>
          <w:lang w:val="it-IT" w:eastAsia="en-US"/>
        </w:rPr>
      </w:pPr>
      <w:r>
        <w:rPr>
          <w:rFonts w:eastAsia="Calibri"/>
          <w:i/>
          <w:noProof/>
          <w:sz w:val="18"/>
          <w:szCs w:val="18"/>
          <w:lang w:val="it-IT" w:eastAsia="en-US"/>
        </w:rPr>
        <w:t>PBO</w:t>
      </w:r>
      <w:r>
        <w:rPr>
          <w:rFonts w:eastAsia="Calibri"/>
          <w:i/>
          <w:noProof/>
          <w:sz w:val="18"/>
          <w:szCs w:val="18"/>
          <w:lang w:val="it-IT" w:eastAsia="en-US"/>
        </w:rPr>
        <w:tab/>
      </w:r>
      <w:r>
        <w:rPr>
          <w:rFonts w:eastAsia="Calibri"/>
          <w:i/>
          <w:noProof/>
          <w:sz w:val="18"/>
          <w:szCs w:val="18"/>
          <w:lang w:val="it-IT" w:eastAsia="en-US"/>
        </w:rPr>
        <w:tab/>
        <w:t>- Placebo</w:t>
      </w:r>
    </w:p>
    <w:p>
      <w:pPr>
        <w:keepNext/>
        <w:rPr>
          <w:i/>
          <w:noProof/>
          <w:sz w:val="18"/>
          <w:szCs w:val="18"/>
          <w:lang w:val="it-IT" w:eastAsia="en-US"/>
        </w:rPr>
      </w:pPr>
      <w:r>
        <w:rPr>
          <w:rFonts w:eastAsia="Calibri"/>
          <w:i/>
          <w:noProof/>
          <w:sz w:val="18"/>
          <w:szCs w:val="18"/>
          <w:lang w:val="it-IT" w:eastAsia="en-US"/>
        </w:rPr>
        <w:t>MTX</w:t>
      </w:r>
      <w:r>
        <w:rPr>
          <w:rFonts w:eastAsia="Calibri"/>
          <w:i/>
          <w:noProof/>
          <w:sz w:val="18"/>
          <w:szCs w:val="18"/>
          <w:lang w:val="it-IT" w:eastAsia="en-US"/>
        </w:rPr>
        <w:tab/>
      </w:r>
      <w:r>
        <w:rPr>
          <w:rFonts w:eastAsia="Calibri"/>
          <w:i/>
          <w:noProof/>
          <w:sz w:val="18"/>
          <w:szCs w:val="18"/>
          <w:lang w:val="it-IT" w:eastAsia="en-US"/>
        </w:rPr>
        <w:tab/>
        <w:t xml:space="preserve">- </w:t>
      </w:r>
      <w:ins w:id="8735" w:author="Author">
        <w:r>
          <w:rPr>
            <w:rFonts w:eastAsia="Calibri"/>
            <w:i/>
            <w:noProof/>
            <w:sz w:val="18"/>
            <w:szCs w:val="18"/>
            <w:lang w:val="it-IT" w:eastAsia="en-US"/>
          </w:rPr>
          <w:t>m</w:t>
        </w:r>
      </w:ins>
      <w:del w:id="8736" w:author="Author">
        <w:r>
          <w:rPr>
            <w:rFonts w:eastAsia="Calibri"/>
            <w:i/>
            <w:noProof/>
            <w:sz w:val="18"/>
            <w:szCs w:val="18"/>
            <w:lang w:val="it-IT" w:eastAsia="en-US"/>
          </w:rPr>
          <w:delText>M</w:delText>
        </w:r>
      </w:del>
      <w:r>
        <w:rPr>
          <w:rFonts w:eastAsia="Calibri"/>
          <w:i/>
          <w:noProof/>
          <w:sz w:val="18"/>
          <w:szCs w:val="18"/>
          <w:lang w:val="it-IT" w:eastAsia="en-US"/>
        </w:rPr>
        <w:t>etotre</w:t>
      </w:r>
      <w:ins w:id="8737" w:author="Author">
        <w:r>
          <w:rPr>
            <w:rFonts w:eastAsia="Calibri"/>
            <w:i/>
            <w:noProof/>
            <w:sz w:val="18"/>
            <w:szCs w:val="18"/>
            <w:lang w:val="it-IT" w:eastAsia="en-US"/>
          </w:rPr>
          <w:t>x</w:t>
        </w:r>
      </w:ins>
      <w:del w:id="8738" w:author="Author">
        <w:r>
          <w:rPr>
            <w:rFonts w:eastAsia="Calibri"/>
            <w:i/>
            <w:noProof/>
            <w:sz w:val="18"/>
            <w:szCs w:val="18"/>
            <w:lang w:val="it-IT" w:eastAsia="en-US"/>
          </w:rPr>
          <w:delText>ss</w:delText>
        </w:r>
      </w:del>
      <w:r>
        <w:rPr>
          <w:rFonts w:eastAsia="Calibri"/>
          <w:i/>
          <w:noProof/>
          <w:sz w:val="18"/>
          <w:szCs w:val="18"/>
          <w:lang w:val="it-IT" w:eastAsia="en-US"/>
        </w:rPr>
        <w:t>ato</w:t>
      </w:r>
    </w:p>
    <w:p>
      <w:pPr>
        <w:keepNext/>
        <w:rPr>
          <w:i/>
          <w:noProof/>
          <w:sz w:val="18"/>
          <w:szCs w:val="18"/>
          <w:lang w:val="it-IT" w:eastAsia="en-US"/>
        </w:rPr>
      </w:pPr>
      <w:r>
        <w:rPr>
          <w:rFonts w:eastAsia="Calibri"/>
          <w:i/>
          <w:noProof/>
          <w:sz w:val="18"/>
          <w:szCs w:val="18"/>
          <w:lang w:val="it-IT" w:eastAsia="en-US"/>
        </w:rPr>
        <w:t xml:space="preserve">TCZ </w:t>
      </w:r>
      <w:r>
        <w:rPr>
          <w:rFonts w:eastAsia="Calibri"/>
          <w:i/>
          <w:noProof/>
          <w:sz w:val="18"/>
          <w:szCs w:val="18"/>
          <w:lang w:val="it-IT" w:eastAsia="en-US"/>
        </w:rPr>
        <w:tab/>
      </w:r>
      <w:r>
        <w:rPr>
          <w:rFonts w:eastAsia="Calibri"/>
          <w:i/>
          <w:noProof/>
          <w:sz w:val="18"/>
          <w:szCs w:val="18"/>
          <w:lang w:val="it-IT" w:eastAsia="en-US"/>
        </w:rPr>
        <w:tab/>
        <w:t xml:space="preserve">- </w:t>
      </w:r>
      <w:ins w:id="8739" w:author="Author">
        <w:r>
          <w:rPr>
            <w:rFonts w:eastAsia="Calibri"/>
            <w:i/>
            <w:noProof/>
            <w:sz w:val="18"/>
            <w:szCs w:val="18"/>
            <w:lang w:val="it-IT" w:eastAsia="en-US"/>
          </w:rPr>
          <w:t>t</w:t>
        </w:r>
      </w:ins>
      <w:del w:id="8740" w:author="Author">
        <w:r>
          <w:rPr>
            <w:rFonts w:eastAsia="Calibri"/>
            <w:i/>
            <w:noProof/>
            <w:sz w:val="18"/>
            <w:szCs w:val="18"/>
            <w:lang w:val="it-IT" w:eastAsia="en-US"/>
          </w:rPr>
          <w:delText>T</w:delText>
        </w:r>
      </w:del>
      <w:r>
        <w:rPr>
          <w:rFonts w:eastAsia="Calibri"/>
          <w:i/>
          <w:noProof/>
          <w:sz w:val="18"/>
          <w:szCs w:val="18"/>
          <w:lang w:val="it-IT" w:eastAsia="en-US"/>
        </w:rPr>
        <w:t>ocilizumab</w:t>
      </w:r>
    </w:p>
    <w:p>
      <w:pPr>
        <w:keepNext/>
        <w:rPr>
          <w:i/>
          <w:noProof/>
          <w:sz w:val="18"/>
          <w:szCs w:val="18"/>
          <w:lang w:val="it-IT" w:eastAsia="en-US"/>
        </w:rPr>
      </w:pPr>
      <w:r>
        <w:rPr>
          <w:rFonts w:eastAsia="Calibri"/>
          <w:i/>
          <w:noProof/>
          <w:sz w:val="18"/>
          <w:szCs w:val="18"/>
          <w:lang w:val="it-IT" w:eastAsia="en-US"/>
        </w:rPr>
        <w:t>JSN</w:t>
      </w:r>
      <w:r>
        <w:rPr>
          <w:rFonts w:eastAsia="Calibri"/>
          <w:i/>
          <w:noProof/>
          <w:sz w:val="18"/>
          <w:szCs w:val="18"/>
          <w:lang w:val="it-IT" w:eastAsia="en-US"/>
        </w:rPr>
        <w:tab/>
      </w:r>
      <w:r>
        <w:rPr>
          <w:rFonts w:eastAsia="Calibri"/>
          <w:i/>
          <w:noProof/>
          <w:sz w:val="18"/>
          <w:szCs w:val="18"/>
          <w:lang w:val="it-IT" w:eastAsia="en-US"/>
        </w:rPr>
        <w:tab/>
      </w:r>
      <w:ins w:id="8741" w:author="Author">
        <w:r>
          <w:rPr>
            <w:rFonts w:eastAsia="Calibri"/>
            <w:i/>
            <w:noProof/>
            <w:sz w:val="18"/>
            <w:szCs w:val="18"/>
            <w:lang w:val="it-IT" w:eastAsia="en-US"/>
          </w:rPr>
          <w:t xml:space="preserve">- </w:t>
        </w:r>
      </w:ins>
      <w:r>
        <w:rPr>
          <w:rFonts w:eastAsia="Calibri"/>
          <w:i/>
          <w:noProof/>
          <w:sz w:val="18"/>
          <w:szCs w:val="18"/>
          <w:lang w:val="it-IT" w:eastAsia="en-US"/>
        </w:rPr>
        <w:t>Restringimento dello spazio articolare</w:t>
      </w:r>
    </w:p>
    <w:p>
      <w:pPr>
        <w:keepNext/>
        <w:numPr>
          <w:ilvl w:val="12"/>
          <w:numId w:val="0"/>
        </w:numPr>
        <w:ind w:right="-2"/>
        <w:rPr>
          <w:i/>
          <w:iCs/>
          <w:noProof/>
          <w:sz w:val="18"/>
          <w:szCs w:val="18"/>
          <w:lang w:val="it-IT" w:eastAsia="en-US"/>
        </w:rPr>
      </w:pPr>
      <w:r>
        <w:rPr>
          <w:rFonts w:eastAsia="Calibri"/>
          <w:i/>
          <w:iCs/>
          <w:noProof/>
          <w:sz w:val="18"/>
          <w:szCs w:val="18"/>
          <w:lang w:val="it-IT" w:eastAsia="en-US"/>
        </w:rPr>
        <w:t>*</w:t>
      </w:r>
      <w:r>
        <w:rPr>
          <w:rFonts w:eastAsia="Calibri"/>
          <w:i/>
          <w:iCs/>
          <w:noProof/>
          <w:sz w:val="18"/>
          <w:szCs w:val="18"/>
          <w:lang w:val="it-IT" w:eastAsia="en-US"/>
        </w:rPr>
        <w:tab/>
      </w:r>
      <w:r>
        <w:rPr>
          <w:rFonts w:eastAsia="Calibri"/>
          <w:i/>
          <w:iCs/>
          <w:noProof/>
          <w:sz w:val="18"/>
          <w:szCs w:val="18"/>
          <w:lang w:val="it-IT" w:eastAsia="en-US"/>
        </w:rPr>
        <w:tab/>
        <w:t>- p ≤ 0,0001, TCZ vs. PBO</w:t>
      </w:r>
      <w:del w:id="8742" w:author="Author">
        <w:r>
          <w:rPr>
            <w:rFonts w:eastAsia="Calibri"/>
            <w:i/>
            <w:iCs/>
            <w:noProof/>
            <w:sz w:val="18"/>
            <w:szCs w:val="18"/>
            <w:lang w:val="it-IT" w:eastAsia="en-US"/>
          </w:rPr>
          <w:delText xml:space="preserve"> </w:delText>
        </w:r>
      </w:del>
      <w:ins w:id="8743" w:author="Author">
        <w:r>
          <w:rPr>
            <w:rFonts w:eastAsia="Calibri"/>
            <w:i/>
            <w:iCs/>
            <w:noProof/>
            <w:sz w:val="18"/>
            <w:szCs w:val="18"/>
            <w:lang w:val="it-IT" w:eastAsia="en-US"/>
          </w:rPr>
          <w:t> </w:t>
        </w:r>
      </w:ins>
      <w:r>
        <w:rPr>
          <w:rFonts w:eastAsia="Calibri"/>
          <w:i/>
          <w:iCs/>
          <w:noProof/>
          <w:sz w:val="18"/>
          <w:szCs w:val="18"/>
          <w:lang w:val="it-IT" w:eastAsia="en-US"/>
        </w:rPr>
        <w:t>+</w:t>
      </w:r>
      <w:ins w:id="8744" w:author="Author">
        <w:r>
          <w:rPr>
            <w:rFonts w:eastAsia="Calibri"/>
            <w:i/>
            <w:iCs/>
            <w:noProof/>
            <w:sz w:val="18"/>
            <w:szCs w:val="18"/>
            <w:lang w:val="it-IT" w:eastAsia="en-US"/>
          </w:rPr>
          <w:t> </w:t>
        </w:r>
      </w:ins>
      <w:del w:id="8745" w:author="Author">
        <w:r>
          <w:rPr>
            <w:rFonts w:eastAsia="Calibri"/>
            <w:i/>
            <w:iCs/>
            <w:noProof/>
            <w:sz w:val="18"/>
            <w:szCs w:val="18"/>
            <w:lang w:val="it-IT" w:eastAsia="en-US"/>
          </w:rPr>
          <w:delText xml:space="preserve"> </w:delText>
        </w:r>
      </w:del>
      <w:r>
        <w:rPr>
          <w:rFonts w:eastAsia="Calibri"/>
          <w:i/>
          <w:iCs/>
          <w:noProof/>
          <w:sz w:val="18"/>
          <w:szCs w:val="18"/>
          <w:lang w:val="it-IT" w:eastAsia="en-US"/>
        </w:rPr>
        <w:t>MTX</w:t>
      </w:r>
    </w:p>
    <w:p>
      <w:pPr>
        <w:numPr>
          <w:ilvl w:val="12"/>
          <w:numId w:val="0"/>
        </w:numPr>
        <w:ind w:right="-2"/>
        <w:rPr>
          <w:i/>
          <w:iCs/>
          <w:noProof/>
          <w:sz w:val="18"/>
          <w:szCs w:val="18"/>
          <w:lang w:val="it-IT" w:eastAsia="en-US"/>
        </w:rPr>
      </w:pPr>
      <w:r>
        <w:rPr>
          <w:rFonts w:eastAsia="Calibri"/>
          <w:i/>
          <w:iCs/>
          <w:noProof/>
          <w:sz w:val="18"/>
          <w:szCs w:val="18"/>
          <w:lang w:val="it-IT" w:eastAsia="en-US"/>
        </w:rPr>
        <w:t xml:space="preserve">** </w:t>
      </w:r>
      <w:r>
        <w:rPr>
          <w:rFonts w:eastAsia="Calibri"/>
          <w:i/>
          <w:iCs/>
          <w:noProof/>
          <w:sz w:val="18"/>
          <w:szCs w:val="18"/>
          <w:lang w:val="it-IT" w:eastAsia="en-US"/>
        </w:rPr>
        <w:tab/>
      </w:r>
      <w:r>
        <w:rPr>
          <w:rFonts w:eastAsia="Calibri"/>
          <w:i/>
          <w:iCs/>
          <w:noProof/>
          <w:sz w:val="18"/>
          <w:szCs w:val="18"/>
          <w:lang w:val="it-IT" w:eastAsia="en-US"/>
        </w:rPr>
        <w:tab/>
        <w:t>- p &lt; 0,005, TCZ vs. PBO</w:t>
      </w:r>
      <w:del w:id="8746" w:author="Author">
        <w:r>
          <w:rPr>
            <w:rFonts w:eastAsia="Calibri"/>
            <w:i/>
            <w:iCs/>
            <w:noProof/>
            <w:sz w:val="18"/>
            <w:szCs w:val="18"/>
            <w:lang w:val="it-IT" w:eastAsia="en-US"/>
          </w:rPr>
          <w:delText xml:space="preserve"> </w:delText>
        </w:r>
      </w:del>
      <w:ins w:id="8747" w:author="Author">
        <w:r>
          <w:rPr>
            <w:rFonts w:eastAsia="Calibri"/>
            <w:i/>
            <w:iCs/>
            <w:noProof/>
            <w:sz w:val="18"/>
            <w:szCs w:val="18"/>
            <w:lang w:val="it-IT" w:eastAsia="en-US"/>
          </w:rPr>
          <w:t> </w:t>
        </w:r>
      </w:ins>
      <w:r>
        <w:rPr>
          <w:rFonts w:eastAsia="Calibri"/>
          <w:i/>
          <w:iCs/>
          <w:noProof/>
          <w:sz w:val="18"/>
          <w:szCs w:val="18"/>
          <w:lang w:val="it-IT" w:eastAsia="en-US"/>
        </w:rPr>
        <w:t>+</w:t>
      </w:r>
      <w:ins w:id="8748" w:author="Author">
        <w:r>
          <w:rPr>
            <w:rFonts w:eastAsia="Calibri"/>
            <w:i/>
            <w:iCs/>
            <w:noProof/>
            <w:sz w:val="18"/>
            <w:szCs w:val="18"/>
            <w:lang w:val="it-IT" w:eastAsia="en-US"/>
          </w:rPr>
          <w:t> </w:t>
        </w:r>
      </w:ins>
      <w:del w:id="8749" w:author="Author">
        <w:r>
          <w:rPr>
            <w:rFonts w:eastAsia="Calibri"/>
            <w:i/>
            <w:iCs/>
            <w:noProof/>
            <w:sz w:val="18"/>
            <w:szCs w:val="18"/>
            <w:lang w:val="it-IT" w:eastAsia="en-US"/>
          </w:rPr>
          <w:delText xml:space="preserve"> </w:delText>
        </w:r>
      </w:del>
      <w:r>
        <w:rPr>
          <w:rFonts w:eastAsia="Calibri"/>
          <w:i/>
          <w:iCs/>
          <w:noProof/>
          <w:sz w:val="18"/>
          <w:szCs w:val="18"/>
          <w:lang w:val="it-IT" w:eastAsia="en-US"/>
        </w:rPr>
        <w:t>MTX</w:t>
      </w:r>
    </w:p>
    <w:p>
      <w:pPr>
        <w:numPr>
          <w:ilvl w:val="12"/>
          <w:numId w:val="0"/>
        </w:numPr>
        <w:ind w:right="-2"/>
        <w:rPr>
          <w:i/>
          <w:noProof/>
          <w:szCs w:val="22"/>
          <w:lang w:val="it-IT"/>
        </w:rPr>
      </w:pPr>
    </w:p>
    <w:p>
      <w:pPr>
        <w:rPr>
          <w:i/>
          <w:noProof/>
          <w:szCs w:val="22"/>
          <w:lang w:val="it-IT" w:eastAsia="en-US"/>
        </w:rPr>
      </w:pPr>
      <w:r>
        <w:rPr>
          <w:rFonts w:eastAsia="Calibri"/>
          <w:noProof/>
          <w:szCs w:val="22"/>
          <w:lang w:val="it-IT" w:eastAsia="en-US"/>
        </w:rPr>
        <w:t>Dopo 1 anno di trattamento con tocilizumab</w:t>
      </w:r>
      <w:del w:id="8750" w:author="Author">
        <w:r>
          <w:rPr>
            <w:rFonts w:eastAsia="Calibri"/>
            <w:noProof/>
            <w:szCs w:val="22"/>
            <w:lang w:val="it-IT" w:eastAsia="en-US"/>
          </w:rPr>
          <w:delText xml:space="preserve"> </w:delText>
        </w:r>
      </w:del>
      <w:ins w:id="8751" w:author="Author">
        <w:r>
          <w:rPr>
            <w:rFonts w:eastAsia="Calibri"/>
            <w:noProof/>
            <w:szCs w:val="22"/>
            <w:lang w:val="it-IT" w:eastAsia="en-US"/>
          </w:rPr>
          <w:t> </w:t>
        </w:r>
      </w:ins>
      <w:r>
        <w:rPr>
          <w:rFonts w:eastAsia="Calibri"/>
          <w:noProof/>
          <w:szCs w:val="22"/>
          <w:lang w:val="it-IT" w:eastAsia="en-US"/>
        </w:rPr>
        <w:t>+</w:t>
      </w:r>
      <w:ins w:id="8752" w:author="Author">
        <w:r>
          <w:rPr>
            <w:rFonts w:eastAsia="Calibri"/>
            <w:noProof/>
            <w:szCs w:val="22"/>
            <w:lang w:val="it-IT" w:eastAsia="en-US"/>
          </w:rPr>
          <w:t> </w:t>
        </w:r>
      </w:ins>
      <w:del w:id="8753" w:author="Author">
        <w:r>
          <w:rPr>
            <w:rFonts w:eastAsia="Calibri"/>
            <w:noProof/>
            <w:szCs w:val="22"/>
            <w:lang w:val="it-IT" w:eastAsia="en-US"/>
          </w:rPr>
          <w:delText xml:space="preserve"> </w:delText>
        </w:r>
      </w:del>
      <w:r>
        <w:rPr>
          <w:rFonts w:eastAsia="Calibri"/>
          <w:noProof/>
          <w:szCs w:val="22"/>
          <w:lang w:val="it-IT" w:eastAsia="en-US"/>
        </w:rPr>
        <w:t>MTX, l’85% dei pazienti (n</w:t>
      </w:r>
      <w:ins w:id="8754" w:author="Author">
        <w:r>
          <w:rPr>
            <w:rFonts w:eastAsia="Calibri"/>
            <w:noProof/>
            <w:szCs w:val="22"/>
            <w:lang w:val="it-IT" w:eastAsia="en-US"/>
          </w:rPr>
          <w:t> </w:t>
        </w:r>
      </w:ins>
      <w:r>
        <w:rPr>
          <w:rFonts w:eastAsia="Calibri"/>
          <w:noProof/>
          <w:szCs w:val="22"/>
          <w:lang w:val="it-IT" w:eastAsia="en-US"/>
        </w:rPr>
        <w:t>=</w:t>
      </w:r>
      <w:ins w:id="8755" w:author="Author">
        <w:r>
          <w:rPr>
            <w:rFonts w:eastAsia="Calibri"/>
            <w:noProof/>
            <w:szCs w:val="22"/>
            <w:lang w:val="it-IT" w:eastAsia="en-US"/>
          </w:rPr>
          <w:t> </w:t>
        </w:r>
      </w:ins>
      <w:r>
        <w:rPr>
          <w:rFonts w:eastAsia="Calibri"/>
          <w:noProof/>
          <w:szCs w:val="22"/>
          <w:lang w:val="it-IT" w:eastAsia="en-US"/>
        </w:rPr>
        <w:t>348) non ha avuto progressione del danno articolare strutturale, come definito dal cambiamento nel punteggio totale di Sharp di zero o meno, rispetto al 67% dei pazienti trattati con placebo più MTX (n</w:t>
      </w:r>
      <w:ins w:id="8756" w:author="Author">
        <w:r>
          <w:rPr>
            <w:rFonts w:eastAsia="Calibri"/>
            <w:noProof/>
            <w:szCs w:val="22"/>
            <w:lang w:val="it-IT" w:eastAsia="en-US"/>
          </w:rPr>
          <w:t> </w:t>
        </w:r>
      </w:ins>
      <w:r>
        <w:rPr>
          <w:rFonts w:eastAsia="Calibri"/>
          <w:noProof/>
          <w:szCs w:val="22"/>
          <w:lang w:val="it-IT" w:eastAsia="en-US"/>
        </w:rPr>
        <w:t>=</w:t>
      </w:r>
      <w:ins w:id="8757" w:author="Author">
        <w:r>
          <w:rPr>
            <w:rFonts w:eastAsia="Calibri"/>
            <w:noProof/>
            <w:szCs w:val="22"/>
            <w:lang w:val="it-IT" w:eastAsia="en-US"/>
          </w:rPr>
          <w:t> </w:t>
        </w:r>
      </w:ins>
      <w:r>
        <w:rPr>
          <w:rFonts w:eastAsia="Calibri"/>
          <w:noProof/>
          <w:szCs w:val="22"/>
          <w:lang w:val="it-IT" w:eastAsia="en-US"/>
        </w:rPr>
        <w:t xml:space="preserve">290) (p </w:t>
      </w:r>
      <w:r>
        <w:rPr>
          <w:rFonts w:eastAsia="Calibri"/>
          <w:noProof/>
          <w:szCs w:val="22"/>
          <w:lang w:val="it-IT" w:eastAsia="en-US"/>
        </w:rPr>
        <w:sym w:font="Symbol" w:char="F0A3"/>
      </w:r>
      <w:r>
        <w:rPr>
          <w:rFonts w:eastAsia="Calibri"/>
          <w:noProof/>
          <w:szCs w:val="22"/>
          <w:lang w:val="it-IT" w:eastAsia="en-US"/>
        </w:rPr>
        <w:t xml:space="preserve"> 0,001). Questo dato rimane costante nei 2 anni di trattamento (83%; n</w:t>
      </w:r>
      <w:ins w:id="8758" w:author="Author">
        <w:r>
          <w:rPr>
            <w:rFonts w:eastAsia="Calibri"/>
            <w:noProof/>
            <w:szCs w:val="22"/>
            <w:lang w:val="it-IT" w:eastAsia="en-US"/>
          </w:rPr>
          <w:t> </w:t>
        </w:r>
      </w:ins>
      <w:r>
        <w:rPr>
          <w:rFonts w:eastAsia="Calibri"/>
          <w:noProof/>
          <w:szCs w:val="22"/>
          <w:lang w:val="it-IT" w:eastAsia="en-US"/>
        </w:rPr>
        <w:t>=</w:t>
      </w:r>
      <w:ins w:id="8759" w:author="Author">
        <w:r>
          <w:rPr>
            <w:rFonts w:eastAsia="Calibri"/>
            <w:noProof/>
            <w:szCs w:val="22"/>
            <w:lang w:val="it-IT" w:eastAsia="en-US"/>
          </w:rPr>
          <w:t> </w:t>
        </w:r>
      </w:ins>
      <w:r>
        <w:rPr>
          <w:rFonts w:eastAsia="Calibri"/>
          <w:noProof/>
          <w:szCs w:val="22"/>
          <w:lang w:val="it-IT" w:eastAsia="en-US"/>
        </w:rPr>
        <w:t>353). Il 93% dei pazienti (n</w:t>
      </w:r>
      <w:ins w:id="8760" w:author="Author">
        <w:r>
          <w:rPr>
            <w:rFonts w:eastAsia="Calibri"/>
            <w:noProof/>
            <w:szCs w:val="22"/>
            <w:lang w:val="it-IT" w:eastAsia="en-US"/>
          </w:rPr>
          <w:t> </w:t>
        </w:r>
      </w:ins>
      <w:r>
        <w:rPr>
          <w:rFonts w:eastAsia="Calibri"/>
          <w:noProof/>
          <w:szCs w:val="22"/>
          <w:lang w:val="it-IT" w:eastAsia="en-US"/>
        </w:rPr>
        <w:t>=</w:t>
      </w:r>
      <w:ins w:id="8761" w:author="Author">
        <w:r>
          <w:rPr>
            <w:rFonts w:eastAsia="Calibri"/>
            <w:noProof/>
            <w:szCs w:val="22"/>
            <w:lang w:val="it-IT" w:eastAsia="en-US"/>
          </w:rPr>
          <w:t> </w:t>
        </w:r>
      </w:ins>
      <w:r>
        <w:rPr>
          <w:rFonts w:eastAsia="Calibri"/>
          <w:noProof/>
          <w:szCs w:val="22"/>
          <w:lang w:val="it-IT" w:eastAsia="en-US"/>
        </w:rPr>
        <w:t>271) non ha avuto progressione del danno articolare tra la settimana 52 e la settimana 104.</w:t>
      </w:r>
    </w:p>
    <w:p>
      <w:pPr>
        <w:rPr>
          <w:b/>
          <w:i/>
          <w:noProof/>
          <w:szCs w:val="22"/>
          <w:lang w:val="it-IT"/>
        </w:rPr>
      </w:pPr>
    </w:p>
    <w:p>
      <w:pPr>
        <w:rPr>
          <w:i/>
          <w:noProof/>
          <w:szCs w:val="22"/>
          <w:u w:val="single"/>
          <w:lang w:val="it-IT" w:eastAsia="en-US"/>
        </w:rPr>
      </w:pPr>
      <w:r>
        <w:rPr>
          <w:rFonts w:eastAsia="Calibri"/>
          <w:i/>
          <w:noProof/>
          <w:szCs w:val="22"/>
          <w:u w:val="single"/>
          <w:lang w:val="it-IT" w:eastAsia="en-US"/>
        </w:rPr>
        <w:t>Esiti correlati alla salute e alla qualità di vita</w:t>
      </w:r>
    </w:p>
    <w:p>
      <w:pPr>
        <w:numPr>
          <w:ilvl w:val="12"/>
          <w:numId w:val="0"/>
        </w:numPr>
        <w:ind w:right="-2"/>
        <w:rPr>
          <w:rFonts w:eastAsia="MS Mincho"/>
          <w:noProof/>
          <w:szCs w:val="22"/>
          <w:lang w:val="it-IT" w:eastAsia="en-US"/>
        </w:rPr>
      </w:pPr>
      <w:r>
        <w:rPr>
          <w:rFonts w:eastAsia="Calibri"/>
          <w:noProof/>
          <w:szCs w:val="22"/>
          <w:lang w:val="it-IT" w:eastAsia="en-US"/>
        </w:rPr>
        <w:t xml:space="preserve">I pazienti trattati con tocilizumab hanno riportato un miglioramento in tutti gli esiti riferiti dal paziente (questionari: Health Assessment Questionnaire Disability Index - HAQ-DI, Short Form-36 e Functional Assessment of Chronic Illness Therapy). Miglioramenti statisticamente significativi nei punteggi dell’HAQ-DI sono stati osservati nei pazienti trattati con tocilizumab rispetto ai pazienti trattati con DMARD. Durante il periodo in aperto dello </w:t>
      </w:r>
      <w:del w:id="8762" w:author="Author">
        <w:r>
          <w:rPr>
            <w:rFonts w:eastAsia="Calibri"/>
            <w:noProof/>
            <w:szCs w:val="22"/>
            <w:lang w:val="it-IT" w:eastAsia="en-US"/>
          </w:rPr>
          <w:delText xml:space="preserve">studio </w:delText>
        </w:r>
      </w:del>
      <w:ins w:id="8763" w:author="Author">
        <w:r>
          <w:rPr>
            <w:rFonts w:eastAsia="Calibri"/>
            <w:noProof/>
            <w:szCs w:val="22"/>
            <w:lang w:val="it-IT" w:eastAsia="en-US"/>
          </w:rPr>
          <w:t xml:space="preserve">Studio </w:t>
        </w:r>
      </w:ins>
      <w:r>
        <w:rPr>
          <w:rFonts w:eastAsia="Calibri"/>
          <w:noProof/>
          <w:szCs w:val="22"/>
          <w:lang w:val="it-IT" w:eastAsia="en-US"/>
        </w:rPr>
        <w:t>II, il miglioramento della funzione fisica si è mantenuto fino ai 2 anni. Alla settimana 52, il cambiamento medio di HAQ-DI è stato -0,58 nel gruppo di tocilizumab 8 mg/kg più MTX rispetto a -0,39 nel gruppo placebo</w:t>
      </w:r>
      <w:del w:id="8764" w:author="Author">
        <w:r>
          <w:rPr>
            <w:rFonts w:eastAsia="Calibri"/>
            <w:noProof/>
            <w:szCs w:val="22"/>
            <w:lang w:val="it-IT" w:eastAsia="en-US"/>
          </w:rPr>
          <w:delText xml:space="preserve"> </w:delText>
        </w:r>
      </w:del>
      <w:ins w:id="8765" w:author="Author">
        <w:r>
          <w:rPr>
            <w:rFonts w:eastAsia="Calibri"/>
            <w:noProof/>
            <w:szCs w:val="22"/>
            <w:lang w:val="it-IT" w:eastAsia="en-US"/>
          </w:rPr>
          <w:t> </w:t>
        </w:r>
      </w:ins>
      <w:r>
        <w:rPr>
          <w:rFonts w:eastAsia="Calibri"/>
          <w:noProof/>
          <w:szCs w:val="22"/>
          <w:lang w:val="it-IT" w:eastAsia="en-US"/>
        </w:rPr>
        <w:t>+</w:t>
      </w:r>
      <w:ins w:id="8766" w:author="Author">
        <w:r>
          <w:rPr>
            <w:rFonts w:eastAsia="Calibri"/>
            <w:noProof/>
            <w:szCs w:val="22"/>
            <w:lang w:val="it-IT" w:eastAsia="en-US"/>
          </w:rPr>
          <w:t> </w:t>
        </w:r>
      </w:ins>
      <w:del w:id="8767" w:author="Author">
        <w:r>
          <w:rPr>
            <w:rFonts w:eastAsia="Calibri"/>
            <w:noProof/>
            <w:szCs w:val="22"/>
            <w:lang w:val="it-IT" w:eastAsia="en-US"/>
          </w:rPr>
          <w:delText xml:space="preserve"> </w:delText>
        </w:r>
      </w:del>
      <w:r>
        <w:rPr>
          <w:rFonts w:eastAsia="Calibri"/>
          <w:noProof/>
          <w:szCs w:val="22"/>
          <w:lang w:val="it-IT" w:eastAsia="en-US"/>
        </w:rPr>
        <w:t>MTX. Il cambiamento medio di HAQ-DI si è mantenuto costante alla settimana 104 nel gruppo di tocilizumab 8 mg/kg più MTX (-0,61).</w:t>
      </w:r>
    </w:p>
    <w:p>
      <w:pPr>
        <w:numPr>
          <w:ilvl w:val="12"/>
          <w:numId w:val="0"/>
        </w:numPr>
        <w:ind w:right="-2"/>
        <w:rPr>
          <w:rFonts w:eastAsia="MS Mincho"/>
          <w:noProof/>
          <w:szCs w:val="22"/>
          <w:lang w:val="it-IT"/>
        </w:rPr>
      </w:pPr>
    </w:p>
    <w:p>
      <w:pPr>
        <w:numPr>
          <w:ilvl w:val="12"/>
          <w:numId w:val="0"/>
        </w:numPr>
        <w:ind w:right="-2"/>
        <w:rPr>
          <w:rFonts w:eastAsia="Calibri"/>
          <w:i/>
          <w:noProof/>
          <w:szCs w:val="22"/>
          <w:u w:val="single"/>
          <w:lang w:val="it-IT" w:eastAsia="en-US"/>
        </w:rPr>
      </w:pPr>
      <w:r>
        <w:rPr>
          <w:rFonts w:eastAsia="Calibri"/>
          <w:i/>
          <w:noProof/>
          <w:szCs w:val="22"/>
          <w:u w:val="single"/>
          <w:lang w:val="it-IT" w:eastAsia="en-US"/>
        </w:rPr>
        <w:t>Livelli dell’emoglobina</w:t>
      </w:r>
    </w:p>
    <w:p>
      <w:pPr>
        <w:numPr>
          <w:ilvl w:val="12"/>
          <w:numId w:val="0"/>
        </w:numPr>
        <w:ind w:right="-2"/>
        <w:rPr>
          <w:rFonts w:eastAsia="Calibri"/>
          <w:noProof/>
          <w:szCs w:val="22"/>
          <w:lang w:val="it-IT" w:eastAsia="en-US"/>
        </w:rPr>
      </w:pPr>
      <w:r>
        <w:rPr>
          <w:rFonts w:eastAsia="Calibri"/>
          <w:noProof/>
          <w:szCs w:val="22"/>
          <w:lang w:val="it-IT" w:eastAsia="en-US"/>
        </w:rPr>
        <w:t>Miglioramenti statisticamente significativi dei livelli di emoglobina sono stati osservati con tocilizumab rispetto ai DMARD (p &lt;0,0001) alla settimana 24. I livelli medi di emoglobina sono aumentati entro la settimana 2 e si sono mantenuti nell’intervallo di normalità fino alla settimana 24.</w:t>
      </w:r>
    </w:p>
    <w:p>
      <w:pPr>
        <w:rPr>
          <w:noProof/>
          <w:szCs w:val="22"/>
          <w:lang w:val="it-IT"/>
        </w:rPr>
      </w:pPr>
    </w:p>
    <w:p>
      <w:pPr>
        <w:keepNext/>
        <w:keepLines/>
        <w:numPr>
          <w:ilvl w:val="12"/>
          <w:numId w:val="0"/>
        </w:numPr>
        <w:rPr>
          <w:i/>
          <w:noProof/>
          <w:szCs w:val="22"/>
          <w:u w:val="single"/>
          <w:lang w:val="it-IT" w:eastAsia="en-US"/>
        </w:rPr>
      </w:pPr>
      <w:r>
        <w:rPr>
          <w:rFonts w:eastAsia="Calibri"/>
          <w:i/>
          <w:noProof/>
          <w:szCs w:val="22"/>
          <w:u w:val="single"/>
          <w:lang w:val="it-IT" w:eastAsia="en-US"/>
        </w:rPr>
        <w:t>Tocilizumab versus adalimumab in monoterapia</w:t>
      </w:r>
    </w:p>
    <w:p>
      <w:pPr>
        <w:keepNext/>
        <w:keepLines/>
        <w:numPr>
          <w:ilvl w:val="12"/>
          <w:numId w:val="0"/>
        </w:numPr>
        <w:rPr>
          <w:noProof/>
          <w:szCs w:val="22"/>
          <w:lang w:val="it-IT" w:eastAsia="en-US"/>
        </w:rPr>
      </w:pPr>
      <w:r>
        <w:rPr>
          <w:rFonts w:eastAsia="Calibri"/>
          <w:noProof/>
          <w:szCs w:val="22"/>
          <w:lang w:val="it-IT" w:eastAsia="en-US"/>
        </w:rPr>
        <w:t xml:space="preserve">Lo </w:t>
      </w:r>
      <w:del w:id="8768" w:author="Author">
        <w:r>
          <w:rPr>
            <w:rFonts w:eastAsia="Calibri"/>
            <w:noProof/>
            <w:szCs w:val="22"/>
            <w:lang w:val="it-IT" w:eastAsia="en-US"/>
          </w:rPr>
          <w:delText xml:space="preserve">studio </w:delText>
        </w:r>
      </w:del>
      <w:ins w:id="8769" w:author="Author">
        <w:r>
          <w:rPr>
            <w:rFonts w:eastAsia="Calibri"/>
            <w:noProof/>
            <w:szCs w:val="22"/>
            <w:lang w:val="it-IT" w:eastAsia="en-US"/>
          </w:rPr>
          <w:t xml:space="preserve">Studio </w:t>
        </w:r>
      </w:ins>
      <w:r>
        <w:rPr>
          <w:rFonts w:eastAsia="Calibri"/>
          <w:noProof/>
          <w:szCs w:val="22"/>
          <w:lang w:val="it-IT" w:eastAsia="en-US"/>
        </w:rPr>
        <w:t>VI (WA19924), uno studio clinico in doppio cieco di 24 settimane che ha confrontato la monoterapia di tocilizumab con la monoterapia di adalimumab, ha coinvolto 326 pazienti affetti da AR intolleranti al MTX o per i quali il trattamento continuato con MTX era considerato inappropriato (compresi pazienti con risposta inadeguata a MTX). I pazienti nel braccio RoActemra hanno ricevuto una infusione endovenosa di tocilizumab (8 mg/kg) ogni 4 tocilizumab (q4w) e una iniezione sottocute</w:t>
      </w:r>
      <w:del w:id="8770" w:author="Author">
        <w:r>
          <w:rPr>
            <w:rFonts w:eastAsia="Calibri"/>
            <w:noProof/>
            <w:szCs w:val="22"/>
            <w:lang w:val="it-IT" w:eastAsia="en-US"/>
          </w:rPr>
          <w:delText xml:space="preserve"> </w:delText>
        </w:r>
      </w:del>
      <w:r>
        <w:rPr>
          <w:rFonts w:eastAsia="Calibri"/>
          <w:noProof/>
          <w:szCs w:val="22"/>
          <w:lang w:val="it-IT" w:eastAsia="en-US"/>
        </w:rPr>
        <w:t xml:space="preserve"> di placebo ogni 2 settimane (q2w). I pazienti nel braccio adalimumab hanno ricevuto una iniezione di adalimumab sottocutanea. (40 mg) q2w e un’infusione endovenosa di placebo q4w.</w:t>
      </w:r>
    </w:p>
    <w:p>
      <w:pPr>
        <w:keepNext/>
        <w:keepLines/>
        <w:numPr>
          <w:ilvl w:val="12"/>
          <w:numId w:val="0"/>
        </w:numPr>
        <w:rPr>
          <w:noProof/>
          <w:szCs w:val="22"/>
          <w:lang w:val="it-IT" w:eastAsia="en-US"/>
        </w:rPr>
      </w:pPr>
      <w:r>
        <w:rPr>
          <w:rFonts w:eastAsia="Calibri"/>
          <w:noProof/>
          <w:szCs w:val="22"/>
          <w:lang w:val="it-IT" w:eastAsia="en-US"/>
        </w:rPr>
        <w:t>Un effetto superiore del trattamento, statisticamente significativo, è stato osservato in favore di tocilizumab rispetto ad adalimumab nel controllo nell’attività di malattia dal basale alla settimana 24 per l’endpoint primario di variazione nel DAS28 e per tutti gli endpoint secondari (Tabella 7).</w:t>
      </w:r>
    </w:p>
    <w:p>
      <w:pPr>
        <w:numPr>
          <w:ilvl w:val="12"/>
          <w:numId w:val="0"/>
        </w:numPr>
        <w:ind w:right="-2"/>
        <w:rPr>
          <w:noProof/>
          <w:szCs w:val="22"/>
          <w:lang w:val="it-IT"/>
        </w:rPr>
      </w:pPr>
    </w:p>
    <w:p>
      <w:pPr>
        <w:keepNext/>
        <w:keepLines/>
        <w:rPr>
          <w:rFonts w:eastAsia="Calibri"/>
          <w:bCs/>
          <w:i/>
          <w:noProof/>
          <w:szCs w:val="22"/>
          <w:lang w:val="it-IT" w:eastAsia="en-US"/>
        </w:rPr>
      </w:pPr>
      <w:r>
        <w:rPr>
          <w:rFonts w:eastAsia="Calibri"/>
          <w:bCs/>
          <w:i/>
          <w:noProof/>
          <w:szCs w:val="22"/>
          <w:lang w:val="it-IT" w:eastAsia="en-US"/>
        </w:rPr>
        <w:lastRenderedPageBreak/>
        <w:t xml:space="preserve">Tabella 7: Risultati di efficacia per lo </w:t>
      </w:r>
      <w:del w:id="8771" w:author="Author">
        <w:r>
          <w:rPr>
            <w:rFonts w:eastAsia="Calibri"/>
            <w:bCs/>
            <w:i/>
            <w:noProof/>
            <w:szCs w:val="22"/>
            <w:lang w:val="it-IT" w:eastAsia="en-US"/>
          </w:rPr>
          <w:delText xml:space="preserve">studio </w:delText>
        </w:r>
      </w:del>
      <w:ins w:id="8772" w:author="Author">
        <w:r>
          <w:rPr>
            <w:rFonts w:eastAsia="Calibri"/>
            <w:bCs/>
            <w:i/>
            <w:noProof/>
            <w:szCs w:val="22"/>
            <w:lang w:val="it-IT" w:eastAsia="en-US"/>
          </w:rPr>
          <w:t xml:space="preserve">Studio </w:t>
        </w:r>
      </w:ins>
      <w:r>
        <w:rPr>
          <w:rFonts w:eastAsia="Calibri"/>
          <w:bCs/>
          <w:i/>
          <w:noProof/>
          <w:szCs w:val="22"/>
          <w:lang w:val="it-IT" w:eastAsia="en-US"/>
        </w:rPr>
        <w:t>VI (WA19924)</w:t>
      </w:r>
    </w:p>
    <w:p>
      <w:pPr>
        <w:keepNext/>
        <w:keepLines/>
        <w:rPr>
          <w:noProof/>
          <w:szCs w:val="22"/>
          <w:lang w:val="it-IT" w:eastAsia="en-US"/>
        </w:rPr>
      </w:pPr>
    </w:p>
    <w:tbl>
      <w:tblPr>
        <w:tblW w:w="8926" w:type="dxa"/>
        <w:tblBorders>
          <w:top w:val="single" w:sz="8" w:space="0" w:color="auto"/>
          <w:left w:val="single" w:sz="4" w:space="0" w:color="auto"/>
          <w:bottom w:val="single" w:sz="4" w:space="0" w:color="auto"/>
          <w:right w:val="single" w:sz="8"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8773" w:author="Author">
          <w:tblPr>
            <w:tblW w:w="8075" w:type="dxa"/>
            <w:tblBorders>
              <w:top w:val="single" w:sz="8" w:space="0" w:color="auto"/>
              <w:left w:val="single" w:sz="4" w:space="0" w:color="auto"/>
              <w:bottom w:val="single" w:sz="4" w:space="0" w:color="auto"/>
              <w:right w:val="single" w:sz="8"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PrChange>
      </w:tblPr>
      <w:tblGrid>
        <w:gridCol w:w="3775"/>
        <w:gridCol w:w="1795"/>
        <w:gridCol w:w="1796"/>
        <w:gridCol w:w="1560"/>
        <w:tblGridChange w:id="8774">
          <w:tblGrid>
            <w:gridCol w:w="3539"/>
            <w:gridCol w:w="1559"/>
            <w:gridCol w:w="1701"/>
            <w:gridCol w:w="1276"/>
          </w:tblGrid>
        </w:tblGridChange>
      </w:tblGrid>
      <w:tr>
        <w:trPr>
          <w:cantSplit/>
          <w:trPrChange w:id="8775" w:author="Author">
            <w:trPr>
              <w:cantSplit/>
            </w:trPr>
          </w:trPrChange>
        </w:trPr>
        <w:tc>
          <w:tcPr>
            <w:tcW w:w="3775" w:type="dxa"/>
            <w:tcMar>
              <w:top w:w="0" w:type="dxa"/>
              <w:left w:w="57" w:type="dxa"/>
              <w:bottom w:w="0" w:type="dxa"/>
              <w:right w:w="57" w:type="dxa"/>
            </w:tcMar>
            <w:vAlign w:val="bottom"/>
            <w:tcPrChange w:id="8776" w:author="Author">
              <w:tcPr>
                <w:tcW w:w="3539" w:type="dxa"/>
                <w:tcMar>
                  <w:top w:w="0" w:type="dxa"/>
                  <w:left w:w="57" w:type="dxa"/>
                  <w:bottom w:w="0" w:type="dxa"/>
                  <w:right w:w="57" w:type="dxa"/>
                </w:tcMar>
                <w:vAlign w:val="bottom"/>
              </w:tcPr>
            </w:tcPrChange>
          </w:tcPr>
          <w:p>
            <w:pPr>
              <w:keepNext/>
              <w:suppressAutoHyphens/>
              <w:rPr>
                <w:noProof/>
                <w:sz w:val="20"/>
                <w:lang w:val="it-IT" w:eastAsia="zh-TW"/>
                <w:rPrChange w:id="8777" w:author="Author">
                  <w:rPr>
                    <w:szCs w:val="22"/>
                    <w:lang w:val="it-IT" w:eastAsia="zh-TW"/>
                  </w:rPr>
                </w:rPrChange>
              </w:rPr>
              <w:pPrChange w:id="8778" w:author="Author">
                <w:pPr>
                  <w:keepNext/>
                  <w:keepLines/>
                </w:pPr>
              </w:pPrChange>
            </w:pPr>
          </w:p>
        </w:tc>
        <w:tc>
          <w:tcPr>
            <w:tcW w:w="1795" w:type="dxa"/>
            <w:tcMar>
              <w:top w:w="0" w:type="dxa"/>
              <w:left w:w="57" w:type="dxa"/>
              <w:bottom w:w="0" w:type="dxa"/>
              <w:right w:w="57" w:type="dxa"/>
            </w:tcMar>
            <w:vAlign w:val="bottom"/>
            <w:tcPrChange w:id="8779" w:author="Author">
              <w:tcPr>
                <w:tcW w:w="1559" w:type="dxa"/>
                <w:tcMar>
                  <w:top w:w="0" w:type="dxa"/>
                  <w:left w:w="57" w:type="dxa"/>
                  <w:bottom w:w="0" w:type="dxa"/>
                  <w:right w:w="57" w:type="dxa"/>
                </w:tcMar>
                <w:vAlign w:val="bottom"/>
              </w:tcPr>
            </w:tcPrChange>
          </w:tcPr>
          <w:p>
            <w:pPr>
              <w:keepNext/>
              <w:suppressAutoHyphens/>
              <w:jc w:val="center"/>
              <w:rPr>
                <w:rFonts w:eastAsia="SimSun"/>
                <w:b/>
                <w:noProof/>
                <w:sz w:val="20"/>
                <w:lang w:val="pt-BR" w:eastAsia="en-US"/>
                <w:rPrChange w:id="8780" w:author="Author">
                  <w:rPr>
                    <w:rFonts w:eastAsia="SimSun"/>
                    <w:b/>
                    <w:szCs w:val="22"/>
                    <w:lang w:val="it-IT" w:eastAsia="en-US"/>
                  </w:rPr>
                </w:rPrChange>
              </w:rPr>
              <w:pPrChange w:id="8781" w:author="Author">
                <w:pPr>
                  <w:keepNext/>
                  <w:keepLines/>
                  <w:spacing w:before="50" w:after="50" w:line="240" w:lineRule="exact"/>
                  <w:jc w:val="center"/>
                </w:pPr>
              </w:pPrChange>
            </w:pPr>
            <w:r>
              <w:rPr>
                <w:rFonts w:eastAsia="Calibri"/>
                <w:b/>
                <w:noProof/>
                <w:sz w:val="20"/>
                <w:lang w:val="pt-BR" w:eastAsia="en-US"/>
                <w:rPrChange w:id="8782" w:author="Author">
                  <w:rPr>
                    <w:rFonts w:eastAsia="Calibri"/>
                    <w:b/>
                    <w:szCs w:val="22"/>
                    <w:lang w:val="it-IT" w:eastAsia="en-US"/>
                  </w:rPr>
                </w:rPrChange>
              </w:rPr>
              <w:t>ADA + Placebo (e.v.)</w:t>
            </w:r>
          </w:p>
          <w:p>
            <w:pPr>
              <w:keepNext/>
              <w:suppressAutoHyphens/>
              <w:jc w:val="center"/>
              <w:rPr>
                <w:rFonts w:eastAsia="SimSun"/>
                <w:b/>
                <w:noProof/>
                <w:sz w:val="20"/>
                <w:lang w:val="pt-BR" w:eastAsia="en-US"/>
                <w:rPrChange w:id="8783" w:author="Author">
                  <w:rPr>
                    <w:rFonts w:eastAsia="SimSun"/>
                    <w:b/>
                    <w:szCs w:val="22"/>
                    <w:lang w:val="it-IT" w:eastAsia="en-US"/>
                  </w:rPr>
                </w:rPrChange>
              </w:rPr>
              <w:pPrChange w:id="8784" w:author="Author">
                <w:pPr>
                  <w:keepNext/>
                  <w:keepLines/>
                  <w:spacing w:before="50" w:after="50" w:line="240" w:lineRule="exact"/>
                  <w:jc w:val="center"/>
                </w:pPr>
              </w:pPrChange>
            </w:pPr>
            <w:del w:id="8785" w:author="Author">
              <w:r>
                <w:rPr>
                  <w:rFonts w:eastAsia="Calibri"/>
                  <w:b/>
                  <w:noProof/>
                  <w:sz w:val="20"/>
                  <w:lang w:val="pt-BR" w:eastAsia="en-US"/>
                  <w:rPrChange w:id="8786" w:author="Author">
                    <w:rPr>
                      <w:rFonts w:eastAsia="Calibri"/>
                      <w:b/>
                      <w:szCs w:val="22"/>
                      <w:lang w:val="it-IT" w:eastAsia="en-US"/>
                    </w:rPr>
                  </w:rPrChange>
                </w:rPr>
                <w:delText xml:space="preserve">N </w:delText>
              </w:r>
            </w:del>
            <w:ins w:id="8787" w:author="Author">
              <w:r>
                <w:rPr>
                  <w:rFonts w:eastAsia="Calibri"/>
                  <w:b/>
                  <w:noProof/>
                  <w:sz w:val="20"/>
                  <w:lang w:val="pt-BR" w:eastAsia="en-US"/>
                  <w:rPrChange w:id="8788" w:author="Author">
                    <w:rPr>
                      <w:rFonts w:eastAsia="Calibri"/>
                      <w:b/>
                      <w:szCs w:val="22"/>
                      <w:lang w:val="it-IT" w:eastAsia="en-US"/>
                    </w:rPr>
                  </w:rPrChange>
                </w:rPr>
                <w:t>n </w:t>
              </w:r>
            </w:ins>
            <w:r>
              <w:rPr>
                <w:rFonts w:eastAsia="Calibri"/>
                <w:b/>
                <w:noProof/>
                <w:sz w:val="20"/>
                <w:lang w:val="pt-BR" w:eastAsia="en-US"/>
                <w:rPrChange w:id="8789" w:author="Author">
                  <w:rPr>
                    <w:rFonts w:eastAsia="Calibri"/>
                    <w:b/>
                    <w:szCs w:val="22"/>
                    <w:lang w:val="it-IT" w:eastAsia="en-US"/>
                  </w:rPr>
                </w:rPrChange>
              </w:rPr>
              <w:t>=</w:t>
            </w:r>
            <w:ins w:id="8790" w:author="Author">
              <w:r>
                <w:rPr>
                  <w:rFonts w:eastAsia="Calibri"/>
                  <w:b/>
                  <w:noProof/>
                  <w:sz w:val="20"/>
                  <w:lang w:val="pt-BR" w:eastAsia="en-US"/>
                  <w:rPrChange w:id="8791" w:author="Author">
                    <w:rPr>
                      <w:rFonts w:eastAsia="Calibri"/>
                      <w:b/>
                      <w:szCs w:val="22"/>
                      <w:lang w:val="it-IT" w:eastAsia="en-US"/>
                    </w:rPr>
                  </w:rPrChange>
                </w:rPr>
                <w:t> </w:t>
              </w:r>
            </w:ins>
            <w:del w:id="8792" w:author="Author">
              <w:r>
                <w:rPr>
                  <w:rFonts w:eastAsia="Calibri"/>
                  <w:b/>
                  <w:noProof/>
                  <w:sz w:val="20"/>
                  <w:lang w:val="pt-BR" w:eastAsia="en-US"/>
                  <w:rPrChange w:id="8793" w:author="Author">
                    <w:rPr>
                      <w:rFonts w:eastAsia="Calibri"/>
                      <w:b/>
                      <w:szCs w:val="22"/>
                      <w:lang w:val="it-IT" w:eastAsia="en-US"/>
                    </w:rPr>
                  </w:rPrChange>
                </w:rPr>
                <w:delText xml:space="preserve"> </w:delText>
              </w:r>
            </w:del>
            <w:r>
              <w:rPr>
                <w:rFonts w:eastAsia="Calibri"/>
                <w:b/>
                <w:noProof/>
                <w:sz w:val="20"/>
                <w:lang w:val="pt-BR" w:eastAsia="en-US"/>
                <w:rPrChange w:id="8794" w:author="Author">
                  <w:rPr>
                    <w:rFonts w:eastAsia="Calibri"/>
                    <w:b/>
                    <w:szCs w:val="22"/>
                    <w:lang w:val="it-IT" w:eastAsia="en-US"/>
                  </w:rPr>
                </w:rPrChange>
              </w:rPr>
              <w:t>162</w:t>
            </w:r>
          </w:p>
        </w:tc>
        <w:tc>
          <w:tcPr>
            <w:tcW w:w="1796" w:type="dxa"/>
            <w:tcMar>
              <w:top w:w="0" w:type="dxa"/>
              <w:left w:w="57" w:type="dxa"/>
              <w:bottom w:w="0" w:type="dxa"/>
              <w:right w:w="57" w:type="dxa"/>
            </w:tcMar>
            <w:vAlign w:val="bottom"/>
            <w:tcPrChange w:id="8795" w:author="Author">
              <w:tcPr>
                <w:tcW w:w="1701" w:type="dxa"/>
                <w:tcMar>
                  <w:top w:w="0" w:type="dxa"/>
                  <w:left w:w="57" w:type="dxa"/>
                  <w:bottom w:w="0" w:type="dxa"/>
                  <w:right w:w="57" w:type="dxa"/>
                </w:tcMar>
                <w:vAlign w:val="bottom"/>
              </w:tcPr>
            </w:tcPrChange>
          </w:tcPr>
          <w:p>
            <w:pPr>
              <w:keepNext/>
              <w:suppressAutoHyphens/>
              <w:jc w:val="center"/>
              <w:rPr>
                <w:rFonts w:eastAsia="SimSun"/>
                <w:b/>
                <w:noProof/>
                <w:sz w:val="20"/>
                <w:lang w:val="pt-BR" w:eastAsia="en-US"/>
                <w:rPrChange w:id="8796" w:author="Author">
                  <w:rPr>
                    <w:rFonts w:eastAsia="SimSun"/>
                    <w:b/>
                    <w:szCs w:val="22"/>
                    <w:lang w:val="en-GB" w:eastAsia="en-US"/>
                  </w:rPr>
                </w:rPrChange>
              </w:rPr>
              <w:pPrChange w:id="8797" w:author="Author">
                <w:pPr>
                  <w:keepNext/>
                  <w:keepLines/>
                  <w:spacing w:before="50" w:after="50" w:line="240" w:lineRule="exact"/>
                  <w:jc w:val="center"/>
                </w:pPr>
              </w:pPrChange>
            </w:pPr>
            <w:r>
              <w:rPr>
                <w:rFonts w:eastAsia="Calibri"/>
                <w:b/>
                <w:noProof/>
                <w:sz w:val="20"/>
                <w:lang w:val="pt-BR" w:eastAsia="en-US"/>
                <w:rPrChange w:id="8798" w:author="Author">
                  <w:rPr>
                    <w:rFonts w:eastAsia="Calibri"/>
                    <w:b/>
                    <w:szCs w:val="22"/>
                    <w:lang w:val="en-GB" w:eastAsia="en-US"/>
                  </w:rPr>
                </w:rPrChange>
              </w:rPr>
              <w:t>TCZ + Placebo (s.c.)</w:t>
            </w:r>
          </w:p>
          <w:p>
            <w:pPr>
              <w:keepNext/>
              <w:suppressAutoHyphens/>
              <w:jc w:val="center"/>
              <w:rPr>
                <w:rFonts w:eastAsia="SimSun"/>
                <w:b/>
                <w:noProof/>
                <w:sz w:val="20"/>
                <w:lang w:val="pt-BR" w:eastAsia="en-US"/>
                <w:rPrChange w:id="8799" w:author="Author">
                  <w:rPr>
                    <w:rFonts w:eastAsia="SimSun"/>
                    <w:b/>
                    <w:szCs w:val="22"/>
                    <w:lang w:val="en-GB" w:eastAsia="en-US"/>
                  </w:rPr>
                </w:rPrChange>
              </w:rPr>
              <w:pPrChange w:id="8800" w:author="Author">
                <w:pPr>
                  <w:keepNext/>
                  <w:keepLines/>
                  <w:spacing w:before="50" w:after="50" w:line="240" w:lineRule="exact"/>
                  <w:jc w:val="center"/>
                </w:pPr>
              </w:pPrChange>
            </w:pPr>
            <w:del w:id="8801" w:author="Author">
              <w:r>
                <w:rPr>
                  <w:rFonts w:eastAsia="Calibri"/>
                  <w:b/>
                  <w:noProof/>
                  <w:sz w:val="20"/>
                  <w:lang w:val="pt-BR" w:eastAsia="en-US"/>
                  <w:rPrChange w:id="8802" w:author="Author">
                    <w:rPr>
                      <w:rFonts w:eastAsia="Calibri"/>
                      <w:b/>
                      <w:szCs w:val="22"/>
                      <w:lang w:val="en-GB" w:eastAsia="en-US"/>
                    </w:rPr>
                  </w:rPrChange>
                </w:rPr>
                <w:delText xml:space="preserve">N </w:delText>
              </w:r>
            </w:del>
            <w:ins w:id="8803" w:author="Author">
              <w:r>
                <w:rPr>
                  <w:rFonts w:eastAsia="Calibri"/>
                  <w:b/>
                  <w:noProof/>
                  <w:sz w:val="20"/>
                  <w:lang w:val="pt-BR" w:eastAsia="en-US"/>
                  <w:rPrChange w:id="8804" w:author="Author">
                    <w:rPr>
                      <w:rFonts w:eastAsia="Calibri"/>
                      <w:b/>
                      <w:szCs w:val="22"/>
                      <w:lang w:val="en-GB" w:eastAsia="en-US"/>
                    </w:rPr>
                  </w:rPrChange>
                </w:rPr>
                <w:t>n </w:t>
              </w:r>
            </w:ins>
            <w:r>
              <w:rPr>
                <w:rFonts w:eastAsia="Calibri"/>
                <w:b/>
                <w:noProof/>
                <w:sz w:val="20"/>
                <w:lang w:val="pt-BR" w:eastAsia="en-US"/>
                <w:rPrChange w:id="8805" w:author="Author">
                  <w:rPr>
                    <w:rFonts w:eastAsia="Calibri"/>
                    <w:b/>
                    <w:szCs w:val="22"/>
                    <w:lang w:val="en-GB" w:eastAsia="en-US"/>
                  </w:rPr>
                </w:rPrChange>
              </w:rPr>
              <w:t>=</w:t>
            </w:r>
            <w:ins w:id="8806" w:author="Author">
              <w:r>
                <w:rPr>
                  <w:rFonts w:eastAsia="Calibri"/>
                  <w:b/>
                  <w:noProof/>
                  <w:sz w:val="20"/>
                  <w:lang w:val="pt-BR" w:eastAsia="en-US"/>
                  <w:rPrChange w:id="8807" w:author="Author">
                    <w:rPr>
                      <w:rFonts w:eastAsia="Calibri"/>
                      <w:b/>
                      <w:szCs w:val="22"/>
                      <w:lang w:val="en-GB" w:eastAsia="en-US"/>
                    </w:rPr>
                  </w:rPrChange>
                </w:rPr>
                <w:t> </w:t>
              </w:r>
            </w:ins>
            <w:del w:id="8808" w:author="Author">
              <w:r>
                <w:rPr>
                  <w:rFonts w:eastAsia="Calibri"/>
                  <w:b/>
                  <w:noProof/>
                  <w:sz w:val="20"/>
                  <w:lang w:val="pt-BR" w:eastAsia="en-US"/>
                  <w:rPrChange w:id="8809" w:author="Author">
                    <w:rPr>
                      <w:rFonts w:eastAsia="Calibri"/>
                      <w:b/>
                      <w:szCs w:val="22"/>
                      <w:lang w:val="en-GB" w:eastAsia="en-US"/>
                    </w:rPr>
                  </w:rPrChange>
                </w:rPr>
                <w:delText xml:space="preserve"> </w:delText>
              </w:r>
            </w:del>
            <w:r>
              <w:rPr>
                <w:rFonts w:eastAsia="Calibri"/>
                <w:b/>
                <w:noProof/>
                <w:sz w:val="20"/>
                <w:lang w:val="pt-BR" w:eastAsia="en-US"/>
                <w:rPrChange w:id="8810" w:author="Author">
                  <w:rPr>
                    <w:rFonts w:eastAsia="Calibri"/>
                    <w:b/>
                    <w:szCs w:val="22"/>
                    <w:lang w:val="en-GB" w:eastAsia="en-US"/>
                  </w:rPr>
                </w:rPrChange>
              </w:rPr>
              <w:t>163</w:t>
            </w:r>
          </w:p>
        </w:tc>
        <w:tc>
          <w:tcPr>
            <w:tcW w:w="1560" w:type="dxa"/>
            <w:tcMar>
              <w:top w:w="0" w:type="dxa"/>
              <w:left w:w="57" w:type="dxa"/>
              <w:bottom w:w="0" w:type="dxa"/>
              <w:right w:w="57" w:type="dxa"/>
            </w:tcMar>
            <w:vAlign w:val="bottom"/>
            <w:tcPrChange w:id="8811" w:author="Author">
              <w:tcPr>
                <w:tcW w:w="1276" w:type="dxa"/>
                <w:tcMar>
                  <w:top w:w="0" w:type="dxa"/>
                  <w:left w:w="57" w:type="dxa"/>
                  <w:bottom w:w="0" w:type="dxa"/>
                  <w:right w:w="57" w:type="dxa"/>
                </w:tcMar>
                <w:vAlign w:val="bottom"/>
              </w:tcPr>
            </w:tcPrChange>
          </w:tcPr>
          <w:p>
            <w:pPr>
              <w:keepNext/>
              <w:suppressAutoHyphens/>
              <w:jc w:val="center"/>
              <w:rPr>
                <w:rFonts w:eastAsia="SimSun"/>
                <w:b/>
                <w:bCs/>
                <w:noProof/>
                <w:sz w:val="20"/>
                <w:lang w:val="it-IT" w:eastAsia="en-US"/>
                <w:rPrChange w:id="8812" w:author="Author">
                  <w:rPr>
                    <w:rFonts w:eastAsia="SimSun"/>
                    <w:szCs w:val="22"/>
                    <w:lang w:val="it-IT" w:eastAsia="en-US"/>
                  </w:rPr>
                </w:rPrChange>
              </w:rPr>
              <w:pPrChange w:id="8813" w:author="Author">
                <w:pPr>
                  <w:keepNext/>
                  <w:keepLines/>
                  <w:spacing w:before="50" w:after="50" w:line="240" w:lineRule="exact"/>
                  <w:jc w:val="center"/>
                </w:pPr>
              </w:pPrChange>
            </w:pPr>
            <w:r>
              <w:rPr>
                <w:rFonts w:eastAsia="Calibri"/>
                <w:b/>
                <w:bCs/>
                <w:noProof/>
                <w:sz w:val="20"/>
                <w:lang w:val="it-IT" w:eastAsia="en-US"/>
                <w:rPrChange w:id="8814" w:author="Author">
                  <w:rPr>
                    <w:rFonts w:eastAsia="Calibri"/>
                    <w:szCs w:val="22"/>
                    <w:lang w:val="it-IT" w:eastAsia="en-US"/>
                  </w:rPr>
                </w:rPrChange>
              </w:rPr>
              <w:t>Valore p</w:t>
            </w:r>
            <w:r>
              <w:rPr>
                <w:rFonts w:eastAsia="Calibri"/>
                <w:b/>
                <w:bCs/>
                <w:noProof/>
                <w:sz w:val="20"/>
                <w:vertAlign w:val="superscript"/>
                <w:lang w:val="it-IT" w:eastAsia="en-US"/>
                <w:rPrChange w:id="8815" w:author="Author">
                  <w:rPr>
                    <w:rFonts w:eastAsia="Calibri"/>
                    <w:b/>
                    <w:szCs w:val="22"/>
                    <w:vertAlign w:val="superscript"/>
                    <w:lang w:val="it-IT" w:eastAsia="en-US"/>
                  </w:rPr>
                </w:rPrChange>
              </w:rPr>
              <w:t>(a)</w:t>
            </w:r>
          </w:p>
        </w:tc>
      </w:tr>
      <w:tr>
        <w:trPr>
          <w:cantSplit/>
          <w:trPrChange w:id="8816" w:author="Author">
            <w:trPr>
              <w:cantSplit/>
            </w:trPr>
          </w:trPrChange>
        </w:trPr>
        <w:tc>
          <w:tcPr>
            <w:tcW w:w="8926" w:type="dxa"/>
            <w:gridSpan w:val="4"/>
            <w:tcMar>
              <w:top w:w="0" w:type="dxa"/>
              <w:left w:w="57" w:type="dxa"/>
              <w:bottom w:w="0" w:type="dxa"/>
              <w:right w:w="57" w:type="dxa"/>
            </w:tcMar>
            <w:tcPrChange w:id="8817" w:author="Author">
              <w:tcPr>
                <w:tcW w:w="8075" w:type="dxa"/>
                <w:gridSpan w:val="4"/>
                <w:tcMar>
                  <w:top w:w="0" w:type="dxa"/>
                  <w:left w:w="57" w:type="dxa"/>
                  <w:bottom w:w="0" w:type="dxa"/>
                  <w:right w:w="57" w:type="dxa"/>
                </w:tcMar>
              </w:tcPr>
            </w:tcPrChange>
          </w:tcPr>
          <w:p>
            <w:pPr>
              <w:keepNext/>
              <w:suppressAutoHyphens/>
              <w:rPr>
                <w:rFonts w:eastAsia="SimSun"/>
                <w:noProof/>
                <w:sz w:val="20"/>
                <w:lang w:val="it-IT" w:eastAsia="en-US"/>
                <w:rPrChange w:id="8818" w:author="Author">
                  <w:rPr>
                    <w:rFonts w:eastAsia="SimSun"/>
                    <w:szCs w:val="22"/>
                    <w:lang w:val="it-IT" w:eastAsia="en-US"/>
                  </w:rPr>
                </w:rPrChange>
              </w:rPr>
              <w:pPrChange w:id="8819" w:author="Author">
                <w:pPr>
                  <w:keepNext/>
                  <w:keepLines/>
                  <w:spacing w:before="50" w:after="50" w:line="240" w:lineRule="exact"/>
                </w:pPr>
              </w:pPrChange>
            </w:pPr>
            <w:r>
              <w:rPr>
                <w:rFonts w:eastAsia="Calibri"/>
                <w:b/>
                <w:noProof/>
                <w:sz w:val="20"/>
                <w:lang w:val="it-IT" w:eastAsia="en-US"/>
                <w:rPrChange w:id="8820" w:author="Author">
                  <w:rPr>
                    <w:rFonts w:eastAsia="Calibri"/>
                    <w:b/>
                    <w:szCs w:val="22"/>
                    <w:lang w:val="it-IT" w:eastAsia="en-US"/>
                  </w:rPr>
                </w:rPrChange>
              </w:rPr>
              <w:t>Endpoint primario – Variazione media dal basale alla settimana 24</w:t>
            </w:r>
          </w:p>
        </w:tc>
      </w:tr>
      <w:tr>
        <w:trPr>
          <w:cantSplit/>
          <w:trPrChange w:id="8821" w:author="Author">
            <w:trPr>
              <w:cantSplit/>
            </w:trPr>
          </w:trPrChange>
        </w:trPr>
        <w:tc>
          <w:tcPr>
            <w:tcW w:w="3775" w:type="dxa"/>
            <w:tcMar>
              <w:top w:w="0" w:type="dxa"/>
              <w:left w:w="57" w:type="dxa"/>
              <w:bottom w:w="0" w:type="dxa"/>
              <w:right w:w="57" w:type="dxa"/>
            </w:tcMar>
            <w:tcPrChange w:id="8822" w:author="Author">
              <w:tcPr>
                <w:tcW w:w="3539" w:type="dxa"/>
                <w:tcMar>
                  <w:top w:w="0" w:type="dxa"/>
                  <w:left w:w="57" w:type="dxa"/>
                  <w:bottom w:w="0" w:type="dxa"/>
                  <w:right w:w="57" w:type="dxa"/>
                </w:tcMar>
              </w:tcPr>
            </w:tcPrChange>
          </w:tcPr>
          <w:p>
            <w:pPr>
              <w:keepNext/>
              <w:suppressAutoHyphens/>
              <w:jc w:val="right"/>
              <w:rPr>
                <w:rFonts w:eastAsia="SimSun"/>
                <w:bCs/>
                <w:noProof/>
                <w:sz w:val="20"/>
                <w:lang w:val="it-IT" w:eastAsia="en-US"/>
                <w:rPrChange w:id="8823" w:author="Author">
                  <w:rPr>
                    <w:rFonts w:eastAsia="SimSun"/>
                    <w:b/>
                    <w:szCs w:val="22"/>
                    <w:lang w:val="it-IT" w:eastAsia="en-US"/>
                  </w:rPr>
                </w:rPrChange>
              </w:rPr>
              <w:pPrChange w:id="8824" w:author="Author">
                <w:pPr>
                  <w:keepNext/>
                  <w:keepLines/>
                  <w:spacing w:before="50" w:after="50" w:line="240" w:lineRule="exact"/>
                  <w:jc w:val="right"/>
                </w:pPr>
              </w:pPrChange>
            </w:pPr>
            <w:r>
              <w:rPr>
                <w:rFonts w:eastAsia="Calibri"/>
                <w:bCs/>
                <w:noProof/>
                <w:sz w:val="20"/>
                <w:lang w:val="it-IT" w:eastAsia="en-US"/>
                <w:rPrChange w:id="8825" w:author="Author">
                  <w:rPr>
                    <w:rFonts w:eastAsia="Calibri"/>
                    <w:b/>
                    <w:szCs w:val="22"/>
                    <w:lang w:val="it-IT" w:eastAsia="en-US"/>
                  </w:rPr>
                </w:rPrChange>
              </w:rPr>
              <w:t xml:space="preserve">DAS28 (media aggiustata) </w:t>
            </w:r>
          </w:p>
        </w:tc>
        <w:tc>
          <w:tcPr>
            <w:tcW w:w="1795" w:type="dxa"/>
            <w:tcMar>
              <w:top w:w="0" w:type="dxa"/>
              <w:left w:w="57" w:type="dxa"/>
              <w:bottom w:w="0" w:type="dxa"/>
              <w:right w:w="57" w:type="dxa"/>
            </w:tcMar>
            <w:tcPrChange w:id="8826" w:author="Author">
              <w:tcPr>
                <w:tcW w:w="1559" w:type="dxa"/>
                <w:tcMar>
                  <w:top w:w="0" w:type="dxa"/>
                  <w:left w:w="57" w:type="dxa"/>
                  <w:bottom w:w="0" w:type="dxa"/>
                  <w:right w:w="57" w:type="dxa"/>
                </w:tcMar>
              </w:tcPr>
            </w:tcPrChange>
          </w:tcPr>
          <w:p>
            <w:pPr>
              <w:keepNext/>
              <w:suppressAutoHyphens/>
              <w:jc w:val="center"/>
              <w:rPr>
                <w:rFonts w:eastAsia="SimSun"/>
                <w:bCs/>
                <w:noProof/>
                <w:sz w:val="20"/>
                <w:lang w:val="it-IT" w:eastAsia="en-US"/>
                <w:rPrChange w:id="8827" w:author="Author">
                  <w:rPr>
                    <w:rFonts w:eastAsia="SimSun"/>
                    <w:b/>
                    <w:szCs w:val="22"/>
                    <w:lang w:val="it-IT" w:eastAsia="en-US"/>
                  </w:rPr>
                </w:rPrChange>
              </w:rPr>
              <w:pPrChange w:id="8828" w:author="Author">
                <w:pPr>
                  <w:keepNext/>
                  <w:keepLines/>
                  <w:spacing w:before="50" w:after="50" w:line="240" w:lineRule="exact"/>
                  <w:jc w:val="center"/>
                </w:pPr>
              </w:pPrChange>
            </w:pPr>
            <w:r>
              <w:rPr>
                <w:rFonts w:eastAsia="Calibri"/>
                <w:bCs/>
                <w:noProof/>
                <w:sz w:val="20"/>
                <w:lang w:val="it-IT" w:eastAsia="en-US"/>
                <w:rPrChange w:id="8829" w:author="Author">
                  <w:rPr>
                    <w:rFonts w:eastAsia="Calibri"/>
                    <w:b/>
                    <w:szCs w:val="22"/>
                    <w:lang w:val="it-IT" w:eastAsia="en-US"/>
                  </w:rPr>
                </w:rPrChange>
              </w:rPr>
              <w:t>-1,8</w:t>
            </w:r>
          </w:p>
        </w:tc>
        <w:tc>
          <w:tcPr>
            <w:tcW w:w="1796" w:type="dxa"/>
            <w:tcMar>
              <w:top w:w="0" w:type="dxa"/>
              <w:left w:w="57" w:type="dxa"/>
              <w:bottom w:w="0" w:type="dxa"/>
              <w:right w:w="57" w:type="dxa"/>
            </w:tcMar>
            <w:tcPrChange w:id="8830" w:author="Author">
              <w:tcPr>
                <w:tcW w:w="1701" w:type="dxa"/>
                <w:tcMar>
                  <w:top w:w="0" w:type="dxa"/>
                  <w:left w:w="57" w:type="dxa"/>
                  <w:bottom w:w="0" w:type="dxa"/>
                  <w:right w:w="57" w:type="dxa"/>
                </w:tcMar>
              </w:tcPr>
            </w:tcPrChange>
          </w:tcPr>
          <w:p>
            <w:pPr>
              <w:keepNext/>
              <w:suppressAutoHyphens/>
              <w:jc w:val="center"/>
              <w:rPr>
                <w:rFonts w:eastAsia="SimSun"/>
                <w:bCs/>
                <w:noProof/>
                <w:sz w:val="20"/>
                <w:lang w:val="it-IT" w:eastAsia="en-US"/>
                <w:rPrChange w:id="8831" w:author="Author">
                  <w:rPr>
                    <w:rFonts w:eastAsia="SimSun"/>
                    <w:b/>
                    <w:szCs w:val="22"/>
                    <w:lang w:val="it-IT" w:eastAsia="en-US"/>
                  </w:rPr>
                </w:rPrChange>
              </w:rPr>
              <w:pPrChange w:id="8832" w:author="Author">
                <w:pPr>
                  <w:keepNext/>
                  <w:keepLines/>
                  <w:spacing w:before="50" w:after="50" w:line="240" w:lineRule="exact"/>
                  <w:jc w:val="center"/>
                </w:pPr>
              </w:pPrChange>
            </w:pPr>
            <w:r>
              <w:rPr>
                <w:rFonts w:eastAsia="Calibri"/>
                <w:bCs/>
                <w:noProof/>
                <w:sz w:val="20"/>
                <w:lang w:val="it-IT" w:eastAsia="en-US"/>
                <w:rPrChange w:id="8833" w:author="Author">
                  <w:rPr>
                    <w:rFonts w:eastAsia="Calibri"/>
                    <w:b/>
                    <w:szCs w:val="22"/>
                    <w:lang w:val="it-IT" w:eastAsia="en-US"/>
                  </w:rPr>
                </w:rPrChange>
              </w:rPr>
              <w:t xml:space="preserve">-3,3 </w:t>
            </w:r>
          </w:p>
        </w:tc>
        <w:tc>
          <w:tcPr>
            <w:tcW w:w="1560" w:type="dxa"/>
            <w:tcMar>
              <w:top w:w="0" w:type="dxa"/>
              <w:left w:w="57" w:type="dxa"/>
              <w:bottom w:w="0" w:type="dxa"/>
              <w:right w:w="57" w:type="dxa"/>
            </w:tcMar>
            <w:tcPrChange w:id="8834" w:author="Author">
              <w:tcPr>
                <w:tcW w:w="1276" w:type="dxa"/>
                <w:tcMar>
                  <w:top w:w="0" w:type="dxa"/>
                  <w:left w:w="57" w:type="dxa"/>
                  <w:bottom w:w="0" w:type="dxa"/>
                  <w:right w:w="57" w:type="dxa"/>
                </w:tcMar>
              </w:tcPr>
            </w:tcPrChange>
          </w:tcPr>
          <w:p>
            <w:pPr>
              <w:keepNext/>
              <w:suppressAutoHyphens/>
              <w:jc w:val="center"/>
              <w:rPr>
                <w:rFonts w:eastAsia="SimSun"/>
                <w:bCs/>
                <w:noProof/>
                <w:sz w:val="20"/>
                <w:lang w:val="it-IT" w:eastAsia="zh-CN"/>
                <w:rPrChange w:id="8835" w:author="Author">
                  <w:rPr>
                    <w:rFonts w:eastAsia="SimSun"/>
                    <w:b/>
                    <w:szCs w:val="22"/>
                    <w:lang w:val="it-IT" w:eastAsia="zh-CN"/>
                  </w:rPr>
                </w:rPrChange>
              </w:rPr>
              <w:pPrChange w:id="8836" w:author="Author">
                <w:pPr>
                  <w:keepNext/>
                  <w:keepLines/>
                  <w:spacing w:before="50" w:after="50" w:line="240" w:lineRule="exact"/>
                  <w:jc w:val="center"/>
                </w:pPr>
              </w:pPrChange>
            </w:pPr>
          </w:p>
        </w:tc>
      </w:tr>
      <w:tr>
        <w:trPr>
          <w:cantSplit/>
          <w:trPrChange w:id="8837" w:author="Author">
            <w:trPr>
              <w:cantSplit/>
            </w:trPr>
          </w:trPrChange>
        </w:trPr>
        <w:tc>
          <w:tcPr>
            <w:tcW w:w="3775" w:type="dxa"/>
            <w:tcMar>
              <w:top w:w="0" w:type="dxa"/>
              <w:left w:w="57" w:type="dxa"/>
              <w:bottom w:w="0" w:type="dxa"/>
              <w:right w:w="57" w:type="dxa"/>
            </w:tcMar>
            <w:tcPrChange w:id="8838" w:author="Author">
              <w:tcPr>
                <w:tcW w:w="3539" w:type="dxa"/>
                <w:tcMar>
                  <w:top w:w="0" w:type="dxa"/>
                  <w:left w:w="57" w:type="dxa"/>
                  <w:bottom w:w="0" w:type="dxa"/>
                  <w:right w:w="57" w:type="dxa"/>
                </w:tcMar>
              </w:tcPr>
            </w:tcPrChange>
          </w:tcPr>
          <w:p>
            <w:pPr>
              <w:keepNext/>
              <w:suppressAutoHyphens/>
              <w:jc w:val="right"/>
              <w:rPr>
                <w:rFonts w:eastAsia="SimSun"/>
                <w:bCs/>
                <w:noProof/>
                <w:sz w:val="20"/>
                <w:lang w:val="it-IT" w:eastAsia="en-US"/>
                <w:rPrChange w:id="8839" w:author="Author">
                  <w:rPr>
                    <w:rFonts w:eastAsia="SimSun"/>
                    <w:b/>
                    <w:szCs w:val="22"/>
                    <w:lang w:val="it-IT" w:eastAsia="en-US"/>
                  </w:rPr>
                </w:rPrChange>
              </w:rPr>
              <w:pPrChange w:id="8840" w:author="Author">
                <w:pPr>
                  <w:keepNext/>
                  <w:keepLines/>
                  <w:spacing w:before="50" w:after="50" w:line="240" w:lineRule="exact"/>
                  <w:jc w:val="right"/>
                </w:pPr>
              </w:pPrChange>
            </w:pPr>
            <w:r>
              <w:rPr>
                <w:rFonts w:eastAsia="Calibri"/>
                <w:bCs/>
                <w:noProof/>
                <w:sz w:val="20"/>
                <w:lang w:val="it-IT" w:eastAsia="en-US"/>
                <w:rPrChange w:id="8841" w:author="Author">
                  <w:rPr>
                    <w:rFonts w:eastAsia="Calibri"/>
                    <w:b/>
                    <w:szCs w:val="22"/>
                    <w:lang w:val="it-IT" w:eastAsia="en-US"/>
                  </w:rPr>
                </w:rPrChange>
              </w:rPr>
              <w:t>Differenza nella media aggiustata (IC 95%)</w:t>
            </w:r>
          </w:p>
        </w:tc>
        <w:tc>
          <w:tcPr>
            <w:tcW w:w="3591" w:type="dxa"/>
            <w:gridSpan w:val="2"/>
            <w:tcMar>
              <w:top w:w="0" w:type="dxa"/>
              <w:left w:w="57" w:type="dxa"/>
              <w:bottom w:w="0" w:type="dxa"/>
              <w:right w:w="57" w:type="dxa"/>
            </w:tcMar>
            <w:tcPrChange w:id="8842" w:author="Author">
              <w:tcPr>
                <w:tcW w:w="3260" w:type="dxa"/>
                <w:gridSpan w:val="2"/>
                <w:tcMar>
                  <w:top w:w="0" w:type="dxa"/>
                  <w:left w:w="57" w:type="dxa"/>
                  <w:bottom w:w="0" w:type="dxa"/>
                  <w:right w:w="57" w:type="dxa"/>
                </w:tcMar>
              </w:tcPr>
            </w:tcPrChange>
          </w:tcPr>
          <w:p>
            <w:pPr>
              <w:keepNext/>
              <w:suppressAutoHyphens/>
              <w:jc w:val="center"/>
              <w:rPr>
                <w:rFonts w:eastAsia="SimSun"/>
                <w:bCs/>
                <w:noProof/>
                <w:sz w:val="20"/>
                <w:lang w:val="it-IT" w:eastAsia="en-US"/>
                <w:rPrChange w:id="8843" w:author="Author">
                  <w:rPr>
                    <w:rFonts w:eastAsia="SimSun"/>
                    <w:b/>
                    <w:szCs w:val="22"/>
                    <w:lang w:val="it-IT" w:eastAsia="en-US"/>
                  </w:rPr>
                </w:rPrChange>
              </w:rPr>
              <w:pPrChange w:id="8844" w:author="Author">
                <w:pPr>
                  <w:keepNext/>
                  <w:keepLines/>
                  <w:spacing w:before="50" w:after="50" w:line="240" w:lineRule="exact"/>
                  <w:jc w:val="center"/>
                </w:pPr>
              </w:pPrChange>
            </w:pPr>
            <w:r>
              <w:rPr>
                <w:rFonts w:eastAsia="Calibri"/>
                <w:bCs/>
                <w:noProof/>
                <w:sz w:val="20"/>
                <w:lang w:val="it-IT" w:eastAsia="en-US"/>
                <w:rPrChange w:id="8845" w:author="Author">
                  <w:rPr>
                    <w:rFonts w:eastAsia="Calibri"/>
                    <w:b/>
                    <w:szCs w:val="22"/>
                    <w:lang w:val="it-IT" w:eastAsia="en-US"/>
                  </w:rPr>
                </w:rPrChange>
              </w:rPr>
              <w:t>-1,5 (-1,8; -1,1)</w:t>
            </w:r>
          </w:p>
        </w:tc>
        <w:tc>
          <w:tcPr>
            <w:tcW w:w="1560" w:type="dxa"/>
            <w:tcMar>
              <w:top w:w="0" w:type="dxa"/>
              <w:left w:w="57" w:type="dxa"/>
              <w:bottom w:w="0" w:type="dxa"/>
              <w:right w:w="57" w:type="dxa"/>
            </w:tcMar>
            <w:tcPrChange w:id="8846" w:author="Author">
              <w:tcPr>
                <w:tcW w:w="1276" w:type="dxa"/>
                <w:tcMar>
                  <w:top w:w="0" w:type="dxa"/>
                  <w:left w:w="57" w:type="dxa"/>
                  <w:bottom w:w="0" w:type="dxa"/>
                  <w:right w:w="57" w:type="dxa"/>
                </w:tcMar>
              </w:tcPr>
            </w:tcPrChange>
          </w:tcPr>
          <w:p>
            <w:pPr>
              <w:keepNext/>
              <w:suppressAutoHyphens/>
              <w:jc w:val="center"/>
              <w:rPr>
                <w:rFonts w:eastAsia="SimSun"/>
                <w:bCs/>
                <w:noProof/>
                <w:sz w:val="20"/>
                <w:lang w:val="it-IT" w:eastAsia="en-US"/>
                <w:rPrChange w:id="8847" w:author="Author">
                  <w:rPr>
                    <w:rFonts w:eastAsia="SimSun"/>
                    <w:b/>
                    <w:szCs w:val="22"/>
                    <w:lang w:val="it-IT" w:eastAsia="en-US"/>
                  </w:rPr>
                </w:rPrChange>
              </w:rPr>
              <w:pPrChange w:id="8848" w:author="Author">
                <w:pPr>
                  <w:keepNext/>
                  <w:keepLines/>
                  <w:spacing w:before="50" w:after="50" w:line="240" w:lineRule="exact"/>
                  <w:jc w:val="center"/>
                </w:pPr>
              </w:pPrChange>
            </w:pPr>
            <w:r>
              <w:rPr>
                <w:rFonts w:eastAsia="Calibri"/>
                <w:bCs/>
                <w:noProof/>
                <w:sz w:val="20"/>
                <w:lang w:val="it-IT" w:eastAsia="en-US"/>
                <w:rPrChange w:id="8849" w:author="Author">
                  <w:rPr>
                    <w:rFonts w:eastAsia="Calibri"/>
                    <w:b/>
                    <w:szCs w:val="22"/>
                    <w:lang w:val="it-IT" w:eastAsia="en-US"/>
                  </w:rPr>
                </w:rPrChange>
              </w:rPr>
              <w:t>&lt;0,0001</w:t>
            </w:r>
          </w:p>
        </w:tc>
      </w:tr>
      <w:tr>
        <w:trPr>
          <w:cantSplit/>
          <w:trPrChange w:id="8850" w:author="Author">
            <w:trPr>
              <w:cantSplit/>
            </w:trPr>
          </w:trPrChange>
        </w:trPr>
        <w:tc>
          <w:tcPr>
            <w:tcW w:w="8926" w:type="dxa"/>
            <w:gridSpan w:val="4"/>
            <w:tcMar>
              <w:top w:w="0" w:type="dxa"/>
              <w:left w:w="57" w:type="dxa"/>
              <w:bottom w:w="0" w:type="dxa"/>
              <w:right w:w="57" w:type="dxa"/>
            </w:tcMar>
            <w:tcPrChange w:id="8851" w:author="Author">
              <w:tcPr>
                <w:tcW w:w="8075" w:type="dxa"/>
                <w:gridSpan w:val="4"/>
                <w:tcMar>
                  <w:top w:w="0" w:type="dxa"/>
                  <w:left w:w="57" w:type="dxa"/>
                  <w:bottom w:w="0" w:type="dxa"/>
                  <w:right w:w="57" w:type="dxa"/>
                </w:tcMar>
              </w:tcPr>
            </w:tcPrChange>
          </w:tcPr>
          <w:p>
            <w:pPr>
              <w:keepNext/>
              <w:suppressAutoHyphens/>
              <w:rPr>
                <w:rFonts w:eastAsia="SimSun"/>
                <w:noProof/>
                <w:sz w:val="20"/>
                <w:lang w:val="it-IT" w:eastAsia="en-US"/>
                <w:rPrChange w:id="8852" w:author="Author">
                  <w:rPr>
                    <w:rFonts w:eastAsia="SimSun"/>
                    <w:szCs w:val="22"/>
                    <w:lang w:val="it-IT" w:eastAsia="en-US"/>
                  </w:rPr>
                </w:rPrChange>
              </w:rPr>
              <w:pPrChange w:id="8853" w:author="Author">
                <w:pPr>
                  <w:keepNext/>
                  <w:keepLines/>
                  <w:spacing w:before="50" w:after="50" w:line="240" w:lineRule="exact"/>
                </w:pPr>
              </w:pPrChange>
            </w:pPr>
            <w:r>
              <w:rPr>
                <w:rFonts w:eastAsia="Calibri"/>
                <w:b/>
                <w:noProof/>
                <w:sz w:val="20"/>
                <w:lang w:val="it-IT" w:eastAsia="en-US"/>
                <w:rPrChange w:id="8854" w:author="Author">
                  <w:rPr>
                    <w:rFonts w:eastAsia="Calibri"/>
                    <w:b/>
                    <w:szCs w:val="22"/>
                    <w:lang w:val="it-IT" w:eastAsia="en-US"/>
                  </w:rPr>
                </w:rPrChange>
              </w:rPr>
              <w:t>Endpoint secondari - Percentuale di riposte alla settimana 24</w:t>
            </w:r>
            <w:r>
              <w:rPr>
                <w:rFonts w:eastAsia="Calibri"/>
                <w:b/>
                <w:noProof/>
                <w:sz w:val="20"/>
                <w:vertAlign w:val="superscript"/>
                <w:lang w:val="it-IT" w:eastAsia="en-US"/>
                <w:rPrChange w:id="8855" w:author="Author">
                  <w:rPr>
                    <w:rFonts w:eastAsia="Calibri"/>
                    <w:b/>
                    <w:szCs w:val="22"/>
                    <w:vertAlign w:val="superscript"/>
                    <w:lang w:val="it-IT" w:eastAsia="en-US"/>
                  </w:rPr>
                </w:rPrChange>
              </w:rPr>
              <w:t>(b)</w:t>
            </w:r>
          </w:p>
        </w:tc>
      </w:tr>
      <w:tr>
        <w:trPr>
          <w:cantSplit/>
          <w:trPrChange w:id="8856" w:author="Author">
            <w:trPr>
              <w:cantSplit/>
            </w:trPr>
          </w:trPrChange>
        </w:trPr>
        <w:tc>
          <w:tcPr>
            <w:tcW w:w="3775" w:type="dxa"/>
            <w:tcMar>
              <w:top w:w="0" w:type="dxa"/>
              <w:left w:w="57" w:type="dxa"/>
              <w:bottom w:w="0" w:type="dxa"/>
              <w:right w:w="57" w:type="dxa"/>
            </w:tcMar>
            <w:tcPrChange w:id="8857" w:author="Author">
              <w:tcPr>
                <w:tcW w:w="3539" w:type="dxa"/>
                <w:tcMar>
                  <w:top w:w="0" w:type="dxa"/>
                  <w:left w:w="57" w:type="dxa"/>
                  <w:bottom w:w="0" w:type="dxa"/>
                  <w:right w:w="57" w:type="dxa"/>
                </w:tcMar>
              </w:tcPr>
            </w:tcPrChange>
          </w:tcPr>
          <w:p>
            <w:pPr>
              <w:keepNext/>
              <w:suppressAutoHyphens/>
              <w:jc w:val="right"/>
              <w:rPr>
                <w:rFonts w:eastAsia="SimSun"/>
                <w:noProof/>
                <w:sz w:val="20"/>
                <w:lang w:val="it-IT" w:eastAsia="en-US"/>
                <w:rPrChange w:id="8858" w:author="Author">
                  <w:rPr>
                    <w:rFonts w:eastAsia="SimSun"/>
                    <w:szCs w:val="22"/>
                    <w:lang w:val="it-IT" w:eastAsia="en-US"/>
                  </w:rPr>
                </w:rPrChange>
              </w:rPr>
              <w:pPrChange w:id="8859" w:author="Author">
                <w:pPr>
                  <w:keepNext/>
                  <w:keepLines/>
                  <w:spacing w:before="50" w:after="50" w:line="240" w:lineRule="exact"/>
                  <w:jc w:val="right"/>
                </w:pPr>
              </w:pPrChange>
            </w:pPr>
            <w:r>
              <w:rPr>
                <w:rFonts w:eastAsia="Calibri"/>
                <w:noProof/>
                <w:sz w:val="20"/>
                <w:lang w:val="it-IT" w:eastAsia="en-US"/>
                <w:rPrChange w:id="8860" w:author="Author">
                  <w:rPr>
                    <w:rFonts w:eastAsia="Calibri"/>
                    <w:szCs w:val="22"/>
                    <w:lang w:val="it-IT" w:eastAsia="en-US"/>
                  </w:rPr>
                </w:rPrChange>
              </w:rPr>
              <w:t>DAS28</w:t>
            </w:r>
            <w:del w:id="8861" w:author="Author">
              <w:r>
                <w:rPr>
                  <w:rFonts w:eastAsia="Calibri"/>
                  <w:noProof/>
                  <w:sz w:val="20"/>
                  <w:lang w:val="it-IT" w:eastAsia="en-US"/>
                  <w:rPrChange w:id="8862" w:author="Author">
                    <w:rPr>
                      <w:rFonts w:eastAsia="Calibri"/>
                      <w:szCs w:val="22"/>
                      <w:lang w:val="it-IT" w:eastAsia="en-US"/>
                    </w:rPr>
                  </w:rPrChange>
                </w:rPr>
                <w:delText xml:space="preserve"> </w:delText>
              </w:r>
            </w:del>
            <w:ins w:id="8863" w:author="Author">
              <w:r>
                <w:rPr>
                  <w:rFonts w:eastAsia="Calibri"/>
                  <w:noProof/>
                  <w:sz w:val="20"/>
                  <w:lang w:val="it-IT" w:eastAsia="en-US"/>
                  <w:rPrChange w:id="8864" w:author="Author">
                    <w:rPr>
                      <w:rFonts w:eastAsia="Calibri"/>
                      <w:szCs w:val="22"/>
                      <w:lang w:val="it-IT" w:eastAsia="en-US"/>
                    </w:rPr>
                  </w:rPrChange>
                </w:rPr>
                <w:t> </w:t>
              </w:r>
            </w:ins>
            <w:r>
              <w:rPr>
                <w:rFonts w:eastAsia="Calibri"/>
                <w:noProof/>
                <w:sz w:val="20"/>
                <w:lang w:val="it-IT" w:eastAsia="en-US"/>
                <w:rPrChange w:id="8865" w:author="Author">
                  <w:rPr>
                    <w:rFonts w:eastAsia="Calibri"/>
                    <w:szCs w:val="22"/>
                    <w:lang w:val="it-IT" w:eastAsia="en-US"/>
                  </w:rPr>
                </w:rPrChange>
              </w:rPr>
              <w:t>&lt; 2,6; n (%)</w:t>
            </w:r>
          </w:p>
        </w:tc>
        <w:tc>
          <w:tcPr>
            <w:tcW w:w="1795" w:type="dxa"/>
            <w:tcMar>
              <w:top w:w="0" w:type="dxa"/>
              <w:left w:w="57" w:type="dxa"/>
              <w:bottom w:w="0" w:type="dxa"/>
              <w:right w:w="57" w:type="dxa"/>
            </w:tcMar>
            <w:tcPrChange w:id="8866" w:author="Author">
              <w:tcPr>
                <w:tcW w:w="1559" w:type="dxa"/>
                <w:tcMar>
                  <w:top w:w="0" w:type="dxa"/>
                  <w:left w:w="57" w:type="dxa"/>
                  <w:bottom w:w="0" w:type="dxa"/>
                  <w:right w:w="57" w:type="dxa"/>
                </w:tcMar>
              </w:tcPr>
            </w:tcPrChange>
          </w:tcPr>
          <w:p>
            <w:pPr>
              <w:keepNext/>
              <w:suppressAutoHyphens/>
              <w:jc w:val="center"/>
              <w:rPr>
                <w:rFonts w:eastAsia="SimSun"/>
                <w:noProof/>
                <w:sz w:val="20"/>
                <w:lang w:val="it-IT" w:eastAsia="en-US"/>
                <w:rPrChange w:id="8867" w:author="Author">
                  <w:rPr>
                    <w:rFonts w:eastAsia="SimSun"/>
                    <w:szCs w:val="22"/>
                    <w:lang w:val="it-IT" w:eastAsia="en-US"/>
                  </w:rPr>
                </w:rPrChange>
              </w:rPr>
              <w:pPrChange w:id="8868" w:author="Author">
                <w:pPr>
                  <w:keepNext/>
                  <w:keepLines/>
                  <w:spacing w:before="50" w:after="50" w:line="240" w:lineRule="exact"/>
                  <w:jc w:val="center"/>
                </w:pPr>
              </w:pPrChange>
            </w:pPr>
            <w:r>
              <w:rPr>
                <w:rFonts w:eastAsia="Calibri"/>
                <w:noProof/>
                <w:sz w:val="20"/>
                <w:lang w:val="it-IT" w:eastAsia="en-US"/>
                <w:rPrChange w:id="8869" w:author="Author">
                  <w:rPr>
                    <w:rFonts w:eastAsia="Calibri"/>
                    <w:szCs w:val="22"/>
                    <w:lang w:val="it-IT" w:eastAsia="en-US"/>
                  </w:rPr>
                </w:rPrChange>
              </w:rPr>
              <w:t>17 (10,5)</w:t>
            </w:r>
          </w:p>
        </w:tc>
        <w:tc>
          <w:tcPr>
            <w:tcW w:w="1796" w:type="dxa"/>
            <w:tcMar>
              <w:top w:w="0" w:type="dxa"/>
              <w:left w:w="57" w:type="dxa"/>
              <w:bottom w:w="0" w:type="dxa"/>
              <w:right w:w="57" w:type="dxa"/>
            </w:tcMar>
            <w:tcPrChange w:id="8870" w:author="Author">
              <w:tcPr>
                <w:tcW w:w="1701" w:type="dxa"/>
                <w:tcMar>
                  <w:top w:w="0" w:type="dxa"/>
                  <w:left w:w="57" w:type="dxa"/>
                  <w:bottom w:w="0" w:type="dxa"/>
                  <w:right w:w="57" w:type="dxa"/>
                </w:tcMar>
              </w:tcPr>
            </w:tcPrChange>
          </w:tcPr>
          <w:p>
            <w:pPr>
              <w:keepNext/>
              <w:suppressAutoHyphens/>
              <w:jc w:val="center"/>
              <w:rPr>
                <w:rFonts w:eastAsia="SimSun"/>
                <w:noProof/>
                <w:sz w:val="20"/>
                <w:lang w:val="it-IT" w:eastAsia="en-US"/>
                <w:rPrChange w:id="8871" w:author="Author">
                  <w:rPr>
                    <w:rFonts w:eastAsia="SimSun"/>
                    <w:szCs w:val="22"/>
                    <w:lang w:val="it-IT" w:eastAsia="en-US"/>
                  </w:rPr>
                </w:rPrChange>
              </w:rPr>
              <w:pPrChange w:id="8872" w:author="Author">
                <w:pPr>
                  <w:keepNext/>
                  <w:keepLines/>
                  <w:spacing w:before="50" w:after="50" w:line="240" w:lineRule="exact"/>
                  <w:jc w:val="center"/>
                </w:pPr>
              </w:pPrChange>
            </w:pPr>
            <w:r>
              <w:rPr>
                <w:rFonts w:eastAsia="Calibri"/>
                <w:noProof/>
                <w:sz w:val="20"/>
                <w:lang w:val="it-IT" w:eastAsia="en-US"/>
                <w:rPrChange w:id="8873" w:author="Author">
                  <w:rPr>
                    <w:rFonts w:eastAsia="Calibri"/>
                    <w:szCs w:val="22"/>
                    <w:lang w:val="it-IT" w:eastAsia="en-US"/>
                  </w:rPr>
                </w:rPrChange>
              </w:rPr>
              <w:t>65 (39,9)</w:t>
            </w:r>
          </w:p>
        </w:tc>
        <w:tc>
          <w:tcPr>
            <w:tcW w:w="1560" w:type="dxa"/>
            <w:tcMar>
              <w:top w:w="0" w:type="dxa"/>
              <w:left w:w="57" w:type="dxa"/>
              <w:bottom w:w="0" w:type="dxa"/>
              <w:right w:w="57" w:type="dxa"/>
            </w:tcMar>
            <w:tcPrChange w:id="8874" w:author="Author">
              <w:tcPr>
                <w:tcW w:w="1276" w:type="dxa"/>
                <w:tcMar>
                  <w:top w:w="0" w:type="dxa"/>
                  <w:left w:w="57" w:type="dxa"/>
                  <w:bottom w:w="0" w:type="dxa"/>
                  <w:right w:w="57" w:type="dxa"/>
                </w:tcMar>
              </w:tcPr>
            </w:tcPrChange>
          </w:tcPr>
          <w:p>
            <w:pPr>
              <w:keepNext/>
              <w:suppressAutoHyphens/>
              <w:jc w:val="center"/>
              <w:rPr>
                <w:rFonts w:eastAsia="SimSun"/>
                <w:noProof/>
                <w:sz w:val="20"/>
                <w:lang w:val="it-IT" w:eastAsia="en-US"/>
                <w:rPrChange w:id="8875" w:author="Author">
                  <w:rPr>
                    <w:rFonts w:eastAsia="SimSun"/>
                    <w:szCs w:val="22"/>
                    <w:lang w:val="it-IT" w:eastAsia="en-US"/>
                  </w:rPr>
                </w:rPrChange>
              </w:rPr>
              <w:pPrChange w:id="8876" w:author="Author">
                <w:pPr>
                  <w:keepNext/>
                  <w:keepLines/>
                  <w:spacing w:before="50" w:after="50" w:line="240" w:lineRule="exact"/>
                  <w:jc w:val="center"/>
                </w:pPr>
              </w:pPrChange>
            </w:pPr>
            <w:r>
              <w:rPr>
                <w:rFonts w:eastAsia="Calibri"/>
                <w:noProof/>
                <w:sz w:val="20"/>
                <w:lang w:val="it-IT" w:eastAsia="en-US"/>
                <w:rPrChange w:id="8877" w:author="Author">
                  <w:rPr>
                    <w:rFonts w:eastAsia="Calibri"/>
                    <w:szCs w:val="22"/>
                    <w:lang w:val="it-IT" w:eastAsia="en-US"/>
                  </w:rPr>
                </w:rPrChange>
              </w:rPr>
              <w:t>&lt;0,0001</w:t>
            </w:r>
          </w:p>
        </w:tc>
      </w:tr>
      <w:tr>
        <w:trPr>
          <w:cantSplit/>
          <w:trPrChange w:id="8878" w:author="Author">
            <w:trPr>
              <w:cantSplit/>
            </w:trPr>
          </w:trPrChange>
        </w:trPr>
        <w:tc>
          <w:tcPr>
            <w:tcW w:w="3775" w:type="dxa"/>
            <w:tcMar>
              <w:top w:w="0" w:type="dxa"/>
              <w:left w:w="57" w:type="dxa"/>
              <w:bottom w:w="0" w:type="dxa"/>
              <w:right w:w="57" w:type="dxa"/>
            </w:tcMar>
            <w:tcPrChange w:id="8879" w:author="Author">
              <w:tcPr>
                <w:tcW w:w="3539" w:type="dxa"/>
                <w:tcMar>
                  <w:top w:w="0" w:type="dxa"/>
                  <w:left w:w="57" w:type="dxa"/>
                  <w:bottom w:w="0" w:type="dxa"/>
                  <w:right w:w="57" w:type="dxa"/>
                </w:tcMar>
              </w:tcPr>
            </w:tcPrChange>
          </w:tcPr>
          <w:p>
            <w:pPr>
              <w:keepNext/>
              <w:suppressAutoHyphens/>
              <w:jc w:val="right"/>
              <w:rPr>
                <w:rFonts w:eastAsia="SimSun"/>
                <w:noProof/>
                <w:sz w:val="20"/>
                <w:lang w:val="it-IT" w:eastAsia="en-US"/>
                <w:rPrChange w:id="8880" w:author="Author">
                  <w:rPr>
                    <w:rFonts w:eastAsia="SimSun"/>
                    <w:szCs w:val="22"/>
                    <w:lang w:val="it-IT" w:eastAsia="en-US"/>
                  </w:rPr>
                </w:rPrChange>
              </w:rPr>
              <w:pPrChange w:id="8881" w:author="Author">
                <w:pPr>
                  <w:keepNext/>
                  <w:keepLines/>
                  <w:spacing w:before="50" w:after="50" w:line="240" w:lineRule="exact"/>
                  <w:jc w:val="right"/>
                </w:pPr>
              </w:pPrChange>
            </w:pPr>
            <w:r>
              <w:rPr>
                <w:rFonts w:eastAsia="Calibri"/>
                <w:noProof/>
                <w:sz w:val="20"/>
                <w:lang w:val="it-IT" w:eastAsia="en-US"/>
                <w:rPrChange w:id="8882" w:author="Author">
                  <w:rPr>
                    <w:rFonts w:eastAsia="Calibri"/>
                    <w:szCs w:val="22"/>
                    <w:lang w:val="it-IT" w:eastAsia="en-US"/>
                  </w:rPr>
                </w:rPrChange>
              </w:rPr>
              <w:t>DAS28</w:t>
            </w:r>
            <w:del w:id="8883" w:author="Author">
              <w:r>
                <w:rPr>
                  <w:rFonts w:eastAsia="Calibri"/>
                  <w:noProof/>
                  <w:sz w:val="20"/>
                  <w:lang w:val="it-IT" w:eastAsia="en-US"/>
                  <w:rPrChange w:id="8884" w:author="Author">
                    <w:rPr>
                      <w:rFonts w:eastAsia="Calibri"/>
                      <w:szCs w:val="22"/>
                      <w:lang w:val="it-IT" w:eastAsia="en-US"/>
                    </w:rPr>
                  </w:rPrChange>
                </w:rPr>
                <w:delText xml:space="preserve"> </w:delText>
              </w:r>
            </w:del>
            <w:ins w:id="8885" w:author="Author">
              <w:r>
                <w:rPr>
                  <w:rFonts w:eastAsia="Calibri"/>
                  <w:noProof/>
                  <w:sz w:val="20"/>
                  <w:lang w:val="it-IT" w:eastAsia="en-US"/>
                  <w:rPrChange w:id="8886" w:author="Author">
                    <w:rPr>
                      <w:rFonts w:eastAsia="Calibri"/>
                      <w:szCs w:val="22"/>
                      <w:lang w:val="it-IT" w:eastAsia="en-US"/>
                    </w:rPr>
                  </w:rPrChange>
                </w:rPr>
                <w:t> </w:t>
              </w:r>
            </w:ins>
            <w:r>
              <w:rPr>
                <w:rFonts w:eastAsia="Calibri"/>
                <w:noProof/>
                <w:sz w:val="20"/>
                <w:lang w:val="it-IT" w:eastAsia="en-US"/>
                <w:rPrChange w:id="8887" w:author="Author">
                  <w:rPr>
                    <w:rFonts w:eastAsia="Calibri"/>
                    <w:szCs w:val="22"/>
                    <w:lang w:val="it-IT" w:eastAsia="en-US"/>
                  </w:rPr>
                </w:rPrChange>
              </w:rPr>
              <w:t xml:space="preserve">≤ 3,2; n (%) </w:t>
            </w:r>
          </w:p>
        </w:tc>
        <w:tc>
          <w:tcPr>
            <w:tcW w:w="1795" w:type="dxa"/>
            <w:tcMar>
              <w:top w:w="0" w:type="dxa"/>
              <w:left w:w="57" w:type="dxa"/>
              <w:bottom w:w="0" w:type="dxa"/>
              <w:right w:w="57" w:type="dxa"/>
            </w:tcMar>
            <w:tcPrChange w:id="8888" w:author="Author">
              <w:tcPr>
                <w:tcW w:w="1559" w:type="dxa"/>
                <w:tcMar>
                  <w:top w:w="0" w:type="dxa"/>
                  <w:left w:w="57" w:type="dxa"/>
                  <w:bottom w:w="0" w:type="dxa"/>
                  <w:right w:w="57" w:type="dxa"/>
                </w:tcMar>
              </w:tcPr>
            </w:tcPrChange>
          </w:tcPr>
          <w:p>
            <w:pPr>
              <w:keepNext/>
              <w:suppressAutoHyphens/>
              <w:jc w:val="center"/>
              <w:rPr>
                <w:rFonts w:eastAsia="SimSun"/>
                <w:noProof/>
                <w:sz w:val="20"/>
                <w:lang w:val="it-IT" w:eastAsia="en-US"/>
                <w:rPrChange w:id="8889" w:author="Author">
                  <w:rPr>
                    <w:rFonts w:eastAsia="SimSun"/>
                    <w:szCs w:val="22"/>
                    <w:lang w:val="it-IT" w:eastAsia="en-US"/>
                  </w:rPr>
                </w:rPrChange>
              </w:rPr>
              <w:pPrChange w:id="8890" w:author="Author">
                <w:pPr>
                  <w:keepNext/>
                  <w:keepLines/>
                  <w:spacing w:before="50" w:after="50" w:line="240" w:lineRule="exact"/>
                  <w:jc w:val="center"/>
                </w:pPr>
              </w:pPrChange>
            </w:pPr>
            <w:r>
              <w:rPr>
                <w:rFonts w:eastAsia="Calibri"/>
                <w:noProof/>
                <w:sz w:val="20"/>
                <w:lang w:val="it-IT" w:eastAsia="en-US"/>
                <w:rPrChange w:id="8891" w:author="Author">
                  <w:rPr>
                    <w:rFonts w:eastAsia="Calibri"/>
                    <w:szCs w:val="22"/>
                    <w:lang w:val="it-IT" w:eastAsia="en-US"/>
                  </w:rPr>
                </w:rPrChange>
              </w:rPr>
              <w:t xml:space="preserve">32 (19,8) </w:t>
            </w:r>
          </w:p>
        </w:tc>
        <w:tc>
          <w:tcPr>
            <w:tcW w:w="1796" w:type="dxa"/>
            <w:tcMar>
              <w:top w:w="0" w:type="dxa"/>
              <w:left w:w="57" w:type="dxa"/>
              <w:bottom w:w="0" w:type="dxa"/>
              <w:right w:w="57" w:type="dxa"/>
            </w:tcMar>
            <w:tcPrChange w:id="8892" w:author="Author">
              <w:tcPr>
                <w:tcW w:w="1701" w:type="dxa"/>
                <w:tcMar>
                  <w:top w:w="0" w:type="dxa"/>
                  <w:left w:w="57" w:type="dxa"/>
                  <w:bottom w:w="0" w:type="dxa"/>
                  <w:right w:w="57" w:type="dxa"/>
                </w:tcMar>
              </w:tcPr>
            </w:tcPrChange>
          </w:tcPr>
          <w:p>
            <w:pPr>
              <w:keepNext/>
              <w:suppressAutoHyphens/>
              <w:jc w:val="center"/>
              <w:rPr>
                <w:rFonts w:eastAsia="SimSun"/>
                <w:noProof/>
                <w:sz w:val="20"/>
                <w:lang w:val="it-IT" w:eastAsia="en-US"/>
                <w:rPrChange w:id="8893" w:author="Author">
                  <w:rPr>
                    <w:rFonts w:eastAsia="SimSun"/>
                    <w:szCs w:val="22"/>
                    <w:lang w:val="it-IT" w:eastAsia="en-US"/>
                  </w:rPr>
                </w:rPrChange>
              </w:rPr>
              <w:pPrChange w:id="8894" w:author="Author">
                <w:pPr>
                  <w:keepNext/>
                  <w:keepLines/>
                  <w:spacing w:before="50" w:after="50" w:line="240" w:lineRule="exact"/>
                  <w:jc w:val="center"/>
                </w:pPr>
              </w:pPrChange>
            </w:pPr>
            <w:r>
              <w:rPr>
                <w:rFonts w:eastAsia="Calibri"/>
                <w:noProof/>
                <w:sz w:val="20"/>
                <w:lang w:val="it-IT" w:eastAsia="en-US"/>
                <w:rPrChange w:id="8895" w:author="Author">
                  <w:rPr>
                    <w:rFonts w:eastAsia="Calibri"/>
                    <w:szCs w:val="22"/>
                    <w:lang w:val="it-IT" w:eastAsia="en-US"/>
                  </w:rPr>
                </w:rPrChange>
              </w:rPr>
              <w:t>84 (51,5)</w:t>
            </w:r>
          </w:p>
        </w:tc>
        <w:tc>
          <w:tcPr>
            <w:tcW w:w="1560" w:type="dxa"/>
            <w:tcMar>
              <w:top w:w="0" w:type="dxa"/>
              <w:left w:w="57" w:type="dxa"/>
              <w:bottom w:w="0" w:type="dxa"/>
              <w:right w:w="57" w:type="dxa"/>
            </w:tcMar>
            <w:tcPrChange w:id="8896" w:author="Author">
              <w:tcPr>
                <w:tcW w:w="1276" w:type="dxa"/>
                <w:tcMar>
                  <w:top w:w="0" w:type="dxa"/>
                  <w:left w:w="57" w:type="dxa"/>
                  <w:bottom w:w="0" w:type="dxa"/>
                  <w:right w:w="57" w:type="dxa"/>
                </w:tcMar>
              </w:tcPr>
            </w:tcPrChange>
          </w:tcPr>
          <w:p>
            <w:pPr>
              <w:keepNext/>
              <w:suppressAutoHyphens/>
              <w:jc w:val="center"/>
              <w:rPr>
                <w:rFonts w:eastAsia="SimSun"/>
                <w:noProof/>
                <w:sz w:val="20"/>
                <w:lang w:val="it-IT" w:eastAsia="en-US"/>
                <w:rPrChange w:id="8897" w:author="Author">
                  <w:rPr>
                    <w:rFonts w:eastAsia="SimSun"/>
                    <w:szCs w:val="22"/>
                    <w:lang w:val="it-IT" w:eastAsia="en-US"/>
                  </w:rPr>
                </w:rPrChange>
              </w:rPr>
              <w:pPrChange w:id="8898" w:author="Author">
                <w:pPr>
                  <w:keepNext/>
                  <w:keepLines/>
                  <w:spacing w:before="50" w:after="50" w:line="240" w:lineRule="exact"/>
                  <w:jc w:val="center"/>
                </w:pPr>
              </w:pPrChange>
            </w:pPr>
            <w:r>
              <w:rPr>
                <w:rFonts w:eastAsia="Calibri"/>
                <w:noProof/>
                <w:sz w:val="20"/>
                <w:lang w:val="it-IT" w:eastAsia="en-US"/>
                <w:rPrChange w:id="8899" w:author="Author">
                  <w:rPr>
                    <w:rFonts w:eastAsia="Calibri"/>
                    <w:szCs w:val="22"/>
                    <w:lang w:val="it-IT" w:eastAsia="en-US"/>
                  </w:rPr>
                </w:rPrChange>
              </w:rPr>
              <w:t>&lt;0,0001</w:t>
            </w:r>
          </w:p>
        </w:tc>
      </w:tr>
      <w:tr>
        <w:trPr>
          <w:cantSplit/>
          <w:trPrChange w:id="8900" w:author="Author">
            <w:trPr>
              <w:cantSplit/>
            </w:trPr>
          </w:trPrChange>
        </w:trPr>
        <w:tc>
          <w:tcPr>
            <w:tcW w:w="3775" w:type="dxa"/>
            <w:tcMar>
              <w:top w:w="0" w:type="dxa"/>
              <w:left w:w="57" w:type="dxa"/>
              <w:bottom w:w="0" w:type="dxa"/>
              <w:right w:w="57" w:type="dxa"/>
            </w:tcMar>
            <w:tcPrChange w:id="8901" w:author="Author">
              <w:tcPr>
                <w:tcW w:w="3539" w:type="dxa"/>
                <w:tcMar>
                  <w:top w:w="0" w:type="dxa"/>
                  <w:left w:w="57" w:type="dxa"/>
                  <w:bottom w:w="0" w:type="dxa"/>
                  <w:right w:w="57" w:type="dxa"/>
                </w:tcMar>
              </w:tcPr>
            </w:tcPrChange>
          </w:tcPr>
          <w:p>
            <w:pPr>
              <w:keepNext/>
              <w:suppressAutoHyphens/>
              <w:jc w:val="right"/>
              <w:rPr>
                <w:rFonts w:eastAsia="SimSun"/>
                <w:noProof/>
                <w:sz w:val="20"/>
                <w:lang w:val="it-IT" w:eastAsia="en-US"/>
                <w:rPrChange w:id="8902" w:author="Author">
                  <w:rPr>
                    <w:rFonts w:eastAsia="SimSun"/>
                    <w:szCs w:val="22"/>
                    <w:lang w:val="it-IT" w:eastAsia="en-US"/>
                  </w:rPr>
                </w:rPrChange>
              </w:rPr>
              <w:pPrChange w:id="8903" w:author="Author">
                <w:pPr>
                  <w:keepNext/>
                  <w:keepLines/>
                  <w:spacing w:before="50" w:after="50" w:line="240" w:lineRule="exact"/>
                  <w:jc w:val="right"/>
                </w:pPr>
              </w:pPrChange>
            </w:pPr>
            <w:r>
              <w:rPr>
                <w:rFonts w:eastAsia="Calibri"/>
                <w:noProof/>
                <w:sz w:val="20"/>
                <w:lang w:val="it-IT" w:eastAsia="en-US"/>
                <w:rPrChange w:id="8904" w:author="Author">
                  <w:rPr>
                    <w:rFonts w:eastAsia="Calibri"/>
                    <w:szCs w:val="22"/>
                    <w:lang w:val="it-IT" w:eastAsia="en-US"/>
                  </w:rPr>
                </w:rPrChange>
              </w:rPr>
              <w:t>Risposta ACR20, n (%)</w:t>
            </w:r>
          </w:p>
        </w:tc>
        <w:tc>
          <w:tcPr>
            <w:tcW w:w="1795" w:type="dxa"/>
            <w:tcMar>
              <w:top w:w="0" w:type="dxa"/>
              <w:left w:w="57" w:type="dxa"/>
              <w:bottom w:w="0" w:type="dxa"/>
              <w:right w:w="57" w:type="dxa"/>
            </w:tcMar>
            <w:tcPrChange w:id="8905" w:author="Author">
              <w:tcPr>
                <w:tcW w:w="1559" w:type="dxa"/>
                <w:tcMar>
                  <w:top w:w="0" w:type="dxa"/>
                  <w:left w:w="57" w:type="dxa"/>
                  <w:bottom w:w="0" w:type="dxa"/>
                  <w:right w:w="57" w:type="dxa"/>
                </w:tcMar>
              </w:tcPr>
            </w:tcPrChange>
          </w:tcPr>
          <w:p>
            <w:pPr>
              <w:keepNext/>
              <w:suppressAutoHyphens/>
              <w:jc w:val="center"/>
              <w:rPr>
                <w:rFonts w:eastAsia="SimSun"/>
                <w:noProof/>
                <w:sz w:val="20"/>
                <w:lang w:val="it-IT" w:eastAsia="en-US"/>
                <w:rPrChange w:id="8906" w:author="Author">
                  <w:rPr>
                    <w:rFonts w:eastAsia="SimSun"/>
                    <w:szCs w:val="22"/>
                    <w:lang w:val="it-IT" w:eastAsia="en-US"/>
                  </w:rPr>
                </w:rPrChange>
              </w:rPr>
              <w:pPrChange w:id="8907" w:author="Author">
                <w:pPr>
                  <w:keepNext/>
                  <w:keepLines/>
                  <w:spacing w:before="50" w:after="50" w:line="240" w:lineRule="exact"/>
                  <w:jc w:val="center"/>
                </w:pPr>
              </w:pPrChange>
            </w:pPr>
            <w:r>
              <w:rPr>
                <w:rFonts w:eastAsia="Calibri"/>
                <w:noProof/>
                <w:sz w:val="20"/>
                <w:lang w:val="it-IT" w:eastAsia="en-US"/>
                <w:rPrChange w:id="8908" w:author="Author">
                  <w:rPr>
                    <w:rFonts w:eastAsia="Calibri"/>
                    <w:szCs w:val="22"/>
                    <w:lang w:val="it-IT" w:eastAsia="en-US"/>
                  </w:rPr>
                </w:rPrChange>
              </w:rPr>
              <w:t>80 (49,4)</w:t>
            </w:r>
          </w:p>
        </w:tc>
        <w:tc>
          <w:tcPr>
            <w:tcW w:w="1796" w:type="dxa"/>
            <w:tcMar>
              <w:top w:w="0" w:type="dxa"/>
              <w:left w:w="57" w:type="dxa"/>
              <w:bottom w:w="0" w:type="dxa"/>
              <w:right w:w="57" w:type="dxa"/>
            </w:tcMar>
            <w:tcPrChange w:id="8909" w:author="Author">
              <w:tcPr>
                <w:tcW w:w="1701" w:type="dxa"/>
                <w:tcMar>
                  <w:top w:w="0" w:type="dxa"/>
                  <w:left w:w="57" w:type="dxa"/>
                  <w:bottom w:w="0" w:type="dxa"/>
                  <w:right w:w="57" w:type="dxa"/>
                </w:tcMar>
              </w:tcPr>
            </w:tcPrChange>
          </w:tcPr>
          <w:p>
            <w:pPr>
              <w:keepNext/>
              <w:suppressAutoHyphens/>
              <w:jc w:val="center"/>
              <w:rPr>
                <w:rFonts w:eastAsia="SimSun"/>
                <w:noProof/>
                <w:sz w:val="20"/>
                <w:lang w:val="it-IT" w:eastAsia="en-US"/>
                <w:rPrChange w:id="8910" w:author="Author">
                  <w:rPr>
                    <w:rFonts w:eastAsia="SimSun"/>
                    <w:szCs w:val="22"/>
                    <w:lang w:val="it-IT" w:eastAsia="en-US"/>
                  </w:rPr>
                </w:rPrChange>
              </w:rPr>
              <w:pPrChange w:id="8911" w:author="Author">
                <w:pPr>
                  <w:keepNext/>
                  <w:keepLines/>
                  <w:spacing w:before="50" w:after="50" w:line="240" w:lineRule="exact"/>
                  <w:jc w:val="center"/>
                </w:pPr>
              </w:pPrChange>
            </w:pPr>
            <w:r>
              <w:rPr>
                <w:rFonts w:eastAsia="Calibri"/>
                <w:noProof/>
                <w:sz w:val="20"/>
                <w:lang w:val="it-IT" w:eastAsia="en-US"/>
                <w:rPrChange w:id="8912" w:author="Author">
                  <w:rPr>
                    <w:rFonts w:eastAsia="Calibri"/>
                    <w:szCs w:val="22"/>
                    <w:lang w:val="it-IT" w:eastAsia="en-US"/>
                  </w:rPr>
                </w:rPrChange>
              </w:rPr>
              <w:t>106 (65,0)</w:t>
            </w:r>
          </w:p>
        </w:tc>
        <w:tc>
          <w:tcPr>
            <w:tcW w:w="1560" w:type="dxa"/>
            <w:tcMar>
              <w:top w:w="0" w:type="dxa"/>
              <w:left w:w="57" w:type="dxa"/>
              <w:bottom w:w="0" w:type="dxa"/>
              <w:right w:w="57" w:type="dxa"/>
            </w:tcMar>
            <w:tcPrChange w:id="8913" w:author="Author">
              <w:tcPr>
                <w:tcW w:w="1276" w:type="dxa"/>
                <w:tcMar>
                  <w:top w:w="0" w:type="dxa"/>
                  <w:left w:w="57" w:type="dxa"/>
                  <w:bottom w:w="0" w:type="dxa"/>
                  <w:right w:w="57" w:type="dxa"/>
                </w:tcMar>
              </w:tcPr>
            </w:tcPrChange>
          </w:tcPr>
          <w:p>
            <w:pPr>
              <w:keepNext/>
              <w:suppressAutoHyphens/>
              <w:jc w:val="center"/>
              <w:rPr>
                <w:rFonts w:eastAsia="SimSun"/>
                <w:noProof/>
                <w:sz w:val="20"/>
                <w:lang w:val="it-IT" w:eastAsia="en-US"/>
                <w:rPrChange w:id="8914" w:author="Author">
                  <w:rPr>
                    <w:rFonts w:eastAsia="SimSun"/>
                    <w:szCs w:val="22"/>
                    <w:lang w:val="it-IT" w:eastAsia="en-US"/>
                  </w:rPr>
                </w:rPrChange>
              </w:rPr>
              <w:pPrChange w:id="8915" w:author="Author">
                <w:pPr>
                  <w:keepNext/>
                  <w:keepLines/>
                  <w:spacing w:before="50" w:after="50" w:line="240" w:lineRule="exact"/>
                  <w:jc w:val="center"/>
                </w:pPr>
              </w:pPrChange>
            </w:pPr>
            <w:r>
              <w:rPr>
                <w:rFonts w:eastAsia="Calibri"/>
                <w:noProof/>
                <w:sz w:val="20"/>
                <w:lang w:val="it-IT" w:eastAsia="en-US"/>
                <w:rPrChange w:id="8916" w:author="Author">
                  <w:rPr>
                    <w:rFonts w:eastAsia="Calibri"/>
                    <w:szCs w:val="22"/>
                    <w:lang w:val="it-IT" w:eastAsia="en-US"/>
                  </w:rPr>
                </w:rPrChange>
              </w:rPr>
              <w:t>0,0038</w:t>
            </w:r>
          </w:p>
        </w:tc>
      </w:tr>
      <w:tr>
        <w:trPr>
          <w:cantSplit/>
          <w:trPrChange w:id="8917" w:author="Author">
            <w:trPr>
              <w:cantSplit/>
            </w:trPr>
          </w:trPrChange>
        </w:trPr>
        <w:tc>
          <w:tcPr>
            <w:tcW w:w="3775" w:type="dxa"/>
            <w:tcMar>
              <w:top w:w="0" w:type="dxa"/>
              <w:left w:w="57" w:type="dxa"/>
              <w:bottom w:w="0" w:type="dxa"/>
              <w:right w:w="57" w:type="dxa"/>
            </w:tcMar>
            <w:tcPrChange w:id="8918" w:author="Author">
              <w:tcPr>
                <w:tcW w:w="3539" w:type="dxa"/>
                <w:tcMar>
                  <w:top w:w="0" w:type="dxa"/>
                  <w:left w:w="57" w:type="dxa"/>
                  <w:bottom w:w="0" w:type="dxa"/>
                  <w:right w:w="57" w:type="dxa"/>
                </w:tcMar>
              </w:tcPr>
            </w:tcPrChange>
          </w:tcPr>
          <w:p>
            <w:pPr>
              <w:keepNext/>
              <w:suppressAutoHyphens/>
              <w:jc w:val="right"/>
              <w:rPr>
                <w:rFonts w:eastAsia="SimSun"/>
                <w:noProof/>
                <w:sz w:val="20"/>
                <w:lang w:val="it-IT" w:eastAsia="en-US"/>
                <w:rPrChange w:id="8919" w:author="Author">
                  <w:rPr>
                    <w:rFonts w:eastAsia="SimSun"/>
                    <w:szCs w:val="22"/>
                    <w:lang w:val="it-IT" w:eastAsia="en-US"/>
                  </w:rPr>
                </w:rPrChange>
              </w:rPr>
              <w:pPrChange w:id="8920" w:author="Author">
                <w:pPr>
                  <w:keepNext/>
                  <w:keepLines/>
                  <w:spacing w:before="50" w:after="50" w:line="240" w:lineRule="exact"/>
                  <w:jc w:val="right"/>
                </w:pPr>
              </w:pPrChange>
            </w:pPr>
            <w:r>
              <w:rPr>
                <w:rFonts w:eastAsia="Calibri"/>
                <w:noProof/>
                <w:sz w:val="20"/>
                <w:lang w:val="it-IT" w:eastAsia="en-US"/>
                <w:rPrChange w:id="8921" w:author="Author">
                  <w:rPr>
                    <w:rFonts w:eastAsia="Calibri"/>
                    <w:szCs w:val="22"/>
                    <w:lang w:val="it-IT" w:eastAsia="en-US"/>
                  </w:rPr>
                </w:rPrChange>
              </w:rPr>
              <w:t>Risposta ACR50, n (%)</w:t>
            </w:r>
          </w:p>
        </w:tc>
        <w:tc>
          <w:tcPr>
            <w:tcW w:w="1795" w:type="dxa"/>
            <w:tcMar>
              <w:top w:w="0" w:type="dxa"/>
              <w:left w:w="57" w:type="dxa"/>
              <w:bottom w:w="0" w:type="dxa"/>
              <w:right w:w="57" w:type="dxa"/>
            </w:tcMar>
            <w:tcPrChange w:id="8922" w:author="Author">
              <w:tcPr>
                <w:tcW w:w="1559" w:type="dxa"/>
                <w:tcMar>
                  <w:top w:w="0" w:type="dxa"/>
                  <w:left w:w="57" w:type="dxa"/>
                  <w:bottom w:w="0" w:type="dxa"/>
                  <w:right w:w="57" w:type="dxa"/>
                </w:tcMar>
              </w:tcPr>
            </w:tcPrChange>
          </w:tcPr>
          <w:p>
            <w:pPr>
              <w:keepNext/>
              <w:suppressAutoHyphens/>
              <w:jc w:val="center"/>
              <w:rPr>
                <w:rFonts w:eastAsia="SimSun"/>
                <w:noProof/>
                <w:sz w:val="20"/>
                <w:lang w:val="it-IT" w:eastAsia="en-US"/>
                <w:rPrChange w:id="8923" w:author="Author">
                  <w:rPr>
                    <w:rFonts w:eastAsia="SimSun"/>
                    <w:szCs w:val="22"/>
                    <w:lang w:val="it-IT" w:eastAsia="en-US"/>
                  </w:rPr>
                </w:rPrChange>
              </w:rPr>
              <w:pPrChange w:id="8924" w:author="Author">
                <w:pPr>
                  <w:keepNext/>
                  <w:keepLines/>
                  <w:spacing w:before="50" w:after="50" w:line="240" w:lineRule="exact"/>
                  <w:jc w:val="center"/>
                </w:pPr>
              </w:pPrChange>
            </w:pPr>
            <w:r>
              <w:rPr>
                <w:rFonts w:eastAsia="Calibri"/>
                <w:noProof/>
                <w:sz w:val="20"/>
                <w:lang w:val="it-IT" w:eastAsia="en-US"/>
                <w:rPrChange w:id="8925" w:author="Author">
                  <w:rPr>
                    <w:rFonts w:eastAsia="Calibri"/>
                    <w:szCs w:val="22"/>
                    <w:lang w:val="it-IT" w:eastAsia="en-US"/>
                  </w:rPr>
                </w:rPrChange>
              </w:rPr>
              <w:t>45 (27,8)</w:t>
            </w:r>
          </w:p>
        </w:tc>
        <w:tc>
          <w:tcPr>
            <w:tcW w:w="1796" w:type="dxa"/>
            <w:tcMar>
              <w:top w:w="0" w:type="dxa"/>
              <w:left w:w="57" w:type="dxa"/>
              <w:bottom w:w="0" w:type="dxa"/>
              <w:right w:w="57" w:type="dxa"/>
            </w:tcMar>
            <w:tcPrChange w:id="8926" w:author="Author">
              <w:tcPr>
                <w:tcW w:w="1701" w:type="dxa"/>
                <w:tcMar>
                  <w:top w:w="0" w:type="dxa"/>
                  <w:left w:w="57" w:type="dxa"/>
                  <w:bottom w:w="0" w:type="dxa"/>
                  <w:right w:w="57" w:type="dxa"/>
                </w:tcMar>
              </w:tcPr>
            </w:tcPrChange>
          </w:tcPr>
          <w:p>
            <w:pPr>
              <w:keepNext/>
              <w:suppressAutoHyphens/>
              <w:jc w:val="center"/>
              <w:rPr>
                <w:rFonts w:eastAsia="SimSun"/>
                <w:noProof/>
                <w:sz w:val="20"/>
                <w:lang w:val="it-IT" w:eastAsia="en-US"/>
                <w:rPrChange w:id="8927" w:author="Author">
                  <w:rPr>
                    <w:rFonts w:eastAsia="SimSun"/>
                    <w:szCs w:val="22"/>
                    <w:lang w:val="it-IT" w:eastAsia="en-US"/>
                  </w:rPr>
                </w:rPrChange>
              </w:rPr>
              <w:pPrChange w:id="8928" w:author="Author">
                <w:pPr>
                  <w:keepNext/>
                  <w:keepLines/>
                  <w:spacing w:before="50" w:after="50" w:line="240" w:lineRule="exact"/>
                  <w:jc w:val="center"/>
                </w:pPr>
              </w:pPrChange>
            </w:pPr>
            <w:r>
              <w:rPr>
                <w:rFonts w:eastAsia="Calibri"/>
                <w:noProof/>
                <w:sz w:val="20"/>
                <w:lang w:val="it-IT" w:eastAsia="en-US"/>
                <w:rPrChange w:id="8929" w:author="Author">
                  <w:rPr>
                    <w:rFonts w:eastAsia="Calibri"/>
                    <w:szCs w:val="22"/>
                    <w:lang w:val="it-IT" w:eastAsia="en-US"/>
                  </w:rPr>
                </w:rPrChange>
              </w:rPr>
              <w:t>77 (47,2)</w:t>
            </w:r>
          </w:p>
        </w:tc>
        <w:tc>
          <w:tcPr>
            <w:tcW w:w="1560" w:type="dxa"/>
            <w:tcMar>
              <w:top w:w="0" w:type="dxa"/>
              <w:left w:w="57" w:type="dxa"/>
              <w:bottom w:w="0" w:type="dxa"/>
              <w:right w:w="57" w:type="dxa"/>
            </w:tcMar>
            <w:tcPrChange w:id="8930" w:author="Author">
              <w:tcPr>
                <w:tcW w:w="1276" w:type="dxa"/>
                <w:tcMar>
                  <w:top w:w="0" w:type="dxa"/>
                  <w:left w:w="57" w:type="dxa"/>
                  <w:bottom w:w="0" w:type="dxa"/>
                  <w:right w:w="57" w:type="dxa"/>
                </w:tcMar>
              </w:tcPr>
            </w:tcPrChange>
          </w:tcPr>
          <w:p>
            <w:pPr>
              <w:keepNext/>
              <w:suppressAutoHyphens/>
              <w:jc w:val="center"/>
              <w:rPr>
                <w:rFonts w:eastAsia="SimSun"/>
                <w:noProof/>
                <w:sz w:val="20"/>
                <w:lang w:val="it-IT" w:eastAsia="en-US"/>
                <w:rPrChange w:id="8931" w:author="Author">
                  <w:rPr>
                    <w:rFonts w:eastAsia="SimSun"/>
                    <w:szCs w:val="22"/>
                    <w:lang w:val="it-IT" w:eastAsia="en-US"/>
                  </w:rPr>
                </w:rPrChange>
              </w:rPr>
              <w:pPrChange w:id="8932" w:author="Author">
                <w:pPr>
                  <w:keepNext/>
                  <w:keepLines/>
                  <w:spacing w:before="50" w:after="50" w:line="240" w:lineRule="exact"/>
                  <w:jc w:val="center"/>
                </w:pPr>
              </w:pPrChange>
            </w:pPr>
            <w:r>
              <w:rPr>
                <w:rFonts w:eastAsia="Calibri"/>
                <w:noProof/>
                <w:sz w:val="20"/>
                <w:lang w:val="it-IT" w:eastAsia="en-US"/>
                <w:rPrChange w:id="8933" w:author="Author">
                  <w:rPr>
                    <w:rFonts w:eastAsia="Calibri"/>
                    <w:szCs w:val="22"/>
                    <w:lang w:val="it-IT" w:eastAsia="en-US"/>
                  </w:rPr>
                </w:rPrChange>
              </w:rPr>
              <w:t>0,0002</w:t>
            </w:r>
          </w:p>
        </w:tc>
      </w:tr>
      <w:tr>
        <w:trPr>
          <w:cantSplit/>
          <w:trPrChange w:id="8934" w:author="Author">
            <w:trPr>
              <w:cantSplit/>
            </w:trPr>
          </w:trPrChange>
        </w:trPr>
        <w:tc>
          <w:tcPr>
            <w:tcW w:w="3775" w:type="dxa"/>
            <w:tcMar>
              <w:top w:w="0" w:type="dxa"/>
              <w:left w:w="57" w:type="dxa"/>
              <w:bottom w:w="0" w:type="dxa"/>
              <w:right w:w="57" w:type="dxa"/>
            </w:tcMar>
            <w:tcPrChange w:id="8935" w:author="Author">
              <w:tcPr>
                <w:tcW w:w="3539" w:type="dxa"/>
                <w:tcMar>
                  <w:top w:w="0" w:type="dxa"/>
                  <w:left w:w="57" w:type="dxa"/>
                  <w:bottom w:w="0" w:type="dxa"/>
                  <w:right w:w="57" w:type="dxa"/>
                </w:tcMar>
              </w:tcPr>
            </w:tcPrChange>
          </w:tcPr>
          <w:p>
            <w:pPr>
              <w:keepNext/>
              <w:suppressAutoHyphens/>
              <w:jc w:val="right"/>
              <w:rPr>
                <w:rFonts w:eastAsia="SimSun"/>
                <w:noProof/>
                <w:sz w:val="20"/>
                <w:lang w:val="it-IT" w:eastAsia="en-US"/>
                <w:rPrChange w:id="8936" w:author="Author">
                  <w:rPr>
                    <w:rFonts w:eastAsia="SimSun"/>
                    <w:szCs w:val="22"/>
                    <w:lang w:val="it-IT" w:eastAsia="en-US"/>
                  </w:rPr>
                </w:rPrChange>
              </w:rPr>
              <w:pPrChange w:id="8937" w:author="Author">
                <w:pPr>
                  <w:keepNext/>
                  <w:keepLines/>
                  <w:spacing w:before="50" w:after="50" w:line="240" w:lineRule="exact"/>
                  <w:jc w:val="right"/>
                </w:pPr>
              </w:pPrChange>
            </w:pPr>
            <w:r>
              <w:rPr>
                <w:rFonts w:eastAsia="Calibri"/>
                <w:noProof/>
                <w:sz w:val="20"/>
                <w:lang w:val="it-IT" w:eastAsia="en-US"/>
                <w:rPrChange w:id="8938" w:author="Author">
                  <w:rPr>
                    <w:rFonts w:eastAsia="Calibri"/>
                    <w:szCs w:val="22"/>
                    <w:lang w:val="it-IT" w:eastAsia="en-US"/>
                  </w:rPr>
                </w:rPrChange>
              </w:rPr>
              <w:t>Risposta ACR70, n (%)</w:t>
            </w:r>
          </w:p>
        </w:tc>
        <w:tc>
          <w:tcPr>
            <w:tcW w:w="1795" w:type="dxa"/>
            <w:tcMar>
              <w:top w:w="0" w:type="dxa"/>
              <w:left w:w="57" w:type="dxa"/>
              <w:bottom w:w="0" w:type="dxa"/>
              <w:right w:w="57" w:type="dxa"/>
            </w:tcMar>
            <w:tcPrChange w:id="8939" w:author="Author">
              <w:tcPr>
                <w:tcW w:w="1559" w:type="dxa"/>
                <w:tcMar>
                  <w:top w:w="0" w:type="dxa"/>
                  <w:left w:w="57" w:type="dxa"/>
                  <w:bottom w:w="0" w:type="dxa"/>
                  <w:right w:w="57" w:type="dxa"/>
                </w:tcMar>
              </w:tcPr>
            </w:tcPrChange>
          </w:tcPr>
          <w:p>
            <w:pPr>
              <w:keepNext/>
              <w:suppressAutoHyphens/>
              <w:jc w:val="center"/>
              <w:rPr>
                <w:rFonts w:eastAsia="SimSun"/>
                <w:noProof/>
                <w:sz w:val="20"/>
                <w:lang w:val="it-IT" w:eastAsia="en-US"/>
                <w:rPrChange w:id="8940" w:author="Author">
                  <w:rPr>
                    <w:rFonts w:eastAsia="SimSun"/>
                    <w:szCs w:val="22"/>
                    <w:lang w:val="it-IT" w:eastAsia="en-US"/>
                  </w:rPr>
                </w:rPrChange>
              </w:rPr>
              <w:pPrChange w:id="8941" w:author="Author">
                <w:pPr>
                  <w:keepNext/>
                  <w:keepLines/>
                  <w:spacing w:before="50" w:after="50" w:line="240" w:lineRule="exact"/>
                  <w:jc w:val="center"/>
                </w:pPr>
              </w:pPrChange>
            </w:pPr>
            <w:r>
              <w:rPr>
                <w:rFonts w:eastAsia="Calibri"/>
                <w:noProof/>
                <w:sz w:val="20"/>
                <w:lang w:val="it-IT" w:eastAsia="en-US"/>
                <w:rPrChange w:id="8942" w:author="Author">
                  <w:rPr>
                    <w:rFonts w:eastAsia="Calibri"/>
                    <w:szCs w:val="22"/>
                    <w:lang w:val="it-IT" w:eastAsia="en-US"/>
                  </w:rPr>
                </w:rPrChange>
              </w:rPr>
              <w:t>29 (17,9)</w:t>
            </w:r>
          </w:p>
        </w:tc>
        <w:tc>
          <w:tcPr>
            <w:tcW w:w="1796" w:type="dxa"/>
            <w:tcMar>
              <w:top w:w="0" w:type="dxa"/>
              <w:left w:w="57" w:type="dxa"/>
              <w:bottom w:w="0" w:type="dxa"/>
              <w:right w:w="57" w:type="dxa"/>
            </w:tcMar>
            <w:tcPrChange w:id="8943" w:author="Author">
              <w:tcPr>
                <w:tcW w:w="1701" w:type="dxa"/>
                <w:tcMar>
                  <w:top w:w="0" w:type="dxa"/>
                  <w:left w:w="57" w:type="dxa"/>
                  <w:bottom w:w="0" w:type="dxa"/>
                  <w:right w:w="57" w:type="dxa"/>
                </w:tcMar>
              </w:tcPr>
            </w:tcPrChange>
          </w:tcPr>
          <w:p>
            <w:pPr>
              <w:keepNext/>
              <w:suppressAutoHyphens/>
              <w:jc w:val="center"/>
              <w:rPr>
                <w:rFonts w:eastAsia="SimSun"/>
                <w:noProof/>
                <w:sz w:val="20"/>
                <w:lang w:val="it-IT" w:eastAsia="en-US"/>
                <w:rPrChange w:id="8944" w:author="Author">
                  <w:rPr>
                    <w:rFonts w:eastAsia="SimSun"/>
                    <w:szCs w:val="22"/>
                    <w:lang w:val="it-IT" w:eastAsia="en-US"/>
                  </w:rPr>
                </w:rPrChange>
              </w:rPr>
              <w:pPrChange w:id="8945" w:author="Author">
                <w:pPr>
                  <w:keepNext/>
                  <w:keepLines/>
                  <w:spacing w:before="50" w:after="50" w:line="240" w:lineRule="exact"/>
                  <w:jc w:val="center"/>
                </w:pPr>
              </w:pPrChange>
            </w:pPr>
            <w:r>
              <w:rPr>
                <w:rFonts w:eastAsia="Calibri"/>
                <w:noProof/>
                <w:sz w:val="20"/>
                <w:lang w:val="it-IT" w:eastAsia="en-US"/>
                <w:rPrChange w:id="8946" w:author="Author">
                  <w:rPr>
                    <w:rFonts w:eastAsia="Calibri"/>
                    <w:szCs w:val="22"/>
                    <w:lang w:val="it-IT" w:eastAsia="en-US"/>
                  </w:rPr>
                </w:rPrChange>
              </w:rPr>
              <w:t>53 (32,5)</w:t>
            </w:r>
          </w:p>
        </w:tc>
        <w:tc>
          <w:tcPr>
            <w:tcW w:w="1560" w:type="dxa"/>
            <w:tcMar>
              <w:top w:w="0" w:type="dxa"/>
              <w:left w:w="57" w:type="dxa"/>
              <w:bottom w:w="0" w:type="dxa"/>
              <w:right w:w="57" w:type="dxa"/>
            </w:tcMar>
            <w:tcPrChange w:id="8947" w:author="Author">
              <w:tcPr>
                <w:tcW w:w="1276" w:type="dxa"/>
                <w:tcMar>
                  <w:top w:w="0" w:type="dxa"/>
                  <w:left w:w="57" w:type="dxa"/>
                  <w:bottom w:w="0" w:type="dxa"/>
                  <w:right w:w="57" w:type="dxa"/>
                </w:tcMar>
              </w:tcPr>
            </w:tcPrChange>
          </w:tcPr>
          <w:p>
            <w:pPr>
              <w:keepNext/>
              <w:suppressAutoHyphens/>
              <w:jc w:val="center"/>
              <w:rPr>
                <w:rFonts w:eastAsia="SimSun"/>
                <w:noProof/>
                <w:sz w:val="20"/>
                <w:lang w:val="it-IT" w:eastAsia="en-US"/>
                <w:rPrChange w:id="8948" w:author="Author">
                  <w:rPr>
                    <w:rFonts w:eastAsia="SimSun"/>
                    <w:szCs w:val="22"/>
                    <w:lang w:val="it-IT" w:eastAsia="en-US"/>
                  </w:rPr>
                </w:rPrChange>
              </w:rPr>
              <w:pPrChange w:id="8949" w:author="Author">
                <w:pPr>
                  <w:keepNext/>
                  <w:keepLines/>
                  <w:spacing w:before="50" w:after="50" w:line="240" w:lineRule="exact"/>
                  <w:jc w:val="center"/>
                </w:pPr>
              </w:pPrChange>
            </w:pPr>
            <w:r>
              <w:rPr>
                <w:rFonts w:eastAsia="Calibri"/>
                <w:noProof/>
                <w:sz w:val="20"/>
                <w:lang w:val="it-IT" w:eastAsia="en-US"/>
                <w:rPrChange w:id="8950" w:author="Author">
                  <w:rPr>
                    <w:rFonts w:eastAsia="Calibri"/>
                    <w:szCs w:val="22"/>
                    <w:lang w:val="it-IT" w:eastAsia="en-US"/>
                  </w:rPr>
                </w:rPrChange>
              </w:rPr>
              <w:t>0,0023</w:t>
            </w:r>
          </w:p>
        </w:tc>
      </w:tr>
    </w:tbl>
    <w:p>
      <w:pPr>
        <w:keepNext/>
        <w:rPr>
          <w:rFonts w:eastAsia="SimSun"/>
          <w:bCs/>
          <w:i/>
          <w:noProof/>
          <w:sz w:val="18"/>
          <w:szCs w:val="18"/>
          <w:lang w:val="it-IT" w:eastAsia="en-US"/>
        </w:rPr>
        <w:pPrChange w:id="8951" w:author="Author">
          <w:pPr/>
        </w:pPrChange>
      </w:pPr>
      <w:r>
        <w:rPr>
          <w:rFonts w:eastAsia="Calibri"/>
          <w:bCs/>
          <w:i/>
          <w:noProof/>
          <w:sz w:val="18"/>
          <w:szCs w:val="18"/>
          <w:vertAlign w:val="superscript"/>
          <w:lang w:val="it-IT" w:eastAsia="en-US"/>
        </w:rPr>
        <w:t>a</w:t>
      </w:r>
      <w:r>
        <w:rPr>
          <w:rFonts w:eastAsia="Calibri"/>
          <w:bCs/>
          <w:i/>
          <w:noProof/>
          <w:sz w:val="18"/>
          <w:szCs w:val="18"/>
          <w:lang w:val="it-IT" w:eastAsia="en-US"/>
        </w:rPr>
        <w:t>Il valore p è aggiustato per regione e durata dell’AR per tutti gli endpoint e inoltre per il valore basale per tutti gli endpoint continui.</w:t>
      </w:r>
      <w:r>
        <w:rPr>
          <w:rFonts w:eastAsia="Calibri"/>
          <w:bCs/>
          <w:i/>
          <w:noProof/>
          <w:sz w:val="18"/>
          <w:szCs w:val="18"/>
          <w:lang w:val="it-IT" w:eastAsia="en-US"/>
        </w:rPr>
        <w:br/>
      </w:r>
      <w:r>
        <w:rPr>
          <w:rFonts w:eastAsia="Calibri"/>
          <w:bCs/>
          <w:i/>
          <w:noProof/>
          <w:sz w:val="18"/>
          <w:szCs w:val="18"/>
          <w:vertAlign w:val="superscript"/>
          <w:lang w:val="it-IT" w:eastAsia="en-US"/>
        </w:rPr>
        <w:t>b</w:t>
      </w:r>
      <w:r>
        <w:rPr>
          <w:rFonts w:eastAsia="Calibri"/>
          <w:bCs/>
          <w:i/>
          <w:noProof/>
          <w:sz w:val="18"/>
          <w:szCs w:val="18"/>
          <w:lang w:val="it-IT" w:eastAsia="en-US"/>
        </w:rPr>
        <w:t>Per i dati mancanti è stata imputata la mancata risposta. La molteplicità è stata controllata utilizzando la procedura Bonferroni-Holm</w:t>
      </w:r>
    </w:p>
    <w:p>
      <w:pPr>
        <w:numPr>
          <w:ilvl w:val="12"/>
          <w:numId w:val="0"/>
        </w:numPr>
        <w:ind w:right="-2"/>
        <w:rPr>
          <w:noProof/>
          <w:sz w:val="18"/>
          <w:szCs w:val="18"/>
          <w:lang w:val="it-IT"/>
          <w:rPrChange w:id="8952" w:author="Author">
            <w:rPr>
              <w:szCs w:val="22"/>
              <w:lang w:val="it-IT"/>
            </w:rPr>
          </w:rPrChange>
        </w:rPr>
      </w:pPr>
      <w:r>
        <w:rPr>
          <w:noProof/>
          <w:sz w:val="18"/>
          <w:szCs w:val="18"/>
          <w:lang w:val="it-IT"/>
          <w:rPrChange w:id="8953" w:author="Author">
            <w:rPr>
              <w:szCs w:val="22"/>
              <w:lang w:val="it-IT"/>
            </w:rPr>
          </w:rPrChange>
        </w:rPr>
        <w:t>IV</w:t>
      </w:r>
      <w:del w:id="8954" w:author="Author">
        <w:r>
          <w:rPr>
            <w:noProof/>
            <w:sz w:val="18"/>
            <w:szCs w:val="18"/>
            <w:lang w:val="it-IT"/>
            <w:rPrChange w:id="8955" w:author="Author">
              <w:rPr>
                <w:szCs w:val="22"/>
                <w:lang w:val="it-IT"/>
              </w:rPr>
            </w:rPrChange>
          </w:rPr>
          <w:delText xml:space="preserve"> </w:delText>
        </w:r>
      </w:del>
      <w:ins w:id="8956" w:author="Author">
        <w:r>
          <w:rPr>
            <w:noProof/>
            <w:sz w:val="18"/>
            <w:szCs w:val="18"/>
            <w:lang w:val="it-IT"/>
            <w:rPrChange w:id="8957" w:author="Author">
              <w:rPr>
                <w:szCs w:val="22"/>
                <w:lang w:val="it-IT"/>
              </w:rPr>
            </w:rPrChange>
          </w:rPr>
          <w:t> </w:t>
        </w:r>
      </w:ins>
      <w:r>
        <w:rPr>
          <w:noProof/>
          <w:sz w:val="18"/>
          <w:szCs w:val="18"/>
          <w:lang w:val="it-IT"/>
          <w:rPrChange w:id="8958" w:author="Author">
            <w:rPr>
              <w:szCs w:val="22"/>
              <w:lang w:val="it-IT"/>
            </w:rPr>
          </w:rPrChange>
        </w:rPr>
        <w:t>=</w:t>
      </w:r>
      <w:ins w:id="8959" w:author="Author">
        <w:r>
          <w:rPr>
            <w:noProof/>
            <w:sz w:val="18"/>
            <w:szCs w:val="18"/>
            <w:lang w:val="it-IT"/>
            <w:rPrChange w:id="8960" w:author="Author">
              <w:rPr>
                <w:szCs w:val="22"/>
                <w:lang w:val="it-IT"/>
              </w:rPr>
            </w:rPrChange>
          </w:rPr>
          <w:t> </w:t>
        </w:r>
      </w:ins>
      <w:del w:id="8961" w:author="Author">
        <w:r>
          <w:rPr>
            <w:noProof/>
            <w:sz w:val="18"/>
            <w:szCs w:val="18"/>
            <w:lang w:val="it-IT"/>
            <w:rPrChange w:id="8962" w:author="Author">
              <w:rPr>
                <w:szCs w:val="22"/>
                <w:lang w:val="it-IT"/>
              </w:rPr>
            </w:rPrChange>
          </w:rPr>
          <w:delText xml:space="preserve"> </w:delText>
        </w:r>
      </w:del>
      <w:r>
        <w:rPr>
          <w:noProof/>
          <w:sz w:val="18"/>
          <w:szCs w:val="18"/>
          <w:lang w:val="it-IT"/>
          <w:rPrChange w:id="8963" w:author="Author">
            <w:rPr>
              <w:szCs w:val="22"/>
              <w:lang w:val="it-IT"/>
            </w:rPr>
          </w:rPrChange>
        </w:rPr>
        <w:t>endoven</w:t>
      </w:r>
      <w:del w:id="8964" w:author="Author">
        <w:r>
          <w:rPr>
            <w:noProof/>
            <w:sz w:val="18"/>
            <w:szCs w:val="18"/>
            <w:lang w:val="it-IT"/>
            <w:rPrChange w:id="8965" w:author="Author">
              <w:rPr>
                <w:szCs w:val="22"/>
                <w:lang w:val="it-IT"/>
              </w:rPr>
            </w:rPrChange>
          </w:rPr>
          <w:delText>os</w:delText>
        </w:r>
      </w:del>
      <w:r>
        <w:rPr>
          <w:noProof/>
          <w:sz w:val="18"/>
          <w:szCs w:val="18"/>
          <w:lang w:val="it-IT"/>
          <w:rPrChange w:id="8966" w:author="Author">
            <w:rPr>
              <w:szCs w:val="22"/>
              <w:lang w:val="it-IT"/>
            </w:rPr>
          </w:rPrChange>
        </w:rPr>
        <w:t>a</w:t>
      </w:r>
    </w:p>
    <w:p>
      <w:pPr>
        <w:numPr>
          <w:ilvl w:val="12"/>
          <w:numId w:val="0"/>
        </w:numPr>
        <w:ind w:right="-2"/>
        <w:rPr>
          <w:noProof/>
          <w:sz w:val="18"/>
          <w:szCs w:val="18"/>
          <w:lang w:val="it-IT"/>
          <w:rPrChange w:id="8967" w:author="Author">
            <w:rPr>
              <w:szCs w:val="22"/>
              <w:lang w:val="it-IT"/>
            </w:rPr>
          </w:rPrChange>
        </w:rPr>
      </w:pPr>
      <w:r>
        <w:rPr>
          <w:noProof/>
          <w:sz w:val="18"/>
          <w:szCs w:val="18"/>
          <w:lang w:val="it-IT"/>
          <w:rPrChange w:id="8968" w:author="Author">
            <w:rPr>
              <w:szCs w:val="22"/>
              <w:lang w:val="it-IT"/>
            </w:rPr>
          </w:rPrChange>
        </w:rPr>
        <w:t>SC</w:t>
      </w:r>
      <w:del w:id="8969" w:author="Author">
        <w:r>
          <w:rPr>
            <w:noProof/>
            <w:sz w:val="18"/>
            <w:szCs w:val="18"/>
            <w:lang w:val="it-IT"/>
            <w:rPrChange w:id="8970" w:author="Author">
              <w:rPr>
                <w:szCs w:val="22"/>
                <w:lang w:val="it-IT"/>
              </w:rPr>
            </w:rPrChange>
          </w:rPr>
          <w:delText xml:space="preserve"> </w:delText>
        </w:r>
      </w:del>
      <w:ins w:id="8971" w:author="Author">
        <w:r>
          <w:rPr>
            <w:noProof/>
            <w:sz w:val="18"/>
            <w:szCs w:val="18"/>
            <w:lang w:val="it-IT"/>
            <w:rPrChange w:id="8972" w:author="Author">
              <w:rPr>
                <w:szCs w:val="22"/>
                <w:lang w:val="it-IT"/>
              </w:rPr>
            </w:rPrChange>
          </w:rPr>
          <w:t> </w:t>
        </w:r>
      </w:ins>
      <w:r>
        <w:rPr>
          <w:noProof/>
          <w:sz w:val="18"/>
          <w:szCs w:val="18"/>
          <w:lang w:val="it-IT"/>
          <w:rPrChange w:id="8973" w:author="Author">
            <w:rPr>
              <w:szCs w:val="22"/>
              <w:lang w:val="it-IT"/>
            </w:rPr>
          </w:rPrChange>
        </w:rPr>
        <w:t>=</w:t>
      </w:r>
      <w:ins w:id="8974" w:author="Author">
        <w:r>
          <w:rPr>
            <w:noProof/>
            <w:sz w:val="18"/>
            <w:szCs w:val="18"/>
            <w:lang w:val="it-IT"/>
            <w:rPrChange w:id="8975" w:author="Author">
              <w:rPr>
                <w:szCs w:val="22"/>
                <w:lang w:val="it-IT"/>
              </w:rPr>
            </w:rPrChange>
          </w:rPr>
          <w:t> </w:t>
        </w:r>
      </w:ins>
      <w:del w:id="8976" w:author="Author">
        <w:r>
          <w:rPr>
            <w:noProof/>
            <w:sz w:val="18"/>
            <w:szCs w:val="18"/>
            <w:lang w:val="it-IT"/>
            <w:rPrChange w:id="8977" w:author="Author">
              <w:rPr>
                <w:szCs w:val="22"/>
                <w:lang w:val="it-IT"/>
              </w:rPr>
            </w:rPrChange>
          </w:rPr>
          <w:delText xml:space="preserve"> </w:delText>
        </w:r>
      </w:del>
      <w:r>
        <w:rPr>
          <w:noProof/>
          <w:sz w:val="18"/>
          <w:szCs w:val="18"/>
          <w:lang w:val="it-IT"/>
          <w:rPrChange w:id="8978" w:author="Author">
            <w:rPr>
              <w:szCs w:val="22"/>
              <w:lang w:val="it-IT"/>
            </w:rPr>
          </w:rPrChange>
        </w:rPr>
        <w:t>sottocut</w:t>
      </w:r>
      <w:ins w:id="8979" w:author="Author">
        <w:r>
          <w:rPr>
            <w:noProof/>
            <w:sz w:val="18"/>
            <w:szCs w:val="18"/>
            <w:lang w:val="it-IT"/>
          </w:rPr>
          <w:t>e</w:t>
        </w:r>
      </w:ins>
      <w:del w:id="8980" w:author="Author">
        <w:r>
          <w:rPr>
            <w:noProof/>
            <w:sz w:val="18"/>
            <w:szCs w:val="18"/>
            <w:lang w:val="it-IT"/>
            <w:rPrChange w:id="8981" w:author="Author">
              <w:rPr>
                <w:szCs w:val="22"/>
                <w:lang w:val="it-IT"/>
              </w:rPr>
            </w:rPrChange>
          </w:rPr>
          <w:delText>anea</w:delText>
        </w:r>
      </w:del>
    </w:p>
    <w:p>
      <w:pPr>
        <w:numPr>
          <w:ilvl w:val="12"/>
          <w:numId w:val="0"/>
        </w:numPr>
        <w:ind w:right="-2"/>
        <w:rPr>
          <w:noProof/>
          <w:sz w:val="18"/>
          <w:szCs w:val="18"/>
          <w:lang w:val="it-IT"/>
          <w:rPrChange w:id="8982" w:author="Author">
            <w:rPr>
              <w:szCs w:val="22"/>
              <w:lang w:val="it-IT"/>
            </w:rPr>
          </w:rPrChange>
        </w:rPr>
      </w:pPr>
      <w:r>
        <w:rPr>
          <w:noProof/>
          <w:sz w:val="18"/>
          <w:szCs w:val="18"/>
          <w:lang w:val="it-IT"/>
          <w:rPrChange w:id="8983" w:author="Author">
            <w:rPr>
              <w:szCs w:val="22"/>
              <w:lang w:val="it-IT"/>
            </w:rPr>
          </w:rPrChange>
        </w:rPr>
        <w:t>ADA</w:t>
      </w:r>
      <w:del w:id="8984" w:author="Author">
        <w:r>
          <w:rPr>
            <w:noProof/>
            <w:sz w:val="18"/>
            <w:szCs w:val="18"/>
            <w:lang w:val="it-IT"/>
            <w:rPrChange w:id="8985" w:author="Author">
              <w:rPr>
                <w:szCs w:val="22"/>
                <w:lang w:val="it-IT"/>
              </w:rPr>
            </w:rPrChange>
          </w:rPr>
          <w:delText xml:space="preserve"> </w:delText>
        </w:r>
      </w:del>
      <w:ins w:id="8986" w:author="Author">
        <w:r>
          <w:rPr>
            <w:noProof/>
            <w:sz w:val="18"/>
            <w:szCs w:val="18"/>
            <w:lang w:val="it-IT"/>
            <w:rPrChange w:id="8987" w:author="Author">
              <w:rPr>
                <w:szCs w:val="22"/>
                <w:lang w:val="it-IT"/>
              </w:rPr>
            </w:rPrChange>
          </w:rPr>
          <w:t> </w:t>
        </w:r>
      </w:ins>
      <w:r>
        <w:rPr>
          <w:noProof/>
          <w:sz w:val="18"/>
          <w:szCs w:val="18"/>
          <w:lang w:val="it-IT"/>
          <w:rPrChange w:id="8988" w:author="Author">
            <w:rPr>
              <w:szCs w:val="22"/>
              <w:lang w:val="it-IT"/>
            </w:rPr>
          </w:rPrChange>
        </w:rPr>
        <w:t>=</w:t>
      </w:r>
      <w:ins w:id="8989" w:author="Author">
        <w:r>
          <w:rPr>
            <w:noProof/>
            <w:sz w:val="18"/>
            <w:szCs w:val="18"/>
            <w:lang w:val="it-IT"/>
            <w:rPrChange w:id="8990" w:author="Author">
              <w:rPr>
                <w:szCs w:val="22"/>
                <w:lang w:val="it-IT"/>
              </w:rPr>
            </w:rPrChange>
          </w:rPr>
          <w:t> </w:t>
        </w:r>
      </w:ins>
      <w:del w:id="8991" w:author="Author">
        <w:r>
          <w:rPr>
            <w:noProof/>
            <w:sz w:val="18"/>
            <w:szCs w:val="18"/>
            <w:lang w:val="it-IT"/>
            <w:rPrChange w:id="8992" w:author="Author">
              <w:rPr>
                <w:szCs w:val="22"/>
                <w:lang w:val="it-IT"/>
              </w:rPr>
            </w:rPrChange>
          </w:rPr>
          <w:delText xml:space="preserve"> </w:delText>
        </w:r>
      </w:del>
      <w:r>
        <w:rPr>
          <w:noProof/>
          <w:sz w:val="18"/>
          <w:szCs w:val="18"/>
          <w:lang w:val="it-IT"/>
          <w:rPrChange w:id="8993" w:author="Author">
            <w:rPr>
              <w:szCs w:val="22"/>
              <w:lang w:val="it-IT"/>
            </w:rPr>
          </w:rPrChange>
        </w:rPr>
        <w:t>adalimumab</w:t>
      </w:r>
    </w:p>
    <w:p>
      <w:pPr>
        <w:numPr>
          <w:ilvl w:val="12"/>
          <w:numId w:val="0"/>
        </w:numPr>
        <w:ind w:right="-2"/>
        <w:rPr>
          <w:noProof/>
          <w:sz w:val="18"/>
          <w:szCs w:val="18"/>
          <w:lang w:val="it-IT"/>
          <w:rPrChange w:id="8994" w:author="Author">
            <w:rPr>
              <w:szCs w:val="22"/>
              <w:lang w:val="it-IT"/>
            </w:rPr>
          </w:rPrChange>
        </w:rPr>
      </w:pPr>
      <w:r>
        <w:rPr>
          <w:noProof/>
          <w:sz w:val="18"/>
          <w:szCs w:val="18"/>
          <w:lang w:val="it-IT"/>
          <w:rPrChange w:id="8995" w:author="Author">
            <w:rPr>
              <w:szCs w:val="22"/>
              <w:lang w:val="it-IT"/>
            </w:rPr>
          </w:rPrChange>
        </w:rPr>
        <w:t>TCZ</w:t>
      </w:r>
      <w:del w:id="8996" w:author="Author">
        <w:r>
          <w:rPr>
            <w:noProof/>
            <w:sz w:val="18"/>
            <w:szCs w:val="18"/>
            <w:lang w:val="it-IT"/>
            <w:rPrChange w:id="8997" w:author="Author">
              <w:rPr>
                <w:szCs w:val="22"/>
                <w:lang w:val="it-IT"/>
              </w:rPr>
            </w:rPrChange>
          </w:rPr>
          <w:delText xml:space="preserve"> </w:delText>
        </w:r>
      </w:del>
      <w:ins w:id="8998" w:author="Author">
        <w:r>
          <w:rPr>
            <w:noProof/>
            <w:sz w:val="18"/>
            <w:szCs w:val="18"/>
            <w:lang w:val="it-IT"/>
            <w:rPrChange w:id="8999" w:author="Author">
              <w:rPr>
                <w:szCs w:val="22"/>
                <w:lang w:val="it-IT"/>
              </w:rPr>
            </w:rPrChange>
          </w:rPr>
          <w:t> </w:t>
        </w:r>
      </w:ins>
      <w:r>
        <w:rPr>
          <w:noProof/>
          <w:sz w:val="18"/>
          <w:szCs w:val="18"/>
          <w:lang w:val="it-IT"/>
          <w:rPrChange w:id="9000" w:author="Author">
            <w:rPr>
              <w:szCs w:val="22"/>
              <w:lang w:val="it-IT"/>
            </w:rPr>
          </w:rPrChange>
        </w:rPr>
        <w:t>=</w:t>
      </w:r>
      <w:ins w:id="9001" w:author="Author">
        <w:r>
          <w:rPr>
            <w:noProof/>
            <w:sz w:val="18"/>
            <w:szCs w:val="18"/>
            <w:lang w:val="it-IT"/>
            <w:rPrChange w:id="9002" w:author="Author">
              <w:rPr>
                <w:szCs w:val="22"/>
                <w:lang w:val="it-IT"/>
              </w:rPr>
            </w:rPrChange>
          </w:rPr>
          <w:t> </w:t>
        </w:r>
      </w:ins>
      <w:del w:id="9003" w:author="Author">
        <w:r>
          <w:rPr>
            <w:noProof/>
            <w:sz w:val="18"/>
            <w:szCs w:val="18"/>
            <w:lang w:val="it-IT"/>
            <w:rPrChange w:id="9004" w:author="Author">
              <w:rPr>
                <w:szCs w:val="22"/>
                <w:lang w:val="it-IT"/>
              </w:rPr>
            </w:rPrChange>
          </w:rPr>
          <w:delText xml:space="preserve"> </w:delText>
        </w:r>
      </w:del>
      <w:r>
        <w:rPr>
          <w:noProof/>
          <w:sz w:val="18"/>
          <w:szCs w:val="18"/>
          <w:lang w:val="it-IT"/>
          <w:rPrChange w:id="9005" w:author="Author">
            <w:rPr>
              <w:szCs w:val="22"/>
              <w:lang w:val="it-IT"/>
            </w:rPr>
          </w:rPrChange>
        </w:rPr>
        <w:t>tocilizumab</w:t>
      </w:r>
    </w:p>
    <w:p>
      <w:pPr>
        <w:numPr>
          <w:ilvl w:val="12"/>
          <w:numId w:val="0"/>
        </w:numPr>
        <w:ind w:right="-2"/>
        <w:rPr>
          <w:ins w:id="9006" w:author="Author"/>
          <w:rFonts w:eastAsia="Calibri"/>
          <w:noProof/>
          <w:szCs w:val="22"/>
          <w:lang w:val="it-IT" w:eastAsia="en-US"/>
        </w:rPr>
      </w:pPr>
    </w:p>
    <w:p>
      <w:pPr>
        <w:numPr>
          <w:ilvl w:val="12"/>
          <w:numId w:val="0"/>
        </w:numPr>
        <w:ind w:right="-2"/>
        <w:rPr>
          <w:rFonts w:eastAsia="Calibri"/>
          <w:noProof/>
          <w:szCs w:val="22"/>
          <w:lang w:val="it-IT" w:eastAsia="en-US"/>
        </w:rPr>
      </w:pPr>
      <w:r>
        <w:rPr>
          <w:rFonts w:eastAsia="Calibri"/>
          <w:noProof/>
          <w:szCs w:val="22"/>
          <w:lang w:val="it-IT" w:eastAsia="en-US"/>
        </w:rPr>
        <w:t>Il profilo clinico complessivo degli eventi avversi è risultato simile fra tocilizumab e adalimumab. La proporzione di pazienti con eventi avversi gravi era bilanciata fra i gruppi di trattamento (tocilizumab 11,7% vs. adalimumab 9,9%). I tipi di reazioni avverse nel braccio trattato con tocilizumab sono stati coerenti con il profilo di sicurezza noto di tocilizumab e le reazioni avverse sono state riportate con una frequenza simile rispetto alla Tabella 1.</w:t>
      </w:r>
      <w:r>
        <w:rPr>
          <w:rFonts w:eastAsia="Calibri"/>
          <w:i/>
          <w:noProof/>
          <w:szCs w:val="22"/>
          <w:lang w:val="it-IT" w:eastAsia="en-US"/>
        </w:rPr>
        <w:t xml:space="preserve"> </w:t>
      </w:r>
      <w:r>
        <w:rPr>
          <w:rFonts w:eastAsia="Calibri"/>
          <w:noProof/>
          <w:szCs w:val="22"/>
          <w:lang w:val="it-IT" w:eastAsia="en-US"/>
        </w:rPr>
        <w:t>Una più alta incidenza di infezioni e infestazioni è stata riportata nel braccio trattato con tocilizumab (48% vs 42%), senza differenze nell’incidenza di infezioni gravi (3,1%). Entrambi i trattamenti in studio hanno indotto il medesimo schema di variazione nei parametri di sicurezza di laboratorio (riduzioni della conta dei neutrofili e delle piastrine, aumenti per ALT, AST e lipidi), tuttavia l’ampiezza della variazione e la frequenza di anomalie marcate era più alta con tocilizumab in confronto ad adalimumab. Quattro pazienti (2,5%) nel braccio RoActemra e due pazienti (1,2%) nel braccio adalimumab hanno manifestato riduzioni della conta dei neutrofili di grado 3 o 4 CTC. Undici pazienti (6,8%) nel braccio tocilizumab e cinque pazienti (3,1%) nel braccio adalimumab hanno manifestato aumenti dell’ALT di grado 2 CTC o superiore. L’incremento medio di LDL dal basale era 0,64 mmol/l (25 mg/dL) per i pazienti del braccio tocilizumab e 0,19 mmol/l (7 mg/dL) per i pazienti del braccio adalimumab. La sicurezza osservata nel braccio tocilizumab era in linea con il profilo già noto di sicurezza di tocilizumab e non sono state osservate nuove o inattese reazioni avverse (vedere Tabella 1).</w:t>
      </w:r>
    </w:p>
    <w:p>
      <w:pPr>
        <w:rPr>
          <w:iCs/>
          <w:noProof/>
          <w:szCs w:val="22"/>
          <w:lang w:val="it-IT"/>
        </w:rPr>
      </w:pPr>
    </w:p>
    <w:p>
      <w:pPr>
        <w:keepNext/>
        <w:keepLines/>
        <w:ind w:left="567" w:hanging="567"/>
        <w:outlineLvl w:val="0"/>
        <w:rPr>
          <w:b/>
          <w:noProof/>
          <w:szCs w:val="22"/>
          <w:lang w:val="it-IT" w:eastAsia="en-US"/>
        </w:rPr>
      </w:pPr>
      <w:r>
        <w:rPr>
          <w:rFonts w:eastAsia="Calibri"/>
          <w:b/>
          <w:bCs/>
          <w:noProof/>
          <w:szCs w:val="22"/>
          <w:lang w:val="it-IT" w:eastAsia="en-US"/>
        </w:rPr>
        <w:t>5.2</w:t>
      </w:r>
      <w:r>
        <w:rPr>
          <w:rFonts w:eastAsia="Calibri"/>
          <w:b/>
          <w:bCs/>
          <w:noProof/>
          <w:szCs w:val="22"/>
          <w:lang w:val="it-IT" w:eastAsia="en-US"/>
        </w:rPr>
        <w:tab/>
        <w:t>Proprietà farmacocinetiche</w:t>
      </w:r>
    </w:p>
    <w:p>
      <w:pPr>
        <w:keepNext/>
        <w:keepLines/>
        <w:numPr>
          <w:ilvl w:val="12"/>
          <w:numId w:val="0"/>
        </w:numPr>
        <w:rPr>
          <w:noProof/>
          <w:szCs w:val="22"/>
          <w:u w:val="single"/>
          <w:lang w:val="it-IT"/>
        </w:rPr>
      </w:pPr>
    </w:p>
    <w:p>
      <w:pPr>
        <w:keepNext/>
        <w:keepLines/>
        <w:rPr>
          <w:rFonts w:eastAsia="Calibri"/>
          <w:noProof/>
          <w:color w:val="000000"/>
          <w:lang w:val="it-IT" w:eastAsia="en-US"/>
        </w:rPr>
      </w:pPr>
      <w:r>
        <w:rPr>
          <w:rFonts w:eastAsia="Calibri"/>
          <w:noProof/>
          <w:color w:val="000000"/>
          <w:lang w:val="it-IT" w:eastAsia="en-US"/>
        </w:rPr>
        <w:t xml:space="preserve">La farmacocinetica di </w:t>
      </w:r>
      <w:r>
        <w:rPr>
          <w:rFonts w:eastAsia="Calibri"/>
          <w:noProof/>
          <w:szCs w:val="22"/>
          <w:lang w:val="it-IT" w:eastAsia="en-US"/>
        </w:rPr>
        <w:t xml:space="preserve">tocilizumab </w:t>
      </w:r>
      <w:r>
        <w:rPr>
          <w:rFonts w:eastAsia="Calibri"/>
          <w:noProof/>
          <w:color w:val="000000"/>
          <w:lang w:val="it-IT" w:eastAsia="en-US"/>
        </w:rPr>
        <w:t xml:space="preserve">è caratterizzata da un’eliminazione non lineare, che è una combinazione di clearance lineare ed eliminazione di Michaelis-Menten. La parte non lineare dell’eliminazione di </w:t>
      </w:r>
      <w:r>
        <w:rPr>
          <w:rFonts w:eastAsia="Calibri"/>
          <w:noProof/>
          <w:szCs w:val="22"/>
          <w:lang w:val="it-IT" w:eastAsia="en-US"/>
        </w:rPr>
        <w:t xml:space="preserve">tocilizumab </w:t>
      </w:r>
      <w:r>
        <w:rPr>
          <w:rFonts w:eastAsia="Calibri"/>
          <w:noProof/>
          <w:color w:val="000000"/>
          <w:lang w:val="it-IT" w:eastAsia="en-US"/>
        </w:rPr>
        <w:t xml:space="preserve">determina un aumento dell’esposizione più che proporzionale alla dose. I parametri di farmacocinetica di RoActemra non si modificano nel tempo. In virtù della dipendenza della clearance totale dalle concentrazioni sieriche di </w:t>
      </w:r>
      <w:r>
        <w:rPr>
          <w:rFonts w:eastAsia="Calibri"/>
          <w:noProof/>
          <w:szCs w:val="22"/>
          <w:lang w:val="it-IT" w:eastAsia="en-US"/>
        </w:rPr>
        <w:t>tocilizumab</w:t>
      </w:r>
      <w:r>
        <w:rPr>
          <w:rFonts w:eastAsia="Calibri"/>
          <w:noProof/>
          <w:color w:val="000000"/>
          <w:lang w:val="it-IT" w:eastAsia="en-US"/>
        </w:rPr>
        <w:t xml:space="preserve">, anche l’emivita di </w:t>
      </w:r>
      <w:r>
        <w:rPr>
          <w:rFonts w:eastAsia="Calibri"/>
          <w:noProof/>
          <w:szCs w:val="22"/>
          <w:lang w:val="it-IT" w:eastAsia="en-US"/>
        </w:rPr>
        <w:t xml:space="preserve">tocilizumab </w:t>
      </w:r>
      <w:r>
        <w:rPr>
          <w:rFonts w:eastAsia="Calibri"/>
          <w:noProof/>
          <w:color w:val="000000"/>
          <w:lang w:val="it-IT" w:eastAsia="en-US"/>
        </w:rPr>
        <w:t>è concentrazione-dipendente e varia in base al livello di concentrazione sierica. Le analisi di farmacocinetica di popolazione in ogni popolazione di pazienti testata finora non indicano una relazione tra clearance apparente e presenza di anticorpi anti-farmaco.</w:t>
      </w:r>
    </w:p>
    <w:p>
      <w:pPr>
        <w:numPr>
          <w:ilvl w:val="12"/>
          <w:numId w:val="0"/>
        </w:numPr>
        <w:rPr>
          <w:noProof/>
          <w:szCs w:val="22"/>
          <w:u w:val="single"/>
          <w:lang w:val="it-IT"/>
        </w:rPr>
        <w:pPrChange w:id="9007" w:author="Author">
          <w:pPr>
            <w:keepNext/>
            <w:keepLines/>
            <w:numPr>
              <w:ilvl w:val="12"/>
            </w:numPr>
          </w:pPr>
        </w:pPrChange>
      </w:pPr>
    </w:p>
    <w:p>
      <w:pPr>
        <w:keepNext/>
        <w:keepLines/>
        <w:numPr>
          <w:ilvl w:val="12"/>
          <w:numId w:val="0"/>
        </w:numPr>
        <w:rPr>
          <w:del w:id="9008" w:author="Author"/>
          <w:iCs/>
          <w:noProof/>
          <w:szCs w:val="22"/>
          <w:u w:val="single"/>
          <w:lang w:val="it-IT" w:eastAsia="en-US"/>
        </w:rPr>
      </w:pPr>
      <w:del w:id="9009" w:author="Author">
        <w:r>
          <w:rPr>
            <w:rFonts w:eastAsia="Calibri"/>
            <w:iCs/>
            <w:noProof/>
            <w:szCs w:val="22"/>
            <w:u w:val="single"/>
            <w:lang w:val="it-IT" w:eastAsia="en-US"/>
          </w:rPr>
          <w:delText>Pazienti affetti da AR</w:delText>
        </w:r>
      </w:del>
    </w:p>
    <w:p>
      <w:pPr>
        <w:keepNext/>
        <w:keepLines/>
        <w:numPr>
          <w:ilvl w:val="12"/>
          <w:numId w:val="0"/>
        </w:numPr>
        <w:rPr>
          <w:iCs/>
          <w:noProof/>
          <w:szCs w:val="22"/>
          <w:u w:val="single"/>
          <w:lang w:val="it-IT" w:eastAsia="en-US"/>
        </w:rPr>
      </w:pPr>
      <w:r>
        <w:rPr>
          <w:rFonts w:eastAsia="Calibri"/>
          <w:iCs/>
          <w:noProof/>
          <w:szCs w:val="22"/>
          <w:u w:val="single"/>
          <w:lang w:val="it-IT" w:eastAsia="en-US"/>
        </w:rPr>
        <w:t>Uso endovenoso</w:t>
      </w:r>
    </w:p>
    <w:p>
      <w:pPr>
        <w:keepNext/>
        <w:keepLines/>
        <w:numPr>
          <w:ilvl w:val="12"/>
          <w:numId w:val="0"/>
        </w:numPr>
        <w:rPr>
          <w:ins w:id="9010" w:author="Author"/>
          <w:rFonts w:eastAsia="Calibri"/>
          <w:i/>
          <w:noProof/>
          <w:szCs w:val="22"/>
          <w:lang w:val="it-IT" w:eastAsia="en-US"/>
          <w:rPrChange w:id="9011" w:author="Author">
            <w:rPr>
              <w:ins w:id="9012" w:author="Author"/>
              <w:rFonts w:eastAsia="Calibri"/>
              <w:iCs/>
              <w:szCs w:val="22"/>
              <w:lang w:val="it-IT" w:eastAsia="en-US"/>
            </w:rPr>
          </w:rPrChange>
        </w:rPr>
      </w:pPr>
      <w:ins w:id="9013" w:author="Author">
        <w:r>
          <w:rPr>
            <w:rFonts w:eastAsia="Calibri"/>
            <w:i/>
            <w:noProof/>
            <w:szCs w:val="22"/>
            <w:lang w:val="it-IT" w:eastAsia="en-US"/>
            <w:rPrChange w:id="9014" w:author="Author">
              <w:rPr>
                <w:rFonts w:eastAsia="Calibri"/>
                <w:iCs/>
                <w:szCs w:val="22"/>
                <w:lang w:val="it-IT" w:eastAsia="en-US"/>
              </w:rPr>
            </w:rPrChange>
          </w:rPr>
          <w:t>Pazienti affetti da AR</w:t>
        </w:r>
      </w:ins>
    </w:p>
    <w:p>
      <w:pPr>
        <w:keepNext/>
        <w:keepLines/>
        <w:numPr>
          <w:ilvl w:val="12"/>
          <w:numId w:val="0"/>
        </w:numPr>
        <w:rPr>
          <w:ins w:id="9015" w:author="Author"/>
          <w:rFonts w:eastAsia="Calibri"/>
          <w:iCs/>
          <w:noProof/>
          <w:szCs w:val="22"/>
          <w:lang w:val="it-IT" w:eastAsia="en-US"/>
        </w:rPr>
      </w:pPr>
    </w:p>
    <w:p>
      <w:pPr>
        <w:keepNext/>
        <w:numPr>
          <w:ilvl w:val="12"/>
          <w:numId w:val="0"/>
        </w:numPr>
        <w:rPr>
          <w:iCs/>
          <w:noProof/>
          <w:szCs w:val="22"/>
          <w:lang w:val="it-IT" w:eastAsia="en-US"/>
        </w:rPr>
        <w:pPrChange w:id="9016" w:author="Author">
          <w:pPr>
            <w:keepNext/>
            <w:keepLines/>
            <w:numPr>
              <w:ilvl w:val="12"/>
            </w:numPr>
          </w:pPr>
        </w:pPrChange>
      </w:pPr>
      <w:r>
        <w:rPr>
          <w:rFonts w:eastAsia="Calibri"/>
          <w:iCs/>
          <w:noProof/>
          <w:szCs w:val="22"/>
          <w:lang w:val="it-IT" w:eastAsia="en-US"/>
        </w:rPr>
        <w:t xml:space="preserve">La farmacocinetica di </w:t>
      </w:r>
      <w:r>
        <w:rPr>
          <w:rFonts w:eastAsia="Calibri"/>
          <w:noProof/>
          <w:szCs w:val="22"/>
          <w:lang w:val="it-IT" w:eastAsia="en-US"/>
        </w:rPr>
        <w:t xml:space="preserve">tocilizumab </w:t>
      </w:r>
      <w:r>
        <w:rPr>
          <w:rFonts w:eastAsia="Calibri"/>
          <w:iCs/>
          <w:noProof/>
          <w:szCs w:val="22"/>
          <w:lang w:val="it-IT" w:eastAsia="en-US"/>
        </w:rPr>
        <w:t>è stata determinata effettuando un’analisi di farmacocinetica di popolazione su un database composto da 3</w:t>
      </w:r>
      <w:del w:id="9017" w:author="Author">
        <w:r>
          <w:rPr>
            <w:rFonts w:eastAsia="Calibri"/>
            <w:iCs/>
            <w:noProof/>
            <w:szCs w:val="22"/>
            <w:lang w:val="it-IT" w:eastAsia="en-US"/>
          </w:rPr>
          <w:delText>.</w:delText>
        </w:r>
      </w:del>
      <w:ins w:id="9018" w:author="Author">
        <w:r>
          <w:rPr>
            <w:rFonts w:eastAsia="Calibri"/>
            <w:iCs/>
            <w:noProof/>
            <w:szCs w:val="22"/>
            <w:lang w:val="it-IT" w:eastAsia="en-US"/>
          </w:rPr>
          <w:t> </w:t>
        </w:r>
      </w:ins>
      <w:r>
        <w:rPr>
          <w:rFonts w:eastAsia="Calibri"/>
          <w:iCs/>
          <w:noProof/>
          <w:szCs w:val="22"/>
          <w:lang w:val="it-IT" w:eastAsia="en-US"/>
        </w:rPr>
        <w:t xml:space="preserve">552 pazienti affetti da AR, trattati con un’infusione da </w:t>
      </w:r>
      <w:r>
        <w:rPr>
          <w:rFonts w:eastAsia="Calibri"/>
          <w:iCs/>
          <w:noProof/>
          <w:szCs w:val="22"/>
          <w:lang w:val="it-IT" w:eastAsia="en-US"/>
        </w:rPr>
        <w:lastRenderedPageBreak/>
        <w:t xml:space="preserve">un’ora di 4 o 8 mg/kg di RoActemra ogni 4 settimane per 24 settimane o con 162 mg di </w:t>
      </w:r>
      <w:r>
        <w:rPr>
          <w:rFonts w:eastAsia="Calibri"/>
          <w:noProof/>
          <w:szCs w:val="22"/>
          <w:lang w:val="it-IT" w:eastAsia="en-US"/>
        </w:rPr>
        <w:t xml:space="preserve">tocilizumab </w:t>
      </w:r>
      <w:r>
        <w:rPr>
          <w:rFonts w:eastAsia="Calibri"/>
          <w:iCs/>
          <w:noProof/>
          <w:szCs w:val="22"/>
          <w:lang w:val="it-IT" w:eastAsia="en-US"/>
        </w:rPr>
        <w:t>somministrato per via sottocutanea o una volta alla settimana o ogni due settimane per 24 settimane.</w:t>
      </w:r>
    </w:p>
    <w:p>
      <w:pPr>
        <w:numPr>
          <w:ilvl w:val="12"/>
          <w:numId w:val="0"/>
        </w:numPr>
        <w:ind w:right="-2"/>
        <w:rPr>
          <w:iCs/>
          <w:noProof/>
          <w:szCs w:val="22"/>
          <w:lang w:val="it-IT"/>
        </w:rPr>
      </w:pPr>
    </w:p>
    <w:p>
      <w:pPr>
        <w:numPr>
          <w:ilvl w:val="12"/>
          <w:numId w:val="0"/>
        </w:numPr>
        <w:ind w:right="-2"/>
        <w:rPr>
          <w:iCs/>
          <w:noProof/>
          <w:szCs w:val="22"/>
          <w:lang w:val="it-IT" w:eastAsia="en-US"/>
        </w:rPr>
      </w:pPr>
      <w:r>
        <w:rPr>
          <w:rFonts w:eastAsia="Calibri"/>
          <w:iCs/>
          <w:noProof/>
          <w:szCs w:val="22"/>
          <w:lang w:val="it-IT" w:eastAsia="en-US"/>
        </w:rPr>
        <w:t>I seguenti parametri (valori medi previsti</w:t>
      </w:r>
      <w:del w:id="9019" w:author="Author">
        <w:r>
          <w:rPr>
            <w:rFonts w:eastAsia="Calibri"/>
            <w:iCs/>
            <w:noProof/>
            <w:szCs w:val="22"/>
            <w:lang w:val="it-IT" w:eastAsia="en-US"/>
          </w:rPr>
          <w:delText xml:space="preserve"> </w:delText>
        </w:r>
      </w:del>
      <w:ins w:id="9020" w:author="Author">
        <w:r>
          <w:rPr>
            <w:rFonts w:eastAsia="Calibri"/>
            <w:iCs/>
            <w:noProof/>
            <w:szCs w:val="22"/>
            <w:lang w:val="it-IT" w:eastAsia="en-US"/>
          </w:rPr>
          <w:t> </w:t>
        </w:r>
      </w:ins>
      <w:r>
        <w:rPr>
          <w:rFonts w:eastAsia="Calibri"/>
          <w:iCs/>
          <w:noProof/>
          <w:szCs w:val="22"/>
          <w:lang w:val="it-IT" w:eastAsia="en-US"/>
        </w:rPr>
        <w:sym w:font="Symbol" w:char="F0B1"/>
      </w:r>
      <w:ins w:id="9021" w:author="Author">
        <w:r>
          <w:rPr>
            <w:rFonts w:eastAsia="Calibri"/>
            <w:iCs/>
            <w:noProof/>
            <w:szCs w:val="22"/>
            <w:lang w:val="it-IT" w:eastAsia="en-US"/>
          </w:rPr>
          <w:t> </w:t>
        </w:r>
      </w:ins>
      <w:del w:id="9022" w:author="Author">
        <w:r>
          <w:rPr>
            <w:rFonts w:eastAsia="Calibri"/>
            <w:iCs/>
            <w:noProof/>
            <w:szCs w:val="22"/>
            <w:lang w:val="it-IT" w:eastAsia="en-US"/>
          </w:rPr>
          <w:delText xml:space="preserve"> </w:delText>
        </w:r>
      </w:del>
      <w:r>
        <w:rPr>
          <w:rFonts w:eastAsia="Calibri"/>
          <w:iCs/>
          <w:noProof/>
          <w:szCs w:val="22"/>
          <w:lang w:val="it-IT" w:eastAsia="en-US"/>
        </w:rPr>
        <w:t xml:space="preserve">DS) sono stati stimati per una dose di 8 mg/kg di </w:t>
      </w:r>
      <w:r>
        <w:rPr>
          <w:rFonts w:eastAsia="Calibri"/>
          <w:noProof/>
          <w:szCs w:val="22"/>
          <w:lang w:val="it-IT" w:eastAsia="en-US"/>
        </w:rPr>
        <w:t xml:space="preserve">tocilizumab </w:t>
      </w:r>
      <w:r>
        <w:rPr>
          <w:rFonts w:eastAsia="Calibri"/>
          <w:iCs/>
          <w:noProof/>
          <w:szCs w:val="22"/>
          <w:lang w:val="it-IT" w:eastAsia="en-US"/>
        </w:rPr>
        <w:t xml:space="preserve">somministrata ogni 4 settimane: </w:t>
      </w:r>
      <w:del w:id="9023" w:author="Author">
        <w:r>
          <w:rPr>
            <w:rFonts w:eastAsia="Calibri"/>
            <w:iCs/>
            <w:noProof/>
            <w:szCs w:val="22"/>
            <w:lang w:val="it-IT" w:eastAsia="en-US"/>
          </w:rPr>
          <w:delText>stato stazionario del</w:delText>
        </w:r>
      </w:del>
      <w:r>
        <w:rPr>
          <w:rFonts w:eastAsia="Calibri"/>
          <w:iCs/>
          <w:noProof/>
          <w:szCs w:val="22"/>
          <w:lang w:val="it-IT" w:eastAsia="en-US"/>
        </w:rPr>
        <w:t>l’area sotto la curva (AUC)</w:t>
      </w:r>
      <w:ins w:id="9024" w:author="Author">
        <w:r>
          <w:rPr>
            <w:rFonts w:eastAsia="Calibri"/>
            <w:iCs/>
            <w:noProof/>
            <w:szCs w:val="22"/>
            <w:lang w:val="it-IT" w:eastAsia="en-US"/>
          </w:rPr>
          <w:t xml:space="preserve"> allo stato stazionario</w:t>
        </w:r>
      </w:ins>
      <w:del w:id="9025" w:author="Author">
        <w:r>
          <w:rPr>
            <w:rFonts w:eastAsia="Calibri"/>
            <w:iCs/>
            <w:noProof/>
            <w:szCs w:val="22"/>
            <w:lang w:val="it-IT" w:eastAsia="en-US"/>
          </w:rPr>
          <w:delText xml:space="preserve"> </w:delText>
        </w:r>
      </w:del>
      <w:ins w:id="9026" w:author="Author">
        <w:r>
          <w:rPr>
            <w:rFonts w:eastAsia="Calibri"/>
            <w:iCs/>
            <w:noProof/>
            <w:szCs w:val="22"/>
            <w:lang w:val="it-IT" w:eastAsia="en-US"/>
          </w:rPr>
          <w:t> </w:t>
        </w:r>
      </w:ins>
      <w:r>
        <w:rPr>
          <w:rFonts w:eastAsia="Calibri"/>
          <w:iCs/>
          <w:noProof/>
          <w:szCs w:val="22"/>
          <w:lang w:val="it-IT" w:eastAsia="en-US"/>
        </w:rPr>
        <w:t>=</w:t>
      </w:r>
      <w:ins w:id="9027" w:author="Author">
        <w:r>
          <w:rPr>
            <w:rFonts w:eastAsia="Calibri"/>
            <w:iCs/>
            <w:noProof/>
            <w:szCs w:val="22"/>
            <w:lang w:val="it-IT" w:eastAsia="en-US"/>
          </w:rPr>
          <w:t> </w:t>
        </w:r>
      </w:ins>
      <w:del w:id="9028" w:author="Author">
        <w:r>
          <w:rPr>
            <w:rFonts w:eastAsia="Calibri"/>
            <w:iCs/>
            <w:noProof/>
            <w:szCs w:val="22"/>
            <w:lang w:val="it-IT" w:eastAsia="en-US"/>
          </w:rPr>
          <w:delText xml:space="preserve"> </w:delText>
        </w:r>
      </w:del>
      <w:r>
        <w:rPr>
          <w:rFonts w:eastAsia="Calibri"/>
          <w:iCs/>
          <w:noProof/>
          <w:szCs w:val="22"/>
          <w:lang w:val="it-IT" w:eastAsia="en-US"/>
        </w:rPr>
        <w:t>38</w:t>
      </w:r>
      <w:ins w:id="9029" w:author="Author">
        <w:r>
          <w:rPr>
            <w:rFonts w:eastAsia="Calibri"/>
            <w:iCs/>
            <w:noProof/>
            <w:szCs w:val="22"/>
            <w:lang w:val="it-IT" w:eastAsia="en-US"/>
          </w:rPr>
          <w:t> </w:t>
        </w:r>
      </w:ins>
      <w:r>
        <w:rPr>
          <w:rFonts w:eastAsia="Calibri"/>
          <w:iCs/>
          <w:noProof/>
          <w:szCs w:val="22"/>
          <w:lang w:val="it-IT" w:eastAsia="en-US"/>
        </w:rPr>
        <w:t>000</w:t>
      </w:r>
      <w:del w:id="9030" w:author="Author">
        <w:r>
          <w:rPr>
            <w:rFonts w:eastAsia="Calibri"/>
            <w:iCs/>
            <w:noProof/>
            <w:szCs w:val="22"/>
            <w:lang w:val="it-IT" w:eastAsia="en-US"/>
          </w:rPr>
          <w:delText xml:space="preserve"> </w:delText>
        </w:r>
      </w:del>
      <w:ins w:id="9031" w:author="Author">
        <w:r>
          <w:rPr>
            <w:rFonts w:eastAsia="Calibri"/>
            <w:iCs/>
            <w:noProof/>
            <w:szCs w:val="22"/>
            <w:lang w:val="it-IT" w:eastAsia="en-US"/>
          </w:rPr>
          <w:t> </w:t>
        </w:r>
      </w:ins>
      <w:r>
        <w:rPr>
          <w:rFonts w:eastAsia="Calibri"/>
          <w:iCs/>
          <w:noProof/>
          <w:szCs w:val="22"/>
          <w:lang w:val="it-IT" w:eastAsia="en-US"/>
        </w:rPr>
        <w:sym w:font="Symbol" w:char="F0B1"/>
      </w:r>
      <w:ins w:id="9032" w:author="Author">
        <w:r>
          <w:rPr>
            <w:rFonts w:eastAsia="Calibri"/>
            <w:iCs/>
            <w:noProof/>
            <w:szCs w:val="22"/>
            <w:lang w:val="it-IT" w:eastAsia="en-US"/>
          </w:rPr>
          <w:t> </w:t>
        </w:r>
      </w:ins>
      <w:del w:id="9033" w:author="Author">
        <w:r>
          <w:rPr>
            <w:rFonts w:eastAsia="Calibri"/>
            <w:iCs/>
            <w:noProof/>
            <w:szCs w:val="22"/>
            <w:lang w:val="it-IT" w:eastAsia="en-US"/>
          </w:rPr>
          <w:delText xml:space="preserve"> </w:delText>
        </w:r>
      </w:del>
      <w:r>
        <w:rPr>
          <w:rFonts w:eastAsia="Calibri"/>
          <w:iCs/>
          <w:noProof/>
          <w:szCs w:val="22"/>
          <w:lang w:val="it-IT" w:eastAsia="en-US"/>
        </w:rPr>
        <w:t>13</w:t>
      </w:r>
      <w:ins w:id="9034" w:author="Author">
        <w:r>
          <w:rPr>
            <w:rFonts w:eastAsia="Calibri"/>
            <w:iCs/>
            <w:noProof/>
            <w:szCs w:val="22"/>
            <w:lang w:val="it-IT" w:eastAsia="en-US"/>
          </w:rPr>
          <w:t> </w:t>
        </w:r>
      </w:ins>
      <w:r>
        <w:rPr>
          <w:rFonts w:eastAsia="Calibri"/>
          <w:iCs/>
          <w:noProof/>
          <w:szCs w:val="22"/>
          <w:lang w:val="it-IT" w:eastAsia="en-US"/>
        </w:rPr>
        <w:t>000 h</w:t>
      </w:r>
      <w:del w:id="9035" w:author="Author">
        <w:r>
          <w:rPr>
            <w:rFonts w:eastAsia="Calibri"/>
            <w:iCs/>
            <w:noProof/>
            <w:szCs w:val="22"/>
            <w:lang w:val="it-IT" w:eastAsia="en-US"/>
          </w:rPr>
          <w:delText>·</w:delText>
        </w:r>
      </w:del>
      <w:ins w:id="9036" w:author="Author">
        <w:r>
          <w:rPr>
            <w:rFonts w:eastAsia="Calibri"/>
            <w:iCs/>
            <w:noProof/>
            <w:szCs w:val="22"/>
            <w:lang w:val="it-IT" w:eastAsia="en-US"/>
          </w:rPr>
          <w:t> </w:t>
        </w:r>
        <w:r>
          <w:rPr>
            <w:noProof/>
            <w:szCs w:val="22"/>
            <w:lang w:val="it-IT"/>
          </w:rPr>
          <w:t>×</w:t>
        </w:r>
        <w:r>
          <w:rPr>
            <w:rFonts w:eastAsia="Calibri"/>
            <w:iCs/>
            <w:noProof/>
            <w:szCs w:val="22"/>
            <w:lang w:val="it-IT" w:eastAsia="en-US"/>
          </w:rPr>
          <w:t> </w:t>
        </w:r>
      </w:ins>
      <w:r>
        <w:rPr>
          <w:rFonts w:eastAsia="Calibri"/>
          <w:iCs/>
          <w:noProof/>
          <w:szCs w:val="22"/>
          <w:lang w:val="it-IT" w:eastAsia="en-US"/>
        </w:rPr>
        <w:t>μg/mL, concentrazione di valle (C</w:t>
      </w:r>
      <w:r>
        <w:rPr>
          <w:rFonts w:eastAsia="Calibri"/>
          <w:iCs/>
          <w:noProof/>
          <w:szCs w:val="22"/>
          <w:vertAlign w:val="subscript"/>
          <w:lang w:val="it-IT" w:eastAsia="en-US"/>
        </w:rPr>
        <w:t>min</w:t>
      </w:r>
      <w:r>
        <w:rPr>
          <w:rFonts w:eastAsia="Calibri"/>
          <w:iCs/>
          <w:noProof/>
          <w:szCs w:val="22"/>
          <w:lang w:val="it-IT" w:eastAsia="en-US"/>
        </w:rPr>
        <w:t>)</w:t>
      </w:r>
      <w:del w:id="9037" w:author="Author">
        <w:r>
          <w:rPr>
            <w:rFonts w:eastAsia="Calibri"/>
            <w:iCs/>
            <w:noProof/>
            <w:szCs w:val="22"/>
            <w:lang w:val="it-IT" w:eastAsia="en-US"/>
          </w:rPr>
          <w:delText xml:space="preserve"> </w:delText>
        </w:r>
      </w:del>
      <w:ins w:id="9038" w:author="Author">
        <w:r>
          <w:rPr>
            <w:rFonts w:eastAsia="Calibri"/>
            <w:iCs/>
            <w:noProof/>
            <w:szCs w:val="22"/>
            <w:lang w:val="it-IT" w:eastAsia="en-US"/>
          </w:rPr>
          <w:t> </w:t>
        </w:r>
      </w:ins>
      <w:r>
        <w:rPr>
          <w:rFonts w:eastAsia="Calibri"/>
          <w:iCs/>
          <w:noProof/>
          <w:szCs w:val="22"/>
          <w:lang w:val="it-IT" w:eastAsia="en-US"/>
        </w:rPr>
        <w:t>=</w:t>
      </w:r>
      <w:ins w:id="9039" w:author="Author">
        <w:r>
          <w:rPr>
            <w:rFonts w:eastAsia="Calibri"/>
            <w:iCs/>
            <w:noProof/>
            <w:szCs w:val="22"/>
            <w:lang w:val="it-IT" w:eastAsia="en-US"/>
          </w:rPr>
          <w:t> </w:t>
        </w:r>
      </w:ins>
      <w:del w:id="9040" w:author="Author">
        <w:r>
          <w:rPr>
            <w:rFonts w:eastAsia="Calibri"/>
            <w:iCs/>
            <w:noProof/>
            <w:szCs w:val="22"/>
            <w:lang w:val="it-IT" w:eastAsia="en-US"/>
          </w:rPr>
          <w:delText xml:space="preserve"> </w:delText>
        </w:r>
      </w:del>
      <w:r>
        <w:rPr>
          <w:rFonts w:eastAsia="Calibri"/>
          <w:iCs/>
          <w:noProof/>
          <w:szCs w:val="22"/>
          <w:lang w:val="it-IT" w:eastAsia="en-US"/>
        </w:rPr>
        <w:t>15,9</w:t>
      </w:r>
      <w:del w:id="9041" w:author="Author">
        <w:r>
          <w:rPr>
            <w:rFonts w:eastAsia="Calibri"/>
            <w:iCs/>
            <w:noProof/>
            <w:szCs w:val="22"/>
            <w:lang w:val="it-IT" w:eastAsia="en-US"/>
          </w:rPr>
          <w:delText xml:space="preserve"> </w:delText>
        </w:r>
      </w:del>
      <w:ins w:id="9042" w:author="Author">
        <w:r>
          <w:rPr>
            <w:rFonts w:eastAsia="Calibri"/>
            <w:iCs/>
            <w:noProof/>
            <w:szCs w:val="22"/>
            <w:lang w:val="it-IT" w:eastAsia="en-US"/>
          </w:rPr>
          <w:t> </w:t>
        </w:r>
      </w:ins>
      <w:r>
        <w:rPr>
          <w:rFonts w:eastAsia="Calibri"/>
          <w:iCs/>
          <w:noProof/>
          <w:szCs w:val="22"/>
          <w:lang w:val="it-IT" w:eastAsia="en-US"/>
        </w:rPr>
        <w:sym w:font="Symbol" w:char="F0B1"/>
      </w:r>
      <w:ins w:id="9043" w:author="Author">
        <w:r>
          <w:rPr>
            <w:rFonts w:eastAsia="Calibri"/>
            <w:iCs/>
            <w:noProof/>
            <w:szCs w:val="22"/>
            <w:lang w:val="it-IT" w:eastAsia="en-US"/>
          </w:rPr>
          <w:t> </w:t>
        </w:r>
      </w:ins>
      <w:del w:id="9044" w:author="Author">
        <w:r>
          <w:rPr>
            <w:rFonts w:eastAsia="Calibri"/>
            <w:iCs/>
            <w:noProof/>
            <w:szCs w:val="22"/>
            <w:lang w:val="it-IT" w:eastAsia="en-US"/>
          </w:rPr>
          <w:delText xml:space="preserve"> </w:delText>
        </w:r>
      </w:del>
      <w:r>
        <w:rPr>
          <w:rFonts w:eastAsia="Calibri"/>
          <w:iCs/>
          <w:noProof/>
          <w:szCs w:val="22"/>
          <w:lang w:val="it-IT" w:eastAsia="en-US"/>
        </w:rPr>
        <w:t>13</w:t>
      </w:r>
      <w:ins w:id="9045" w:author="Author">
        <w:r>
          <w:rPr>
            <w:rFonts w:eastAsia="Calibri"/>
            <w:iCs/>
            <w:noProof/>
            <w:szCs w:val="22"/>
            <w:lang w:val="it-IT" w:eastAsia="en-US"/>
          </w:rPr>
          <w:t>,</w:t>
        </w:r>
      </w:ins>
      <w:del w:id="9046" w:author="Author">
        <w:r>
          <w:rPr>
            <w:rFonts w:eastAsia="Calibri"/>
            <w:iCs/>
            <w:noProof/>
            <w:szCs w:val="22"/>
            <w:lang w:val="it-IT" w:eastAsia="en-US"/>
          </w:rPr>
          <w:delText>.</w:delText>
        </w:r>
      </w:del>
      <w:r>
        <w:rPr>
          <w:rFonts w:eastAsia="Calibri"/>
          <w:iCs/>
          <w:noProof/>
          <w:szCs w:val="22"/>
          <w:lang w:val="it-IT" w:eastAsia="en-US"/>
        </w:rPr>
        <w:t>1 </w:t>
      </w:r>
      <w:r>
        <w:rPr>
          <w:rFonts w:eastAsia="Calibri"/>
          <w:iCs/>
          <w:noProof/>
          <w:lang w:val="it-IT"/>
        </w:rPr>
        <w:t>µ</w:t>
      </w:r>
      <w:r>
        <w:rPr>
          <w:rFonts w:eastAsia="Calibri"/>
          <w:iCs/>
          <w:noProof/>
          <w:szCs w:val="22"/>
          <w:lang w:val="it-IT" w:eastAsia="en-US"/>
        </w:rPr>
        <w:t>g/mL e concentrazione massima (C</w:t>
      </w:r>
      <w:r>
        <w:rPr>
          <w:rFonts w:eastAsia="Calibri"/>
          <w:iCs/>
          <w:noProof/>
          <w:szCs w:val="22"/>
          <w:vertAlign w:val="subscript"/>
          <w:lang w:val="it-IT" w:eastAsia="en-US"/>
        </w:rPr>
        <w:t>max</w:t>
      </w:r>
      <w:r>
        <w:rPr>
          <w:rFonts w:eastAsia="Calibri"/>
          <w:iCs/>
          <w:noProof/>
          <w:szCs w:val="22"/>
          <w:lang w:val="it-IT" w:eastAsia="en-US"/>
        </w:rPr>
        <w:t>)</w:t>
      </w:r>
      <w:del w:id="9047" w:author="Author">
        <w:r>
          <w:rPr>
            <w:rFonts w:eastAsia="Calibri"/>
            <w:iCs/>
            <w:noProof/>
            <w:szCs w:val="22"/>
            <w:lang w:val="it-IT" w:eastAsia="en-US"/>
          </w:rPr>
          <w:delText xml:space="preserve"> </w:delText>
        </w:r>
      </w:del>
      <w:ins w:id="9048" w:author="Author">
        <w:r>
          <w:rPr>
            <w:rFonts w:eastAsia="Calibri"/>
            <w:iCs/>
            <w:noProof/>
            <w:szCs w:val="22"/>
            <w:lang w:val="it-IT" w:eastAsia="en-US"/>
          </w:rPr>
          <w:t> </w:t>
        </w:r>
      </w:ins>
      <w:r>
        <w:rPr>
          <w:rFonts w:eastAsia="Calibri"/>
          <w:iCs/>
          <w:noProof/>
          <w:szCs w:val="22"/>
          <w:lang w:val="it-IT" w:eastAsia="en-US"/>
        </w:rPr>
        <w:t>=</w:t>
      </w:r>
      <w:ins w:id="9049" w:author="Author">
        <w:r>
          <w:rPr>
            <w:rFonts w:eastAsia="Calibri"/>
            <w:iCs/>
            <w:noProof/>
            <w:szCs w:val="22"/>
            <w:lang w:val="it-IT" w:eastAsia="en-US"/>
          </w:rPr>
          <w:t> </w:t>
        </w:r>
      </w:ins>
      <w:del w:id="9050" w:author="Author">
        <w:r>
          <w:rPr>
            <w:rFonts w:eastAsia="Calibri"/>
            <w:iCs/>
            <w:noProof/>
            <w:szCs w:val="22"/>
            <w:lang w:val="it-IT" w:eastAsia="en-US"/>
          </w:rPr>
          <w:delText xml:space="preserve"> </w:delText>
        </w:r>
      </w:del>
      <w:r>
        <w:rPr>
          <w:rFonts w:eastAsia="Calibri"/>
          <w:iCs/>
          <w:noProof/>
          <w:szCs w:val="22"/>
          <w:lang w:val="it-IT" w:eastAsia="en-US"/>
        </w:rPr>
        <w:t>182</w:t>
      </w:r>
      <w:ins w:id="9051" w:author="Author">
        <w:r>
          <w:rPr>
            <w:rFonts w:eastAsia="Calibri"/>
            <w:iCs/>
            <w:noProof/>
            <w:szCs w:val="22"/>
            <w:lang w:val="it-IT" w:eastAsia="en-US"/>
          </w:rPr>
          <w:t> </w:t>
        </w:r>
      </w:ins>
      <w:del w:id="9052" w:author="Author">
        <w:r>
          <w:rPr>
            <w:rFonts w:eastAsia="Calibri"/>
            <w:iCs/>
            <w:noProof/>
            <w:szCs w:val="22"/>
            <w:lang w:val="it-IT" w:eastAsia="en-US"/>
          </w:rPr>
          <w:delText xml:space="preserve"> </w:delText>
        </w:r>
      </w:del>
      <w:r>
        <w:rPr>
          <w:rFonts w:eastAsia="Calibri"/>
          <w:iCs/>
          <w:noProof/>
          <w:szCs w:val="22"/>
          <w:lang w:val="it-IT" w:eastAsia="en-US"/>
        </w:rPr>
        <w:sym w:font="Symbol" w:char="F0B1"/>
      </w:r>
      <w:ins w:id="9053" w:author="Author">
        <w:r>
          <w:rPr>
            <w:rFonts w:eastAsia="Calibri"/>
            <w:iCs/>
            <w:noProof/>
            <w:szCs w:val="22"/>
            <w:lang w:val="it-IT" w:eastAsia="en-US"/>
          </w:rPr>
          <w:t> </w:t>
        </w:r>
      </w:ins>
      <w:del w:id="9054" w:author="Author">
        <w:r>
          <w:rPr>
            <w:rFonts w:eastAsia="Calibri"/>
            <w:iCs/>
            <w:noProof/>
            <w:szCs w:val="22"/>
            <w:lang w:val="it-IT" w:eastAsia="en-US"/>
          </w:rPr>
          <w:delText xml:space="preserve"> </w:delText>
        </w:r>
      </w:del>
      <w:r>
        <w:rPr>
          <w:rFonts w:eastAsia="Calibri"/>
          <w:iCs/>
          <w:noProof/>
          <w:szCs w:val="22"/>
          <w:lang w:val="it-IT" w:eastAsia="en-US"/>
        </w:rPr>
        <w:t>50</w:t>
      </w:r>
      <w:ins w:id="9055" w:author="Author">
        <w:r>
          <w:rPr>
            <w:rFonts w:eastAsia="Calibri"/>
            <w:iCs/>
            <w:noProof/>
            <w:szCs w:val="22"/>
            <w:lang w:val="it-IT" w:eastAsia="en-US"/>
          </w:rPr>
          <w:t>,</w:t>
        </w:r>
      </w:ins>
      <w:del w:id="9056" w:author="Author">
        <w:r>
          <w:rPr>
            <w:rFonts w:eastAsia="Calibri"/>
            <w:iCs/>
            <w:noProof/>
            <w:szCs w:val="22"/>
            <w:lang w:val="it-IT" w:eastAsia="en-US"/>
          </w:rPr>
          <w:delText>.</w:delText>
        </w:r>
      </w:del>
      <w:r>
        <w:rPr>
          <w:rFonts w:eastAsia="Calibri"/>
          <w:iCs/>
          <w:noProof/>
          <w:szCs w:val="22"/>
          <w:lang w:val="it-IT" w:eastAsia="en-US"/>
        </w:rPr>
        <w:t>4 µg/mL; i tassi di accumulo relativi ad AUC e C</w:t>
      </w:r>
      <w:r>
        <w:rPr>
          <w:rFonts w:eastAsia="Calibri"/>
          <w:iCs/>
          <w:noProof/>
          <w:szCs w:val="22"/>
          <w:vertAlign w:val="subscript"/>
          <w:lang w:val="it-IT" w:eastAsia="en-US"/>
        </w:rPr>
        <w:t>max</w:t>
      </w:r>
      <w:r>
        <w:rPr>
          <w:rFonts w:eastAsia="Calibri"/>
          <w:iCs/>
          <w:noProof/>
          <w:szCs w:val="22"/>
          <w:lang w:val="it-IT" w:eastAsia="en-US"/>
        </w:rPr>
        <w:t xml:space="preserve"> sono stati minimi, rispettivamente di 1,32 e 1,09. Il tasso di accumulo è stato maggiore per la C</w:t>
      </w:r>
      <w:r>
        <w:rPr>
          <w:rFonts w:eastAsia="Calibri"/>
          <w:iCs/>
          <w:noProof/>
          <w:szCs w:val="22"/>
          <w:vertAlign w:val="subscript"/>
          <w:lang w:val="it-IT" w:eastAsia="en-US"/>
        </w:rPr>
        <w:t>min</w:t>
      </w:r>
      <w:r>
        <w:rPr>
          <w:rFonts w:eastAsia="Calibri"/>
          <w:iCs/>
          <w:noProof/>
          <w:szCs w:val="22"/>
          <w:lang w:val="it-IT" w:eastAsia="en-US"/>
        </w:rPr>
        <w:t xml:space="preserve"> (2,49), risultato atteso in base al contributo della clearance non lineare alle concentrazioni più basse. Lo stato stazionario è stato raggiunto dopo la prima somministrazione per la C</w:t>
      </w:r>
      <w:r>
        <w:rPr>
          <w:rFonts w:eastAsia="Calibri"/>
          <w:iCs/>
          <w:noProof/>
          <w:szCs w:val="22"/>
          <w:vertAlign w:val="subscript"/>
          <w:lang w:val="it-IT" w:eastAsia="en-US"/>
        </w:rPr>
        <w:t>max</w:t>
      </w:r>
      <w:r>
        <w:rPr>
          <w:rFonts w:eastAsia="Calibri"/>
          <w:iCs/>
          <w:noProof/>
          <w:szCs w:val="22"/>
          <w:lang w:val="it-IT" w:eastAsia="en-US"/>
        </w:rPr>
        <w:t xml:space="preserve"> e dopo 8 e 20 settimane per AUC e C</w:t>
      </w:r>
      <w:r>
        <w:rPr>
          <w:rFonts w:eastAsia="Calibri"/>
          <w:iCs/>
          <w:noProof/>
          <w:szCs w:val="22"/>
          <w:vertAlign w:val="subscript"/>
          <w:lang w:val="it-IT" w:eastAsia="en-US"/>
        </w:rPr>
        <w:t>min</w:t>
      </w:r>
      <w:r>
        <w:rPr>
          <w:rFonts w:eastAsia="Calibri"/>
          <w:iCs/>
          <w:noProof/>
          <w:szCs w:val="22"/>
          <w:lang w:val="it-IT" w:eastAsia="en-US"/>
        </w:rPr>
        <w:t xml:space="preserve"> rispettivamente. L’AUC, C</w:t>
      </w:r>
      <w:r>
        <w:rPr>
          <w:rFonts w:eastAsia="Calibri"/>
          <w:iCs/>
          <w:noProof/>
          <w:szCs w:val="22"/>
          <w:vertAlign w:val="subscript"/>
          <w:lang w:val="it-IT" w:eastAsia="en-US"/>
        </w:rPr>
        <w:t>min</w:t>
      </w:r>
      <w:r>
        <w:rPr>
          <w:rFonts w:eastAsia="Calibri"/>
          <w:iCs/>
          <w:noProof/>
          <w:szCs w:val="22"/>
          <w:lang w:val="it-IT" w:eastAsia="en-US"/>
        </w:rPr>
        <w:t xml:space="preserve"> e C</w:t>
      </w:r>
      <w:r>
        <w:rPr>
          <w:rFonts w:eastAsia="Calibri"/>
          <w:iCs/>
          <w:noProof/>
          <w:szCs w:val="22"/>
          <w:vertAlign w:val="subscript"/>
          <w:lang w:val="it-IT" w:eastAsia="en-US"/>
        </w:rPr>
        <w:t>max</w:t>
      </w:r>
      <w:r>
        <w:rPr>
          <w:rFonts w:eastAsia="Calibri"/>
          <w:iCs/>
          <w:noProof/>
          <w:szCs w:val="22"/>
          <w:lang w:val="it-IT" w:eastAsia="en-US"/>
        </w:rPr>
        <w:t xml:space="preserve"> di </w:t>
      </w:r>
      <w:r>
        <w:rPr>
          <w:rFonts w:eastAsia="Calibri"/>
          <w:noProof/>
          <w:szCs w:val="22"/>
          <w:lang w:val="it-IT" w:eastAsia="en-US"/>
        </w:rPr>
        <w:t xml:space="preserve">tocilizumab </w:t>
      </w:r>
      <w:r>
        <w:rPr>
          <w:rFonts w:eastAsia="Calibri"/>
          <w:iCs/>
          <w:noProof/>
          <w:szCs w:val="22"/>
          <w:lang w:val="it-IT" w:eastAsia="en-US"/>
        </w:rPr>
        <w:t xml:space="preserve">sono aumentate con l’aumentare del peso corporeo. </w:t>
      </w:r>
      <w:r>
        <w:rPr>
          <w:rFonts w:eastAsia="Calibri"/>
          <w:noProof/>
          <w:szCs w:val="22"/>
          <w:lang w:val="it-IT" w:eastAsia="en-US"/>
        </w:rPr>
        <w:t>Ad un peso corporeo ≥ 100 kg, i valori medi previsti (±</w:t>
      </w:r>
      <w:del w:id="9057" w:author="Author">
        <w:r>
          <w:rPr>
            <w:rFonts w:eastAsia="Calibri"/>
            <w:noProof/>
            <w:szCs w:val="22"/>
            <w:lang w:val="it-IT" w:eastAsia="en-US"/>
          </w:rPr>
          <w:delText xml:space="preserve"> </w:delText>
        </w:r>
      </w:del>
      <w:ins w:id="9058" w:author="Author">
        <w:r>
          <w:rPr>
            <w:rFonts w:eastAsia="Calibri"/>
            <w:noProof/>
            <w:szCs w:val="22"/>
            <w:lang w:val="it-IT" w:eastAsia="en-US"/>
          </w:rPr>
          <w:t> </w:t>
        </w:r>
      </w:ins>
      <w:r>
        <w:rPr>
          <w:rFonts w:eastAsia="Calibri"/>
          <w:noProof/>
          <w:szCs w:val="22"/>
          <w:lang w:val="it-IT" w:eastAsia="en-US"/>
        </w:rPr>
        <w:t>DS) allo stato stazionario dell’AUC, C</w:t>
      </w:r>
      <w:r>
        <w:rPr>
          <w:rFonts w:eastAsia="Calibri"/>
          <w:noProof/>
          <w:szCs w:val="22"/>
          <w:vertAlign w:val="subscript"/>
          <w:lang w:val="it-IT" w:eastAsia="en-US"/>
        </w:rPr>
        <w:t>min</w:t>
      </w:r>
      <w:r>
        <w:rPr>
          <w:rFonts w:eastAsia="Calibri"/>
          <w:noProof/>
          <w:szCs w:val="22"/>
          <w:lang w:val="it-IT" w:eastAsia="en-US"/>
        </w:rPr>
        <w:t xml:space="preserve"> e C</w:t>
      </w:r>
      <w:r>
        <w:rPr>
          <w:rFonts w:eastAsia="Calibri"/>
          <w:noProof/>
          <w:szCs w:val="22"/>
          <w:vertAlign w:val="subscript"/>
          <w:lang w:val="it-IT" w:eastAsia="en-US"/>
        </w:rPr>
        <w:t>max</w:t>
      </w:r>
      <w:r>
        <w:rPr>
          <w:rFonts w:eastAsia="Calibri"/>
          <w:noProof/>
          <w:szCs w:val="22"/>
          <w:lang w:val="it-IT" w:eastAsia="en-US"/>
        </w:rPr>
        <w:t xml:space="preserve"> di RoActemra sono stati rispettivamente 50</w:t>
      </w:r>
      <w:ins w:id="9059" w:author="Author">
        <w:r>
          <w:rPr>
            <w:rFonts w:eastAsia="Calibri"/>
            <w:noProof/>
            <w:szCs w:val="22"/>
            <w:lang w:val="it-IT" w:eastAsia="en-US"/>
          </w:rPr>
          <w:t> </w:t>
        </w:r>
      </w:ins>
      <w:r>
        <w:rPr>
          <w:rFonts w:eastAsia="Calibri"/>
          <w:noProof/>
          <w:szCs w:val="22"/>
          <w:lang w:val="it-IT" w:eastAsia="en-US"/>
        </w:rPr>
        <w:t>000</w:t>
      </w:r>
      <w:del w:id="9060" w:author="Author">
        <w:r>
          <w:rPr>
            <w:rFonts w:eastAsia="Calibri"/>
            <w:noProof/>
            <w:szCs w:val="22"/>
            <w:lang w:val="it-IT" w:eastAsia="en-US"/>
          </w:rPr>
          <w:delText xml:space="preserve"> </w:delText>
        </w:r>
      </w:del>
      <w:ins w:id="9061" w:author="Author">
        <w:r>
          <w:rPr>
            <w:rFonts w:eastAsia="Calibri"/>
            <w:noProof/>
            <w:szCs w:val="22"/>
            <w:lang w:val="it-IT" w:eastAsia="en-US"/>
          </w:rPr>
          <w:t> </w:t>
        </w:r>
      </w:ins>
      <w:r>
        <w:rPr>
          <w:rFonts w:eastAsia="Calibri"/>
          <w:noProof/>
          <w:szCs w:val="22"/>
          <w:lang w:val="it-IT" w:eastAsia="en-US"/>
        </w:rPr>
        <w:t>±</w:t>
      </w:r>
      <w:ins w:id="9062" w:author="Author">
        <w:r>
          <w:rPr>
            <w:rFonts w:eastAsia="Calibri"/>
            <w:noProof/>
            <w:szCs w:val="22"/>
            <w:lang w:val="it-IT" w:eastAsia="en-US"/>
          </w:rPr>
          <w:t> </w:t>
        </w:r>
      </w:ins>
      <w:del w:id="9063" w:author="Author">
        <w:r>
          <w:rPr>
            <w:rFonts w:eastAsia="Calibri"/>
            <w:noProof/>
            <w:szCs w:val="22"/>
            <w:lang w:val="it-IT" w:eastAsia="en-US"/>
          </w:rPr>
          <w:delText xml:space="preserve"> </w:delText>
        </w:r>
      </w:del>
      <w:r>
        <w:rPr>
          <w:rFonts w:eastAsia="Calibri"/>
          <w:noProof/>
          <w:szCs w:val="22"/>
          <w:lang w:val="it-IT" w:eastAsia="en-US"/>
        </w:rPr>
        <w:t>16</w:t>
      </w:r>
      <w:ins w:id="9064" w:author="Author">
        <w:r>
          <w:rPr>
            <w:rFonts w:eastAsia="Calibri"/>
            <w:noProof/>
            <w:szCs w:val="22"/>
            <w:lang w:val="it-IT" w:eastAsia="en-US"/>
          </w:rPr>
          <w:t> </w:t>
        </w:r>
      </w:ins>
      <w:r>
        <w:rPr>
          <w:rFonts w:eastAsia="Calibri"/>
          <w:noProof/>
          <w:szCs w:val="22"/>
          <w:lang w:val="it-IT" w:eastAsia="en-US"/>
        </w:rPr>
        <w:t>800</w:t>
      </w:r>
      <w:del w:id="9065" w:author="Author">
        <w:r>
          <w:rPr>
            <w:rFonts w:eastAsia="Calibri"/>
            <w:noProof/>
            <w:szCs w:val="22"/>
            <w:lang w:val="it-IT" w:eastAsia="en-US"/>
          </w:rPr>
          <w:delText xml:space="preserve"> </w:delText>
        </w:r>
      </w:del>
      <w:ins w:id="9066" w:author="Author">
        <w:r>
          <w:rPr>
            <w:rFonts w:eastAsia="Calibri"/>
            <w:noProof/>
            <w:szCs w:val="22"/>
            <w:lang w:val="it-IT" w:eastAsia="en-US"/>
          </w:rPr>
          <w:t> </w:t>
        </w:r>
      </w:ins>
      <w:r>
        <w:rPr>
          <w:rFonts w:eastAsia="Calibri"/>
          <w:noProof/>
          <w:szCs w:val="22"/>
          <w:lang w:val="it-IT" w:eastAsia="en-US"/>
        </w:rPr>
        <w:t>μg</w:t>
      </w:r>
      <w:del w:id="9067" w:author="Author">
        <w:r>
          <w:rPr>
            <w:rFonts w:eastAsia="Calibri"/>
            <w:noProof/>
            <w:szCs w:val="22"/>
            <w:lang w:val="it-IT" w:eastAsia="en-US"/>
          </w:rPr>
          <w:delText>•</w:delText>
        </w:r>
      </w:del>
      <w:ins w:id="9068" w:author="Author">
        <w:r>
          <w:rPr>
            <w:rFonts w:eastAsia="Calibri"/>
            <w:noProof/>
            <w:szCs w:val="22"/>
            <w:lang w:val="it-IT" w:eastAsia="en-US"/>
          </w:rPr>
          <w:t> </w:t>
        </w:r>
        <w:r>
          <w:rPr>
            <w:noProof/>
            <w:szCs w:val="22"/>
            <w:lang w:val="it-IT"/>
          </w:rPr>
          <w:t>×</w:t>
        </w:r>
        <w:r>
          <w:rPr>
            <w:rFonts w:eastAsia="Calibri"/>
            <w:noProof/>
            <w:szCs w:val="22"/>
            <w:lang w:val="it-IT" w:eastAsia="en-US"/>
          </w:rPr>
          <w:t> </w:t>
        </w:r>
      </w:ins>
      <w:r>
        <w:rPr>
          <w:rFonts w:eastAsia="Calibri"/>
          <w:noProof/>
          <w:szCs w:val="22"/>
          <w:lang w:val="it-IT" w:eastAsia="en-US"/>
        </w:rPr>
        <w:t>h/mL, 24,4</w:t>
      </w:r>
      <w:ins w:id="9069" w:author="Author">
        <w:r>
          <w:rPr>
            <w:rFonts w:eastAsia="Calibri"/>
            <w:noProof/>
            <w:szCs w:val="22"/>
            <w:lang w:val="it-IT" w:eastAsia="en-US"/>
          </w:rPr>
          <w:t> </w:t>
        </w:r>
      </w:ins>
      <w:del w:id="9070" w:author="Author">
        <w:r>
          <w:rPr>
            <w:rFonts w:eastAsia="Calibri"/>
            <w:noProof/>
            <w:szCs w:val="22"/>
            <w:lang w:val="it-IT" w:eastAsia="en-US"/>
          </w:rPr>
          <w:delText xml:space="preserve"> </w:delText>
        </w:r>
      </w:del>
      <w:r>
        <w:rPr>
          <w:rFonts w:eastAsia="Calibri"/>
          <w:noProof/>
          <w:szCs w:val="22"/>
          <w:lang w:val="it-IT" w:eastAsia="en-US"/>
        </w:rPr>
        <w:t>±</w:t>
      </w:r>
      <w:ins w:id="9071" w:author="Author">
        <w:r>
          <w:rPr>
            <w:rFonts w:eastAsia="Calibri"/>
            <w:noProof/>
            <w:szCs w:val="22"/>
            <w:lang w:val="it-IT" w:eastAsia="en-US"/>
          </w:rPr>
          <w:t> </w:t>
        </w:r>
      </w:ins>
      <w:del w:id="9072" w:author="Author">
        <w:r>
          <w:rPr>
            <w:rFonts w:eastAsia="Calibri"/>
            <w:noProof/>
            <w:szCs w:val="22"/>
            <w:lang w:val="it-IT" w:eastAsia="en-US"/>
          </w:rPr>
          <w:delText xml:space="preserve"> </w:delText>
        </w:r>
      </w:del>
      <w:r>
        <w:rPr>
          <w:rFonts w:eastAsia="Calibri"/>
          <w:noProof/>
          <w:szCs w:val="22"/>
          <w:lang w:val="it-IT" w:eastAsia="en-US"/>
        </w:rPr>
        <w:t>17,5 μg/mL e 226 ± 50,3 μg/mL, che sono superiori ai valori medi di esposizione per la popolazione di pazienti (cioè tutti i pesi corporei) riportati sopra.</w:t>
      </w:r>
      <w:r>
        <w:rPr>
          <w:rFonts w:eastAsia="Calibri"/>
          <w:iCs/>
          <w:noProof/>
          <w:szCs w:val="22"/>
          <w:lang w:val="it-IT" w:eastAsia="en-US"/>
        </w:rPr>
        <w:t xml:space="preserve"> La curva dose-risposta per </w:t>
      </w:r>
      <w:r>
        <w:rPr>
          <w:rFonts w:eastAsia="Calibri"/>
          <w:noProof/>
          <w:szCs w:val="22"/>
          <w:lang w:val="it-IT" w:eastAsia="en-US"/>
        </w:rPr>
        <w:t xml:space="preserve">tocilizumab </w:t>
      </w:r>
      <w:r>
        <w:rPr>
          <w:rFonts w:eastAsia="Calibri"/>
          <w:iCs/>
          <w:noProof/>
          <w:szCs w:val="22"/>
          <w:lang w:val="it-IT" w:eastAsia="en-US"/>
        </w:rPr>
        <w:t xml:space="preserve">si appiattisce ad una esposizione più alta, determinando </w:t>
      </w:r>
      <w:ins w:id="9073" w:author="Author">
        <w:r>
          <w:rPr>
            <w:rFonts w:eastAsia="Calibri"/>
            <w:iCs/>
            <w:noProof/>
            <w:szCs w:val="22"/>
            <w:lang w:val="it-IT" w:eastAsia="en-US"/>
          </w:rPr>
          <w:t>incrementi</w:t>
        </w:r>
      </w:ins>
      <w:del w:id="9074" w:author="Author">
        <w:r>
          <w:rPr>
            <w:rFonts w:eastAsia="Calibri"/>
            <w:iCs/>
            <w:noProof/>
            <w:szCs w:val="22"/>
            <w:lang w:val="it-IT" w:eastAsia="en-US"/>
          </w:rPr>
          <w:delText>un aumento</w:delText>
        </w:r>
      </w:del>
      <w:r>
        <w:rPr>
          <w:rFonts w:eastAsia="Calibri"/>
          <w:iCs/>
          <w:noProof/>
          <w:szCs w:val="22"/>
          <w:lang w:val="it-IT" w:eastAsia="en-US"/>
        </w:rPr>
        <w:t xml:space="preserve"> di efficacia </w:t>
      </w:r>
      <w:del w:id="9075" w:author="Author">
        <w:r>
          <w:rPr>
            <w:rFonts w:eastAsia="Calibri"/>
            <w:iCs/>
            <w:noProof/>
            <w:szCs w:val="22"/>
            <w:lang w:val="it-IT" w:eastAsia="en-US"/>
          </w:rPr>
          <w:delText>più piccolo</w:delText>
        </w:r>
      </w:del>
      <w:ins w:id="9076" w:author="Author">
        <w:r>
          <w:rPr>
            <w:rFonts w:eastAsia="Calibri"/>
            <w:iCs/>
            <w:noProof/>
            <w:szCs w:val="22"/>
            <w:lang w:val="it-IT" w:eastAsia="en-US"/>
          </w:rPr>
          <w:t>minori</w:t>
        </w:r>
      </w:ins>
      <w:r>
        <w:rPr>
          <w:rFonts w:eastAsia="Calibri"/>
          <w:iCs/>
          <w:noProof/>
          <w:szCs w:val="22"/>
          <w:lang w:val="it-IT" w:eastAsia="en-US"/>
        </w:rPr>
        <w:t xml:space="preserve"> rispetto a ogni ulteriore aumento della concentrazione </w:t>
      </w:r>
      <w:ins w:id="9077" w:author="Author">
        <w:r>
          <w:rPr>
            <w:rFonts w:eastAsia="Calibri"/>
            <w:iCs/>
            <w:noProof/>
            <w:szCs w:val="22"/>
            <w:lang w:val="it-IT" w:eastAsia="en-US"/>
          </w:rPr>
          <w:t xml:space="preserve">di tocilizumab; di conseguenza non è stato dimostrato un aumento dell’efficacia </w:t>
        </w:r>
      </w:ins>
      <w:del w:id="9078" w:author="Author">
        <w:r>
          <w:rPr>
            <w:rFonts w:eastAsia="Calibri"/>
            <w:iCs/>
            <w:noProof/>
            <w:szCs w:val="22"/>
            <w:lang w:val="it-IT" w:eastAsia="en-US"/>
          </w:rPr>
          <w:delText>così che aumenti</w:delText>
        </w:r>
      </w:del>
      <w:r>
        <w:rPr>
          <w:rFonts w:eastAsia="Calibri"/>
          <w:iCs/>
          <w:noProof/>
          <w:szCs w:val="22"/>
          <w:lang w:val="it-IT" w:eastAsia="en-US"/>
        </w:rPr>
        <w:t xml:space="preserve"> clinicamente rilevant</w:t>
      </w:r>
      <w:ins w:id="9079" w:author="Author">
        <w:r>
          <w:rPr>
            <w:rFonts w:eastAsia="Calibri"/>
            <w:iCs/>
            <w:noProof/>
            <w:szCs w:val="22"/>
            <w:lang w:val="it-IT" w:eastAsia="en-US"/>
          </w:rPr>
          <w:t>e</w:t>
        </w:r>
      </w:ins>
      <w:del w:id="9080" w:author="Author">
        <w:r>
          <w:rPr>
            <w:rFonts w:eastAsia="Calibri"/>
            <w:iCs/>
            <w:noProof/>
            <w:szCs w:val="22"/>
            <w:lang w:val="it-IT" w:eastAsia="en-US"/>
          </w:rPr>
          <w:delText>i</w:delText>
        </w:r>
      </w:del>
      <w:r>
        <w:rPr>
          <w:rFonts w:eastAsia="Calibri"/>
          <w:iCs/>
          <w:noProof/>
          <w:szCs w:val="22"/>
          <w:lang w:val="it-IT" w:eastAsia="en-US"/>
        </w:rPr>
        <w:t xml:space="preserve"> </w:t>
      </w:r>
      <w:del w:id="9081" w:author="Author">
        <w:r>
          <w:rPr>
            <w:rFonts w:eastAsia="Calibri"/>
            <w:iCs/>
            <w:noProof/>
            <w:szCs w:val="22"/>
            <w:lang w:val="it-IT" w:eastAsia="en-US"/>
          </w:rPr>
          <w:delText xml:space="preserve">dell’efficacia non siano stati dimostrati </w:delText>
        </w:r>
      </w:del>
      <w:r>
        <w:rPr>
          <w:rFonts w:eastAsia="Calibri"/>
          <w:iCs/>
          <w:noProof/>
          <w:szCs w:val="22"/>
          <w:lang w:val="it-IT" w:eastAsia="en-US"/>
        </w:rPr>
        <w:t>in pazienti trattati con</w:t>
      </w:r>
      <w:ins w:id="9082" w:author="Author">
        <w:r>
          <w:rPr>
            <w:rFonts w:eastAsia="Calibri"/>
            <w:iCs/>
            <w:noProof/>
            <w:szCs w:val="22"/>
            <w:lang w:val="it-IT" w:eastAsia="en-US"/>
          </w:rPr>
          <w:t xml:space="preserve"> dosi di</w:t>
        </w:r>
      </w:ins>
      <w:r>
        <w:rPr>
          <w:rFonts w:eastAsia="Calibri"/>
          <w:iCs/>
          <w:noProof/>
          <w:szCs w:val="22"/>
          <w:lang w:val="it-IT" w:eastAsia="en-US"/>
        </w:rPr>
        <w:t xml:space="preserve"> </w:t>
      </w:r>
      <w:r>
        <w:rPr>
          <w:rFonts w:eastAsia="Calibri"/>
          <w:noProof/>
          <w:szCs w:val="22"/>
          <w:lang w:val="it-IT" w:eastAsia="en-US"/>
        </w:rPr>
        <w:t xml:space="preserve">tocilizumab </w:t>
      </w:r>
      <w:r>
        <w:rPr>
          <w:rFonts w:eastAsia="Calibri"/>
          <w:iCs/>
          <w:noProof/>
          <w:szCs w:val="22"/>
          <w:lang w:val="it-IT" w:eastAsia="en-US"/>
        </w:rPr>
        <w:t>&gt;</w:t>
      </w:r>
      <w:ins w:id="9083" w:author="Author">
        <w:r>
          <w:rPr>
            <w:rFonts w:eastAsia="Calibri"/>
            <w:iCs/>
            <w:noProof/>
            <w:szCs w:val="22"/>
            <w:lang w:val="it-IT" w:eastAsia="en-US"/>
          </w:rPr>
          <w:t xml:space="preserve"> </w:t>
        </w:r>
      </w:ins>
      <w:r>
        <w:rPr>
          <w:rFonts w:eastAsia="Calibri"/>
          <w:iCs/>
          <w:noProof/>
          <w:szCs w:val="22"/>
          <w:lang w:val="it-IT" w:eastAsia="en-US"/>
        </w:rPr>
        <w:t>800 mg. Pertanto, una dose &gt;</w:t>
      </w:r>
      <w:ins w:id="9084" w:author="Author">
        <w:r>
          <w:rPr>
            <w:rFonts w:eastAsia="Calibri"/>
            <w:iCs/>
            <w:noProof/>
            <w:szCs w:val="22"/>
            <w:lang w:val="it-IT" w:eastAsia="en-US"/>
          </w:rPr>
          <w:t xml:space="preserve"> </w:t>
        </w:r>
      </w:ins>
      <w:r>
        <w:rPr>
          <w:rFonts w:eastAsia="Calibri"/>
          <w:iCs/>
          <w:noProof/>
          <w:szCs w:val="22"/>
          <w:lang w:val="it-IT" w:eastAsia="en-US"/>
        </w:rPr>
        <w:t>800 mg per infusione non è raccomandata (vedere paragrafo 4.2).</w:t>
      </w:r>
    </w:p>
    <w:p>
      <w:pPr>
        <w:numPr>
          <w:ilvl w:val="12"/>
          <w:numId w:val="0"/>
        </w:numPr>
        <w:ind w:right="-2"/>
        <w:rPr>
          <w:iCs/>
          <w:noProof/>
          <w:szCs w:val="22"/>
          <w:lang w:val="it-IT"/>
        </w:rPr>
      </w:pPr>
    </w:p>
    <w:p>
      <w:pPr>
        <w:keepNext/>
        <w:numPr>
          <w:ilvl w:val="12"/>
          <w:numId w:val="0"/>
        </w:numPr>
        <w:ind w:right="-2"/>
        <w:rPr>
          <w:i/>
          <w:noProof/>
          <w:szCs w:val="22"/>
          <w:u w:val="single"/>
          <w:lang w:val="it-IT" w:eastAsia="en-US"/>
          <w:rPrChange w:id="9085" w:author="Author">
            <w:rPr>
              <w:iCs/>
              <w:szCs w:val="22"/>
              <w:u w:val="single"/>
              <w:lang w:val="it-IT" w:eastAsia="en-US"/>
            </w:rPr>
          </w:rPrChange>
        </w:rPr>
      </w:pPr>
      <w:r>
        <w:rPr>
          <w:rFonts w:eastAsia="Calibri"/>
          <w:i/>
          <w:noProof/>
          <w:szCs w:val="22"/>
          <w:u w:val="single"/>
          <w:lang w:val="it-IT" w:eastAsia="en-US"/>
          <w:rPrChange w:id="9086" w:author="Author">
            <w:rPr>
              <w:rFonts w:eastAsia="Calibri"/>
              <w:iCs/>
              <w:szCs w:val="22"/>
              <w:u w:val="single"/>
              <w:lang w:val="it-IT" w:eastAsia="en-US"/>
            </w:rPr>
          </w:rPrChange>
        </w:rPr>
        <w:t>Distribuzione</w:t>
      </w:r>
    </w:p>
    <w:p>
      <w:pPr>
        <w:numPr>
          <w:ilvl w:val="12"/>
          <w:numId w:val="0"/>
        </w:numPr>
        <w:ind w:right="-2"/>
        <w:rPr>
          <w:rFonts w:eastAsia="Calibri"/>
          <w:iCs/>
          <w:noProof/>
          <w:szCs w:val="22"/>
          <w:lang w:val="it-IT" w:eastAsia="en-US"/>
        </w:rPr>
      </w:pPr>
      <w:r>
        <w:rPr>
          <w:rFonts w:eastAsia="Calibri"/>
          <w:iCs/>
          <w:noProof/>
          <w:szCs w:val="22"/>
          <w:lang w:val="it-IT" w:eastAsia="en-US"/>
        </w:rPr>
        <w:t>Nei pazienti con AR il volume centrale di distribuzione era 3,72 </w:t>
      </w:r>
      <w:del w:id="9087" w:author="Author">
        <w:r>
          <w:rPr>
            <w:rFonts w:eastAsia="Calibri"/>
            <w:iCs/>
            <w:noProof/>
            <w:szCs w:val="22"/>
            <w:lang w:val="it-IT" w:eastAsia="en-US"/>
          </w:rPr>
          <w:delText>l</w:delText>
        </w:r>
      </w:del>
      <w:ins w:id="9088" w:author="Author">
        <w:r>
          <w:rPr>
            <w:rFonts w:eastAsia="Calibri"/>
            <w:iCs/>
            <w:noProof/>
            <w:szCs w:val="22"/>
            <w:lang w:val="it-IT" w:eastAsia="en-US"/>
          </w:rPr>
          <w:t>L</w:t>
        </w:r>
      </w:ins>
      <w:r>
        <w:rPr>
          <w:rFonts w:eastAsia="Calibri"/>
          <w:iCs/>
          <w:noProof/>
          <w:szCs w:val="22"/>
          <w:lang w:val="it-IT" w:eastAsia="en-US"/>
        </w:rPr>
        <w:t>, il volume periferico di distribuzione era 3,35 </w:t>
      </w:r>
      <w:del w:id="9089" w:author="Author">
        <w:r>
          <w:rPr>
            <w:rFonts w:eastAsia="Calibri"/>
            <w:iCs/>
            <w:noProof/>
            <w:szCs w:val="22"/>
            <w:lang w:val="it-IT" w:eastAsia="en-US"/>
          </w:rPr>
          <w:delText>l</w:delText>
        </w:r>
      </w:del>
      <w:ins w:id="9090" w:author="Author">
        <w:r>
          <w:rPr>
            <w:rFonts w:eastAsia="Calibri"/>
            <w:iCs/>
            <w:noProof/>
            <w:szCs w:val="22"/>
            <w:lang w:val="it-IT" w:eastAsia="en-US"/>
          </w:rPr>
          <w:t>L</w:t>
        </w:r>
      </w:ins>
      <w:r>
        <w:rPr>
          <w:rFonts w:eastAsia="Calibri"/>
          <w:iCs/>
          <w:noProof/>
          <w:szCs w:val="22"/>
          <w:lang w:val="it-IT" w:eastAsia="en-US"/>
        </w:rPr>
        <w:t>, con un risultante volume di distribuzione allo stato stazionario di 7,07 </w:t>
      </w:r>
      <w:del w:id="9091" w:author="Author">
        <w:r>
          <w:rPr>
            <w:rFonts w:eastAsia="Calibri"/>
            <w:iCs/>
            <w:noProof/>
            <w:szCs w:val="22"/>
            <w:lang w:val="it-IT" w:eastAsia="en-US"/>
          </w:rPr>
          <w:delText>l</w:delText>
        </w:r>
      </w:del>
      <w:ins w:id="9092" w:author="Author">
        <w:r>
          <w:rPr>
            <w:rFonts w:eastAsia="Calibri"/>
            <w:iCs/>
            <w:noProof/>
            <w:szCs w:val="22"/>
            <w:lang w:val="it-IT" w:eastAsia="en-US"/>
          </w:rPr>
          <w:t>L</w:t>
        </w:r>
      </w:ins>
      <w:r>
        <w:rPr>
          <w:rFonts w:eastAsia="Calibri"/>
          <w:iCs/>
          <w:noProof/>
          <w:szCs w:val="22"/>
          <w:lang w:val="it-IT" w:eastAsia="en-US"/>
        </w:rPr>
        <w:t>.</w:t>
      </w:r>
    </w:p>
    <w:p>
      <w:pPr>
        <w:numPr>
          <w:ilvl w:val="12"/>
          <w:numId w:val="0"/>
        </w:numPr>
        <w:ind w:right="-2"/>
        <w:rPr>
          <w:iCs/>
          <w:noProof/>
          <w:szCs w:val="22"/>
          <w:lang w:val="it-IT"/>
        </w:rPr>
      </w:pPr>
    </w:p>
    <w:p>
      <w:pPr>
        <w:numPr>
          <w:ilvl w:val="12"/>
          <w:numId w:val="0"/>
        </w:numPr>
        <w:ind w:right="-2"/>
        <w:rPr>
          <w:i/>
          <w:noProof/>
          <w:szCs w:val="22"/>
          <w:u w:val="single"/>
          <w:lang w:val="it-IT" w:eastAsia="en-US"/>
          <w:rPrChange w:id="9093" w:author="Author">
            <w:rPr>
              <w:iCs/>
              <w:szCs w:val="22"/>
              <w:u w:val="single"/>
              <w:lang w:val="it-IT" w:eastAsia="en-US"/>
            </w:rPr>
          </w:rPrChange>
        </w:rPr>
      </w:pPr>
      <w:r>
        <w:rPr>
          <w:rFonts w:eastAsia="Calibri"/>
          <w:i/>
          <w:noProof/>
          <w:szCs w:val="22"/>
          <w:u w:val="single"/>
          <w:lang w:val="it-IT" w:eastAsia="en-US"/>
          <w:rPrChange w:id="9094" w:author="Author">
            <w:rPr>
              <w:rFonts w:eastAsia="Calibri"/>
              <w:iCs/>
              <w:szCs w:val="22"/>
              <w:u w:val="single"/>
              <w:lang w:val="it-IT" w:eastAsia="en-US"/>
            </w:rPr>
          </w:rPrChange>
        </w:rPr>
        <w:t>Eliminazione</w:t>
      </w:r>
    </w:p>
    <w:p>
      <w:pPr>
        <w:numPr>
          <w:ilvl w:val="12"/>
          <w:numId w:val="0"/>
        </w:numPr>
        <w:ind w:right="-2"/>
        <w:rPr>
          <w:rFonts w:eastAsia="Calibri"/>
          <w:iCs/>
          <w:noProof/>
          <w:szCs w:val="22"/>
          <w:lang w:val="it-IT" w:eastAsia="en-US"/>
        </w:rPr>
      </w:pPr>
      <w:r>
        <w:rPr>
          <w:rFonts w:eastAsia="Calibri"/>
          <w:iCs/>
          <w:noProof/>
          <w:szCs w:val="22"/>
          <w:lang w:val="it-IT" w:eastAsia="en-US"/>
        </w:rPr>
        <w:t xml:space="preserve">In seguito a somministrazione endovenosa, </w:t>
      </w:r>
      <w:r>
        <w:rPr>
          <w:rFonts w:eastAsia="Calibri"/>
          <w:noProof/>
          <w:szCs w:val="22"/>
          <w:lang w:val="it-IT" w:eastAsia="en-US"/>
        </w:rPr>
        <w:t xml:space="preserve">tocilizumab </w:t>
      </w:r>
      <w:r>
        <w:rPr>
          <w:rFonts w:eastAsia="Calibri"/>
          <w:iCs/>
          <w:noProof/>
          <w:szCs w:val="22"/>
          <w:lang w:val="it-IT" w:eastAsia="en-US"/>
        </w:rPr>
        <w:t xml:space="preserve">viene eliminato dalla circolazione in due fasi. La clearance totale di </w:t>
      </w:r>
      <w:r>
        <w:rPr>
          <w:rFonts w:eastAsia="Calibri"/>
          <w:noProof/>
          <w:szCs w:val="22"/>
          <w:lang w:val="it-IT" w:eastAsia="en-US"/>
        </w:rPr>
        <w:t xml:space="preserve">tocilizumab </w:t>
      </w:r>
      <w:r>
        <w:rPr>
          <w:rFonts w:eastAsia="Calibri"/>
          <w:iCs/>
          <w:noProof/>
          <w:szCs w:val="22"/>
          <w:lang w:val="it-IT" w:eastAsia="en-US"/>
        </w:rPr>
        <w:t xml:space="preserve">è risultata dipendente dalla concentrazione e costituita dalla somma della clearance lineare e della clearance non lineare. La clearance lineare è stata stimata come parametro nell’analisi della farmacocinetica di popolazione ed è risultata pari a 9,5 mL/h. La clearance non lineare dipendente dalla concentrazione riveste un ruolo di primo piano a basse concentrazioni di </w:t>
      </w:r>
      <w:r>
        <w:rPr>
          <w:rFonts w:eastAsia="Calibri"/>
          <w:noProof/>
          <w:szCs w:val="22"/>
          <w:lang w:val="it-IT" w:eastAsia="en-US"/>
        </w:rPr>
        <w:t>tocilizumab</w:t>
      </w:r>
      <w:r>
        <w:rPr>
          <w:rFonts w:eastAsia="Calibri"/>
          <w:iCs/>
          <w:noProof/>
          <w:szCs w:val="22"/>
          <w:lang w:val="it-IT" w:eastAsia="en-US"/>
        </w:rPr>
        <w:t xml:space="preserve">. Una volta che la via della clearance non lineare è satura, a concentrazioni più alte di </w:t>
      </w:r>
      <w:r>
        <w:rPr>
          <w:rFonts w:eastAsia="Calibri"/>
          <w:noProof/>
          <w:szCs w:val="22"/>
          <w:lang w:val="it-IT" w:eastAsia="en-US"/>
        </w:rPr>
        <w:t>tocilizumab</w:t>
      </w:r>
      <w:r>
        <w:rPr>
          <w:rFonts w:eastAsia="Calibri"/>
          <w:iCs/>
          <w:noProof/>
          <w:szCs w:val="22"/>
          <w:lang w:val="it-IT" w:eastAsia="en-US"/>
        </w:rPr>
        <w:t>, la clearance è determinata principalmente dalla clearance lineare.</w:t>
      </w:r>
    </w:p>
    <w:p>
      <w:pPr>
        <w:numPr>
          <w:ilvl w:val="12"/>
          <w:numId w:val="0"/>
        </w:numPr>
        <w:ind w:right="-2"/>
        <w:rPr>
          <w:iCs/>
          <w:noProof/>
          <w:szCs w:val="22"/>
          <w:lang w:val="it-IT" w:eastAsia="en-US"/>
        </w:rPr>
      </w:pPr>
      <w:r>
        <w:rPr>
          <w:rFonts w:eastAsia="Calibri"/>
          <w:iCs/>
          <w:noProof/>
          <w:szCs w:val="22"/>
          <w:lang w:val="it-IT" w:eastAsia="en-US"/>
        </w:rPr>
        <w:t>Il t</w:t>
      </w:r>
      <w:r>
        <w:rPr>
          <w:rFonts w:eastAsia="Calibri"/>
          <w:iCs/>
          <w:noProof/>
          <w:szCs w:val="22"/>
          <w:vertAlign w:val="subscript"/>
          <w:lang w:val="it-IT" w:eastAsia="en-US"/>
        </w:rPr>
        <w:t>1/2</w:t>
      </w:r>
      <w:r>
        <w:rPr>
          <w:rFonts w:eastAsia="Calibri"/>
          <w:iCs/>
          <w:noProof/>
          <w:szCs w:val="22"/>
          <w:lang w:val="it-IT" w:eastAsia="en-US"/>
        </w:rPr>
        <w:t xml:space="preserve"> di </w:t>
      </w:r>
      <w:r>
        <w:rPr>
          <w:rFonts w:eastAsia="Calibri"/>
          <w:noProof/>
          <w:szCs w:val="22"/>
          <w:lang w:val="it-IT" w:eastAsia="en-US"/>
        </w:rPr>
        <w:t xml:space="preserve">tocilizumab </w:t>
      </w:r>
      <w:r>
        <w:rPr>
          <w:rFonts w:eastAsia="Calibri"/>
          <w:iCs/>
          <w:noProof/>
          <w:szCs w:val="22"/>
          <w:lang w:val="it-IT" w:eastAsia="en-US"/>
        </w:rPr>
        <w:t>è risultato dipendente dalla concentrazione. Allo stato stazionario, dopo la somministrazione di una dose di 8 mg/kg ogni 4 settimane, il t</w:t>
      </w:r>
      <w:r>
        <w:rPr>
          <w:rFonts w:eastAsia="Calibri"/>
          <w:iCs/>
          <w:noProof/>
          <w:szCs w:val="22"/>
          <w:vertAlign w:val="subscript"/>
          <w:lang w:val="it-IT" w:eastAsia="en-US"/>
        </w:rPr>
        <w:t>1/2</w:t>
      </w:r>
      <w:r>
        <w:rPr>
          <w:rFonts w:eastAsia="Calibri"/>
          <w:iCs/>
          <w:noProof/>
          <w:szCs w:val="22"/>
          <w:lang w:val="it-IT" w:eastAsia="en-US"/>
        </w:rPr>
        <w:t xml:space="preserve"> effettivo si è ridotto di pari passo con le concentrazioni, e con un intervallo di somministrazione compreso tra i 18 e i 6 giorni.</w:t>
      </w:r>
    </w:p>
    <w:p>
      <w:pPr>
        <w:numPr>
          <w:ilvl w:val="12"/>
          <w:numId w:val="0"/>
        </w:numPr>
        <w:ind w:right="-2"/>
        <w:rPr>
          <w:iCs/>
          <w:noProof/>
          <w:szCs w:val="22"/>
          <w:lang w:val="it-IT"/>
        </w:rPr>
      </w:pPr>
    </w:p>
    <w:p>
      <w:pPr>
        <w:ind w:left="567" w:hanging="567"/>
        <w:outlineLvl w:val="0"/>
        <w:rPr>
          <w:i/>
          <w:iCs/>
          <w:noProof/>
          <w:szCs w:val="22"/>
          <w:u w:val="single"/>
          <w:lang w:val="it-IT" w:eastAsia="en-US"/>
        </w:rPr>
      </w:pPr>
      <w:r>
        <w:rPr>
          <w:rFonts w:eastAsia="Calibri"/>
          <w:i/>
          <w:iCs/>
          <w:noProof/>
          <w:szCs w:val="22"/>
          <w:u w:val="single"/>
          <w:lang w:val="it-IT" w:eastAsia="en-US"/>
        </w:rPr>
        <w:t>Linearità</w:t>
      </w:r>
    </w:p>
    <w:p>
      <w:pPr>
        <w:numPr>
          <w:ilvl w:val="12"/>
          <w:numId w:val="0"/>
        </w:numPr>
        <w:ind w:right="-2"/>
        <w:rPr>
          <w:iCs/>
          <w:noProof/>
          <w:szCs w:val="22"/>
          <w:lang w:val="it-IT" w:eastAsia="en-US"/>
        </w:rPr>
      </w:pPr>
      <w:r>
        <w:rPr>
          <w:rFonts w:eastAsia="Calibri"/>
          <w:iCs/>
          <w:noProof/>
          <w:szCs w:val="22"/>
          <w:lang w:val="it-IT" w:eastAsia="en-US"/>
        </w:rPr>
        <w:t xml:space="preserve">I parametri farmacocinetici di </w:t>
      </w:r>
      <w:r>
        <w:rPr>
          <w:rFonts w:eastAsia="Calibri"/>
          <w:noProof/>
          <w:szCs w:val="22"/>
          <w:lang w:val="it-IT" w:eastAsia="en-US"/>
        </w:rPr>
        <w:t xml:space="preserve">tocilizumab </w:t>
      </w:r>
      <w:r>
        <w:rPr>
          <w:rFonts w:eastAsia="Calibri"/>
          <w:iCs/>
          <w:noProof/>
          <w:szCs w:val="22"/>
          <w:lang w:val="it-IT" w:eastAsia="en-US"/>
        </w:rPr>
        <w:t>non cambiano col tempo. Si è osservato un incremento più che proporzionale alla dose della AUC e della C</w:t>
      </w:r>
      <w:r>
        <w:rPr>
          <w:rFonts w:eastAsia="Calibri"/>
          <w:iCs/>
          <w:noProof/>
          <w:szCs w:val="22"/>
          <w:vertAlign w:val="subscript"/>
          <w:lang w:val="it-IT" w:eastAsia="en-US"/>
        </w:rPr>
        <w:t>min</w:t>
      </w:r>
      <w:r>
        <w:rPr>
          <w:rFonts w:eastAsia="Calibri"/>
          <w:iCs/>
          <w:noProof/>
          <w:szCs w:val="22"/>
          <w:lang w:val="it-IT" w:eastAsia="en-US"/>
        </w:rPr>
        <w:t xml:space="preserve"> per dosi di 4 e 8 mg/kg ogni 4 settimane. La C</w:t>
      </w:r>
      <w:r>
        <w:rPr>
          <w:rFonts w:eastAsia="Calibri"/>
          <w:iCs/>
          <w:noProof/>
          <w:szCs w:val="22"/>
          <w:vertAlign w:val="subscript"/>
          <w:lang w:val="it-IT" w:eastAsia="en-US"/>
        </w:rPr>
        <w:t>max</w:t>
      </w:r>
      <w:r>
        <w:rPr>
          <w:rFonts w:eastAsia="Calibri"/>
          <w:iCs/>
          <w:noProof/>
          <w:szCs w:val="22"/>
          <w:lang w:val="it-IT" w:eastAsia="en-US"/>
        </w:rPr>
        <w:t xml:space="preserve"> è cresciuta proporzionalmente alla dose. Allo stato stazionario, le AUC e C</w:t>
      </w:r>
      <w:r>
        <w:rPr>
          <w:rFonts w:eastAsia="Calibri"/>
          <w:iCs/>
          <w:noProof/>
          <w:szCs w:val="22"/>
          <w:vertAlign w:val="subscript"/>
          <w:lang w:val="it-IT" w:eastAsia="en-US"/>
        </w:rPr>
        <w:t>min</w:t>
      </w:r>
      <w:r>
        <w:rPr>
          <w:rFonts w:eastAsia="Calibri"/>
          <w:iCs/>
          <w:noProof/>
          <w:szCs w:val="22"/>
          <w:lang w:val="it-IT" w:eastAsia="en-US"/>
        </w:rPr>
        <w:t xml:space="preserve"> previste erano 3,2 e 30 volte più elevate con 8 mg/kg rispetto a 4 mg/kg rispettivamente.</w:t>
      </w:r>
    </w:p>
    <w:p>
      <w:pPr>
        <w:numPr>
          <w:ilvl w:val="12"/>
          <w:numId w:val="0"/>
        </w:numPr>
        <w:ind w:right="-2"/>
        <w:rPr>
          <w:iCs/>
          <w:noProof/>
          <w:szCs w:val="22"/>
          <w:lang w:val="it-IT"/>
        </w:rPr>
      </w:pPr>
    </w:p>
    <w:p>
      <w:pPr>
        <w:keepNext/>
        <w:rPr>
          <w:ins w:id="9095" w:author="Author"/>
          <w:rFonts w:eastAsia="Calibri"/>
          <w:i/>
          <w:iCs/>
          <w:noProof/>
          <w:szCs w:val="22"/>
          <w:u w:val="single"/>
          <w:lang w:val="it-IT" w:eastAsia="en-US"/>
        </w:rPr>
      </w:pPr>
      <w:r>
        <w:rPr>
          <w:rFonts w:eastAsia="Calibri"/>
          <w:i/>
          <w:iCs/>
          <w:noProof/>
          <w:szCs w:val="22"/>
          <w:u w:val="single"/>
          <w:lang w:val="it-IT" w:eastAsia="en-US"/>
        </w:rPr>
        <w:t>Uso sottocutaneo</w:t>
      </w:r>
    </w:p>
    <w:p>
      <w:pPr>
        <w:keepNext/>
        <w:rPr>
          <w:ins w:id="9096" w:author="Author"/>
          <w:rFonts w:eastAsia="Calibri"/>
          <w:i/>
          <w:iCs/>
          <w:noProof/>
          <w:szCs w:val="22"/>
          <w:u w:val="single"/>
          <w:lang w:val="it-IT" w:eastAsia="en-US"/>
        </w:rPr>
      </w:pPr>
      <w:ins w:id="9097" w:author="Author">
        <w:r>
          <w:rPr>
            <w:rFonts w:eastAsia="Calibri"/>
            <w:i/>
            <w:iCs/>
            <w:noProof/>
            <w:szCs w:val="22"/>
            <w:u w:val="single"/>
            <w:lang w:val="it-IT" w:eastAsia="en-US"/>
          </w:rPr>
          <w:t>Pazienti affetti da AR</w:t>
        </w:r>
      </w:ins>
    </w:p>
    <w:p>
      <w:pPr>
        <w:keepNext/>
        <w:rPr>
          <w:i/>
          <w:iCs/>
          <w:noProof/>
          <w:szCs w:val="22"/>
          <w:u w:val="single"/>
          <w:lang w:val="it-IT" w:eastAsia="en-US"/>
        </w:rPr>
        <w:pPrChange w:id="9098" w:author="Author">
          <w:pPr>
            <w:spacing w:line="280" w:lineRule="atLeast"/>
          </w:pPr>
        </w:pPrChange>
      </w:pPr>
    </w:p>
    <w:p>
      <w:pPr>
        <w:numPr>
          <w:ilvl w:val="12"/>
          <w:numId w:val="0"/>
        </w:numPr>
        <w:ind w:right="-2"/>
        <w:rPr>
          <w:iCs/>
          <w:noProof/>
          <w:szCs w:val="22"/>
          <w:lang w:val="it-IT" w:eastAsia="en-US"/>
        </w:rPr>
      </w:pPr>
      <w:r>
        <w:rPr>
          <w:rFonts w:eastAsia="Calibri"/>
          <w:iCs/>
          <w:noProof/>
          <w:szCs w:val="22"/>
          <w:lang w:val="it-IT" w:eastAsia="en-US"/>
        </w:rPr>
        <w:t xml:space="preserve">La farmacocinetica di </w:t>
      </w:r>
      <w:r>
        <w:rPr>
          <w:rFonts w:eastAsia="Calibri"/>
          <w:noProof/>
          <w:szCs w:val="22"/>
          <w:lang w:val="it-IT" w:eastAsia="en-US"/>
        </w:rPr>
        <w:t xml:space="preserve">tocilizumab </w:t>
      </w:r>
      <w:r>
        <w:rPr>
          <w:rFonts w:eastAsia="Calibri"/>
          <w:iCs/>
          <w:noProof/>
          <w:szCs w:val="22"/>
          <w:lang w:val="it-IT" w:eastAsia="en-US"/>
        </w:rPr>
        <w:t>è stata determinata effettuando un’analisi di farmacocinetica di popolazione su un database composto da 3</w:t>
      </w:r>
      <w:del w:id="9099" w:author="Author">
        <w:r>
          <w:rPr>
            <w:rFonts w:eastAsia="Calibri"/>
            <w:iCs/>
            <w:noProof/>
            <w:szCs w:val="22"/>
            <w:lang w:val="it-IT" w:eastAsia="en-US"/>
          </w:rPr>
          <w:delText>.</w:delText>
        </w:r>
      </w:del>
      <w:ins w:id="9100" w:author="Author">
        <w:r>
          <w:rPr>
            <w:rFonts w:eastAsia="Calibri"/>
            <w:iCs/>
            <w:noProof/>
            <w:szCs w:val="22"/>
            <w:lang w:val="it-IT" w:eastAsia="en-US"/>
          </w:rPr>
          <w:t> </w:t>
        </w:r>
      </w:ins>
      <w:r>
        <w:rPr>
          <w:rFonts w:eastAsia="Calibri"/>
          <w:iCs/>
          <w:noProof/>
          <w:szCs w:val="22"/>
          <w:lang w:val="it-IT" w:eastAsia="en-US"/>
        </w:rPr>
        <w:t xml:space="preserve">552 pazienti affetti da AR, trattati con 162 mg sottocute </w:t>
      </w:r>
      <w:del w:id="9101" w:author="Author">
        <w:r>
          <w:rPr>
            <w:rFonts w:eastAsia="Calibri"/>
            <w:iCs/>
            <w:noProof/>
            <w:szCs w:val="22"/>
            <w:lang w:val="it-IT" w:eastAsia="en-US"/>
          </w:rPr>
          <w:delText xml:space="preserve">ogni </w:delText>
        </w:r>
      </w:del>
      <w:ins w:id="9102" w:author="Author">
        <w:r>
          <w:rPr>
            <w:rFonts w:eastAsia="Calibri"/>
            <w:iCs/>
            <w:noProof/>
            <w:szCs w:val="22"/>
            <w:lang w:val="it-IT" w:eastAsia="en-US"/>
          </w:rPr>
          <w:t xml:space="preserve">una volta a </w:t>
        </w:r>
      </w:ins>
      <w:r>
        <w:rPr>
          <w:rFonts w:eastAsia="Calibri"/>
          <w:iCs/>
          <w:noProof/>
          <w:szCs w:val="22"/>
          <w:lang w:val="it-IT" w:eastAsia="en-US"/>
        </w:rPr>
        <w:t>settimana, 162 mg sottocute ogni due settimane e o 4 o 8 mg/kg endovena ogni 4 settimane per 24 settimane.</w:t>
      </w:r>
    </w:p>
    <w:p>
      <w:pPr>
        <w:numPr>
          <w:ilvl w:val="12"/>
          <w:numId w:val="0"/>
        </w:numPr>
        <w:ind w:right="-2"/>
        <w:rPr>
          <w:iCs/>
          <w:noProof/>
          <w:szCs w:val="22"/>
          <w:lang w:val="it-IT"/>
        </w:rPr>
      </w:pPr>
    </w:p>
    <w:p>
      <w:pPr>
        <w:numPr>
          <w:ilvl w:val="12"/>
          <w:numId w:val="0"/>
        </w:numPr>
        <w:ind w:right="-2"/>
        <w:rPr>
          <w:iCs/>
          <w:noProof/>
          <w:szCs w:val="22"/>
          <w:lang w:val="it-IT" w:eastAsia="en-US"/>
        </w:rPr>
      </w:pPr>
      <w:r>
        <w:rPr>
          <w:rFonts w:eastAsia="Calibri"/>
          <w:iCs/>
          <w:noProof/>
          <w:szCs w:val="22"/>
          <w:lang w:val="it-IT" w:eastAsia="en-US"/>
        </w:rPr>
        <w:t xml:space="preserve">I parametri farmacocinetici di </w:t>
      </w:r>
      <w:r>
        <w:rPr>
          <w:rFonts w:eastAsia="Calibri"/>
          <w:noProof/>
          <w:szCs w:val="22"/>
          <w:lang w:val="it-IT" w:eastAsia="en-US"/>
        </w:rPr>
        <w:t xml:space="preserve">tocilizumab </w:t>
      </w:r>
      <w:r>
        <w:rPr>
          <w:rFonts w:eastAsia="Calibri"/>
          <w:iCs/>
          <w:noProof/>
          <w:szCs w:val="22"/>
          <w:lang w:val="it-IT" w:eastAsia="en-US"/>
        </w:rPr>
        <w:t>non cambiano col tempo. Per quanto riguarda la dose di 162</w:t>
      </w:r>
      <w:ins w:id="9103" w:author="Author">
        <w:r>
          <w:rPr>
            <w:rFonts w:eastAsia="Calibri"/>
            <w:iCs/>
            <w:noProof/>
            <w:szCs w:val="22"/>
            <w:lang w:val="it-IT" w:eastAsia="en-US"/>
          </w:rPr>
          <w:t> </w:t>
        </w:r>
      </w:ins>
      <w:del w:id="9104" w:author="Author">
        <w:r>
          <w:rPr>
            <w:rFonts w:eastAsia="Calibri"/>
            <w:iCs/>
            <w:noProof/>
            <w:szCs w:val="22"/>
            <w:lang w:val="it-IT" w:eastAsia="en-US"/>
          </w:rPr>
          <w:delText xml:space="preserve"> </w:delText>
        </w:r>
      </w:del>
      <w:r>
        <w:rPr>
          <w:rFonts w:eastAsia="Calibri"/>
          <w:iCs/>
          <w:noProof/>
          <w:szCs w:val="22"/>
          <w:lang w:val="it-IT" w:eastAsia="en-US"/>
        </w:rPr>
        <w:t xml:space="preserve">mg somministrata </w:t>
      </w:r>
      <w:del w:id="9105" w:author="Author">
        <w:r>
          <w:rPr>
            <w:rFonts w:eastAsia="Calibri"/>
            <w:iCs/>
            <w:noProof/>
            <w:szCs w:val="22"/>
            <w:lang w:val="it-IT" w:eastAsia="en-US"/>
          </w:rPr>
          <w:delText xml:space="preserve">ogni </w:delText>
        </w:r>
      </w:del>
      <w:ins w:id="9106" w:author="Author">
        <w:r>
          <w:rPr>
            <w:rFonts w:eastAsia="Calibri"/>
            <w:iCs/>
            <w:noProof/>
            <w:szCs w:val="22"/>
            <w:lang w:val="it-IT" w:eastAsia="en-US"/>
          </w:rPr>
          <w:t xml:space="preserve">una volta a </w:t>
        </w:r>
      </w:ins>
      <w:r>
        <w:rPr>
          <w:rFonts w:eastAsia="Calibri"/>
          <w:iCs/>
          <w:noProof/>
          <w:szCs w:val="22"/>
          <w:lang w:val="it-IT" w:eastAsia="en-US"/>
        </w:rPr>
        <w:t xml:space="preserve">settimana, i valori medi </w:t>
      </w:r>
      <w:ins w:id="9107" w:author="Author">
        <w:r>
          <w:rPr>
            <w:rFonts w:eastAsia="Calibri"/>
            <w:iCs/>
            <w:noProof/>
            <w:szCs w:val="22"/>
            <w:lang w:val="it-IT" w:eastAsia="en-US"/>
          </w:rPr>
          <w:t xml:space="preserve">di tocilizumab </w:t>
        </w:r>
      </w:ins>
      <w:r>
        <w:rPr>
          <w:rFonts w:eastAsia="Calibri"/>
          <w:iCs/>
          <w:noProof/>
          <w:szCs w:val="22"/>
          <w:lang w:val="it-IT" w:eastAsia="en-US"/>
        </w:rPr>
        <w:t>pre</w:t>
      </w:r>
      <w:ins w:id="9108" w:author="Author">
        <w:r>
          <w:rPr>
            <w:rFonts w:eastAsia="Calibri"/>
            <w:iCs/>
            <w:noProof/>
            <w:szCs w:val="22"/>
            <w:lang w:val="it-IT" w:eastAsia="en-US"/>
          </w:rPr>
          <w:t>detti</w:t>
        </w:r>
      </w:ins>
      <w:del w:id="9109" w:author="Author">
        <w:r>
          <w:rPr>
            <w:rFonts w:eastAsia="Calibri"/>
            <w:iCs/>
            <w:noProof/>
            <w:szCs w:val="22"/>
            <w:lang w:val="it-IT" w:eastAsia="en-US"/>
          </w:rPr>
          <w:delText>visti</w:delText>
        </w:r>
      </w:del>
      <w:r>
        <w:rPr>
          <w:rFonts w:eastAsia="Calibri"/>
          <w:iCs/>
          <w:noProof/>
          <w:szCs w:val="22"/>
          <w:lang w:val="it-IT" w:eastAsia="en-US"/>
        </w:rPr>
        <w:t xml:space="preserve"> (</w:t>
      </w:r>
      <w:r>
        <w:rPr>
          <w:rFonts w:eastAsia="Calibri"/>
          <w:iCs/>
          <w:noProof/>
          <w:lang w:val="it-IT"/>
        </w:rPr>
        <w:sym w:font="Symbol" w:char="F0B1"/>
      </w:r>
      <w:del w:id="9110" w:author="Author">
        <w:r>
          <w:rPr>
            <w:rFonts w:eastAsia="Calibri"/>
            <w:iCs/>
            <w:noProof/>
            <w:szCs w:val="22"/>
            <w:lang w:val="it-IT" w:eastAsia="en-US"/>
          </w:rPr>
          <w:delText xml:space="preserve"> </w:delText>
        </w:r>
      </w:del>
      <w:ins w:id="9111" w:author="Author">
        <w:r>
          <w:rPr>
            <w:rFonts w:eastAsia="Calibri"/>
            <w:iCs/>
            <w:noProof/>
            <w:szCs w:val="22"/>
            <w:lang w:val="it-IT" w:eastAsia="en-US"/>
          </w:rPr>
          <w:t> </w:t>
        </w:r>
      </w:ins>
      <w:r>
        <w:rPr>
          <w:rFonts w:eastAsia="Calibri"/>
          <w:iCs/>
          <w:noProof/>
          <w:szCs w:val="22"/>
          <w:lang w:val="it-IT" w:eastAsia="en-US"/>
        </w:rPr>
        <w:t>DS) allo stato stazionario dell’AUC</w:t>
      </w:r>
      <w:r>
        <w:rPr>
          <w:rFonts w:eastAsia="Calibri"/>
          <w:iCs/>
          <w:noProof/>
          <w:szCs w:val="22"/>
          <w:vertAlign w:val="subscript"/>
          <w:lang w:val="it-IT" w:eastAsia="en-US"/>
        </w:rPr>
        <w:t>1</w:t>
      </w:r>
      <w:ins w:id="9112" w:author="Author">
        <w:r>
          <w:rPr>
            <w:rFonts w:eastAsia="Calibri"/>
            <w:iCs/>
            <w:noProof/>
            <w:szCs w:val="22"/>
            <w:vertAlign w:val="subscript"/>
            <w:lang w:val="it-IT" w:eastAsia="en-US"/>
          </w:rPr>
          <w:t> </w:t>
        </w:r>
      </w:ins>
      <w:del w:id="9113" w:author="Author">
        <w:r>
          <w:rPr>
            <w:rFonts w:eastAsia="Calibri"/>
            <w:iCs/>
            <w:noProof/>
            <w:szCs w:val="22"/>
            <w:vertAlign w:val="subscript"/>
            <w:lang w:val="it-IT" w:eastAsia="en-US"/>
          </w:rPr>
          <w:delText xml:space="preserve"> </w:delText>
        </w:r>
      </w:del>
      <w:r>
        <w:rPr>
          <w:rFonts w:eastAsia="Calibri"/>
          <w:iCs/>
          <w:noProof/>
          <w:szCs w:val="22"/>
          <w:vertAlign w:val="subscript"/>
          <w:lang w:val="it-IT" w:eastAsia="en-US"/>
        </w:rPr>
        <w:t>sett</w:t>
      </w:r>
      <w:r>
        <w:rPr>
          <w:rFonts w:eastAsia="Calibri"/>
          <w:iCs/>
          <w:noProof/>
          <w:szCs w:val="22"/>
          <w:lang w:val="it-IT" w:eastAsia="en-US"/>
        </w:rPr>
        <w:t>, C</w:t>
      </w:r>
      <w:r>
        <w:rPr>
          <w:rFonts w:eastAsia="Calibri"/>
          <w:iCs/>
          <w:noProof/>
          <w:szCs w:val="22"/>
          <w:vertAlign w:val="subscript"/>
          <w:lang w:val="it-IT" w:eastAsia="en-US"/>
        </w:rPr>
        <w:t>min</w:t>
      </w:r>
      <w:r>
        <w:rPr>
          <w:rFonts w:eastAsia="Calibri"/>
          <w:iCs/>
          <w:noProof/>
          <w:szCs w:val="22"/>
          <w:lang w:val="it-IT" w:eastAsia="en-US"/>
        </w:rPr>
        <w:t xml:space="preserve"> e C</w:t>
      </w:r>
      <w:r>
        <w:rPr>
          <w:rFonts w:eastAsia="Calibri"/>
          <w:iCs/>
          <w:noProof/>
          <w:szCs w:val="22"/>
          <w:vertAlign w:val="subscript"/>
          <w:lang w:val="it-IT" w:eastAsia="en-US"/>
        </w:rPr>
        <w:t>max</w:t>
      </w:r>
      <w:r>
        <w:rPr>
          <w:rFonts w:eastAsia="Calibri"/>
          <w:iCs/>
          <w:noProof/>
          <w:szCs w:val="22"/>
          <w:lang w:val="it-IT" w:eastAsia="en-US"/>
        </w:rPr>
        <w:t xml:space="preserve"> </w:t>
      </w:r>
      <w:del w:id="9114" w:author="Author">
        <w:r>
          <w:rPr>
            <w:rFonts w:eastAsia="Calibri"/>
            <w:iCs/>
            <w:noProof/>
            <w:szCs w:val="22"/>
            <w:lang w:val="it-IT" w:eastAsia="en-US"/>
          </w:rPr>
          <w:delText xml:space="preserve">di </w:delText>
        </w:r>
        <w:r>
          <w:rPr>
            <w:rFonts w:eastAsia="Calibri"/>
            <w:noProof/>
            <w:szCs w:val="22"/>
            <w:lang w:val="it-IT" w:eastAsia="en-US"/>
          </w:rPr>
          <w:delText xml:space="preserve">tocilizumab </w:delText>
        </w:r>
      </w:del>
      <w:r>
        <w:rPr>
          <w:rFonts w:eastAsia="Calibri"/>
          <w:iCs/>
          <w:noProof/>
          <w:szCs w:val="22"/>
          <w:lang w:val="it-IT" w:eastAsia="en-US"/>
        </w:rPr>
        <w:t>sono stati rispettivamente 7</w:t>
      </w:r>
      <w:del w:id="9115" w:author="Author">
        <w:r>
          <w:rPr>
            <w:rFonts w:eastAsia="Calibri"/>
            <w:iCs/>
            <w:noProof/>
            <w:szCs w:val="22"/>
            <w:lang w:val="it-IT" w:eastAsia="en-US"/>
          </w:rPr>
          <w:delText>,</w:delText>
        </w:r>
      </w:del>
      <w:ins w:id="9116" w:author="Author">
        <w:r>
          <w:rPr>
            <w:rFonts w:eastAsia="Calibri"/>
            <w:iCs/>
            <w:noProof/>
            <w:szCs w:val="22"/>
            <w:lang w:val="it-IT" w:eastAsia="en-US"/>
          </w:rPr>
          <w:t> </w:t>
        </w:r>
      </w:ins>
      <w:r>
        <w:rPr>
          <w:rFonts w:eastAsia="Calibri"/>
          <w:iCs/>
          <w:noProof/>
          <w:szCs w:val="22"/>
          <w:lang w:val="it-IT" w:eastAsia="en-US"/>
        </w:rPr>
        <w:t>970 ± 3</w:t>
      </w:r>
      <w:del w:id="9117" w:author="Author">
        <w:r>
          <w:rPr>
            <w:rFonts w:eastAsia="Calibri"/>
            <w:iCs/>
            <w:noProof/>
            <w:szCs w:val="22"/>
            <w:lang w:val="it-IT" w:eastAsia="en-US"/>
          </w:rPr>
          <w:delText>,</w:delText>
        </w:r>
      </w:del>
      <w:ins w:id="9118" w:author="Author">
        <w:r>
          <w:rPr>
            <w:rFonts w:eastAsia="Calibri"/>
            <w:iCs/>
            <w:noProof/>
            <w:szCs w:val="22"/>
            <w:lang w:val="it-IT" w:eastAsia="en-US"/>
          </w:rPr>
          <w:t> </w:t>
        </w:r>
      </w:ins>
      <w:r>
        <w:rPr>
          <w:rFonts w:eastAsia="Calibri"/>
          <w:iCs/>
          <w:noProof/>
          <w:szCs w:val="22"/>
          <w:lang w:val="it-IT" w:eastAsia="en-US"/>
        </w:rPr>
        <w:t>432</w:t>
      </w:r>
      <w:ins w:id="9119" w:author="Author">
        <w:r>
          <w:rPr>
            <w:rFonts w:eastAsia="Calibri"/>
            <w:iCs/>
            <w:noProof/>
            <w:szCs w:val="22"/>
            <w:lang w:val="it-IT" w:eastAsia="en-US"/>
          </w:rPr>
          <w:t> </w:t>
        </w:r>
      </w:ins>
      <w:del w:id="9120" w:author="Author">
        <w:r>
          <w:rPr>
            <w:rFonts w:eastAsia="Calibri"/>
            <w:iCs/>
            <w:noProof/>
            <w:szCs w:val="22"/>
            <w:lang w:val="it-IT" w:eastAsia="en-US"/>
          </w:rPr>
          <w:delText xml:space="preserve"> </w:delText>
        </w:r>
      </w:del>
      <w:r>
        <w:rPr>
          <w:rFonts w:eastAsia="Calibri"/>
          <w:iCs/>
          <w:noProof/>
          <w:szCs w:val="22"/>
          <w:lang w:val="it-IT" w:eastAsia="en-US"/>
        </w:rPr>
        <w:t>μg</w:t>
      </w:r>
      <w:del w:id="9121" w:author="Author">
        <w:r>
          <w:rPr>
            <w:rFonts w:eastAsia="Calibri"/>
            <w:iCs/>
            <w:noProof/>
            <w:szCs w:val="22"/>
            <w:lang w:val="it-IT" w:eastAsia="en-US"/>
          </w:rPr>
          <w:delText>•</w:delText>
        </w:r>
      </w:del>
      <w:ins w:id="9122" w:author="Author">
        <w:r>
          <w:rPr>
            <w:rFonts w:eastAsia="Calibri"/>
            <w:iCs/>
            <w:noProof/>
            <w:szCs w:val="22"/>
            <w:lang w:val="it-IT" w:eastAsia="en-US"/>
          </w:rPr>
          <w:t> </w:t>
        </w:r>
        <w:r>
          <w:rPr>
            <w:noProof/>
            <w:szCs w:val="22"/>
            <w:lang w:val="it-IT"/>
          </w:rPr>
          <w:t>×</w:t>
        </w:r>
        <w:r>
          <w:rPr>
            <w:rFonts w:eastAsia="Calibri"/>
            <w:iCs/>
            <w:noProof/>
            <w:szCs w:val="22"/>
            <w:lang w:val="it-IT" w:eastAsia="en-US"/>
          </w:rPr>
          <w:t> </w:t>
        </w:r>
      </w:ins>
      <w:r>
        <w:rPr>
          <w:rFonts w:eastAsia="Calibri"/>
          <w:iCs/>
          <w:noProof/>
          <w:szCs w:val="22"/>
          <w:lang w:val="it-IT" w:eastAsia="en-US"/>
        </w:rPr>
        <w:t>h/mL, 43,0 ± 19,8 μg/mL e 49,8 ± 21,0 μg/mL. I tassi di accumulo relativi ad AUC, C</w:t>
      </w:r>
      <w:r>
        <w:rPr>
          <w:rFonts w:eastAsia="Calibri"/>
          <w:iCs/>
          <w:noProof/>
          <w:szCs w:val="22"/>
          <w:vertAlign w:val="subscript"/>
          <w:lang w:val="it-IT" w:eastAsia="en-US"/>
        </w:rPr>
        <w:t>min</w:t>
      </w:r>
      <w:r>
        <w:rPr>
          <w:rFonts w:eastAsia="Calibri"/>
          <w:iCs/>
          <w:noProof/>
          <w:szCs w:val="22"/>
          <w:lang w:val="it-IT" w:eastAsia="en-US"/>
        </w:rPr>
        <w:t xml:space="preserve"> e C</w:t>
      </w:r>
      <w:r>
        <w:rPr>
          <w:rFonts w:eastAsia="Calibri"/>
          <w:iCs/>
          <w:noProof/>
          <w:szCs w:val="22"/>
          <w:vertAlign w:val="subscript"/>
          <w:lang w:val="it-IT" w:eastAsia="en-US"/>
        </w:rPr>
        <w:t>max</w:t>
      </w:r>
      <w:r>
        <w:rPr>
          <w:rFonts w:eastAsia="Calibri"/>
          <w:iCs/>
          <w:noProof/>
          <w:szCs w:val="22"/>
          <w:lang w:val="it-IT" w:eastAsia="en-US"/>
        </w:rPr>
        <w:t xml:space="preserve"> sono stati rispettivamente di 6,32, 6,30 e 5,27. Lo stato stazionario è stato raggiunto dopo 12 settimane per AUC, C</w:t>
      </w:r>
      <w:r>
        <w:rPr>
          <w:rFonts w:eastAsia="Calibri"/>
          <w:iCs/>
          <w:noProof/>
          <w:szCs w:val="22"/>
          <w:vertAlign w:val="subscript"/>
          <w:lang w:val="it-IT" w:eastAsia="en-US"/>
        </w:rPr>
        <w:t>min</w:t>
      </w:r>
      <w:r>
        <w:rPr>
          <w:rFonts w:eastAsia="Calibri"/>
          <w:iCs/>
          <w:noProof/>
          <w:szCs w:val="22"/>
          <w:lang w:val="it-IT" w:eastAsia="en-US"/>
        </w:rPr>
        <w:t xml:space="preserve"> e C</w:t>
      </w:r>
      <w:r>
        <w:rPr>
          <w:rFonts w:eastAsia="Calibri"/>
          <w:iCs/>
          <w:noProof/>
          <w:szCs w:val="22"/>
          <w:vertAlign w:val="subscript"/>
          <w:lang w:val="it-IT" w:eastAsia="en-US"/>
        </w:rPr>
        <w:t>max</w:t>
      </w:r>
      <w:r>
        <w:rPr>
          <w:rFonts w:eastAsia="Calibri"/>
          <w:iCs/>
          <w:noProof/>
          <w:szCs w:val="22"/>
          <w:lang w:val="it-IT" w:eastAsia="en-US"/>
        </w:rPr>
        <w:t>.</w:t>
      </w:r>
    </w:p>
    <w:p>
      <w:pPr>
        <w:numPr>
          <w:ilvl w:val="12"/>
          <w:numId w:val="0"/>
        </w:numPr>
        <w:ind w:right="-2"/>
        <w:rPr>
          <w:iCs/>
          <w:noProof/>
          <w:szCs w:val="22"/>
          <w:lang w:val="it-IT"/>
        </w:rPr>
      </w:pPr>
    </w:p>
    <w:p>
      <w:pPr>
        <w:numPr>
          <w:ilvl w:val="12"/>
          <w:numId w:val="0"/>
        </w:numPr>
        <w:ind w:right="-2"/>
        <w:rPr>
          <w:iCs/>
          <w:noProof/>
          <w:szCs w:val="22"/>
          <w:lang w:val="it-IT" w:eastAsia="en-US"/>
        </w:rPr>
      </w:pPr>
      <w:r>
        <w:rPr>
          <w:rFonts w:eastAsia="Calibri"/>
          <w:iCs/>
          <w:noProof/>
          <w:szCs w:val="22"/>
          <w:lang w:val="it-IT" w:eastAsia="en-US"/>
        </w:rPr>
        <w:lastRenderedPageBreak/>
        <w:t xml:space="preserve">Per quanto riguarda la dose di 162 mg somministrata </w:t>
      </w:r>
      <w:ins w:id="9123" w:author="Author">
        <w:r>
          <w:rPr>
            <w:rFonts w:eastAsia="Calibri"/>
            <w:iCs/>
            <w:noProof/>
            <w:szCs w:val="22"/>
            <w:lang w:val="it-IT" w:eastAsia="en-US"/>
          </w:rPr>
          <w:t>ogni due settimane</w:t>
        </w:r>
      </w:ins>
      <w:del w:id="9124" w:author="Author">
        <w:r>
          <w:rPr>
            <w:rFonts w:eastAsia="Calibri"/>
            <w:iCs/>
            <w:noProof/>
            <w:szCs w:val="22"/>
            <w:lang w:val="it-IT" w:eastAsia="en-US"/>
          </w:rPr>
          <w:delText>a settimane alterne</w:delText>
        </w:r>
      </w:del>
      <w:r>
        <w:rPr>
          <w:rFonts w:eastAsia="Calibri"/>
          <w:iCs/>
          <w:noProof/>
          <w:szCs w:val="22"/>
          <w:lang w:val="it-IT" w:eastAsia="en-US"/>
        </w:rPr>
        <w:t xml:space="preserve">, i valori medi </w:t>
      </w:r>
      <w:del w:id="9125" w:author="Author">
        <w:r>
          <w:rPr>
            <w:rFonts w:eastAsia="Calibri"/>
            <w:iCs/>
            <w:noProof/>
            <w:szCs w:val="22"/>
            <w:lang w:val="it-IT" w:eastAsia="en-US"/>
          </w:rPr>
          <w:delText xml:space="preserve">previsti </w:delText>
        </w:r>
      </w:del>
      <w:ins w:id="9126" w:author="Author">
        <w:r>
          <w:rPr>
            <w:rFonts w:eastAsia="Calibri"/>
            <w:iCs/>
            <w:noProof/>
            <w:szCs w:val="22"/>
            <w:lang w:val="it-IT" w:eastAsia="en-US"/>
          </w:rPr>
          <w:t xml:space="preserve">di tocilizumab predetti </w:t>
        </w:r>
      </w:ins>
      <w:r>
        <w:rPr>
          <w:rFonts w:eastAsia="Calibri"/>
          <w:iCs/>
          <w:noProof/>
          <w:szCs w:val="22"/>
          <w:lang w:val="it-IT" w:eastAsia="en-US"/>
        </w:rPr>
        <w:t>(</w:t>
      </w:r>
      <w:r>
        <w:rPr>
          <w:rFonts w:eastAsia="Calibri"/>
          <w:iCs/>
          <w:noProof/>
          <w:lang w:val="it-IT"/>
        </w:rPr>
        <w:sym w:font="Symbol" w:char="F0B1"/>
      </w:r>
      <w:del w:id="9127" w:author="Author">
        <w:r>
          <w:rPr>
            <w:rFonts w:eastAsia="Calibri"/>
            <w:iCs/>
            <w:noProof/>
            <w:szCs w:val="22"/>
            <w:lang w:val="it-IT" w:eastAsia="en-US"/>
          </w:rPr>
          <w:delText xml:space="preserve"> </w:delText>
        </w:r>
      </w:del>
      <w:ins w:id="9128" w:author="Author">
        <w:r>
          <w:rPr>
            <w:rFonts w:eastAsia="Calibri"/>
            <w:iCs/>
            <w:noProof/>
            <w:szCs w:val="22"/>
            <w:lang w:val="it-IT" w:eastAsia="en-US"/>
          </w:rPr>
          <w:t> </w:t>
        </w:r>
      </w:ins>
      <w:r>
        <w:rPr>
          <w:rFonts w:eastAsia="Calibri"/>
          <w:iCs/>
          <w:noProof/>
          <w:szCs w:val="22"/>
          <w:lang w:val="it-IT" w:eastAsia="en-US"/>
        </w:rPr>
        <w:t>DS) allo stato stazionario dell’AUC</w:t>
      </w:r>
      <w:r>
        <w:rPr>
          <w:rFonts w:eastAsia="Calibri"/>
          <w:iCs/>
          <w:noProof/>
          <w:szCs w:val="22"/>
          <w:vertAlign w:val="subscript"/>
          <w:lang w:val="it-IT" w:eastAsia="en-US"/>
        </w:rPr>
        <w:t>2</w:t>
      </w:r>
      <w:ins w:id="9129" w:author="Author">
        <w:r>
          <w:rPr>
            <w:rFonts w:eastAsia="Calibri"/>
            <w:iCs/>
            <w:noProof/>
            <w:szCs w:val="22"/>
            <w:vertAlign w:val="subscript"/>
            <w:lang w:val="it-IT" w:eastAsia="en-US"/>
          </w:rPr>
          <w:t> </w:t>
        </w:r>
      </w:ins>
      <w:del w:id="9130" w:author="Author">
        <w:r>
          <w:rPr>
            <w:rFonts w:eastAsia="Calibri"/>
            <w:iCs/>
            <w:noProof/>
            <w:szCs w:val="22"/>
            <w:vertAlign w:val="subscript"/>
            <w:lang w:val="it-IT" w:eastAsia="en-US"/>
          </w:rPr>
          <w:delText xml:space="preserve"> </w:delText>
        </w:r>
      </w:del>
      <w:r>
        <w:rPr>
          <w:rFonts w:eastAsia="Calibri"/>
          <w:iCs/>
          <w:noProof/>
          <w:szCs w:val="22"/>
          <w:vertAlign w:val="subscript"/>
          <w:lang w:val="it-IT" w:eastAsia="en-US"/>
        </w:rPr>
        <w:t>sett</w:t>
      </w:r>
      <w:r>
        <w:rPr>
          <w:rFonts w:eastAsia="Calibri"/>
          <w:iCs/>
          <w:noProof/>
          <w:szCs w:val="22"/>
          <w:lang w:val="it-IT" w:eastAsia="en-US"/>
        </w:rPr>
        <w:t>, C</w:t>
      </w:r>
      <w:r>
        <w:rPr>
          <w:rFonts w:eastAsia="Calibri"/>
          <w:iCs/>
          <w:noProof/>
          <w:szCs w:val="22"/>
          <w:vertAlign w:val="subscript"/>
          <w:lang w:val="it-IT" w:eastAsia="en-US"/>
        </w:rPr>
        <w:t>min</w:t>
      </w:r>
      <w:r>
        <w:rPr>
          <w:rFonts w:eastAsia="Calibri"/>
          <w:iCs/>
          <w:noProof/>
          <w:szCs w:val="22"/>
          <w:lang w:val="it-IT" w:eastAsia="en-US"/>
        </w:rPr>
        <w:t xml:space="preserve"> e C</w:t>
      </w:r>
      <w:r>
        <w:rPr>
          <w:rFonts w:eastAsia="Calibri"/>
          <w:iCs/>
          <w:noProof/>
          <w:szCs w:val="22"/>
          <w:vertAlign w:val="subscript"/>
          <w:lang w:val="it-IT" w:eastAsia="en-US"/>
        </w:rPr>
        <w:t>max</w:t>
      </w:r>
      <w:r>
        <w:rPr>
          <w:rFonts w:eastAsia="Calibri"/>
          <w:iCs/>
          <w:noProof/>
          <w:szCs w:val="22"/>
          <w:lang w:val="it-IT" w:eastAsia="en-US"/>
        </w:rPr>
        <w:t xml:space="preserve"> </w:t>
      </w:r>
      <w:del w:id="9131" w:author="Author">
        <w:r>
          <w:rPr>
            <w:rFonts w:eastAsia="Calibri"/>
            <w:iCs/>
            <w:noProof/>
            <w:szCs w:val="22"/>
            <w:lang w:val="it-IT" w:eastAsia="en-US"/>
          </w:rPr>
          <w:delText>di</w:delText>
        </w:r>
      </w:del>
      <w:r>
        <w:rPr>
          <w:rFonts w:eastAsia="Calibri"/>
          <w:iCs/>
          <w:noProof/>
          <w:szCs w:val="22"/>
          <w:lang w:val="it-IT" w:eastAsia="en-US"/>
        </w:rPr>
        <w:t xml:space="preserve"> </w:t>
      </w:r>
      <w:del w:id="9132" w:author="Author">
        <w:r>
          <w:rPr>
            <w:rFonts w:eastAsia="Calibri"/>
            <w:noProof/>
            <w:szCs w:val="22"/>
            <w:lang w:val="it-IT" w:eastAsia="en-US"/>
          </w:rPr>
          <w:delText xml:space="preserve">tocilizumab </w:delText>
        </w:r>
      </w:del>
      <w:r>
        <w:rPr>
          <w:rFonts w:eastAsia="Calibri"/>
          <w:iCs/>
          <w:noProof/>
          <w:szCs w:val="22"/>
          <w:lang w:val="it-IT" w:eastAsia="en-US"/>
        </w:rPr>
        <w:t>sono stati rispettivamente 3</w:t>
      </w:r>
      <w:del w:id="9133" w:author="Author">
        <w:r>
          <w:rPr>
            <w:rFonts w:eastAsia="Calibri"/>
            <w:iCs/>
            <w:noProof/>
            <w:szCs w:val="22"/>
            <w:lang w:val="it-IT" w:eastAsia="en-US"/>
          </w:rPr>
          <w:delText>.</w:delText>
        </w:r>
      </w:del>
      <w:ins w:id="9134" w:author="Author">
        <w:r>
          <w:rPr>
            <w:rFonts w:eastAsia="Calibri"/>
            <w:iCs/>
            <w:noProof/>
            <w:szCs w:val="22"/>
            <w:lang w:val="it-IT" w:eastAsia="en-US"/>
          </w:rPr>
          <w:t> </w:t>
        </w:r>
      </w:ins>
      <w:r>
        <w:rPr>
          <w:rFonts w:eastAsia="Calibri"/>
          <w:iCs/>
          <w:noProof/>
          <w:szCs w:val="22"/>
          <w:lang w:val="it-IT" w:eastAsia="en-US"/>
        </w:rPr>
        <w:t>430</w:t>
      </w:r>
      <w:del w:id="9135" w:author="Author">
        <w:r>
          <w:rPr>
            <w:rFonts w:eastAsia="Calibri"/>
            <w:iCs/>
            <w:noProof/>
            <w:szCs w:val="22"/>
            <w:lang w:val="it-IT" w:eastAsia="en-US"/>
          </w:rPr>
          <w:delText xml:space="preserve"> </w:delText>
        </w:r>
      </w:del>
      <w:ins w:id="9136" w:author="Author">
        <w:r>
          <w:rPr>
            <w:rFonts w:eastAsia="Calibri"/>
            <w:iCs/>
            <w:noProof/>
            <w:szCs w:val="22"/>
            <w:lang w:val="it-IT" w:eastAsia="en-US"/>
          </w:rPr>
          <w:t> </w:t>
        </w:r>
      </w:ins>
      <w:r>
        <w:rPr>
          <w:rFonts w:eastAsia="Calibri"/>
          <w:iCs/>
          <w:noProof/>
          <w:szCs w:val="22"/>
          <w:lang w:val="it-IT" w:eastAsia="en-US"/>
        </w:rPr>
        <w:t>±</w:t>
      </w:r>
      <w:ins w:id="9137" w:author="Author">
        <w:r>
          <w:rPr>
            <w:rFonts w:eastAsia="Calibri"/>
            <w:iCs/>
            <w:noProof/>
            <w:szCs w:val="22"/>
            <w:lang w:val="it-IT" w:eastAsia="en-US"/>
          </w:rPr>
          <w:t> </w:t>
        </w:r>
      </w:ins>
      <w:del w:id="9138" w:author="Author">
        <w:r>
          <w:rPr>
            <w:rFonts w:eastAsia="Calibri"/>
            <w:iCs/>
            <w:noProof/>
            <w:szCs w:val="22"/>
            <w:lang w:val="it-IT" w:eastAsia="en-US"/>
          </w:rPr>
          <w:delText xml:space="preserve"> </w:delText>
        </w:r>
      </w:del>
      <w:r>
        <w:rPr>
          <w:rFonts w:eastAsia="Calibri"/>
          <w:iCs/>
          <w:noProof/>
          <w:szCs w:val="22"/>
          <w:lang w:val="it-IT" w:eastAsia="en-US"/>
        </w:rPr>
        <w:t>2</w:t>
      </w:r>
      <w:ins w:id="9139" w:author="Author">
        <w:r>
          <w:rPr>
            <w:rFonts w:eastAsia="Calibri"/>
            <w:iCs/>
            <w:noProof/>
            <w:szCs w:val="22"/>
            <w:lang w:val="it-IT" w:eastAsia="en-US"/>
          </w:rPr>
          <w:t> </w:t>
        </w:r>
      </w:ins>
      <w:del w:id="9140" w:author="Author">
        <w:r>
          <w:rPr>
            <w:rFonts w:eastAsia="Calibri"/>
            <w:iCs/>
            <w:noProof/>
            <w:szCs w:val="22"/>
            <w:lang w:val="it-IT" w:eastAsia="en-US"/>
          </w:rPr>
          <w:delText>.</w:delText>
        </w:r>
      </w:del>
      <w:r>
        <w:rPr>
          <w:rFonts w:eastAsia="Calibri"/>
          <w:iCs/>
          <w:noProof/>
          <w:szCs w:val="22"/>
          <w:lang w:val="it-IT" w:eastAsia="en-US"/>
        </w:rPr>
        <w:t>660</w:t>
      </w:r>
      <w:ins w:id="9141" w:author="Author">
        <w:r>
          <w:rPr>
            <w:rFonts w:eastAsia="Calibri"/>
            <w:iCs/>
            <w:noProof/>
            <w:szCs w:val="22"/>
            <w:lang w:val="it-IT" w:eastAsia="en-US"/>
          </w:rPr>
          <w:t> </w:t>
        </w:r>
      </w:ins>
      <w:del w:id="9142" w:author="Author">
        <w:r>
          <w:rPr>
            <w:rFonts w:eastAsia="Calibri"/>
            <w:iCs/>
            <w:noProof/>
            <w:szCs w:val="22"/>
            <w:lang w:val="it-IT" w:eastAsia="en-US"/>
          </w:rPr>
          <w:delText xml:space="preserve"> </w:delText>
        </w:r>
      </w:del>
      <w:r>
        <w:rPr>
          <w:rFonts w:eastAsia="Calibri"/>
          <w:iCs/>
          <w:noProof/>
          <w:szCs w:val="22"/>
          <w:lang w:val="it-IT" w:eastAsia="en-US"/>
        </w:rPr>
        <w:t>μg</w:t>
      </w:r>
      <w:del w:id="9143" w:author="Author">
        <w:r>
          <w:rPr>
            <w:rFonts w:eastAsia="Calibri"/>
            <w:iCs/>
            <w:noProof/>
            <w:szCs w:val="22"/>
            <w:lang w:val="it-IT" w:eastAsia="en-US"/>
          </w:rPr>
          <w:delText>•</w:delText>
        </w:r>
      </w:del>
      <w:ins w:id="9144" w:author="Author">
        <w:r>
          <w:rPr>
            <w:rFonts w:eastAsia="Calibri"/>
            <w:iCs/>
            <w:noProof/>
            <w:szCs w:val="22"/>
            <w:lang w:val="it-IT" w:eastAsia="en-US"/>
          </w:rPr>
          <w:t> </w:t>
        </w:r>
        <w:r>
          <w:rPr>
            <w:noProof/>
            <w:szCs w:val="22"/>
            <w:lang w:val="it-IT"/>
          </w:rPr>
          <w:t>×</w:t>
        </w:r>
        <w:r>
          <w:rPr>
            <w:rFonts w:eastAsia="Calibri"/>
            <w:iCs/>
            <w:noProof/>
            <w:szCs w:val="22"/>
            <w:lang w:val="it-IT" w:eastAsia="en-US"/>
          </w:rPr>
          <w:t> </w:t>
        </w:r>
      </w:ins>
      <w:r>
        <w:rPr>
          <w:rFonts w:eastAsia="Calibri"/>
          <w:iCs/>
          <w:noProof/>
          <w:szCs w:val="22"/>
          <w:lang w:val="it-IT" w:eastAsia="en-US"/>
        </w:rPr>
        <w:t>h/mL, 5,7</w:t>
      </w:r>
      <w:del w:id="9145" w:author="Author">
        <w:r>
          <w:rPr>
            <w:rFonts w:eastAsia="Calibri"/>
            <w:iCs/>
            <w:noProof/>
            <w:szCs w:val="22"/>
            <w:lang w:val="it-IT" w:eastAsia="en-US"/>
          </w:rPr>
          <w:delText xml:space="preserve"> </w:delText>
        </w:r>
      </w:del>
      <w:ins w:id="9146" w:author="Author">
        <w:r>
          <w:rPr>
            <w:rFonts w:eastAsia="Calibri"/>
            <w:iCs/>
            <w:noProof/>
            <w:szCs w:val="22"/>
            <w:lang w:val="it-IT" w:eastAsia="en-US"/>
          </w:rPr>
          <w:t> </w:t>
        </w:r>
      </w:ins>
      <w:r>
        <w:rPr>
          <w:rFonts w:eastAsia="Calibri"/>
          <w:iCs/>
          <w:noProof/>
          <w:szCs w:val="22"/>
          <w:lang w:val="it-IT" w:eastAsia="en-US"/>
        </w:rPr>
        <w:t>±</w:t>
      </w:r>
      <w:ins w:id="9147" w:author="Author">
        <w:r>
          <w:rPr>
            <w:rFonts w:eastAsia="Calibri"/>
            <w:iCs/>
            <w:noProof/>
            <w:szCs w:val="22"/>
            <w:lang w:val="it-IT" w:eastAsia="en-US"/>
          </w:rPr>
          <w:t> </w:t>
        </w:r>
      </w:ins>
      <w:del w:id="9148" w:author="Author">
        <w:r>
          <w:rPr>
            <w:rFonts w:eastAsia="Calibri"/>
            <w:iCs/>
            <w:noProof/>
            <w:szCs w:val="22"/>
            <w:lang w:val="it-IT" w:eastAsia="en-US"/>
          </w:rPr>
          <w:delText xml:space="preserve"> </w:delText>
        </w:r>
      </w:del>
      <w:r>
        <w:rPr>
          <w:rFonts w:eastAsia="Calibri"/>
          <w:iCs/>
          <w:noProof/>
          <w:szCs w:val="22"/>
          <w:lang w:val="it-IT" w:eastAsia="en-US"/>
        </w:rPr>
        <w:t>6,8</w:t>
      </w:r>
      <w:ins w:id="9149" w:author="Author">
        <w:r>
          <w:rPr>
            <w:rFonts w:eastAsia="Calibri"/>
            <w:iCs/>
            <w:noProof/>
            <w:szCs w:val="22"/>
            <w:lang w:val="it-IT" w:eastAsia="en-US"/>
          </w:rPr>
          <w:t> </w:t>
        </w:r>
      </w:ins>
      <w:del w:id="9150" w:author="Author">
        <w:r>
          <w:rPr>
            <w:rFonts w:eastAsia="Calibri"/>
            <w:iCs/>
            <w:noProof/>
            <w:szCs w:val="22"/>
            <w:lang w:val="it-IT" w:eastAsia="en-US"/>
          </w:rPr>
          <w:delText xml:space="preserve"> </w:delText>
        </w:r>
      </w:del>
      <w:r>
        <w:rPr>
          <w:rFonts w:eastAsia="Calibri"/>
          <w:iCs/>
          <w:noProof/>
          <w:szCs w:val="22"/>
          <w:lang w:val="it-IT" w:eastAsia="en-US"/>
        </w:rPr>
        <w:t>μg/mL e 13,2 ± 8,8 μg/mL. I tassi di accumulo relativi ad AUC, C</w:t>
      </w:r>
      <w:r>
        <w:rPr>
          <w:rFonts w:eastAsia="Calibri"/>
          <w:iCs/>
          <w:noProof/>
          <w:szCs w:val="22"/>
          <w:vertAlign w:val="subscript"/>
          <w:lang w:val="it-IT" w:eastAsia="en-US"/>
        </w:rPr>
        <w:t>min</w:t>
      </w:r>
      <w:r>
        <w:rPr>
          <w:rFonts w:eastAsia="Calibri"/>
          <w:iCs/>
          <w:noProof/>
          <w:szCs w:val="22"/>
          <w:lang w:val="it-IT" w:eastAsia="en-US"/>
        </w:rPr>
        <w:t>, e C</w:t>
      </w:r>
      <w:r>
        <w:rPr>
          <w:rFonts w:eastAsia="Calibri"/>
          <w:iCs/>
          <w:noProof/>
          <w:szCs w:val="22"/>
          <w:vertAlign w:val="subscript"/>
          <w:lang w:val="it-IT" w:eastAsia="en-US"/>
        </w:rPr>
        <w:t>max</w:t>
      </w:r>
      <w:r>
        <w:rPr>
          <w:rFonts w:eastAsia="Calibri"/>
          <w:iCs/>
          <w:noProof/>
          <w:szCs w:val="22"/>
          <w:lang w:val="it-IT" w:eastAsia="en-US"/>
        </w:rPr>
        <w:t xml:space="preserve"> sono stati rispettivamente di 2,67, 6,02 e 2,12. Lo stato stazionario è stato raggiunto dopo 12 settimane per AUC e C</w:t>
      </w:r>
      <w:r>
        <w:rPr>
          <w:rFonts w:eastAsia="Calibri"/>
          <w:iCs/>
          <w:noProof/>
          <w:szCs w:val="22"/>
          <w:vertAlign w:val="subscript"/>
          <w:lang w:val="it-IT" w:eastAsia="en-US"/>
        </w:rPr>
        <w:t>min</w:t>
      </w:r>
      <w:r>
        <w:rPr>
          <w:rFonts w:eastAsia="Calibri"/>
          <w:iCs/>
          <w:noProof/>
          <w:szCs w:val="22"/>
          <w:lang w:val="it-IT" w:eastAsia="en-US"/>
        </w:rPr>
        <w:t>, e dopo 10 settimane per la C</w:t>
      </w:r>
      <w:r>
        <w:rPr>
          <w:rFonts w:eastAsia="Calibri"/>
          <w:iCs/>
          <w:noProof/>
          <w:szCs w:val="22"/>
          <w:vertAlign w:val="subscript"/>
          <w:lang w:val="it-IT" w:eastAsia="en-US"/>
        </w:rPr>
        <w:t>max</w:t>
      </w:r>
      <w:r>
        <w:rPr>
          <w:rFonts w:eastAsia="Calibri"/>
          <w:iCs/>
          <w:noProof/>
          <w:szCs w:val="22"/>
          <w:lang w:val="it-IT" w:eastAsia="en-US"/>
        </w:rPr>
        <w:t>.</w:t>
      </w:r>
    </w:p>
    <w:p>
      <w:pPr>
        <w:numPr>
          <w:ilvl w:val="12"/>
          <w:numId w:val="0"/>
        </w:numPr>
        <w:ind w:right="-2"/>
        <w:rPr>
          <w:iCs/>
          <w:noProof/>
          <w:szCs w:val="22"/>
          <w:lang w:val="it-IT"/>
        </w:rPr>
      </w:pPr>
    </w:p>
    <w:p>
      <w:pPr>
        <w:numPr>
          <w:ilvl w:val="12"/>
          <w:numId w:val="0"/>
        </w:numPr>
        <w:ind w:right="-2"/>
        <w:rPr>
          <w:i/>
          <w:noProof/>
          <w:szCs w:val="22"/>
          <w:u w:val="single"/>
          <w:lang w:val="it-IT" w:eastAsia="en-US"/>
          <w:rPrChange w:id="9151" w:author="Author">
            <w:rPr>
              <w:iCs/>
              <w:szCs w:val="22"/>
              <w:u w:val="single"/>
              <w:lang w:val="it-IT" w:eastAsia="en-US"/>
            </w:rPr>
          </w:rPrChange>
        </w:rPr>
      </w:pPr>
      <w:r>
        <w:rPr>
          <w:rFonts w:eastAsia="Calibri"/>
          <w:i/>
          <w:noProof/>
          <w:szCs w:val="22"/>
          <w:u w:val="single"/>
          <w:lang w:val="it-IT" w:eastAsia="en-US"/>
          <w:rPrChange w:id="9152" w:author="Author">
            <w:rPr>
              <w:rFonts w:eastAsia="Calibri"/>
              <w:iCs/>
              <w:szCs w:val="22"/>
              <w:u w:val="single"/>
              <w:lang w:val="it-IT" w:eastAsia="en-US"/>
            </w:rPr>
          </w:rPrChange>
        </w:rPr>
        <w:t>Assorbimento</w:t>
      </w:r>
    </w:p>
    <w:p>
      <w:pPr>
        <w:spacing w:line="280" w:lineRule="atLeast"/>
        <w:rPr>
          <w:iCs/>
          <w:noProof/>
          <w:szCs w:val="22"/>
          <w:lang w:val="it-IT" w:eastAsia="en-US"/>
        </w:rPr>
      </w:pPr>
      <w:r>
        <w:rPr>
          <w:rFonts w:eastAsia="Calibri"/>
          <w:iCs/>
          <w:noProof/>
          <w:szCs w:val="22"/>
          <w:lang w:val="it-IT" w:eastAsia="en-US"/>
        </w:rPr>
        <w:t>In seguito a somministrazione sottocutanea in pazienti affetti da AR, il tempo di raggiungimento del picco di concentrazione serica t</w:t>
      </w:r>
      <w:r>
        <w:rPr>
          <w:rFonts w:eastAsia="Calibri"/>
          <w:iCs/>
          <w:noProof/>
          <w:szCs w:val="22"/>
          <w:vertAlign w:val="subscript"/>
          <w:lang w:val="it-IT" w:eastAsia="en-US"/>
        </w:rPr>
        <w:t>max</w:t>
      </w:r>
      <w:r>
        <w:rPr>
          <w:rFonts w:eastAsia="Calibri"/>
          <w:iCs/>
          <w:noProof/>
          <w:szCs w:val="22"/>
          <w:lang w:val="it-IT" w:eastAsia="en-US"/>
        </w:rPr>
        <w:t xml:space="preserve"> di </w:t>
      </w:r>
      <w:r>
        <w:rPr>
          <w:rFonts w:eastAsia="Calibri"/>
          <w:noProof/>
          <w:szCs w:val="22"/>
          <w:lang w:val="it-IT" w:eastAsia="en-US"/>
        </w:rPr>
        <w:t xml:space="preserve">tocilizumab </w:t>
      </w:r>
      <w:r>
        <w:rPr>
          <w:rFonts w:eastAsia="Calibri"/>
          <w:iCs/>
          <w:noProof/>
          <w:szCs w:val="22"/>
          <w:lang w:val="it-IT" w:eastAsia="en-US"/>
        </w:rPr>
        <w:t>è stato pari a 2,8 giorni. La biodisponibilità della formulazione s.c. è stata del 79%.</w:t>
      </w:r>
    </w:p>
    <w:p>
      <w:pPr>
        <w:numPr>
          <w:ilvl w:val="12"/>
          <w:numId w:val="0"/>
        </w:numPr>
        <w:ind w:right="-2"/>
        <w:rPr>
          <w:iCs/>
          <w:noProof/>
          <w:szCs w:val="22"/>
          <w:lang w:val="it-IT"/>
        </w:rPr>
      </w:pPr>
    </w:p>
    <w:p>
      <w:pPr>
        <w:numPr>
          <w:ilvl w:val="12"/>
          <w:numId w:val="0"/>
        </w:numPr>
        <w:ind w:right="-2"/>
        <w:rPr>
          <w:i/>
          <w:noProof/>
          <w:szCs w:val="22"/>
          <w:u w:val="single"/>
          <w:lang w:val="it-IT" w:eastAsia="en-US"/>
          <w:rPrChange w:id="9153" w:author="Author">
            <w:rPr>
              <w:iCs/>
              <w:szCs w:val="22"/>
              <w:u w:val="single"/>
              <w:lang w:val="it-IT" w:eastAsia="en-US"/>
            </w:rPr>
          </w:rPrChange>
        </w:rPr>
      </w:pPr>
      <w:r>
        <w:rPr>
          <w:rFonts w:eastAsia="Calibri"/>
          <w:i/>
          <w:noProof/>
          <w:szCs w:val="22"/>
          <w:u w:val="single"/>
          <w:lang w:val="it-IT" w:eastAsia="en-US"/>
          <w:rPrChange w:id="9154" w:author="Author">
            <w:rPr>
              <w:rFonts w:eastAsia="Calibri"/>
              <w:iCs/>
              <w:szCs w:val="22"/>
              <w:u w:val="single"/>
              <w:lang w:val="it-IT" w:eastAsia="en-US"/>
            </w:rPr>
          </w:rPrChange>
        </w:rPr>
        <w:t>Eliminazione</w:t>
      </w:r>
    </w:p>
    <w:p>
      <w:pPr>
        <w:numPr>
          <w:ilvl w:val="12"/>
          <w:numId w:val="0"/>
        </w:numPr>
        <w:ind w:right="-2"/>
        <w:rPr>
          <w:rFonts w:eastAsia="Calibri"/>
          <w:iCs/>
          <w:noProof/>
          <w:szCs w:val="22"/>
          <w:lang w:val="it-IT" w:eastAsia="en-US"/>
        </w:rPr>
      </w:pPr>
      <w:r>
        <w:rPr>
          <w:rFonts w:eastAsia="Calibri"/>
          <w:iCs/>
          <w:noProof/>
          <w:szCs w:val="22"/>
          <w:lang w:val="it-IT" w:eastAsia="en-US"/>
        </w:rPr>
        <w:t>Per quanto riguarda la somministrazione sottocutanea, allo stato stazionario il t</w:t>
      </w:r>
      <w:r>
        <w:rPr>
          <w:rFonts w:eastAsia="Calibri"/>
          <w:iCs/>
          <w:noProof/>
          <w:szCs w:val="22"/>
          <w:vertAlign w:val="subscript"/>
          <w:lang w:val="it-IT" w:eastAsia="en-US"/>
        </w:rPr>
        <w:t>1/2</w:t>
      </w:r>
      <w:r>
        <w:rPr>
          <w:rFonts w:eastAsia="Calibri"/>
          <w:iCs/>
          <w:noProof/>
          <w:szCs w:val="22"/>
          <w:lang w:val="it-IT" w:eastAsia="en-US"/>
        </w:rPr>
        <w:t xml:space="preserve"> apparente </w:t>
      </w:r>
      <w:ins w:id="9155" w:author="Author">
        <w:r>
          <w:rPr>
            <w:rFonts w:eastAsia="Calibri"/>
            <w:iCs/>
            <w:noProof/>
            <w:szCs w:val="22"/>
            <w:lang w:val="it-IT" w:eastAsia="en-US"/>
          </w:rPr>
          <w:t>concentrazione-</w:t>
        </w:r>
      </w:ins>
      <w:r>
        <w:rPr>
          <w:rFonts w:eastAsia="Calibri"/>
          <w:iCs/>
          <w:noProof/>
          <w:szCs w:val="22"/>
          <w:lang w:val="it-IT" w:eastAsia="en-US"/>
        </w:rPr>
        <w:t xml:space="preserve">dipendente </w:t>
      </w:r>
      <w:del w:id="9156" w:author="Author">
        <w:r>
          <w:rPr>
            <w:rFonts w:eastAsia="Calibri"/>
            <w:iCs/>
            <w:noProof/>
            <w:szCs w:val="22"/>
            <w:lang w:val="it-IT" w:eastAsia="en-US"/>
          </w:rPr>
          <w:delText xml:space="preserve">dalla concentrazione </w:delText>
        </w:r>
      </w:del>
      <w:r>
        <w:rPr>
          <w:rFonts w:eastAsia="Calibri"/>
          <w:iCs/>
          <w:noProof/>
          <w:szCs w:val="22"/>
          <w:lang w:val="it-IT" w:eastAsia="en-US"/>
        </w:rPr>
        <w:t>è pari a fino 1</w:t>
      </w:r>
      <w:del w:id="9157" w:author="Author">
        <w:r>
          <w:rPr>
            <w:rFonts w:eastAsia="Calibri"/>
            <w:iCs/>
            <w:noProof/>
            <w:szCs w:val="22"/>
            <w:lang w:val="it-IT" w:eastAsia="en-US"/>
          </w:rPr>
          <w:delText>2</w:delText>
        </w:r>
      </w:del>
      <w:ins w:id="9158" w:author="Author">
        <w:r>
          <w:rPr>
            <w:rFonts w:eastAsia="Calibri"/>
            <w:iCs/>
            <w:noProof/>
            <w:szCs w:val="22"/>
            <w:lang w:val="it-IT" w:eastAsia="en-US"/>
          </w:rPr>
          <w:t>3 </w:t>
        </w:r>
      </w:ins>
      <w:del w:id="9159" w:author="Author">
        <w:r>
          <w:rPr>
            <w:rFonts w:eastAsia="Calibri"/>
            <w:iCs/>
            <w:noProof/>
            <w:szCs w:val="22"/>
            <w:lang w:val="it-IT" w:eastAsia="en-US"/>
          </w:rPr>
          <w:delText xml:space="preserve"> </w:delText>
        </w:r>
      </w:del>
      <w:r>
        <w:rPr>
          <w:rFonts w:eastAsia="Calibri"/>
          <w:iCs/>
          <w:noProof/>
          <w:szCs w:val="22"/>
          <w:lang w:val="it-IT" w:eastAsia="en-US"/>
        </w:rPr>
        <w:t xml:space="preserve">giorni per la dose da 162 mg </w:t>
      </w:r>
      <w:del w:id="9160" w:author="Author">
        <w:r>
          <w:rPr>
            <w:rFonts w:eastAsia="Calibri"/>
            <w:iCs/>
            <w:noProof/>
            <w:szCs w:val="22"/>
            <w:lang w:val="it-IT" w:eastAsia="en-US"/>
          </w:rPr>
          <w:delText xml:space="preserve">ogni </w:delText>
        </w:r>
      </w:del>
      <w:ins w:id="9161" w:author="Author">
        <w:r>
          <w:rPr>
            <w:rFonts w:eastAsia="Calibri"/>
            <w:iCs/>
            <w:noProof/>
            <w:szCs w:val="22"/>
            <w:lang w:val="it-IT" w:eastAsia="en-US"/>
          </w:rPr>
          <w:t xml:space="preserve">somministrata una volta a </w:t>
        </w:r>
      </w:ins>
      <w:r>
        <w:rPr>
          <w:rFonts w:eastAsia="Calibri"/>
          <w:iCs/>
          <w:noProof/>
          <w:szCs w:val="22"/>
          <w:lang w:val="it-IT" w:eastAsia="en-US"/>
        </w:rPr>
        <w:t xml:space="preserve">settimana e 5 giorni per la dose da 162 mg </w:t>
      </w:r>
      <w:ins w:id="9162" w:author="Author">
        <w:r>
          <w:rPr>
            <w:rFonts w:eastAsia="Calibri"/>
            <w:iCs/>
            <w:noProof/>
            <w:szCs w:val="22"/>
            <w:lang w:val="it-IT" w:eastAsia="en-US"/>
          </w:rPr>
          <w:t>somministrata ogni due</w:t>
        </w:r>
      </w:ins>
      <w:del w:id="9163" w:author="Author">
        <w:r>
          <w:rPr>
            <w:rFonts w:eastAsia="Calibri"/>
            <w:iCs/>
            <w:noProof/>
            <w:szCs w:val="22"/>
            <w:lang w:val="it-IT" w:eastAsia="en-US"/>
          </w:rPr>
          <w:delText>a</w:delText>
        </w:r>
      </w:del>
      <w:r>
        <w:rPr>
          <w:rFonts w:eastAsia="Calibri"/>
          <w:iCs/>
          <w:noProof/>
          <w:szCs w:val="22"/>
          <w:lang w:val="it-IT" w:eastAsia="en-US"/>
        </w:rPr>
        <w:t xml:space="preserve"> settimane </w:t>
      </w:r>
      <w:del w:id="9164" w:author="Author">
        <w:r>
          <w:rPr>
            <w:rFonts w:eastAsia="Calibri"/>
            <w:iCs/>
            <w:noProof/>
            <w:szCs w:val="22"/>
            <w:lang w:val="it-IT" w:eastAsia="en-US"/>
          </w:rPr>
          <w:delText xml:space="preserve">alterne </w:delText>
        </w:r>
      </w:del>
      <w:r>
        <w:rPr>
          <w:rFonts w:eastAsia="Calibri"/>
          <w:iCs/>
          <w:noProof/>
          <w:szCs w:val="22"/>
          <w:lang w:val="it-IT" w:eastAsia="en-US"/>
        </w:rPr>
        <w:t>nei pazienti affetti da AR.</w:t>
      </w:r>
    </w:p>
    <w:p>
      <w:pPr>
        <w:numPr>
          <w:ilvl w:val="12"/>
          <w:numId w:val="0"/>
        </w:numPr>
        <w:ind w:right="-2"/>
        <w:rPr>
          <w:rFonts w:eastAsia="Calibri"/>
          <w:iCs/>
          <w:noProof/>
          <w:szCs w:val="22"/>
          <w:lang w:val="it-IT" w:eastAsia="en-US"/>
        </w:rPr>
      </w:pPr>
    </w:p>
    <w:p>
      <w:pPr>
        <w:numPr>
          <w:ilvl w:val="12"/>
          <w:numId w:val="0"/>
        </w:numPr>
        <w:ind w:right="-2"/>
        <w:rPr>
          <w:del w:id="9165" w:author="Author"/>
          <w:rFonts w:eastAsia="Calibri"/>
          <w:i/>
          <w:noProof/>
          <w:szCs w:val="22"/>
          <w:u w:val="single"/>
          <w:lang w:val="it-IT" w:eastAsia="en-US"/>
        </w:rPr>
      </w:pPr>
      <w:del w:id="9166" w:author="Author">
        <w:r>
          <w:rPr>
            <w:rFonts w:eastAsia="Calibri"/>
            <w:i/>
            <w:noProof/>
            <w:szCs w:val="22"/>
            <w:u w:val="single"/>
            <w:lang w:val="it-IT" w:eastAsia="en-US"/>
          </w:rPr>
          <w:delText>Pazienti affetti da AIGs</w:delText>
        </w:r>
      </w:del>
    </w:p>
    <w:p>
      <w:pPr>
        <w:numPr>
          <w:ilvl w:val="12"/>
          <w:numId w:val="0"/>
        </w:numPr>
        <w:ind w:right="-2"/>
        <w:rPr>
          <w:del w:id="9167" w:author="Author"/>
          <w:rFonts w:eastAsia="Calibri"/>
          <w:i/>
          <w:noProof/>
          <w:szCs w:val="22"/>
          <w:u w:val="single"/>
          <w:lang w:val="it-IT" w:eastAsia="en-US"/>
        </w:rPr>
      </w:pPr>
    </w:p>
    <w:p>
      <w:pPr>
        <w:keepNext/>
        <w:numPr>
          <w:ilvl w:val="12"/>
          <w:numId w:val="0"/>
        </w:numPr>
        <w:ind w:right="-2"/>
        <w:rPr>
          <w:rFonts w:eastAsia="Calibri"/>
          <w:iCs/>
          <w:noProof/>
          <w:szCs w:val="22"/>
          <w:u w:val="single"/>
          <w:lang w:val="it-IT" w:eastAsia="en-US"/>
          <w:rPrChange w:id="9168" w:author="Author">
            <w:rPr>
              <w:rFonts w:eastAsia="Calibri"/>
              <w:i/>
              <w:szCs w:val="22"/>
              <w:lang w:val="it-IT" w:eastAsia="en-US"/>
            </w:rPr>
          </w:rPrChange>
        </w:rPr>
        <w:pPrChange w:id="9169" w:author="Author">
          <w:pPr>
            <w:numPr>
              <w:ilvl w:val="12"/>
            </w:numPr>
            <w:ind w:right="-2"/>
          </w:pPr>
        </w:pPrChange>
      </w:pPr>
      <w:r>
        <w:rPr>
          <w:rFonts w:eastAsia="Calibri"/>
          <w:iCs/>
          <w:noProof/>
          <w:szCs w:val="22"/>
          <w:u w:val="single"/>
          <w:lang w:val="it-IT" w:eastAsia="en-US"/>
          <w:rPrChange w:id="9170" w:author="Author">
            <w:rPr>
              <w:rFonts w:eastAsia="Calibri"/>
              <w:i/>
              <w:szCs w:val="22"/>
              <w:lang w:val="it-IT" w:eastAsia="en-US"/>
            </w:rPr>
          </w:rPrChange>
        </w:rPr>
        <w:t>Uso sottocutaneo</w:t>
      </w:r>
    </w:p>
    <w:p>
      <w:pPr>
        <w:keepNext/>
        <w:numPr>
          <w:ilvl w:val="12"/>
          <w:numId w:val="0"/>
        </w:numPr>
        <w:tabs>
          <w:tab w:val="left" w:pos="180"/>
        </w:tabs>
        <w:ind w:right="-2"/>
        <w:rPr>
          <w:ins w:id="9171" w:author="Author"/>
          <w:i/>
          <w:iCs/>
          <w:noProof/>
          <w:lang w:val="it-IT"/>
          <w:rPrChange w:id="9172" w:author="Author">
            <w:rPr>
              <w:ins w:id="9173" w:author="Author"/>
              <w:lang w:val="it-IT"/>
            </w:rPr>
          </w:rPrChange>
        </w:rPr>
        <w:pPrChange w:id="9174" w:author="Author">
          <w:pPr>
            <w:numPr>
              <w:ilvl w:val="12"/>
            </w:numPr>
            <w:tabs>
              <w:tab w:val="left" w:pos="180"/>
            </w:tabs>
            <w:ind w:right="-2"/>
          </w:pPr>
        </w:pPrChange>
      </w:pPr>
      <w:ins w:id="9175" w:author="Author">
        <w:r>
          <w:rPr>
            <w:i/>
            <w:iCs/>
            <w:noProof/>
            <w:lang w:val="it-IT"/>
            <w:rPrChange w:id="9176" w:author="Author">
              <w:rPr>
                <w:lang w:val="it-IT"/>
              </w:rPr>
            </w:rPrChange>
          </w:rPr>
          <w:t>Pazienti affetti da AIGs</w:t>
        </w:r>
      </w:ins>
    </w:p>
    <w:p>
      <w:pPr>
        <w:keepNext/>
        <w:numPr>
          <w:ilvl w:val="12"/>
          <w:numId w:val="0"/>
        </w:numPr>
        <w:tabs>
          <w:tab w:val="left" w:pos="180"/>
        </w:tabs>
        <w:ind w:right="-2"/>
        <w:rPr>
          <w:ins w:id="9177" w:author="Author"/>
          <w:noProof/>
          <w:lang w:val="it-IT"/>
        </w:rPr>
        <w:pPrChange w:id="9178" w:author="Author">
          <w:pPr>
            <w:numPr>
              <w:ilvl w:val="12"/>
            </w:numPr>
            <w:tabs>
              <w:tab w:val="left" w:pos="180"/>
            </w:tabs>
            <w:ind w:right="-2"/>
          </w:pPr>
        </w:pPrChange>
      </w:pPr>
    </w:p>
    <w:p>
      <w:pPr>
        <w:numPr>
          <w:ilvl w:val="12"/>
          <w:numId w:val="0"/>
        </w:numPr>
        <w:tabs>
          <w:tab w:val="left" w:pos="180"/>
        </w:tabs>
        <w:ind w:right="-2"/>
        <w:rPr>
          <w:noProof/>
          <w:lang w:val="it-IT"/>
        </w:rPr>
      </w:pPr>
      <w:r>
        <w:rPr>
          <w:noProof/>
          <w:lang w:val="it-IT"/>
        </w:rPr>
        <w:t xml:space="preserve">La farmacocinetica di </w:t>
      </w:r>
      <w:r>
        <w:rPr>
          <w:rFonts w:eastAsia="Calibri"/>
          <w:noProof/>
          <w:szCs w:val="22"/>
          <w:lang w:val="it-IT" w:eastAsia="en-US"/>
        </w:rPr>
        <w:t xml:space="preserve">tocilizumab </w:t>
      </w:r>
      <w:r>
        <w:rPr>
          <w:noProof/>
          <w:lang w:val="it-IT"/>
        </w:rPr>
        <w:t xml:space="preserve">nei pazienti affetti da AIGs è stata caratterizzata attraverso un’analisi di farmacocinetica di popolazione che ha incluso </w:t>
      </w:r>
      <w:r>
        <w:rPr>
          <w:noProof/>
          <w:lang w:val="it-IT" w:eastAsia="de-DE"/>
        </w:rPr>
        <w:t>140 pazienti trattati con 8 mg/kg e.v. ogni 2 settimane (pazienti di peso ≥</w:t>
      </w:r>
      <w:ins w:id="9179" w:author="Author">
        <w:r>
          <w:rPr>
            <w:noProof/>
            <w:lang w:val="it-IT" w:eastAsia="de-DE"/>
          </w:rPr>
          <w:t> </w:t>
        </w:r>
      </w:ins>
      <w:del w:id="9180" w:author="Author">
        <w:r>
          <w:rPr>
            <w:noProof/>
            <w:lang w:val="it-IT" w:eastAsia="de-DE"/>
          </w:rPr>
          <w:delText xml:space="preserve"> </w:delText>
        </w:r>
      </w:del>
      <w:r>
        <w:rPr>
          <w:noProof/>
          <w:lang w:val="it-IT" w:eastAsia="de-DE"/>
        </w:rPr>
        <w:t>30</w:t>
      </w:r>
      <w:ins w:id="9181" w:author="Author">
        <w:r>
          <w:rPr>
            <w:noProof/>
            <w:lang w:val="it-IT" w:eastAsia="de-DE"/>
          </w:rPr>
          <w:t> </w:t>
        </w:r>
      </w:ins>
      <w:del w:id="9182" w:author="Author">
        <w:r>
          <w:rPr>
            <w:noProof/>
            <w:lang w:val="it-IT" w:eastAsia="de-DE"/>
          </w:rPr>
          <w:delText xml:space="preserve"> </w:delText>
        </w:r>
      </w:del>
      <w:r>
        <w:rPr>
          <w:noProof/>
          <w:lang w:val="it-IT" w:eastAsia="de-DE"/>
        </w:rPr>
        <w:t xml:space="preserve">kg), 12 mg/kgformulazione endovenosa ogni 2 settimane (pazienti di peso inferiore a 30 kg), 162 mg formulazione sottocutanea </w:t>
      </w:r>
      <w:del w:id="9183" w:author="Author">
        <w:r>
          <w:rPr>
            <w:noProof/>
            <w:lang w:val="it-IT" w:eastAsia="de-DE"/>
          </w:rPr>
          <w:delText>ogni</w:delText>
        </w:r>
      </w:del>
      <w:ins w:id="9184" w:author="Author">
        <w:r>
          <w:rPr>
            <w:noProof/>
            <w:lang w:val="it-IT" w:eastAsia="de-DE"/>
          </w:rPr>
          <w:t>una volta a</w:t>
        </w:r>
      </w:ins>
      <w:del w:id="9185" w:author="Author">
        <w:r>
          <w:rPr>
            <w:noProof/>
            <w:lang w:val="it-IT" w:eastAsia="de-DE"/>
          </w:rPr>
          <w:delText xml:space="preserve"> </w:delText>
        </w:r>
      </w:del>
      <w:ins w:id="9186" w:author="Author">
        <w:r>
          <w:rPr>
            <w:noProof/>
            <w:lang w:val="it-IT" w:eastAsia="de-DE"/>
          </w:rPr>
          <w:t xml:space="preserve"> </w:t>
        </w:r>
      </w:ins>
      <w:r>
        <w:rPr>
          <w:noProof/>
          <w:lang w:val="it-IT" w:eastAsia="de-DE"/>
        </w:rPr>
        <w:t>settimana (pazienti di peso ≥</w:t>
      </w:r>
      <w:ins w:id="9187" w:author="Author">
        <w:r>
          <w:rPr>
            <w:noProof/>
            <w:lang w:val="it-IT" w:eastAsia="de-DE"/>
          </w:rPr>
          <w:t> </w:t>
        </w:r>
      </w:ins>
      <w:del w:id="9188" w:author="Author">
        <w:r>
          <w:rPr>
            <w:noProof/>
            <w:lang w:val="it-IT" w:eastAsia="de-DE"/>
          </w:rPr>
          <w:delText xml:space="preserve"> </w:delText>
        </w:r>
      </w:del>
      <w:r>
        <w:rPr>
          <w:noProof/>
          <w:lang w:val="it-IT" w:eastAsia="de-DE"/>
        </w:rPr>
        <w:t>30</w:t>
      </w:r>
      <w:ins w:id="9189" w:author="Author">
        <w:r>
          <w:rPr>
            <w:noProof/>
            <w:lang w:val="it-IT" w:eastAsia="de-DE"/>
          </w:rPr>
          <w:t> </w:t>
        </w:r>
      </w:ins>
      <w:del w:id="9190" w:author="Author">
        <w:r>
          <w:rPr>
            <w:noProof/>
            <w:lang w:val="it-IT" w:eastAsia="de-DE"/>
          </w:rPr>
          <w:delText xml:space="preserve"> </w:delText>
        </w:r>
      </w:del>
      <w:r>
        <w:rPr>
          <w:noProof/>
          <w:lang w:val="it-IT" w:eastAsia="de-DE"/>
        </w:rPr>
        <w:t>kg) o 162 mg formulazione sottocutaneaogni 10 giorni od ogni 2 settimane (pazienti di peso inferiore a 30</w:t>
      </w:r>
      <w:ins w:id="9191" w:author="Author">
        <w:r>
          <w:rPr>
            <w:noProof/>
            <w:lang w:val="it-IT" w:eastAsia="de-DE"/>
          </w:rPr>
          <w:t> </w:t>
        </w:r>
      </w:ins>
      <w:del w:id="9192" w:author="Author">
        <w:r>
          <w:rPr>
            <w:noProof/>
            <w:lang w:val="it-IT" w:eastAsia="de-DE"/>
          </w:rPr>
          <w:delText xml:space="preserve"> </w:delText>
        </w:r>
      </w:del>
      <w:r>
        <w:rPr>
          <w:noProof/>
          <w:lang w:val="it-IT" w:eastAsia="de-DE"/>
        </w:rPr>
        <w:t>kg)</w:t>
      </w:r>
      <w:r>
        <w:rPr>
          <w:noProof/>
          <w:lang w:val="it-IT"/>
        </w:rPr>
        <w:t>.</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I dati disponibili relativi all’esposizione dopo la somministrazione sottocutanea di tocilizumab nei pazienti affetti da AIGs di età inferiore a 2 anni e di peso corporeo inferiore a 10 kg sono limitati.</w:t>
      </w:r>
    </w:p>
    <w:p>
      <w:pPr>
        <w:numPr>
          <w:ilvl w:val="12"/>
          <w:numId w:val="0"/>
        </w:numPr>
        <w:tabs>
          <w:tab w:val="left" w:pos="180"/>
        </w:tabs>
        <w:ind w:right="-2"/>
        <w:rPr>
          <w:noProof/>
          <w:lang w:val="it-IT"/>
        </w:rPr>
      </w:pPr>
    </w:p>
    <w:p>
      <w:pPr>
        <w:numPr>
          <w:ilvl w:val="12"/>
          <w:numId w:val="0"/>
        </w:numPr>
        <w:tabs>
          <w:tab w:val="left" w:pos="180"/>
        </w:tabs>
        <w:ind w:right="-2"/>
        <w:rPr>
          <w:noProof/>
          <w:lang w:val="it-IT"/>
        </w:rPr>
      </w:pPr>
      <w:r>
        <w:rPr>
          <w:noProof/>
          <w:lang w:val="it-IT"/>
        </w:rPr>
        <w:t>I pazienti affetti da AIGs devono pesare almeno 10 kg durante il trattamento con tocilizumab per via sottocutanea (vedere paragrafo 4.2).</w:t>
      </w:r>
    </w:p>
    <w:p>
      <w:pPr>
        <w:numPr>
          <w:ilvl w:val="12"/>
          <w:numId w:val="0"/>
        </w:numPr>
        <w:tabs>
          <w:tab w:val="left" w:pos="180"/>
        </w:tabs>
        <w:ind w:right="-2"/>
        <w:rPr>
          <w:noProof/>
          <w:lang w:val="it-IT"/>
        </w:rPr>
      </w:pPr>
    </w:p>
    <w:p>
      <w:pPr>
        <w:keepNext/>
        <w:keepLines/>
        <w:numPr>
          <w:ilvl w:val="12"/>
          <w:numId w:val="0"/>
        </w:numPr>
        <w:ind w:right="-2"/>
        <w:rPr>
          <w:bCs/>
          <w:i/>
          <w:noProof/>
          <w:szCs w:val="22"/>
          <w:lang w:val="it-IT"/>
        </w:rPr>
      </w:pPr>
      <w:r>
        <w:rPr>
          <w:bCs/>
          <w:i/>
          <w:noProof/>
          <w:szCs w:val="22"/>
          <w:lang w:val="it-IT"/>
        </w:rPr>
        <w:t xml:space="preserve">Tabella 8. Parametri previsti di PK </w:t>
      </w:r>
      <w:del w:id="9193" w:author="Author">
        <w:r>
          <w:rPr>
            <w:bCs/>
            <w:i/>
            <w:noProof/>
            <w:szCs w:val="22"/>
            <w:lang w:val="it-IT"/>
          </w:rPr>
          <w:delText xml:space="preserve">allo stato stazionario relativi a </w:delText>
        </w:r>
      </w:del>
      <w:r>
        <w:rPr>
          <w:bCs/>
          <w:i/>
          <w:noProof/>
          <w:szCs w:val="22"/>
          <w:lang w:val="it-IT"/>
        </w:rPr>
        <w:t>medi</w:t>
      </w:r>
      <w:del w:id="9194" w:author="Author">
        <w:r>
          <w:rPr>
            <w:bCs/>
            <w:i/>
            <w:noProof/>
            <w:szCs w:val="22"/>
            <w:lang w:val="it-IT"/>
          </w:rPr>
          <w:delText xml:space="preserve">a </w:delText>
        </w:r>
      </w:del>
      <w:ins w:id="9195" w:author="Author">
        <w:r>
          <w:rPr>
            <w:bCs/>
            <w:i/>
            <w:noProof/>
            <w:szCs w:val="22"/>
            <w:lang w:val="it-IT"/>
          </w:rPr>
          <w:t> </w:t>
        </w:r>
      </w:ins>
      <w:r>
        <w:rPr>
          <w:bCs/>
          <w:i/>
          <w:noProof/>
          <w:szCs w:val="22"/>
          <w:lang w:val="it-IT"/>
        </w:rPr>
        <w:t>±</w:t>
      </w:r>
      <w:del w:id="9196" w:author="Author">
        <w:r>
          <w:rPr>
            <w:bCs/>
            <w:i/>
            <w:noProof/>
            <w:szCs w:val="22"/>
            <w:lang w:val="it-IT"/>
          </w:rPr>
          <w:delText xml:space="preserve"> </w:delText>
        </w:r>
      </w:del>
      <w:ins w:id="9197" w:author="Author">
        <w:r>
          <w:rPr>
            <w:bCs/>
            <w:i/>
            <w:noProof/>
            <w:szCs w:val="22"/>
            <w:lang w:val="it-IT"/>
          </w:rPr>
          <w:t> </w:t>
        </w:r>
      </w:ins>
      <w:r>
        <w:rPr>
          <w:bCs/>
          <w:i/>
          <w:noProof/>
          <w:szCs w:val="22"/>
          <w:lang w:val="it-IT"/>
        </w:rPr>
        <w:t xml:space="preserve">DS </w:t>
      </w:r>
      <w:ins w:id="9198" w:author="Author">
        <w:r>
          <w:rPr>
            <w:bCs/>
            <w:i/>
            <w:noProof/>
            <w:szCs w:val="22"/>
            <w:lang w:val="it-IT"/>
          </w:rPr>
          <w:t xml:space="preserve">predetti allo stato stazionario </w:t>
        </w:r>
      </w:ins>
      <w:r>
        <w:rPr>
          <w:bCs/>
          <w:i/>
          <w:noProof/>
          <w:szCs w:val="22"/>
          <w:lang w:val="it-IT"/>
        </w:rPr>
        <w:t>dopo somministrazione s.c. in soggetti affetti da AIGs</w:t>
      </w:r>
    </w:p>
    <w:p>
      <w:pPr>
        <w:keepNext/>
        <w:keepLines/>
        <w:numPr>
          <w:ilvl w:val="12"/>
          <w:numId w:val="0"/>
        </w:numPr>
        <w:ind w:right="-2"/>
        <w:rPr>
          <w:bCs/>
          <w:i/>
          <w:noProof/>
          <w:szCs w:val="22"/>
          <w:lang w:val="it-IT"/>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9199" w:author="Author">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055"/>
        <w:gridCol w:w="2867"/>
        <w:gridCol w:w="2867"/>
        <w:tblGridChange w:id="9200">
          <w:tblGrid>
            <w:gridCol w:w="2835"/>
            <w:gridCol w:w="2977"/>
            <w:gridCol w:w="2977"/>
          </w:tblGrid>
        </w:tblGridChange>
      </w:tblGrid>
      <w:tr>
        <w:trPr>
          <w:cantSplit/>
          <w:trPrChange w:id="9201" w:author="Author">
            <w:trPr>
              <w:cantSplit/>
              <w:trHeight w:val="452"/>
            </w:trPr>
          </w:trPrChange>
        </w:trPr>
        <w:tc>
          <w:tcPr>
            <w:tcW w:w="3055" w:type="dxa"/>
            <w:tcBorders>
              <w:top w:val="single" w:sz="4" w:space="0" w:color="auto"/>
              <w:left w:val="single" w:sz="4" w:space="0" w:color="auto"/>
              <w:bottom w:val="single" w:sz="4" w:space="0" w:color="auto"/>
              <w:right w:val="single" w:sz="4" w:space="0" w:color="auto"/>
            </w:tcBorders>
            <w:hideMark/>
            <w:tcPrChange w:id="9202"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9203" w:author="Author">
                <w:pPr>
                  <w:pStyle w:val="TextTi9"/>
                  <w:keepNext/>
                  <w:spacing w:after="120"/>
                </w:pPr>
              </w:pPrChange>
            </w:pPr>
            <w:r>
              <w:rPr>
                <w:rFonts w:ascii="Times New Roman" w:hAnsi="Times New Roman"/>
                <w:b/>
                <w:noProof/>
                <w:sz w:val="20"/>
                <w:szCs w:val="20"/>
                <w:lang w:val="it-IT"/>
              </w:rPr>
              <w:t>Parametro di PK di tocilizumab</w:t>
            </w:r>
          </w:p>
        </w:tc>
        <w:tc>
          <w:tcPr>
            <w:tcW w:w="2867" w:type="dxa"/>
            <w:tcBorders>
              <w:top w:val="single" w:sz="4" w:space="0" w:color="auto"/>
              <w:left w:val="single" w:sz="4" w:space="0" w:color="auto"/>
              <w:bottom w:val="single" w:sz="4" w:space="0" w:color="auto"/>
              <w:right w:val="single" w:sz="4" w:space="0" w:color="auto"/>
            </w:tcBorders>
            <w:hideMark/>
            <w:tcPrChange w:id="9204"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b/>
                <w:noProof/>
                <w:sz w:val="20"/>
                <w:szCs w:val="20"/>
                <w:lang w:val="it-IT"/>
              </w:rPr>
              <w:pPrChange w:id="9205" w:author="Author">
                <w:pPr>
                  <w:pStyle w:val="TextTi9"/>
                  <w:keepNext/>
                  <w:spacing w:after="0"/>
                  <w:jc w:val="center"/>
                </w:pPr>
              </w:pPrChange>
            </w:pPr>
            <w:r>
              <w:rPr>
                <w:rFonts w:ascii="Times New Roman" w:hAnsi="Times New Roman"/>
                <w:b/>
                <w:noProof/>
                <w:sz w:val="20"/>
                <w:szCs w:val="20"/>
                <w:lang w:val="it-IT"/>
              </w:rPr>
              <w:t>162 mg QW ≥ 30</w:t>
            </w:r>
            <w:del w:id="9206" w:author="Author">
              <w:r>
                <w:rPr>
                  <w:rFonts w:ascii="Times New Roman" w:hAnsi="Times New Roman"/>
                  <w:b/>
                  <w:noProof/>
                  <w:sz w:val="20"/>
                  <w:szCs w:val="20"/>
                  <w:lang w:val="it-IT"/>
                </w:rPr>
                <w:delText xml:space="preserve"> </w:delText>
              </w:r>
            </w:del>
            <w:ins w:id="9207" w:author="Author">
              <w:r>
                <w:rPr>
                  <w:rFonts w:ascii="Times New Roman" w:hAnsi="Times New Roman"/>
                  <w:b/>
                  <w:noProof/>
                  <w:sz w:val="20"/>
                  <w:szCs w:val="20"/>
                  <w:lang w:val="it-IT"/>
                </w:rPr>
                <w:t> </w:t>
              </w:r>
            </w:ins>
            <w:r>
              <w:rPr>
                <w:rFonts w:ascii="Times New Roman" w:hAnsi="Times New Roman"/>
                <w:b/>
                <w:noProof/>
                <w:sz w:val="20"/>
                <w:szCs w:val="20"/>
                <w:lang w:val="it-IT"/>
              </w:rPr>
              <w:t>kg</w:t>
            </w:r>
          </w:p>
        </w:tc>
        <w:tc>
          <w:tcPr>
            <w:tcW w:w="2867" w:type="dxa"/>
            <w:tcBorders>
              <w:top w:val="single" w:sz="4" w:space="0" w:color="auto"/>
              <w:left w:val="single" w:sz="4" w:space="0" w:color="auto"/>
              <w:bottom w:val="single" w:sz="4" w:space="0" w:color="auto"/>
              <w:right w:val="single" w:sz="4" w:space="0" w:color="auto"/>
            </w:tcBorders>
            <w:hideMark/>
            <w:tcPrChange w:id="9208"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b/>
                <w:noProof/>
                <w:sz w:val="20"/>
                <w:szCs w:val="20"/>
                <w:lang w:val="it-IT"/>
              </w:rPr>
              <w:pPrChange w:id="9209" w:author="Author">
                <w:pPr>
                  <w:pStyle w:val="TextTi9"/>
                  <w:keepNext/>
                  <w:spacing w:after="0"/>
                  <w:jc w:val="center"/>
                </w:pPr>
              </w:pPrChange>
            </w:pPr>
            <w:r>
              <w:rPr>
                <w:rFonts w:ascii="Times New Roman" w:hAnsi="Times New Roman"/>
                <w:b/>
                <w:noProof/>
                <w:sz w:val="20"/>
                <w:szCs w:val="20"/>
                <w:lang w:val="it-IT"/>
              </w:rPr>
              <w:t>162 mg Q2W &lt; 30 kg</w:t>
            </w:r>
          </w:p>
        </w:tc>
      </w:tr>
      <w:tr>
        <w:trPr>
          <w:cantSplit/>
          <w:trPrChange w:id="9210" w:author="Author">
            <w:trPr>
              <w:cantSplit/>
              <w:trHeight w:val="195"/>
            </w:trPr>
          </w:trPrChange>
        </w:trPr>
        <w:tc>
          <w:tcPr>
            <w:tcW w:w="3055" w:type="dxa"/>
            <w:tcBorders>
              <w:top w:val="single" w:sz="4" w:space="0" w:color="auto"/>
              <w:left w:val="single" w:sz="4" w:space="0" w:color="auto"/>
              <w:bottom w:val="single" w:sz="4" w:space="0" w:color="auto"/>
              <w:right w:val="single" w:sz="4" w:space="0" w:color="auto"/>
            </w:tcBorders>
            <w:hideMark/>
            <w:tcPrChange w:id="9211"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9212" w:author="Author">
                <w:pPr>
                  <w:pStyle w:val="TextTi9"/>
                  <w:keepNext/>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max</w:t>
            </w:r>
            <w:r>
              <w:rPr>
                <w:rFonts w:ascii="Times New Roman" w:hAnsi="Times New Roman"/>
                <w:noProof/>
                <w:sz w:val="20"/>
                <w:szCs w:val="20"/>
                <w:lang w:val="it-IT"/>
              </w:rPr>
              <w:t xml:space="preserve"> (µg/mL)</w:t>
            </w:r>
          </w:p>
        </w:tc>
        <w:tc>
          <w:tcPr>
            <w:tcW w:w="2867" w:type="dxa"/>
            <w:tcBorders>
              <w:top w:val="single" w:sz="4" w:space="0" w:color="auto"/>
              <w:left w:val="single" w:sz="4" w:space="0" w:color="auto"/>
              <w:bottom w:val="single" w:sz="4" w:space="0" w:color="auto"/>
              <w:right w:val="single" w:sz="4" w:space="0" w:color="auto"/>
            </w:tcBorders>
            <w:hideMark/>
            <w:tcPrChange w:id="9213"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9214" w:author="Author">
                <w:pPr>
                  <w:pStyle w:val="TextTi9"/>
                  <w:keepNext/>
                  <w:spacing w:after="120"/>
                  <w:jc w:val="center"/>
                </w:pPr>
              </w:pPrChange>
            </w:pPr>
            <w:r>
              <w:rPr>
                <w:rFonts w:ascii="Times New Roman" w:hAnsi="Times New Roman"/>
                <w:noProof/>
                <w:sz w:val="20"/>
                <w:szCs w:val="20"/>
                <w:lang w:val="it-IT"/>
              </w:rPr>
              <w:t>99,8</w:t>
            </w:r>
            <w:del w:id="9215" w:author="Author">
              <w:r>
                <w:rPr>
                  <w:rFonts w:ascii="Times New Roman" w:hAnsi="Times New Roman"/>
                  <w:noProof/>
                  <w:sz w:val="20"/>
                  <w:szCs w:val="20"/>
                  <w:lang w:val="it-IT"/>
                </w:rPr>
                <w:delText xml:space="preserve"> </w:delText>
              </w:r>
            </w:del>
            <w:ins w:id="9216" w:author="Author">
              <w:r>
                <w:rPr>
                  <w:rFonts w:ascii="Times New Roman" w:hAnsi="Times New Roman"/>
                  <w:noProof/>
                  <w:sz w:val="20"/>
                  <w:szCs w:val="20"/>
                  <w:lang w:val="it-IT"/>
                </w:rPr>
                <w:t> </w:t>
              </w:r>
            </w:ins>
            <w:r>
              <w:rPr>
                <w:rFonts w:ascii="Times New Roman" w:hAnsi="Times New Roman"/>
                <w:noProof/>
                <w:sz w:val="20"/>
                <w:szCs w:val="20"/>
                <w:lang w:val="it-IT"/>
              </w:rPr>
              <w:t>±</w:t>
            </w:r>
            <w:ins w:id="9217" w:author="Author">
              <w:r>
                <w:rPr>
                  <w:rFonts w:ascii="Times New Roman" w:hAnsi="Times New Roman"/>
                  <w:noProof/>
                  <w:sz w:val="20"/>
                  <w:szCs w:val="20"/>
                  <w:lang w:val="it-IT"/>
                </w:rPr>
                <w:t> </w:t>
              </w:r>
            </w:ins>
            <w:del w:id="9218"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46,2</w:t>
            </w:r>
          </w:p>
        </w:tc>
        <w:tc>
          <w:tcPr>
            <w:tcW w:w="2867" w:type="dxa"/>
            <w:tcBorders>
              <w:top w:val="single" w:sz="4" w:space="0" w:color="auto"/>
              <w:left w:val="single" w:sz="4" w:space="0" w:color="auto"/>
              <w:bottom w:val="single" w:sz="4" w:space="0" w:color="auto"/>
              <w:right w:val="single" w:sz="4" w:space="0" w:color="auto"/>
            </w:tcBorders>
            <w:hideMark/>
            <w:tcPrChange w:id="9219"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9220" w:author="Author">
                <w:pPr>
                  <w:pStyle w:val="TextTi9"/>
                  <w:keepNext/>
                  <w:spacing w:after="120"/>
                  <w:jc w:val="center"/>
                </w:pPr>
              </w:pPrChange>
            </w:pPr>
            <w:r>
              <w:rPr>
                <w:rFonts w:ascii="Times New Roman" w:hAnsi="Times New Roman"/>
                <w:noProof/>
                <w:sz w:val="20"/>
                <w:szCs w:val="20"/>
                <w:lang w:val="it-IT"/>
              </w:rPr>
              <w:t>134</w:t>
            </w:r>
            <w:del w:id="9221" w:author="Author">
              <w:r>
                <w:rPr>
                  <w:rFonts w:ascii="Times New Roman" w:hAnsi="Times New Roman"/>
                  <w:noProof/>
                  <w:sz w:val="20"/>
                  <w:szCs w:val="20"/>
                  <w:lang w:val="it-IT"/>
                </w:rPr>
                <w:delText xml:space="preserve"> </w:delText>
              </w:r>
            </w:del>
            <w:ins w:id="9222" w:author="Author">
              <w:r>
                <w:rPr>
                  <w:rFonts w:ascii="Times New Roman" w:hAnsi="Times New Roman"/>
                  <w:noProof/>
                  <w:sz w:val="20"/>
                  <w:szCs w:val="20"/>
                  <w:lang w:val="it-IT"/>
                </w:rPr>
                <w:t> </w:t>
              </w:r>
            </w:ins>
            <w:r>
              <w:rPr>
                <w:rFonts w:ascii="Times New Roman" w:hAnsi="Times New Roman"/>
                <w:noProof/>
                <w:sz w:val="20"/>
                <w:szCs w:val="20"/>
                <w:lang w:val="it-IT"/>
              </w:rPr>
              <w:t>±</w:t>
            </w:r>
            <w:ins w:id="9223" w:author="Author">
              <w:r>
                <w:rPr>
                  <w:rFonts w:ascii="Times New Roman" w:hAnsi="Times New Roman"/>
                  <w:noProof/>
                  <w:sz w:val="20"/>
                  <w:szCs w:val="20"/>
                  <w:lang w:val="it-IT"/>
                </w:rPr>
                <w:t> </w:t>
              </w:r>
            </w:ins>
            <w:del w:id="9224"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58,6</w:t>
            </w:r>
          </w:p>
        </w:tc>
      </w:tr>
      <w:tr>
        <w:trPr>
          <w:cantSplit/>
          <w:trPrChange w:id="9225" w:author="Author">
            <w:trPr>
              <w:cantSplit/>
              <w:trHeight w:val="195"/>
            </w:trPr>
          </w:trPrChange>
        </w:trPr>
        <w:tc>
          <w:tcPr>
            <w:tcW w:w="3055" w:type="dxa"/>
            <w:tcBorders>
              <w:top w:val="single" w:sz="4" w:space="0" w:color="auto"/>
              <w:left w:val="single" w:sz="4" w:space="0" w:color="auto"/>
              <w:bottom w:val="single" w:sz="4" w:space="0" w:color="auto"/>
              <w:right w:val="single" w:sz="4" w:space="0" w:color="auto"/>
            </w:tcBorders>
            <w:hideMark/>
            <w:tcPrChange w:id="9226"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9227" w:author="Author">
                <w:pPr>
                  <w:pStyle w:val="TextTi9"/>
                  <w:keepNext/>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min</w:t>
            </w:r>
            <w:r>
              <w:rPr>
                <w:rFonts w:ascii="Times New Roman" w:hAnsi="Times New Roman"/>
                <w:noProof/>
                <w:sz w:val="20"/>
                <w:szCs w:val="20"/>
                <w:lang w:val="it-IT"/>
              </w:rPr>
              <w:t xml:space="preserve"> (µg/mL)</w:t>
            </w:r>
          </w:p>
        </w:tc>
        <w:tc>
          <w:tcPr>
            <w:tcW w:w="2867" w:type="dxa"/>
            <w:tcBorders>
              <w:top w:val="single" w:sz="4" w:space="0" w:color="auto"/>
              <w:left w:val="single" w:sz="4" w:space="0" w:color="auto"/>
              <w:bottom w:val="single" w:sz="4" w:space="0" w:color="auto"/>
              <w:right w:val="single" w:sz="4" w:space="0" w:color="auto"/>
            </w:tcBorders>
            <w:hideMark/>
            <w:tcPrChange w:id="9228"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9229" w:author="Author">
                <w:pPr>
                  <w:pStyle w:val="TextTi9"/>
                  <w:keepNext/>
                  <w:spacing w:after="120"/>
                  <w:jc w:val="center"/>
                </w:pPr>
              </w:pPrChange>
            </w:pPr>
            <w:r>
              <w:rPr>
                <w:rFonts w:ascii="Times New Roman" w:hAnsi="Times New Roman"/>
                <w:noProof/>
                <w:sz w:val="20"/>
                <w:szCs w:val="20"/>
                <w:lang w:val="it-IT"/>
              </w:rPr>
              <w:t>79,2</w:t>
            </w:r>
            <w:del w:id="9230" w:author="Author">
              <w:r>
                <w:rPr>
                  <w:rFonts w:ascii="Times New Roman" w:hAnsi="Times New Roman"/>
                  <w:noProof/>
                  <w:sz w:val="20"/>
                  <w:szCs w:val="20"/>
                  <w:lang w:val="it-IT"/>
                </w:rPr>
                <w:delText xml:space="preserve"> </w:delText>
              </w:r>
            </w:del>
            <w:ins w:id="9231" w:author="Author">
              <w:r>
                <w:rPr>
                  <w:rFonts w:ascii="Times New Roman" w:hAnsi="Times New Roman"/>
                  <w:noProof/>
                  <w:sz w:val="20"/>
                  <w:szCs w:val="20"/>
                  <w:lang w:val="it-IT"/>
                </w:rPr>
                <w:t> </w:t>
              </w:r>
            </w:ins>
            <w:r>
              <w:rPr>
                <w:rFonts w:ascii="Times New Roman" w:hAnsi="Times New Roman"/>
                <w:noProof/>
                <w:sz w:val="20"/>
                <w:szCs w:val="20"/>
                <w:lang w:val="it-IT"/>
              </w:rPr>
              <w:t>±</w:t>
            </w:r>
            <w:ins w:id="9232" w:author="Author">
              <w:r>
                <w:rPr>
                  <w:rFonts w:ascii="Times New Roman" w:hAnsi="Times New Roman"/>
                  <w:noProof/>
                  <w:sz w:val="20"/>
                  <w:szCs w:val="20"/>
                  <w:lang w:val="it-IT"/>
                </w:rPr>
                <w:t> </w:t>
              </w:r>
            </w:ins>
            <w:del w:id="9233"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35,6</w:t>
            </w:r>
          </w:p>
        </w:tc>
        <w:tc>
          <w:tcPr>
            <w:tcW w:w="2867" w:type="dxa"/>
            <w:tcBorders>
              <w:top w:val="single" w:sz="4" w:space="0" w:color="auto"/>
              <w:left w:val="single" w:sz="4" w:space="0" w:color="auto"/>
              <w:bottom w:val="single" w:sz="4" w:space="0" w:color="auto"/>
              <w:right w:val="single" w:sz="4" w:space="0" w:color="auto"/>
            </w:tcBorders>
            <w:hideMark/>
            <w:tcPrChange w:id="9234"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9235" w:author="Author">
                <w:pPr>
                  <w:pStyle w:val="TextTi9"/>
                  <w:keepNext/>
                  <w:spacing w:after="120"/>
                  <w:jc w:val="center"/>
                </w:pPr>
              </w:pPrChange>
            </w:pPr>
            <w:r>
              <w:rPr>
                <w:rFonts w:ascii="Times New Roman" w:hAnsi="Times New Roman"/>
                <w:noProof/>
                <w:sz w:val="20"/>
                <w:szCs w:val="20"/>
                <w:lang w:val="it-IT"/>
              </w:rPr>
              <w:t>65,9</w:t>
            </w:r>
            <w:del w:id="9236" w:author="Author">
              <w:r>
                <w:rPr>
                  <w:rFonts w:ascii="Times New Roman" w:hAnsi="Times New Roman"/>
                  <w:noProof/>
                  <w:sz w:val="20"/>
                  <w:szCs w:val="20"/>
                  <w:lang w:val="it-IT"/>
                </w:rPr>
                <w:delText xml:space="preserve"> </w:delText>
              </w:r>
            </w:del>
            <w:ins w:id="9237" w:author="Author">
              <w:r>
                <w:rPr>
                  <w:rFonts w:ascii="Times New Roman" w:hAnsi="Times New Roman"/>
                  <w:noProof/>
                  <w:sz w:val="20"/>
                  <w:szCs w:val="20"/>
                  <w:lang w:val="it-IT"/>
                </w:rPr>
                <w:t> </w:t>
              </w:r>
            </w:ins>
            <w:r>
              <w:rPr>
                <w:rFonts w:ascii="Times New Roman" w:hAnsi="Times New Roman"/>
                <w:noProof/>
                <w:sz w:val="20"/>
                <w:szCs w:val="20"/>
                <w:lang w:val="it-IT"/>
              </w:rPr>
              <w:t>±</w:t>
            </w:r>
            <w:ins w:id="9238" w:author="Author">
              <w:r>
                <w:rPr>
                  <w:rFonts w:ascii="Times New Roman" w:hAnsi="Times New Roman"/>
                  <w:noProof/>
                  <w:sz w:val="20"/>
                  <w:szCs w:val="20"/>
                  <w:lang w:val="it-IT"/>
                </w:rPr>
                <w:t> </w:t>
              </w:r>
            </w:ins>
            <w:del w:id="9239"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31,3</w:t>
            </w:r>
          </w:p>
        </w:tc>
      </w:tr>
      <w:tr>
        <w:trPr>
          <w:cantSplit/>
          <w:trPrChange w:id="9240" w:author="Author">
            <w:trPr>
              <w:cantSplit/>
              <w:trHeight w:val="324"/>
            </w:trPr>
          </w:trPrChange>
        </w:trPr>
        <w:tc>
          <w:tcPr>
            <w:tcW w:w="3055" w:type="dxa"/>
            <w:tcBorders>
              <w:top w:val="single" w:sz="4" w:space="0" w:color="auto"/>
              <w:left w:val="single" w:sz="4" w:space="0" w:color="auto"/>
              <w:bottom w:val="single" w:sz="4" w:space="0" w:color="auto"/>
              <w:right w:val="single" w:sz="4" w:space="0" w:color="auto"/>
            </w:tcBorders>
            <w:hideMark/>
            <w:tcPrChange w:id="9241"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9242" w:author="Author">
                <w:pPr>
                  <w:pStyle w:val="TextTi9"/>
                  <w:keepNext/>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mean</w:t>
            </w:r>
            <w:r>
              <w:rPr>
                <w:rFonts w:ascii="Times New Roman" w:hAnsi="Times New Roman"/>
                <w:noProof/>
                <w:sz w:val="20"/>
                <w:szCs w:val="20"/>
                <w:lang w:val="it-IT"/>
              </w:rPr>
              <w:t xml:space="preserve"> (µg/mL)</w:t>
            </w:r>
          </w:p>
        </w:tc>
        <w:tc>
          <w:tcPr>
            <w:tcW w:w="2867" w:type="dxa"/>
            <w:tcBorders>
              <w:top w:val="single" w:sz="4" w:space="0" w:color="auto"/>
              <w:left w:val="single" w:sz="4" w:space="0" w:color="auto"/>
              <w:bottom w:val="single" w:sz="4" w:space="0" w:color="auto"/>
              <w:right w:val="single" w:sz="4" w:space="0" w:color="auto"/>
            </w:tcBorders>
            <w:hideMark/>
            <w:tcPrChange w:id="9243"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9244" w:author="Author">
                <w:pPr>
                  <w:pStyle w:val="TextTi9"/>
                  <w:keepNext/>
                  <w:spacing w:after="120"/>
                  <w:jc w:val="center"/>
                </w:pPr>
              </w:pPrChange>
            </w:pPr>
            <w:r>
              <w:rPr>
                <w:rFonts w:ascii="Times New Roman" w:hAnsi="Times New Roman"/>
                <w:noProof/>
                <w:sz w:val="20"/>
                <w:szCs w:val="20"/>
                <w:lang w:val="it-IT"/>
              </w:rPr>
              <w:t>91,3</w:t>
            </w:r>
            <w:del w:id="9245" w:author="Author">
              <w:r>
                <w:rPr>
                  <w:rFonts w:ascii="Times New Roman" w:hAnsi="Times New Roman"/>
                  <w:noProof/>
                  <w:sz w:val="20"/>
                  <w:szCs w:val="20"/>
                  <w:lang w:val="it-IT"/>
                </w:rPr>
                <w:delText xml:space="preserve"> </w:delText>
              </w:r>
            </w:del>
            <w:ins w:id="9246" w:author="Author">
              <w:r>
                <w:rPr>
                  <w:rFonts w:ascii="Times New Roman" w:hAnsi="Times New Roman"/>
                  <w:noProof/>
                  <w:sz w:val="20"/>
                  <w:szCs w:val="20"/>
                  <w:lang w:val="it-IT"/>
                </w:rPr>
                <w:t> </w:t>
              </w:r>
            </w:ins>
            <w:r>
              <w:rPr>
                <w:rFonts w:ascii="Times New Roman" w:hAnsi="Times New Roman"/>
                <w:noProof/>
                <w:sz w:val="20"/>
                <w:szCs w:val="20"/>
                <w:lang w:val="it-IT"/>
              </w:rPr>
              <w:t>±</w:t>
            </w:r>
            <w:ins w:id="9247" w:author="Author">
              <w:r>
                <w:rPr>
                  <w:rFonts w:ascii="Times New Roman" w:hAnsi="Times New Roman"/>
                  <w:noProof/>
                  <w:sz w:val="20"/>
                  <w:szCs w:val="20"/>
                  <w:lang w:val="it-IT"/>
                </w:rPr>
                <w:t> </w:t>
              </w:r>
            </w:ins>
            <w:del w:id="9248"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40,4</w:t>
            </w:r>
          </w:p>
        </w:tc>
        <w:tc>
          <w:tcPr>
            <w:tcW w:w="2867" w:type="dxa"/>
            <w:tcBorders>
              <w:top w:val="single" w:sz="4" w:space="0" w:color="auto"/>
              <w:left w:val="single" w:sz="4" w:space="0" w:color="auto"/>
              <w:bottom w:val="single" w:sz="4" w:space="0" w:color="auto"/>
              <w:right w:val="single" w:sz="4" w:space="0" w:color="auto"/>
            </w:tcBorders>
            <w:hideMark/>
            <w:tcPrChange w:id="9249"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9250" w:author="Author">
                <w:pPr>
                  <w:pStyle w:val="TextTi9"/>
                  <w:keepNext/>
                  <w:spacing w:after="120"/>
                  <w:jc w:val="center"/>
                </w:pPr>
              </w:pPrChange>
            </w:pPr>
            <w:r>
              <w:rPr>
                <w:rFonts w:ascii="Times New Roman" w:hAnsi="Times New Roman"/>
                <w:noProof/>
                <w:sz w:val="20"/>
                <w:szCs w:val="20"/>
                <w:lang w:val="it-IT"/>
              </w:rPr>
              <w:t>101</w:t>
            </w:r>
            <w:del w:id="9251" w:author="Author">
              <w:r>
                <w:rPr>
                  <w:rFonts w:ascii="Times New Roman" w:hAnsi="Times New Roman"/>
                  <w:noProof/>
                  <w:sz w:val="20"/>
                  <w:szCs w:val="20"/>
                  <w:lang w:val="it-IT"/>
                </w:rPr>
                <w:delText xml:space="preserve"> </w:delText>
              </w:r>
            </w:del>
            <w:ins w:id="9252" w:author="Author">
              <w:r>
                <w:rPr>
                  <w:rFonts w:ascii="Times New Roman" w:hAnsi="Times New Roman"/>
                  <w:noProof/>
                  <w:sz w:val="20"/>
                  <w:szCs w:val="20"/>
                  <w:lang w:val="it-IT"/>
                </w:rPr>
                <w:t> </w:t>
              </w:r>
            </w:ins>
            <w:r>
              <w:rPr>
                <w:rFonts w:ascii="Times New Roman" w:hAnsi="Times New Roman"/>
                <w:noProof/>
                <w:sz w:val="20"/>
                <w:szCs w:val="20"/>
                <w:lang w:val="it-IT"/>
              </w:rPr>
              <w:t>±</w:t>
            </w:r>
            <w:ins w:id="9253" w:author="Author">
              <w:r>
                <w:rPr>
                  <w:rFonts w:ascii="Times New Roman" w:hAnsi="Times New Roman"/>
                  <w:noProof/>
                  <w:sz w:val="20"/>
                  <w:szCs w:val="20"/>
                  <w:lang w:val="it-IT"/>
                </w:rPr>
                <w:t> </w:t>
              </w:r>
            </w:ins>
            <w:del w:id="9254"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43,2</w:t>
            </w:r>
          </w:p>
        </w:tc>
      </w:tr>
      <w:tr>
        <w:trPr>
          <w:cantSplit/>
          <w:trPrChange w:id="9255" w:author="Author">
            <w:trPr>
              <w:cantSplit/>
              <w:trHeight w:val="324"/>
            </w:trPr>
          </w:trPrChange>
        </w:trPr>
        <w:tc>
          <w:tcPr>
            <w:tcW w:w="3055" w:type="dxa"/>
            <w:tcBorders>
              <w:top w:val="single" w:sz="4" w:space="0" w:color="auto"/>
              <w:left w:val="single" w:sz="4" w:space="0" w:color="auto"/>
              <w:bottom w:val="single" w:sz="4" w:space="0" w:color="auto"/>
              <w:right w:val="single" w:sz="4" w:space="0" w:color="auto"/>
            </w:tcBorders>
            <w:hideMark/>
            <w:tcPrChange w:id="9256"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9257" w:author="Author">
                <w:pPr>
                  <w:pStyle w:val="TextTi9"/>
                  <w:keepNext/>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 xml:space="preserve">max </w:t>
            </w:r>
            <w:r>
              <w:rPr>
                <w:rFonts w:ascii="Times New Roman" w:hAnsi="Times New Roman"/>
                <w:noProof/>
                <w:sz w:val="20"/>
                <w:szCs w:val="20"/>
                <w:lang w:val="it-IT"/>
              </w:rPr>
              <w:t>d’accumulo</w:t>
            </w:r>
          </w:p>
        </w:tc>
        <w:tc>
          <w:tcPr>
            <w:tcW w:w="2867" w:type="dxa"/>
            <w:tcBorders>
              <w:top w:val="single" w:sz="4" w:space="0" w:color="auto"/>
              <w:left w:val="single" w:sz="4" w:space="0" w:color="auto"/>
              <w:bottom w:val="single" w:sz="4" w:space="0" w:color="auto"/>
              <w:right w:val="single" w:sz="4" w:space="0" w:color="auto"/>
            </w:tcBorders>
            <w:tcPrChange w:id="9258"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9259" w:author="Author">
                <w:pPr>
                  <w:pStyle w:val="TextTi9"/>
                  <w:keepNext/>
                  <w:spacing w:after="120"/>
                  <w:jc w:val="center"/>
                </w:pPr>
              </w:pPrChange>
            </w:pPr>
            <w:r>
              <w:rPr>
                <w:rFonts w:ascii="Times New Roman" w:hAnsi="Times New Roman"/>
                <w:noProof/>
                <w:sz w:val="20"/>
                <w:szCs w:val="20"/>
                <w:lang w:val="it-IT"/>
              </w:rPr>
              <w:t>3,66</w:t>
            </w:r>
          </w:p>
        </w:tc>
        <w:tc>
          <w:tcPr>
            <w:tcW w:w="2867" w:type="dxa"/>
            <w:tcBorders>
              <w:top w:val="single" w:sz="4" w:space="0" w:color="auto"/>
              <w:left w:val="single" w:sz="4" w:space="0" w:color="auto"/>
              <w:bottom w:val="single" w:sz="4" w:space="0" w:color="auto"/>
              <w:right w:val="single" w:sz="4" w:space="0" w:color="auto"/>
            </w:tcBorders>
            <w:tcPrChange w:id="9260"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9261" w:author="Author">
                <w:pPr>
                  <w:pStyle w:val="TextTi9"/>
                  <w:keepNext/>
                  <w:spacing w:after="120"/>
                  <w:jc w:val="center"/>
                </w:pPr>
              </w:pPrChange>
            </w:pPr>
            <w:r>
              <w:rPr>
                <w:rFonts w:ascii="Times New Roman" w:hAnsi="Times New Roman"/>
                <w:noProof/>
                <w:sz w:val="20"/>
                <w:szCs w:val="20"/>
                <w:lang w:val="it-IT"/>
              </w:rPr>
              <w:t>1,88</w:t>
            </w:r>
          </w:p>
        </w:tc>
      </w:tr>
      <w:tr>
        <w:trPr>
          <w:cantSplit/>
          <w:trPrChange w:id="9262" w:author="Author">
            <w:trPr>
              <w:cantSplit/>
              <w:trHeight w:val="331"/>
            </w:trPr>
          </w:trPrChange>
        </w:trPr>
        <w:tc>
          <w:tcPr>
            <w:tcW w:w="3055" w:type="dxa"/>
            <w:tcBorders>
              <w:top w:val="single" w:sz="4" w:space="0" w:color="auto"/>
              <w:left w:val="single" w:sz="4" w:space="0" w:color="auto"/>
              <w:bottom w:val="single" w:sz="4" w:space="0" w:color="auto"/>
              <w:right w:val="single" w:sz="4" w:space="0" w:color="auto"/>
            </w:tcBorders>
            <w:hideMark/>
            <w:tcPrChange w:id="9263" w:author="Author">
              <w:tcPr>
                <w:tcW w:w="2835"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9264" w:author="Author">
                <w:pPr>
                  <w:pStyle w:val="TextTi9"/>
                  <w:keepNext/>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 xml:space="preserve">min </w:t>
            </w:r>
            <w:r>
              <w:rPr>
                <w:rFonts w:ascii="Times New Roman" w:hAnsi="Times New Roman"/>
                <w:noProof/>
                <w:sz w:val="20"/>
                <w:szCs w:val="20"/>
                <w:lang w:val="it-IT"/>
              </w:rPr>
              <w:t>d’accumulo</w:t>
            </w:r>
          </w:p>
        </w:tc>
        <w:tc>
          <w:tcPr>
            <w:tcW w:w="2867" w:type="dxa"/>
            <w:tcBorders>
              <w:top w:val="single" w:sz="4" w:space="0" w:color="auto"/>
              <w:left w:val="single" w:sz="4" w:space="0" w:color="auto"/>
              <w:bottom w:val="single" w:sz="4" w:space="0" w:color="auto"/>
              <w:right w:val="single" w:sz="4" w:space="0" w:color="auto"/>
            </w:tcBorders>
            <w:tcPrChange w:id="9265"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9266" w:author="Author">
                <w:pPr>
                  <w:pStyle w:val="TextTi9"/>
                  <w:keepNext/>
                  <w:spacing w:after="120"/>
                  <w:jc w:val="center"/>
                </w:pPr>
              </w:pPrChange>
            </w:pPr>
            <w:r>
              <w:rPr>
                <w:rFonts w:ascii="Times New Roman" w:hAnsi="Times New Roman"/>
                <w:noProof/>
                <w:sz w:val="20"/>
                <w:szCs w:val="20"/>
                <w:lang w:val="it-IT"/>
              </w:rPr>
              <w:t>4,39</w:t>
            </w:r>
          </w:p>
        </w:tc>
        <w:tc>
          <w:tcPr>
            <w:tcW w:w="2867" w:type="dxa"/>
            <w:tcBorders>
              <w:top w:val="single" w:sz="4" w:space="0" w:color="auto"/>
              <w:left w:val="single" w:sz="4" w:space="0" w:color="auto"/>
              <w:bottom w:val="single" w:sz="4" w:space="0" w:color="auto"/>
              <w:right w:val="single" w:sz="4" w:space="0" w:color="auto"/>
            </w:tcBorders>
            <w:tcPrChange w:id="9267"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9268" w:author="Author">
                <w:pPr>
                  <w:pStyle w:val="TextTi9"/>
                  <w:keepNext/>
                  <w:spacing w:after="120"/>
                  <w:jc w:val="center"/>
                </w:pPr>
              </w:pPrChange>
            </w:pPr>
            <w:r>
              <w:rPr>
                <w:rFonts w:ascii="Times New Roman" w:hAnsi="Times New Roman"/>
                <w:noProof/>
                <w:sz w:val="20"/>
                <w:szCs w:val="20"/>
                <w:lang w:val="it-IT"/>
              </w:rPr>
              <w:t>3,21</w:t>
            </w:r>
          </w:p>
        </w:tc>
      </w:tr>
      <w:tr>
        <w:trPr>
          <w:cantSplit/>
          <w:trPrChange w:id="9269" w:author="Author">
            <w:trPr>
              <w:cantSplit/>
              <w:trHeight w:val="331"/>
            </w:trPr>
          </w:trPrChange>
        </w:trPr>
        <w:tc>
          <w:tcPr>
            <w:tcW w:w="3055" w:type="dxa"/>
            <w:tcBorders>
              <w:top w:val="single" w:sz="4" w:space="0" w:color="auto"/>
              <w:left w:val="single" w:sz="4" w:space="0" w:color="auto"/>
              <w:bottom w:val="single" w:sz="4" w:space="0" w:color="auto"/>
              <w:right w:val="single" w:sz="4" w:space="0" w:color="auto"/>
            </w:tcBorders>
            <w:tcPrChange w:id="9270" w:author="Author">
              <w:tcPr>
                <w:tcW w:w="2835"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rPr>
                <w:rFonts w:ascii="Times New Roman" w:hAnsi="Times New Roman"/>
                <w:noProof/>
                <w:sz w:val="20"/>
                <w:szCs w:val="20"/>
                <w:lang w:val="it-IT"/>
              </w:rPr>
              <w:pPrChange w:id="9271" w:author="Author">
                <w:pPr>
                  <w:pStyle w:val="TextTi9"/>
                  <w:keepNext/>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mean</w:t>
            </w:r>
            <w:r>
              <w:rPr>
                <w:rFonts w:ascii="Times New Roman" w:hAnsi="Times New Roman"/>
                <w:noProof/>
                <w:sz w:val="20"/>
                <w:szCs w:val="20"/>
                <w:lang w:val="it-IT"/>
              </w:rPr>
              <w:t xml:space="preserve"> d’accumulo o AUC</w:t>
            </w:r>
            <w:r>
              <w:rPr>
                <w:rFonts w:ascii="Times New Roman" w:hAnsi="Times New Roman"/>
                <w:noProof/>
                <w:sz w:val="20"/>
                <w:szCs w:val="20"/>
                <w:vertAlign w:val="subscript"/>
                <w:lang w:val="it-IT"/>
              </w:rPr>
              <w:t>τ</w:t>
            </w:r>
            <w:r>
              <w:rPr>
                <w:rFonts w:ascii="Times New Roman" w:hAnsi="Times New Roman"/>
                <w:noProof/>
                <w:sz w:val="20"/>
                <w:szCs w:val="20"/>
                <w:lang w:val="it-IT"/>
              </w:rPr>
              <w:t>*</w:t>
            </w:r>
          </w:p>
        </w:tc>
        <w:tc>
          <w:tcPr>
            <w:tcW w:w="2867" w:type="dxa"/>
            <w:tcBorders>
              <w:top w:val="single" w:sz="4" w:space="0" w:color="auto"/>
              <w:left w:val="single" w:sz="4" w:space="0" w:color="auto"/>
              <w:bottom w:val="single" w:sz="4" w:space="0" w:color="auto"/>
              <w:right w:val="single" w:sz="4" w:space="0" w:color="auto"/>
            </w:tcBorders>
            <w:tcPrChange w:id="9272"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9273" w:author="Author">
                <w:pPr>
                  <w:pStyle w:val="TextTi9"/>
                  <w:keepNext/>
                  <w:spacing w:after="120"/>
                  <w:jc w:val="center"/>
                </w:pPr>
              </w:pPrChange>
            </w:pPr>
            <w:r>
              <w:rPr>
                <w:rFonts w:ascii="Times New Roman" w:hAnsi="Times New Roman"/>
                <w:noProof/>
                <w:sz w:val="20"/>
                <w:szCs w:val="20"/>
                <w:lang w:val="it-IT"/>
              </w:rPr>
              <w:t>4,28</w:t>
            </w:r>
          </w:p>
        </w:tc>
        <w:tc>
          <w:tcPr>
            <w:tcW w:w="2867" w:type="dxa"/>
            <w:tcBorders>
              <w:top w:val="single" w:sz="4" w:space="0" w:color="auto"/>
              <w:left w:val="single" w:sz="4" w:space="0" w:color="auto"/>
              <w:bottom w:val="single" w:sz="4" w:space="0" w:color="auto"/>
              <w:right w:val="single" w:sz="4" w:space="0" w:color="auto"/>
            </w:tcBorders>
            <w:tcPrChange w:id="9274" w:author="Author">
              <w:tcPr>
                <w:tcW w:w="2977" w:type="dxa"/>
                <w:tcBorders>
                  <w:top w:val="single" w:sz="4" w:space="0" w:color="auto"/>
                  <w:left w:val="single" w:sz="4" w:space="0" w:color="auto"/>
                  <w:bottom w:val="single" w:sz="4" w:space="0" w:color="auto"/>
                  <w:right w:val="single" w:sz="4" w:space="0" w:color="auto"/>
                </w:tcBorders>
              </w:tcPr>
            </w:tcPrChange>
          </w:tcPr>
          <w:p>
            <w:pPr>
              <w:pStyle w:val="TextTi9"/>
              <w:keepNext/>
              <w:suppressAutoHyphens/>
              <w:spacing w:after="0"/>
              <w:jc w:val="center"/>
              <w:rPr>
                <w:rFonts w:ascii="Times New Roman" w:hAnsi="Times New Roman"/>
                <w:noProof/>
                <w:sz w:val="20"/>
                <w:szCs w:val="20"/>
                <w:lang w:val="it-IT"/>
              </w:rPr>
              <w:pPrChange w:id="9275" w:author="Author">
                <w:pPr>
                  <w:pStyle w:val="TextTi9"/>
                  <w:keepNext/>
                  <w:spacing w:after="120"/>
                  <w:jc w:val="center"/>
                </w:pPr>
              </w:pPrChange>
            </w:pPr>
            <w:r>
              <w:rPr>
                <w:rFonts w:ascii="Times New Roman" w:hAnsi="Times New Roman"/>
                <w:noProof/>
                <w:sz w:val="20"/>
                <w:szCs w:val="20"/>
                <w:lang w:val="it-IT"/>
              </w:rPr>
              <w:t>2,27</w:t>
            </w:r>
          </w:p>
        </w:tc>
      </w:tr>
    </w:tbl>
    <w:p>
      <w:pPr>
        <w:jc w:val="both"/>
        <w:rPr>
          <w:del w:id="9276" w:author="Author"/>
          <w:noProof/>
          <w:sz w:val="18"/>
          <w:szCs w:val="18"/>
          <w:lang w:val="it-IT" w:eastAsia="en-US"/>
        </w:rPr>
      </w:pPr>
      <w:r>
        <w:rPr>
          <w:noProof/>
          <w:sz w:val="18"/>
          <w:szCs w:val="18"/>
          <w:lang w:val="it-IT" w:eastAsia="en-US"/>
        </w:rPr>
        <w:t>*τ</w:t>
      </w:r>
      <w:del w:id="9277" w:author="Author">
        <w:r>
          <w:rPr>
            <w:noProof/>
            <w:sz w:val="18"/>
            <w:szCs w:val="18"/>
            <w:lang w:val="it-IT" w:eastAsia="en-US"/>
          </w:rPr>
          <w:delText xml:space="preserve"> </w:delText>
        </w:r>
      </w:del>
      <w:ins w:id="9278" w:author="Author">
        <w:r>
          <w:rPr>
            <w:noProof/>
            <w:sz w:val="18"/>
            <w:szCs w:val="18"/>
            <w:lang w:val="it-IT" w:eastAsia="en-US"/>
          </w:rPr>
          <w:t> </w:t>
        </w:r>
      </w:ins>
      <w:r>
        <w:rPr>
          <w:noProof/>
          <w:sz w:val="18"/>
          <w:szCs w:val="18"/>
          <w:lang w:val="it-IT" w:eastAsia="en-US"/>
        </w:rPr>
        <w:t>=</w:t>
      </w:r>
      <w:ins w:id="9279" w:author="Author">
        <w:r>
          <w:rPr>
            <w:noProof/>
            <w:sz w:val="18"/>
            <w:szCs w:val="18"/>
            <w:lang w:val="it-IT" w:eastAsia="en-US"/>
          </w:rPr>
          <w:t> </w:t>
        </w:r>
      </w:ins>
      <w:del w:id="9280" w:author="Author">
        <w:r>
          <w:rPr>
            <w:noProof/>
            <w:sz w:val="18"/>
            <w:szCs w:val="18"/>
            <w:lang w:val="it-IT" w:eastAsia="en-US"/>
          </w:rPr>
          <w:delText xml:space="preserve"> </w:delText>
        </w:r>
      </w:del>
      <w:r>
        <w:rPr>
          <w:noProof/>
          <w:sz w:val="18"/>
          <w:szCs w:val="18"/>
          <w:lang w:val="it-IT" w:eastAsia="en-US"/>
        </w:rPr>
        <w:t xml:space="preserve">1 o 2 settimane per i due regimi </w:t>
      </w:r>
      <w:del w:id="9281" w:author="Author">
        <w:r>
          <w:rPr>
            <w:noProof/>
            <w:sz w:val="18"/>
            <w:szCs w:val="18"/>
            <w:lang w:val="it-IT" w:eastAsia="en-US"/>
          </w:rPr>
          <w:delText>s.c.</w:delText>
        </w:r>
      </w:del>
      <w:ins w:id="9282" w:author="Author">
        <w:r>
          <w:rPr>
            <w:noProof/>
            <w:sz w:val="18"/>
            <w:szCs w:val="18"/>
            <w:lang w:val="it-IT" w:eastAsia="en-US"/>
          </w:rPr>
          <w:t xml:space="preserve">sottocutanei </w:t>
        </w:r>
      </w:ins>
    </w:p>
    <w:p>
      <w:pPr>
        <w:numPr>
          <w:ilvl w:val="12"/>
          <w:numId w:val="0"/>
        </w:numPr>
        <w:ind w:right="-2"/>
        <w:rPr>
          <w:noProof/>
          <w:szCs w:val="22"/>
          <w:lang w:val="it-IT"/>
        </w:rPr>
      </w:pPr>
    </w:p>
    <w:p>
      <w:pPr>
        <w:jc w:val="both"/>
        <w:rPr>
          <w:noProof/>
          <w:lang w:val="it-IT"/>
        </w:rPr>
        <w:pPrChange w:id="9283" w:author="Author">
          <w:pPr>
            <w:numPr>
              <w:ilvl w:val="12"/>
            </w:numPr>
            <w:tabs>
              <w:tab w:val="left" w:pos="180"/>
            </w:tabs>
            <w:ind w:right="-2"/>
          </w:pPr>
        </w:pPrChange>
      </w:pPr>
      <w:r>
        <w:rPr>
          <w:iCs/>
          <w:noProof/>
          <w:szCs w:val="22"/>
          <w:lang w:val="it-IT"/>
        </w:rPr>
        <w:t>Dopo somministrazione s.c., il 90% circa dello stato stazionario è stato raggiunto entro la settimana 12 con entrambi i regimi 162 mg QW e Q2W.</w:t>
      </w:r>
    </w:p>
    <w:p>
      <w:pPr>
        <w:tabs>
          <w:tab w:val="left" w:pos="180"/>
        </w:tabs>
        <w:spacing w:line="0" w:lineRule="atLeast"/>
        <w:rPr>
          <w:noProof/>
          <w:szCs w:val="22"/>
          <w:lang w:val="it-IT"/>
        </w:rPr>
      </w:pPr>
    </w:p>
    <w:p>
      <w:pPr>
        <w:tabs>
          <w:tab w:val="left" w:pos="180"/>
        </w:tabs>
        <w:spacing w:line="0" w:lineRule="atLeast"/>
        <w:rPr>
          <w:i/>
          <w:noProof/>
          <w:szCs w:val="22"/>
          <w:u w:val="single"/>
          <w:lang w:val="it-IT"/>
          <w:rPrChange w:id="9284" w:author="Author">
            <w:rPr>
              <w:iCs/>
              <w:szCs w:val="22"/>
              <w:u w:val="single"/>
              <w:lang w:val="it-IT"/>
            </w:rPr>
          </w:rPrChange>
        </w:rPr>
      </w:pPr>
      <w:r>
        <w:rPr>
          <w:i/>
          <w:noProof/>
          <w:szCs w:val="22"/>
          <w:u w:val="single"/>
          <w:lang w:val="it-IT"/>
          <w:rPrChange w:id="9285" w:author="Author">
            <w:rPr>
              <w:iCs/>
              <w:szCs w:val="22"/>
              <w:u w:val="single"/>
              <w:lang w:val="it-IT"/>
            </w:rPr>
          </w:rPrChange>
        </w:rPr>
        <w:t>Assorbimento</w:t>
      </w:r>
    </w:p>
    <w:p>
      <w:pPr>
        <w:tabs>
          <w:tab w:val="left" w:pos="180"/>
        </w:tabs>
        <w:spacing w:line="0" w:lineRule="atLeast"/>
        <w:rPr>
          <w:iCs/>
          <w:noProof/>
          <w:szCs w:val="22"/>
          <w:lang w:val="it-IT"/>
        </w:rPr>
      </w:pPr>
      <w:r>
        <w:rPr>
          <w:iCs/>
          <w:noProof/>
          <w:szCs w:val="22"/>
          <w:lang w:val="it-IT"/>
        </w:rPr>
        <w:t>In seguito a somministrazione sottocutanea in pazienti affetti da AIGs, l’emivita di assorbimento si è attestata a 2 giorni circa, mentre la biodisponibilità della formulazione sottocutanea nei pazienti affetti da AIGs è stata del 95%.</w:t>
      </w:r>
    </w:p>
    <w:p>
      <w:pPr>
        <w:tabs>
          <w:tab w:val="left" w:pos="180"/>
        </w:tabs>
        <w:spacing w:line="0" w:lineRule="atLeast"/>
        <w:rPr>
          <w:iCs/>
          <w:noProof/>
          <w:szCs w:val="22"/>
          <w:lang w:val="it-IT"/>
        </w:rPr>
      </w:pPr>
    </w:p>
    <w:p>
      <w:pPr>
        <w:keepNext/>
        <w:keepLines/>
        <w:tabs>
          <w:tab w:val="left" w:pos="180"/>
        </w:tabs>
        <w:spacing w:line="0" w:lineRule="atLeast"/>
        <w:rPr>
          <w:i/>
          <w:noProof/>
          <w:szCs w:val="22"/>
          <w:u w:val="single"/>
          <w:lang w:val="it-IT"/>
          <w:rPrChange w:id="9286" w:author="Author">
            <w:rPr>
              <w:iCs/>
              <w:szCs w:val="22"/>
              <w:u w:val="single"/>
              <w:lang w:val="it-IT"/>
            </w:rPr>
          </w:rPrChange>
        </w:rPr>
      </w:pPr>
      <w:r>
        <w:rPr>
          <w:i/>
          <w:noProof/>
          <w:szCs w:val="22"/>
          <w:u w:val="single"/>
          <w:lang w:val="it-IT"/>
          <w:rPrChange w:id="9287" w:author="Author">
            <w:rPr>
              <w:iCs/>
              <w:szCs w:val="22"/>
              <w:u w:val="single"/>
              <w:lang w:val="it-IT"/>
            </w:rPr>
          </w:rPrChange>
        </w:rPr>
        <w:t>Distribuzione</w:t>
      </w:r>
    </w:p>
    <w:p>
      <w:pPr>
        <w:tabs>
          <w:tab w:val="left" w:pos="180"/>
        </w:tabs>
        <w:spacing w:line="0" w:lineRule="atLeast"/>
        <w:rPr>
          <w:iCs/>
          <w:noProof/>
          <w:szCs w:val="22"/>
          <w:lang w:val="it-IT"/>
        </w:rPr>
      </w:pPr>
      <w:r>
        <w:rPr>
          <w:iCs/>
          <w:noProof/>
          <w:szCs w:val="22"/>
          <w:lang w:val="it-IT"/>
        </w:rPr>
        <w:t xml:space="preserve">Nei pazienti pediatrici affetti da AIGs, il volume </w:t>
      </w:r>
      <w:del w:id="9288" w:author="Author">
        <w:r>
          <w:rPr>
            <w:iCs/>
            <w:noProof/>
            <w:szCs w:val="22"/>
            <w:lang w:val="it-IT"/>
          </w:rPr>
          <w:delText xml:space="preserve">centrale </w:delText>
        </w:r>
      </w:del>
      <w:r>
        <w:rPr>
          <w:iCs/>
          <w:noProof/>
          <w:szCs w:val="22"/>
          <w:lang w:val="it-IT"/>
        </w:rPr>
        <w:t>di distribuzione</w:t>
      </w:r>
      <w:ins w:id="9289" w:author="Author">
        <w:r>
          <w:rPr>
            <w:iCs/>
            <w:noProof/>
            <w:szCs w:val="22"/>
            <w:lang w:val="it-IT"/>
          </w:rPr>
          <w:t xml:space="preserve"> centrale</w:t>
        </w:r>
      </w:ins>
      <w:r>
        <w:rPr>
          <w:iCs/>
          <w:noProof/>
          <w:szCs w:val="22"/>
          <w:lang w:val="it-IT"/>
        </w:rPr>
        <w:t xml:space="preserve"> si è attestato a 1,87 L, mentre quello periferico a 2,14 L, per un volume di distribuzione allo stato stazionario pari a 4,01 L.</w:t>
      </w:r>
    </w:p>
    <w:p>
      <w:pPr>
        <w:tabs>
          <w:tab w:val="left" w:pos="180"/>
        </w:tabs>
        <w:spacing w:line="0" w:lineRule="atLeast"/>
        <w:rPr>
          <w:iCs/>
          <w:noProof/>
          <w:szCs w:val="22"/>
          <w:lang w:val="it-IT"/>
        </w:rPr>
      </w:pPr>
    </w:p>
    <w:p>
      <w:pPr>
        <w:tabs>
          <w:tab w:val="left" w:pos="180"/>
        </w:tabs>
        <w:spacing w:line="0" w:lineRule="atLeast"/>
        <w:rPr>
          <w:i/>
          <w:noProof/>
          <w:szCs w:val="22"/>
          <w:u w:val="single"/>
          <w:lang w:val="it-IT"/>
          <w:rPrChange w:id="9290" w:author="Author">
            <w:rPr>
              <w:iCs/>
              <w:szCs w:val="22"/>
              <w:u w:val="single"/>
              <w:lang w:val="it-IT"/>
            </w:rPr>
          </w:rPrChange>
        </w:rPr>
      </w:pPr>
      <w:r>
        <w:rPr>
          <w:i/>
          <w:noProof/>
          <w:szCs w:val="22"/>
          <w:u w:val="single"/>
          <w:lang w:val="it-IT"/>
          <w:rPrChange w:id="9291" w:author="Author">
            <w:rPr>
              <w:iCs/>
              <w:szCs w:val="22"/>
              <w:u w:val="single"/>
              <w:lang w:val="it-IT"/>
            </w:rPr>
          </w:rPrChange>
        </w:rPr>
        <w:lastRenderedPageBreak/>
        <w:t>Eliminazione</w:t>
      </w:r>
    </w:p>
    <w:p>
      <w:pPr>
        <w:tabs>
          <w:tab w:val="left" w:pos="180"/>
        </w:tabs>
        <w:spacing w:line="0" w:lineRule="atLeast"/>
        <w:rPr>
          <w:noProof/>
          <w:szCs w:val="22"/>
          <w:lang w:val="it-IT"/>
        </w:rPr>
      </w:pPr>
      <w:r>
        <w:rPr>
          <w:noProof/>
          <w:szCs w:val="22"/>
          <w:lang w:val="it-IT"/>
        </w:rPr>
        <w:t xml:space="preserve">La clearance totale di tocilizumab è risultata dipendente dalla concentrazione e costituita dalla somma della clearance lineare e della clearance non lineare. La clearance lineare è stata stimata come parametro nell’analisi di farmacocinetica di popolazione e, nei pazienti pediatrici affetti da artrite idiopatica giovanile sistemica, è risultata pari a 5,7 mL/h. Dopo somministrazione sottocutanea, il t½ effettivo di </w:t>
      </w:r>
      <w:r>
        <w:rPr>
          <w:noProof/>
          <w:lang w:val="it-IT"/>
        </w:rPr>
        <w:t xml:space="preserve">tocilizumab </w:t>
      </w:r>
      <w:r>
        <w:rPr>
          <w:noProof/>
          <w:szCs w:val="22"/>
          <w:lang w:val="it-IT"/>
        </w:rPr>
        <w:t>nei pazienti affetti da AIGs si è attestato a un massimo di 14 giorni con entrambi i regimi 162 mg QW e Q2W durante un intervallo posologico allo stato stazionario.</w:t>
      </w:r>
    </w:p>
    <w:p>
      <w:pPr>
        <w:tabs>
          <w:tab w:val="left" w:pos="180"/>
        </w:tabs>
        <w:spacing w:line="0" w:lineRule="atLeast"/>
        <w:rPr>
          <w:noProof/>
          <w:szCs w:val="22"/>
          <w:lang w:val="it-IT"/>
        </w:rPr>
      </w:pPr>
    </w:p>
    <w:p>
      <w:pPr>
        <w:keepNext/>
        <w:keepLines/>
        <w:tabs>
          <w:tab w:val="left" w:pos="180"/>
        </w:tabs>
        <w:rPr>
          <w:del w:id="9292" w:author="Author"/>
          <w:noProof/>
          <w:szCs w:val="22"/>
          <w:u w:val="single"/>
          <w:lang w:val="it-IT"/>
        </w:rPr>
        <w:pPrChange w:id="9293" w:author="Author">
          <w:pPr>
            <w:tabs>
              <w:tab w:val="left" w:pos="180"/>
            </w:tabs>
            <w:spacing w:line="0" w:lineRule="atLeast"/>
          </w:pPr>
        </w:pPrChange>
      </w:pPr>
      <w:del w:id="9294" w:author="Author">
        <w:r>
          <w:rPr>
            <w:noProof/>
            <w:szCs w:val="22"/>
            <w:u w:val="single"/>
            <w:lang w:val="it-IT"/>
          </w:rPr>
          <w:delText xml:space="preserve">Paazienti affetti da AIGp </w:delText>
        </w:r>
      </w:del>
    </w:p>
    <w:p>
      <w:pPr>
        <w:keepNext/>
        <w:keepLines/>
        <w:tabs>
          <w:tab w:val="left" w:pos="180"/>
        </w:tabs>
        <w:rPr>
          <w:del w:id="9295" w:author="Author"/>
          <w:noProof/>
          <w:szCs w:val="22"/>
          <w:u w:val="single"/>
          <w:lang w:val="it-IT"/>
        </w:rPr>
        <w:pPrChange w:id="9296" w:author="Author">
          <w:pPr>
            <w:tabs>
              <w:tab w:val="left" w:pos="180"/>
            </w:tabs>
            <w:spacing w:line="0" w:lineRule="atLeast"/>
          </w:pPr>
        </w:pPrChange>
      </w:pPr>
    </w:p>
    <w:p>
      <w:pPr>
        <w:keepNext/>
        <w:keepLines/>
        <w:tabs>
          <w:tab w:val="left" w:pos="180"/>
        </w:tabs>
        <w:rPr>
          <w:noProof/>
          <w:szCs w:val="22"/>
          <w:u w:val="single"/>
          <w:lang w:val="it-IT"/>
          <w:rPrChange w:id="9297" w:author="Author">
            <w:rPr>
              <w:i/>
              <w:iCs/>
              <w:szCs w:val="22"/>
              <w:lang w:val="it-IT"/>
            </w:rPr>
          </w:rPrChange>
        </w:rPr>
        <w:pPrChange w:id="9298" w:author="Author">
          <w:pPr>
            <w:tabs>
              <w:tab w:val="left" w:pos="180"/>
            </w:tabs>
            <w:spacing w:line="0" w:lineRule="atLeast"/>
          </w:pPr>
        </w:pPrChange>
      </w:pPr>
      <w:r>
        <w:rPr>
          <w:noProof/>
          <w:szCs w:val="22"/>
          <w:u w:val="single"/>
          <w:lang w:val="it-IT"/>
          <w:rPrChange w:id="9299" w:author="Author">
            <w:rPr>
              <w:i/>
              <w:iCs/>
              <w:szCs w:val="22"/>
              <w:lang w:val="it-IT"/>
            </w:rPr>
          </w:rPrChange>
        </w:rPr>
        <w:t>Uso sottocutaneo</w:t>
      </w:r>
    </w:p>
    <w:p>
      <w:pPr>
        <w:keepNext/>
        <w:keepLines/>
        <w:numPr>
          <w:ilvl w:val="12"/>
          <w:numId w:val="0"/>
        </w:numPr>
        <w:tabs>
          <w:tab w:val="left" w:pos="180"/>
        </w:tabs>
        <w:ind w:right="-2"/>
        <w:rPr>
          <w:ins w:id="9300" w:author="Author"/>
          <w:i/>
          <w:iCs/>
          <w:noProof/>
          <w:lang w:val="it-IT"/>
          <w:rPrChange w:id="9301" w:author="Author">
            <w:rPr>
              <w:ins w:id="9302" w:author="Author"/>
              <w:lang w:val="it-IT"/>
            </w:rPr>
          </w:rPrChange>
        </w:rPr>
        <w:pPrChange w:id="9303" w:author="Author">
          <w:pPr>
            <w:numPr>
              <w:ilvl w:val="12"/>
            </w:numPr>
            <w:tabs>
              <w:tab w:val="left" w:pos="180"/>
            </w:tabs>
            <w:ind w:right="-2"/>
          </w:pPr>
        </w:pPrChange>
      </w:pPr>
      <w:ins w:id="9304" w:author="Author">
        <w:r>
          <w:rPr>
            <w:i/>
            <w:iCs/>
            <w:noProof/>
            <w:lang w:val="it-IT"/>
            <w:rPrChange w:id="9305" w:author="Author">
              <w:rPr>
                <w:lang w:val="it-IT"/>
              </w:rPr>
            </w:rPrChange>
          </w:rPr>
          <w:t>Pazienti affetti da AIGp</w:t>
        </w:r>
      </w:ins>
    </w:p>
    <w:p>
      <w:pPr>
        <w:keepNext/>
        <w:keepLines/>
        <w:numPr>
          <w:ilvl w:val="12"/>
          <w:numId w:val="0"/>
        </w:numPr>
        <w:tabs>
          <w:tab w:val="left" w:pos="180"/>
        </w:tabs>
        <w:ind w:right="-2"/>
        <w:rPr>
          <w:ins w:id="9306" w:author="Author"/>
          <w:noProof/>
          <w:lang w:val="it-IT"/>
        </w:rPr>
        <w:pPrChange w:id="9307" w:author="Author">
          <w:pPr>
            <w:numPr>
              <w:ilvl w:val="12"/>
            </w:numPr>
            <w:tabs>
              <w:tab w:val="left" w:pos="180"/>
            </w:tabs>
            <w:ind w:right="-2"/>
          </w:pPr>
        </w:pPrChange>
      </w:pPr>
    </w:p>
    <w:p>
      <w:pPr>
        <w:numPr>
          <w:ilvl w:val="12"/>
          <w:numId w:val="0"/>
        </w:numPr>
        <w:tabs>
          <w:tab w:val="left" w:pos="180"/>
        </w:tabs>
        <w:ind w:right="-2"/>
        <w:rPr>
          <w:noProof/>
          <w:lang w:val="it-IT"/>
        </w:rPr>
      </w:pPr>
      <w:r>
        <w:rPr>
          <w:noProof/>
          <w:lang w:val="it-IT"/>
        </w:rPr>
        <w:t xml:space="preserve">La farmacocinetica di tocilizumab nei pazienti affetti da AIGp è stata caratterizzata attraverso un’analisi di farmacocinetica di popolazione che ha incluso </w:t>
      </w:r>
      <w:r>
        <w:rPr>
          <w:noProof/>
          <w:lang w:val="it-IT" w:eastAsia="de-DE"/>
        </w:rPr>
        <w:t>237 pazienti trattati con 8</w:t>
      </w:r>
      <w:del w:id="9308" w:author="Author">
        <w:r>
          <w:rPr>
            <w:noProof/>
            <w:lang w:val="it-IT" w:eastAsia="de-DE"/>
          </w:rPr>
          <w:delText xml:space="preserve"> </w:delText>
        </w:r>
      </w:del>
      <w:ins w:id="9309" w:author="Author">
        <w:r>
          <w:rPr>
            <w:noProof/>
            <w:lang w:val="it-IT" w:eastAsia="de-DE"/>
          </w:rPr>
          <w:t> </w:t>
        </w:r>
      </w:ins>
      <w:r>
        <w:rPr>
          <w:noProof/>
          <w:lang w:val="it-IT" w:eastAsia="de-DE"/>
        </w:rPr>
        <w:t xml:space="preserve">mg/kg </w:t>
      </w:r>
      <w:del w:id="9310" w:author="Author">
        <w:r>
          <w:rPr>
            <w:noProof/>
            <w:lang w:val="it-IT" w:eastAsia="de-DE"/>
          </w:rPr>
          <w:delText xml:space="preserve">formulazione </w:delText>
        </w:r>
      </w:del>
      <w:ins w:id="9311" w:author="Author">
        <w:r>
          <w:rPr>
            <w:noProof/>
            <w:lang w:val="it-IT" w:eastAsia="de-DE"/>
          </w:rPr>
          <w:t xml:space="preserve">per via </w:t>
        </w:r>
      </w:ins>
      <w:r>
        <w:rPr>
          <w:noProof/>
          <w:lang w:val="it-IT" w:eastAsia="de-DE"/>
        </w:rPr>
        <w:t>endovenosa ogni 4 settimane (pazienti di peso ≥ 30 kg), 10</w:t>
      </w:r>
      <w:del w:id="9312" w:author="Author">
        <w:r>
          <w:rPr>
            <w:noProof/>
            <w:lang w:val="it-IT" w:eastAsia="de-DE"/>
          </w:rPr>
          <w:delText xml:space="preserve"> </w:delText>
        </w:r>
      </w:del>
      <w:ins w:id="9313" w:author="Author">
        <w:r>
          <w:rPr>
            <w:noProof/>
            <w:lang w:val="it-IT" w:eastAsia="de-DE"/>
          </w:rPr>
          <w:t> </w:t>
        </w:r>
      </w:ins>
      <w:r>
        <w:rPr>
          <w:noProof/>
          <w:lang w:val="it-IT" w:eastAsia="de-DE"/>
        </w:rPr>
        <w:t xml:space="preserve">mg/kg </w:t>
      </w:r>
      <w:del w:id="9314" w:author="Author">
        <w:r>
          <w:rPr>
            <w:noProof/>
            <w:lang w:val="it-IT" w:eastAsia="de-DE"/>
          </w:rPr>
          <w:delText xml:space="preserve">formulazione </w:delText>
        </w:r>
      </w:del>
      <w:ins w:id="9315" w:author="Author">
        <w:r>
          <w:rPr>
            <w:noProof/>
            <w:lang w:val="it-IT" w:eastAsia="de-DE"/>
          </w:rPr>
          <w:t xml:space="preserve">per via </w:t>
        </w:r>
      </w:ins>
      <w:r>
        <w:rPr>
          <w:noProof/>
          <w:lang w:val="it-IT" w:eastAsia="de-DE"/>
        </w:rPr>
        <w:t xml:space="preserve">endovenosa ogni 4 settimane (pazienti di peso inferiore a 30 kg), 162 mg </w:t>
      </w:r>
      <w:del w:id="9316" w:author="Author">
        <w:r>
          <w:rPr>
            <w:noProof/>
            <w:lang w:val="it-IT" w:eastAsia="de-DE"/>
          </w:rPr>
          <w:delText xml:space="preserve">formulazione </w:delText>
        </w:r>
      </w:del>
      <w:ins w:id="9317" w:author="Author">
        <w:r>
          <w:rPr>
            <w:noProof/>
            <w:lang w:val="it-IT" w:eastAsia="de-DE"/>
          </w:rPr>
          <w:t xml:space="preserve">per via </w:t>
        </w:r>
      </w:ins>
      <w:r>
        <w:rPr>
          <w:noProof/>
          <w:lang w:val="it-IT" w:eastAsia="de-DE"/>
        </w:rPr>
        <w:t xml:space="preserve">sottocutanea ogni 2 settimane (pazienti di peso ≥ 30 kg) o 162 mg </w:t>
      </w:r>
      <w:del w:id="9318" w:author="Author">
        <w:r>
          <w:rPr>
            <w:noProof/>
            <w:lang w:val="it-IT" w:eastAsia="de-DE"/>
          </w:rPr>
          <w:delText xml:space="preserve">formulazione </w:delText>
        </w:r>
      </w:del>
      <w:ins w:id="9319" w:author="Author">
        <w:r>
          <w:rPr>
            <w:noProof/>
            <w:lang w:val="it-IT" w:eastAsia="de-DE"/>
          </w:rPr>
          <w:t xml:space="preserve">per via </w:t>
        </w:r>
      </w:ins>
      <w:r>
        <w:rPr>
          <w:noProof/>
          <w:lang w:val="it-IT" w:eastAsia="de-DE"/>
        </w:rPr>
        <w:t>sottocutanea ogni 3 settimane (pazienti di peso inferiore a 30 kg)</w:t>
      </w:r>
      <w:r>
        <w:rPr>
          <w:noProof/>
          <w:lang w:val="it-IT"/>
        </w:rPr>
        <w:t>.</w:t>
      </w:r>
    </w:p>
    <w:p>
      <w:pPr>
        <w:numPr>
          <w:ilvl w:val="12"/>
          <w:numId w:val="0"/>
        </w:numPr>
        <w:tabs>
          <w:tab w:val="left" w:pos="180"/>
        </w:tabs>
        <w:ind w:right="-2"/>
        <w:rPr>
          <w:noProof/>
          <w:lang w:val="it-IT"/>
        </w:rPr>
      </w:pPr>
    </w:p>
    <w:p>
      <w:pPr>
        <w:keepNext/>
        <w:keepLines/>
        <w:numPr>
          <w:ilvl w:val="12"/>
          <w:numId w:val="0"/>
        </w:numPr>
        <w:ind w:right="-2"/>
        <w:rPr>
          <w:bCs/>
          <w:i/>
          <w:noProof/>
          <w:szCs w:val="22"/>
          <w:lang w:val="it-IT"/>
        </w:rPr>
      </w:pPr>
      <w:r>
        <w:rPr>
          <w:bCs/>
          <w:i/>
          <w:noProof/>
          <w:szCs w:val="22"/>
          <w:lang w:val="it-IT"/>
        </w:rPr>
        <w:t xml:space="preserve">Tabella 9. Parametri previsti </w:t>
      </w:r>
      <w:del w:id="9320" w:author="Author">
        <w:r>
          <w:rPr>
            <w:bCs/>
            <w:i/>
            <w:noProof/>
            <w:szCs w:val="22"/>
            <w:lang w:val="it-IT"/>
          </w:rPr>
          <w:delText xml:space="preserve">di </w:delText>
        </w:r>
      </w:del>
      <w:r>
        <w:rPr>
          <w:bCs/>
          <w:i/>
          <w:noProof/>
          <w:szCs w:val="22"/>
          <w:lang w:val="it-IT"/>
        </w:rPr>
        <w:t xml:space="preserve">PK </w:t>
      </w:r>
      <w:del w:id="9321" w:author="Author">
        <w:r>
          <w:rPr>
            <w:bCs/>
            <w:i/>
            <w:noProof/>
            <w:szCs w:val="22"/>
            <w:lang w:val="it-IT"/>
          </w:rPr>
          <w:delText xml:space="preserve">allo stato stazionario relativi a </w:delText>
        </w:r>
      </w:del>
      <w:r>
        <w:rPr>
          <w:bCs/>
          <w:i/>
          <w:noProof/>
          <w:szCs w:val="22"/>
          <w:lang w:val="it-IT"/>
        </w:rPr>
        <w:t>medi</w:t>
      </w:r>
      <w:del w:id="9322" w:author="Author">
        <w:r>
          <w:rPr>
            <w:bCs/>
            <w:i/>
            <w:noProof/>
            <w:szCs w:val="22"/>
            <w:lang w:val="it-IT"/>
          </w:rPr>
          <w:delText xml:space="preserve">a </w:delText>
        </w:r>
      </w:del>
      <w:ins w:id="9323" w:author="Author">
        <w:r>
          <w:rPr>
            <w:bCs/>
            <w:i/>
            <w:noProof/>
            <w:szCs w:val="22"/>
            <w:lang w:val="it-IT"/>
          </w:rPr>
          <w:t> </w:t>
        </w:r>
      </w:ins>
      <w:r>
        <w:rPr>
          <w:bCs/>
          <w:i/>
          <w:noProof/>
          <w:szCs w:val="22"/>
          <w:lang w:val="it-IT"/>
        </w:rPr>
        <w:t>±</w:t>
      </w:r>
      <w:ins w:id="9324" w:author="Author">
        <w:r>
          <w:rPr>
            <w:bCs/>
            <w:i/>
            <w:noProof/>
            <w:szCs w:val="22"/>
            <w:lang w:val="it-IT"/>
          </w:rPr>
          <w:t> </w:t>
        </w:r>
      </w:ins>
      <w:del w:id="9325" w:author="Author">
        <w:r>
          <w:rPr>
            <w:bCs/>
            <w:i/>
            <w:noProof/>
            <w:szCs w:val="22"/>
            <w:lang w:val="it-IT"/>
          </w:rPr>
          <w:delText xml:space="preserve"> </w:delText>
        </w:r>
      </w:del>
      <w:r>
        <w:rPr>
          <w:bCs/>
          <w:i/>
          <w:noProof/>
          <w:szCs w:val="22"/>
          <w:lang w:val="it-IT"/>
        </w:rPr>
        <w:t xml:space="preserve">DS </w:t>
      </w:r>
      <w:ins w:id="9326" w:author="Author">
        <w:r>
          <w:rPr>
            <w:bCs/>
            <w:i/>
            <w:noProof/>
            <w:szCs w:val="22"/>
            <w:lang w:val="it-IT"/>
          </w:rPr>
          <w:t xml:space="preserve">predetti allo stato stazionario </w:t>
        </w:r>
      </w:ins>
      <w:r>
        <w:rPr>
          <w:bCs/>
          <w:i/>
          <w:noProof/>
          <w:szCs w:val="22"/>
          <w:lang w:val="it-IT"/>
        </w:rPr>
        <w:t>dopo somministrazione sottocutanea in soggetti affetti da AIGp</w:t>
      </w:r>
    </w:p>
    <w:p>
      <w:pPr>
        <w:keepNext/>
        <w:keepLines/>
        <w:numPr>
          <w:ilvl w:val="12"/>
          <w:numId w:val="0"/>
        </w:numPr>
        <w:ind w:right="-2"/>
        <w:rPr>
          <w:bCs/>
          <w:i/>
          <w:noProof/>
          <w:szCs w:val="22"/>
          <w:lang w:val="it-IT"/>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9327" w:author="Author">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055"/>
        <w:gridCol w:w="2921"/>
        <w:gridCol w:w="2921"/>
        <w:tblGridChange w:id="9328">
          <w:tblGrid>
            <w:gridCol w:w="2943"/>
            <w:gridCol w:w="2977"/>
            <w:gridCol w:w="2977"/>
          </w:tblGrid>
        </w:tblGridChange>
      </w:tblGrid>
      <w:tr>
        <w:trPr>
          <w:cantSplit/>
          <w:trPrChange w:id="9329" w:author="Author">
            <w:trPr>
              <w:cantSplit/>
              <w:trHeight w:val="452"/>
            </w:trPr>
          </w:trPrChange>
        </w:trPr>
        <w:tc>
          <w:tcPr>
            <w:tcW w:w="3055" w:type="dxa"/>
            <w:tcBorders>
              <w:top w:val="single" w:sz="4" w:space="0" w:color="auto"/>
              <w:left w:val="single" w:sz="4" w:space="0" w:color="auto"/>
              <w:bottom w:val="single" w:sz="4" w:space="0" w:color="auto"/>
              <w:right w:val="single" w:sz="4" w:space="0" w:color="auto"/>
            </w:tcBorders>
            <w:hideMark/>
            <w:tcPrChange w:id="9330" w:author="Author">
              <w:tcPr>
                <w:tcW w:w="2943"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9331" w:author="Author">
                <w:pPr>
                  <w:pStyle w:val="TextTi9"/>
                  <w:keepNext/>
                  <w:keepLines/>
                  <w:spacing w:after="120"/>
                </w:pPr>
              </w:pPrChange>
            </w:pPr>
            <w:r>
              <w:rPr>
                <w:rFonts w:ascii="Times New Roman" w:hAnsi="Times New Roman"/>
                <w:b/>
                <w:noProof/>
                <w:sz w:val="20"/>
                <w:szCs w:val="20"/>
                <w:lang w:val="it-IT"/>
              </w:rPr>
              <w:t>Parametro di PK di Tocilizumab</w:t>
            </w:r>
          </w:p>
        </w:tc>
        <w:tc>
          <w:tcPr>
            <w:tcW w:w="2921" w:type="dxa"/>
            <w:tcBorders>
              <w:top w:val="single" w:sz="4" w:space="0" w:color="auto"/>
              <w:left w:val="single" w:sz="4" w:space="0" w:color="auto"/>
              <w:bottom w:val="single" w:sz="4" w:space="0" w:color="auto"/>
              <w:right w:val="single" w:sz="4" w:space="0" w:color="auto"/>
            </w:tcBorders>
            <w:hideMark/>
            <w:tcPrChange w:id="9332"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b/>
                <w:noProof/>
                <w:sz w:val="20"/>
                <w:szCs w:val="20"/>
                <w:lang w:val="it-IT"/>
              </w:rPr>
              <w:pPrChange w:id="9333" w:author="Author">
                <w:pPr>
                  <w:pStyle w:val="TextTi9"/>
                  <w:keepNext/>
                  <w:keepLines/>
                  <w:spacing w:after="120"/>
                  <w:jc w:val="center"/>
                </w:pPr>
              </w:pPrChange>
            </w:pPr>
            <w:r>
              <w:rPr>
                <w:rFonts w:ascii="Times New Roman" w:hAnsi="Times New Roman"/>
                <w:b/>
                <w:noProof/>
                <w:sz w:val="20"/>
                <w:szCs w:val="20"/>
                <w:lang w:val="it-IT"/>
              </w:rPr>
              <w:t>162 mg Q2W ≥ 30</w:t>
            </w:r>
            <w:del w:id="9334" w:author="Author">
              <w:r>
                <w:rPr>
                  <w:rFonts w:ascii="Times New Roman" w:hAnsi="Times New Roman"/>
                  <w:b/>
                  <w:noProof/>
                  <w:sz w:val="20"/>
                  <w:szCs w:val="20"/>
                  <w:lang w:val="it-IT"/>
                </w:rPr>
                <w:delText xml:space="preserve"> </w:delText>
              </w:r>
            </w:del>
            <w:ins w:id="9335" w:author="Author">
              <w:r>
                <w:rPr>
                  <w:rFonts w:ascii="Times New Roman" w:hAnsi="Times New Roman"/>
                  <w:b/>
                  <w:noProof/>
                  <w:sz w:val="20"/>
                  <w:szCs w:val="20"/>
                  <w:lang w:val="it-IT"/>
                </w:rPr>
                <w:t> </w:t>
              </w:r>
            </w:ins>
            <w:r>
              <w:rPr>
                <w:rFonts w:ascii="Times New Roman" w:hAnsi="Times New Roman"/>
                <w:b/>
                <w:noProof/>
                <w:sz w:val="20"/>
                <w:szCs w:val="20"/>
                <w:lang w:val="it-IT"/>
              </w:rPr>
              <w:t>kg</w:t>
            </w:r>
          </w:p>
        </w:tc>
        <w:tc>
          <w:tcPr>
            <w:tcW w:w="2921" w:type="dxa"/>
            <w:tcBorders>
              <w:top w:val="single" w:sz="4" w:space="0" w:color="auto"/>
              <w:left w:val="single" w:sz="4" w:space="0" w:color="auto"/>
              <w:bottom w:val="single" w:sz="4" w:space="0" w:color="auto"/>
              <w:right w:val="single" w:sz="4" w:space="0" w:color="auto"/>
            </w:tcBorders>
            <w:hideMark/>
            <w:tcPrChange w:id="9336"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b/>
                <w:noProof/>
                <w:sz w:val="20"/>
                <w:szCs w:val="20"/>
                <w:lang w:val="it-IT"/>
              </w:rPr>
              <w:pPrChange w:id="9337" w:author="Author">
                <w:pPr>
                  <w:pStyle w:val="TextTi9"/>
                  <w:keepNext/>
                  <w:keepLines/>
                  <w:spacing w:after="120"/>
                  <w:jc w:val="center"/>
                </w:pPr>
              </w:pPrChange>
            </w:pPr>
            <w:r>
              <w:rPr>
                <w:rFonts w:ascii="Times New Roman" w:hAnsi="Times New Roman"/>
                <w:b/>
                <w:noProof/>
                <w:sz w:val="20"/>
                <w:szCs w:val="20"/>
                <w:lang w:val="it-IT"/>
              </w:rPr>
              <w:t>162 mg Q3W &lt; 30</w:t>
            </w:r>
            <w:del w:id="9338" w:author="Author">
              <w:r>
                <w:rPr>
                  <w:rFonts w:ascii="Times New Roman" w:hAnsi="Times New Roman"/>
                  <w:b/>
                  <w:noProof/>
                  <w:sz w:val="20"/>
                  <w:szCs w:val="20"/>
                  <w:lang w:val="it-IT"/>
                </w:rPr>
                <w:delText xml:space="preserve"> </w:delText>
              </w:r>
            </w:del>
            <w:ins w:id="9339" w:author="Author">
              <w:r>
                <w:rPr>
                  <w:rFonts w:ascii="Times New Roman" w:hAnsi="Times New Roman"/>
                  <w:b/>
                  <w:noProof/>
                  <w:sz w:val="20"/>
                  <w:szCs w:val="20"/>
                  <w:lang w:val="it-IT"/>
                </w:rPr>
                <w:t> </w:t>
              </w:r>
            </w:ins>
            <w:r>
              <w:rPr>
                <w:rFonts w:ascii="Times New Roman" w:hAnsi="Times New Roman"/>
                <w:b/>
                <w:noProof/>
                <w:sz w:val="20"/>
                <w:szCs w:val="20"/>
                <w:lang w:val="it-IT"/>
              </w:rPr>
              <w:t>kg</w:t>
            </w:r>
          </w:p>
        </w:tc>
      </w:tr>
      <w:tr>
        <w:trPr>
          <w:cantSplit/>
          <w:trPrChange w:id="9340" w:author="Author">
            <w:trPr>
              <w:cantSplit/>
              <w:trHeight w:val="195"/>
            </w:trPr>
          </w:trPrChange>
        </w:trPr>
        <w:tc>
          <w:tcPr>
            <w:tcW w:w="3055" w:type="dxa"/>
            <w:tcBorders>
              <w:top w:val="single" w:sz="4" w:space="0" w:color="auto"/>
              <w:left w:val="single" w:sz="4" w:space="0" w:color="auto"/>
              <w:bottom w:val="single" w:sz="4" w:space="0" w:color="auto"/>
              <w:right w:val="single" w:sz="4" w:space="0" w:color="auto"/>
            </w:tcBorders>
            <w:hideMark/>
            <w:tcPrChange w:id="9341" w:author="Author">
              <w:tcPr>
                <w:tcW w:w="2943"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9342" w:author="Author">
                <w:pPr>
                  <w:pStyle w:val="TextTi9"/>
                  <w:keepNext/>
                  <w:keepLines/>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max</w:t>
            </w:r>
            <w:r>
              <w:rPr>
                <w:rFonts w:ascii="Times New Roman" w:hAnsi="Times New Roman"/>
                <w:noProof/>
                <w:sz w:val="20"/>
                <w:szCs w:val="20"/>
                <w:lang w:val="it-IT"/>
              </w:rPr>
              <w:t xml:space="preserve"> (µg/mL)</w:t>
            </w:r>
          </w:p>
        </w:tc>
        <w:tc>
          <w:tcPr>
            <w:tcW w:w="2921" w:type="dxa"/>
            <w:tcBorders>
              <w:top w:val="single" w:sz="4" w:space="0" w:color="auto"/>
              <w:left w:val="single" w:sz="4" w:space="0" w:color="auto"/>
              <w:bottom w:val="single" w:sz="4" w:space="0" w:color="auto"/>
              <w:right w:val="single" w:sz="4" w:space="0" w:color="auto"/>
            </w:tcBorders>
            <w:hideMark/>
            <w:tcPrChange w:id="9343"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9344" w:author="Author">
                <w:pPr>
                  <w:pStyle w:val="TextTi9"/>
                  <w:keepNext/>
                  <w:keepLines/>
                  <w:spacing w:after="120"/>
                  <w:jc w:val="center"/>
                </w:pPr>
              </w:pPrChange>
            </w:pPr>
            <w:r>
              <w:rPr>
                <w:rFonts w:ascii="Times New Roman" w:hAnsi="Times New Roman"/>
                <w:noProof/>
                <w:sz w:val="20"/>
                <w:szCs w:val="20"/>
                <w:lang w:val="it-IT"/>
              </w:rPr>
              <w:t>29,4</w:t>
            </w:r>
            <w:del w:id="9345" w:author="Author">
              <w:r>
                <w:rPr>
                  <w:rFonts w:ascii="Times New Roman" w:hAnsi="Times New Roman"/>
                  <w:noProof/>
                  <w:sz w:val="20"/>
                  <w:szCs w:val="20"/>
                  <w:lang w:val="it-IT"/>
                </w:rPr>
                <w:delText xml:space="preserve"> </w:delText>
              </w:r>
            </w:del>
            <w:ins w:id="9346" w:author="Author">
              <w:r>
                <w:rPr>
                  <w:rFonts w:ascii="Times New Roman" w:hAnsi="Times New Roman"/>
                  <w:noProof/>
                  <w:sz w:val="20"/>
                  <w:szCs w:val="20"/>
                  <w:lang w:val="it-IT"/>
                </w:rPr>
                <w:t> </w:t>
              </w:r>
            </w:ins>
            <w:r>
              <w:rPr>
                <w:rFonts w:ascii="Times New Roman" w:hAnsi="Times New Roman"/>
                <w:noProof/>
                <w:sz w:val="20"/>
                <w:szCs w:val="20"/>
                <w:lang w:val="it-IT"/>
              </w:rPr>
              <w:t>±</w:t>
            </w:r>
            <w:ins w:id="9347" w:author="Author">
              <w:r>
                <w:rPr>
                  <w:rFonts w:ascii="Times New Roman" w:hAnsi="Times New Roman"/>
                  <w:noProof/>
                  <w:sz w:val="20"/>
                  <w:szCs w:val="20"/>
                  <w:lang w:val="it-IT"/>
                </w:rPr>
                <w:t> </w:t>
              </w:r>
            </w:ins>
            <w:del w:id="9348"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13,5</w:t>
            </w:r>
          </w:p>
        </w:tc>
        <w:tc>
          <w:tcPr>
            <w:tcW w:w="2921" w:type="dxa"/>
            <w:tcBorders>
              <w:top w:val="single" w:sz="4" w:space="0" w:color="auto"/>
              <w:left w:val="single" w:sz="4" w:space="0" w:color="auto"/>
              <w:bottom w:val="single" w:sz="4" w:space="0" w:color="auto"/>
              <w:right w:val="single" w:sz="4" w:space="0" w:color="auto"/>
            </w:tcBorders>
            <w:hideMark/>
            <w:tcPrChange w:id="9349"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9350" w:author="Author">
                <w:pPr>
                  <w:pStyle w:val="TextTi9"/>
                  <w:keepNext/>
                  <w:keepLines/>
                  <w:spacing w:after="120"/>
                  <w:jc w:val="center"/>
                </w:pPr>
              </w:pPrChange>
            </w:pPr>
            <w:r>
              <w:rPr>
                <w:rFonts w:ascii="Times New Roman" w:hAnsi="Times New Roman"/>
                <w:noProof/>
                <w:sz w:val="20"/>
                <w:szCs w:val="20"/>
                <w:lang w:val="it-IT"/>
              </w:rPr>
              <w:t>75,5</w:t>
            </w:r>
            <w:del w:id="9351" w:author="Author">
              <w:r>
                <w:rPr>
                  <w:rFonts w:ascii="Times New Roman" w:hAnsi="Times New Roman"/>
                  <w:noProof/>
                  <w:sz w:val="20"/>
                  <w:szCs w:val="20"/>
                  <w:lang w:val="it-IT"/>
                </w:rPr>
                <w:delText xml:space="preserve"> </w:delText>
              </w:r>
            </w:del>
            <w:ins w:id="9352" w:author="Author">
              <w:r>
                <w:rPr>
                  <w:rFonts w:ascii="Times New Roman" w:hAnsi="Times New Roman"/>
                  <w:noProof/>
                  <w:sz w:val="20"/>
                  <w:szCs w:val="20"/>
                  <w:lang w:val="it-IT"/>
                </w:rPr>
                <w:t> </w:t>
              </w:r>
            </w:ins>
            <w:r>
              <w:rPr>
                <w:rFonts w:ascii="Times New Roman" w:hAnsi="Times New Roman"/>
                <w:noProof/>
                <w:sz w:val="20"/>
                <w:szCs w:val="20"/>
                <w:lang w:val="it-IT"/>
              </w:rPr>
              <w:t>±</w:t>
            </w:r>
            <w:ins w:id="9353" w:author="Author">
              <w:r>
                <w:rPr>
                  <w:rFonts w:ascii="Times New Roman" w:hAnsi="Times New Roman"/>
                  <w:noProof/>
                  <w:sz w:val="20"/>
                  <w:szCs w:val="20"/>
                  <w:lang w:val="it-IT"/>
                </w:rPr>
                <w:t> </w:t>
              </w:r>
            </w:ins>
            <w:del w:id="9354"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24,1</w:t>
            </w:r>
          </w:p>
        </w:tc>
      </w:tr>
      <w:tr>
        <w:trPr>
          <w:cantSplit/>
          <w:trPrChange w:id="9355" w:author="Author">
            <w:trPr>
              <w:cantSplit/>
              <w:trHeight w:val="195"/>
            </w:trPr>
          </w:trPrChange>
        </w:trPr>
        <w:tc>
          <w:tcPr>
            <w:tcW w:w="3055" w:type="dxa"/>
            <w:tcBorders>
              <w:top w:val="single" w:sz="4" w:space="0" w:color="auto"/>
              <w:left w:val="single" w:sz="4" w:space="0" w:color="auto"/>
              <w:bottom w:val="single" w:sz="4" w:space="0" w:color="auto"/>
              <w:right w:val="single" w:sz="4" w:space="0" w:color="auto"/>
            </w:tcBorders>
            <w:hideMark/>
            <w:tcPrChange w:id="9356" w:author="Author">
              <w:tcPr>
                <w:tcW w:w="2943"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9357" w:author="Author">
                <w:pPr>
                  <w:pStyle w:val="TextTi9"/>
                  <w:keepNext/>
                  <w:keepLines/>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min</w:t>
            </w:r>
            <w:r>
              <w:rPr>
                <w:rFonts w:ascii="Times New Roman" w:hAnsi="Times New Roman"/>
                <w:noProof/>
                <w:sz w:val="20"/>
                <w:szCs w:val="20"/>
                <w:lang w:val="it-IT"/>
              </w:rPr>
              <w:t xml:space="preserve"> (µg/mL)</w:t>
            </w:r>
          </w:p>
        </w:tc>
        <w:tc>
          <w:tcPr>
            <w:tcW w:w="2921" w:type="dxa"/>
            <w:tcBorders>
              <w:top w:val="single" w:sz="4" w:space="0" w:color="auto"/>
              <w:left w:val="single" w:sz="4" w:space="0" w:color="auto"/>
              <w:bottom w:val="single" w:sz="4" w:space="0" w:color="auto"/>
              <w:right w:val="single" w:sz="4" w:space="0" w:color="auto"/>
            </w:tcBorders>
            <w:hideMark/>
            <w:tcPrChange w:id="9358"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9359" w:author="Author">
                <w:pPr>
                  <w:pStyle w:val="TextTi9"/>
                  <w:keepNext/>
                  <w:keepLines/>
                  <w:spacing w:after="120"/>
                  <w:jc w:val="center"/>
                </w:pPr>
              </w:pPrChange>
            </w:pPr>
            <w:r>
              <w:rPr>
                <w:rFonts w:ascii="Times New Roman" w:hAnsi="Times New Roman"/>
                <w:noProof/>
                <w:sz w:val="20"/>
                <w:szCs w:val="20"/>
                <w:lang w:val="it-IT"/>
              </w:rPr>
              <w:t>11,8</w:t>
            </w:r>
            <w:del w:id="9360" w:author="Author">
              <w:r>
                <w:rPr>
                  <w:rFonts w:ascii="Times New Roman" w:hAnsi="Times New Roman"/>
                  <w:noProof/>
                  <w:sz w:val="20"/>
                  <w:szCs w:val="20"/>
                  <w:lang w:val="it-IT"/>
                </w:rPr>
                <w:delText xml:space="preserve"> </w:delText>
              </w:r>
            </w:del>
            <w:ins w:id="9361" w:author="Author">
              <w:r>
                <w:rPr>
                  <w:rFonts w:ascii="Times New Roman" w:hAnsi="Times New Roman"/>
                  <w:noProof/>
                  <w:sz w:val="20"/>
                  <w:szCs w:val="20"/>
                  <w:lang w:val="it-IT"/>
                </w:rPr>
                <w:t> </w:t>
              </w:r>
            </w:ins>
            <w:r>
              <w:rPr>
                <w:rFonts w:ascii="Times New Roman" w:hAnsi="Times New Roman"/>
                <w:noProof/>
                <w:sz w:val="20"/>
                <w:szCs w:val="20"/>
                <w:lang w:val="it-IT"/>
              </w:rPr>
              <w:t>±</w:t>
            </w:r>
            <w:ins w:id="9362" w:author="Author">
              <w:r>
                <w:rPr>
                  <w:rFonts w:ascii="Times New Roman" w:hAnsi="Times New Roman"/>
                  <w:noProof/>
                  <w:sz w:val="20"/>
                  <w:szCs w:val="20"/>
                  <w:lang w:val="it-IT"/>
                </w:rPr>
                <w:t> </w:t>
              </w:r>
            </w:ins>
            <w:del w:id="9363"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7,08</w:t>
            </w:r>
          </w:p>
        </w:tc>
        <w:tc>
          <w:tcPr>
            <w:tcW w:w="2921" w:type="dxa"/>
            <w:tcBorders>
              <w:top w:val="single" w:sz="4" w:space="0" w:color="auto"/>
              <w:left w:val="single" w:sz="4" w:space="0" w:color="auto"/>
              <w:bottom w:val="single" w:sz="4" w:space="0" w:color="auto"/>
              <w:right w:val="single" w:sz="4" w:space="0" w:color="auto"/>
            </w:tcBorders>
            <w:hideMark/>
            <w:tcPrChange w:id="9364"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9365" w:author="Author">
                <w:pPr>
                  <w:pStyle w:val="TextTi9"/>
                  <w:keepNext/>
                  <w:keepLines/>
                  <w:spacing w:after="120"/>
                  <w:jc w:val="center"/>
                </w:pPr>
              </w:pPrChange>
            </w:pPr>
            <w:r>
              <w:rPr>
                <w:rFonts w:ascii="Times New Roman" w:hAnsi="Times New Roman"/>
                <w:noProof/>
                <w:sz w:val="20"/>
                <w:szCs w:val="20"/>
                <w:lang w:val="it-IT"/>
              </w:rPr>
              <w:t>18,4</w:t>
            </w:r>
            <w:del w:id="9366" w:author="Author">
              <w:r>
                <w:rPr>
                  <w:rFonts w:ascii="Times New Roman" w:hAnsi="Times New Roman"/>
                  <w:noProof/>
                  <w:sz w:val="20"/>
                  <w:szCs w:val="20"/>
                  <w:lang w:val="it-IT"/>
                </w:rPr>
                <w:delText xml:space="preserve"> </w:delText>
              </w:r>
            </w:del>
            <w:ins w:id="9367" w:author="Author">
              <w:r>
                <w:rPr>
                  <w:rFonts w:ascii="Times New Roman" w:hAnsi="Times New Roman"/>
                  <w:noProof/>
                  <w:sz w:val="20"/>
                  <w:szCs w:val="20"/>
                  <w:lang w:val="it-IT"/>
                </w:rPr>
                <w:t> </w:t>
              </w:r>
            </w:ins>
            <w:r>
              <w:rPr>
                <w:rFonts w:ascii="Times New Roman" w:hAnsi="Times New Roman"/>
                <w:noProof/>
                <w:sz w:val="20"/>
                <w:szCs w:val="20"/>
                <w:lang w:val="it-IT"/>
              </w:rPr>
              <w:t>±</w:t>
            </w:r>
            <w:ins w:id="9368" w:author="Author">
              <w:r>
                <w:rPr>
                  <w:rFonts w:ascii="Times New Roman" w:hAnsi="Times New Roman"/>
                  <w:noProof/>
                  <w:sz w:val="20"/>
                  <w:szCs w:val="20"/>
                  <w:lang w:val="it-IT"/>
                </w:rPr>
                <w:t> </w:t>
              </w:r>
            </w:ins>
            <w:del w:id="9369"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12,9</w:t>
            </w:r>
          </w:p>
        </w:tc>
      </w:tr>
      <w:tr>
        <w:trPr>
          <w:cantSplit/>
          <w:trPrChange w:id="9370" w:author="Author">
            <w:trPr>
              <w:cantSplit/>
              <w:trHeight w:val="324"/>
            </w:trPr>
          </w:trPrChange>
        </w:trPr>
        <w:tc>
          <w:tcPr>
            <w:tcW w:w="3055" w:type="dxa"/>
            <w:tcBorders>
              <w:top w:val="single" w:sz="4" w:space="0" w:color="auto"/>
              <w:left w:val="single" w:sz="4" w:space="0" w:color="auto"/>
              <w:bottom w:val="single" w:sz="4" w:space="0" w:color="auto"/>
              <w:right w:val="single" w:sz="4" w:space="0" w:color="auto"/>
            </w:tcBorders>
            <w:hideMark/>
            <w:tcPrChange w:id="9371" w:author="Author">
              <w:tcPr>
                <w:tcW w:w="2943"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9372" w:author="Author">
                <w:pPr>
                  <w:pStyle w:val="TextTi9"/>
                  <w:keepNext/>
                  <w:keepLines/>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avg</w:t>
            </w:r>
            <w:r>
              <w:rPr>
                <w:rFonts w:ascii="Times New Roman" w:hAnsi="Times New Roman"/>
                <w:noProof/>
                <w:sz w:val="20"/>
                <w:szCs w:val="20"/>
                <w:lang w:val="it-IT"/>
              </w:rPr>
              <w:t xml:space="preserve"> (µg/mL)</w:t>
            </w:r>
          </w:p>
        </w:tc>
        <w:tc>
          <w:tcPr>
            <w:tcW w:w="2921" w:type="dxa"/>
            <w:tcBorders>
              <w:top w:val="single" w:sz="4" w:space="0" w:color="auto"/>
              <w:left w:val="single" w:sz="4" w:space="0" w:color="auto"/>
              <w:bottom w:val="single" w:sz="4" w:space="0" w:color="auto"/>
              <w:right w:val="single" w:sz="4" w:space="0" w:color="auto"/>
            </w:tcBorders>
            <w:hideMark/>
            <w:tcPrChange w:id="9373"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9374" w:author="Author">
                <w:pPr>
                  <w:pStyle w:val="TextTi9"/>
                  <w:keepNext/>
                  <w:keepLines/>
                  <w:spacing w:after="120"/>
                  <w:jc w:val="center"/>
                </w:pPr>
              </w:pPrChange>
            </w:pPr>
            <w:r>
              <w:rPr>
                <w:rFonts w:ascii="Times New Roman" w:hAnsi="Times New Roman"/>
                <w:noProof/>
                <w:sz w:val="20"/>
                <w:szCs w:val="20"/>
                <w:lang w:val="it-IT"/>
              </w:rPr>
              <w:t>21,7</w:t>
            </w:r>
            <w:del w:id="9375" w:author="Author">
              <w:r>
                <w:rPr>
                  <w:rFonts w:ascii="Times New Roman" w:hAnsi="Times New Roman"/>
                  <w:noProof/>
                  <w:sz w:val="20"/>
                  <w:szCs w:val="20"/>
                  <w:lang w:val="it-IT"/>
                </w:rPr>
                <w:delText xml:space="preserve"> </w:delText>
              </w:r>
            </w:del>
            <w:ins w:id="9376" w:author="Author">
              <w:r>
                <w:rPr>
                  <w:rFonts w:ascii="Times New Roman" w:hAnsi="Times New Roman"/>
                  <w:noProof/>
                  <w:sz w:val="20"/>
                  <w:szCs w:val="20"/>
                  <w:lang w:val="it-IT"/>
                </w:rPr>
                <w:t> </w:t>
              </w:r>
            </w:ins>
            <w:r>
              <w:rPr>
                <w:rFonts w:ascii="Times New Roman" w:hAnsi="Times New Roman"/>
                <w:noProof/>
                <w:sz w:val="20"/>
                <w:szCs w:val="20"/>
                <w:lang w:val="it-IT"/>
              </w:rPr>
              <w:t>±</w:t>
            </w:r>
            <w:ins w:id="9377" w:author="Author">
              <w:r>
                <w:rPr>
                  <w:rFonts w:ascii="Times New Roman" w:hAnsi="Times New Roman"/>
                  <w:noProof/>
                  <w:sz w:val="20"/>
                  <w:szCs w:val="20"/>
                  <w:lang w:val="it-IT"/>
                </w:rPr>
                <w:t> </w:t>
              </w:r>
            </w:ins>
            <w:del w:id="9378"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10,4</w:t>
            </w:r>
          </w:p>
        </w:tc>
        <w:tc>
          <w:tcPr>
            <w:tcW w:w="2921" w:type="dxa"/>
            <w:tcBorders>
              <w:top w:val="single" w:sz="4" w:space="0" w:color="auto"/>
              <w:left w:val="single" w:sz="4" w:space="0" w:color="auto"/>
              <w:bottom w:val="single" w:sz="4" w:space="0" w:color="auto"/>
              <w:right w:val="single" w:sz="4" w:space="0" w:color="auto"/>
            </w:tcBorders>
            <w:hideMark/>
            <w:tcPrChange w:id="9379"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9380" w:author="Author">
                <w:pPr>
                  <w:pStyle w:val="TextTi9"/>
                  <w:keepNext/>
                  <w:keepLines/>
                  <w:spacing w:after="120"/>
                  <w:jc w:val="center"/>
                </w:pPr>
              </w:pPrChange>
            </w:pPr>
            <w:r>
              <w:rPr>
                <w:rFonts w:ascii="Times New Roman" w:hAnsi="Times New Roman"/>
                <w:noProof/>
                <w:sz w:val="20"/>
                <w:szCs w:val="20"/>
                <w:lang w:val="it-IT"/>
              </w:rPr>
              <w:t>45,5</w:t>
            </w:r>
            <w:del w:id="9381" w:author="Author">
              <w:r>
                <w:rPr>
                  <w:rFonts w:ascii="Times New Roman" w:hAnsi="Times New Roman"/>
                  <w:noProof/>
                  <w:sz w:val="20"/>
                  <w:szCs w:val="20"/>
                  <w:lang w:val="it-IT"/>
                </w:rPr>
                <w:delText xml:space="preserve"> </w:delText>
              </w:r>
            </w:del>
            <w:ins w:id="9382" w:author="Author">
              <w:r>
                <w:rPr>
                  <w:rFonts w:ascii="Times New Roman" w:hAnsi="Times New Roman"/>
                  <w:noProof/>
                  <w:sz w:val="20"/>
                  <w:szCs w:val="20"/>
                  <w:lang w:val="it-IT"/>
                </w:rPr>
                <w:t> </w:t>
              </w:r>
            </w:ins>
            <w:r>
              <w:rPr>
                <w:rFonts w:ascii="Times New Roman" w:hAnsi="Times New Roman"/>
                <w:noProof/>
                <w:sz w:val="20"/>
                <w:szCs w:val="20"/>
                <w:lang w:val="it-IT"/>
              </w:rPr>
              <w:t>±</w:t>
            </w:r>
            <w:ins w:id="9383" w:author="Author">
              <w:r>
                <w:rPr>
                  <w:rFonts w:ascii="Times New Roman" w:hAnsi="Times New Roman"/>
                  <w:noProof/>
                  <w:sz w:val="20"/>
                  <w:szCs w:val="20"/>
                  <w:lang w:val="it-IT"/>
                </w:rPr>
                <w:t> </w:t>
              </w:r>
            </w:ins>
            <w:del w:id="9384" w:author="Author">
              <w:r>
                <w:rPr>
                  <w:rFonts w:ascii="Times New Roman" w:hAnsi="Times New Roman"/>
                  <w:noProof/>
                  <w:sz w:val="20"/>
                  <w:szCs w:val="20"/>
                  <w:lang w:val="it-IT"/>
                </w:rPr>
                <w:delText xml:space="preserve"> </w:delText>
              </w:r>
            </w:del>
            <w:r>
              <w:rPr>
                <w:rFonts w:ascii="Times New Roman" w:hAnsi="Times New Roman"/>
                <w:noProof/>
                <w:sz w:val="20"/>
                <w:szCs w:val="20"/>
                <w:lang w:val="it-IT"/>
              </w:rPr>
              <w:t>19,8</w:t>
            </w:r>
          </w:p>
        </w:tc>
      </w:tr>
      <w:tr>
        <w:trPr>
          <w:cantSplit/>
          <w:trPrChange w:id="9385" w:author="Author">
            <w:trPr>
              <w:cantSplit/>
              <w:trHeight w:val="324"/>
            </w:trPr>
          </w:trPrChange>
        </w:trPr>
        <w:tc>
          <w:tcPr>
            <w:tcW w:w="3055" w:type="dxa"/>
            <w:tcBorders>
              <w:top w:val="single" w:sz="4" w:space="0" w:color="auto"/>
              <w:left w:val="single" w:sz="4" w:space="0" w:color="auto"/>
              <w:bottom w:val="single" w:sz="4" w:space="0" w:color="auto"/>
              <w:right w:val="single" w:sz="4" w:space="0" w:color="auto"/>
            </w:tcBorders>
            <w:hideMark/>
            <w:tcPrChange w:id="9386" w:author="Author">
              <w:tcPr>
                <w:tcW w:w="2943"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9387" w:author="Author">
                <w:pPr>
                  <w:pStyle w:val="TextTi9"/>
                  <w:keepNext/>
                  <w:keepLines/>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 xml:space="preserve">max </w:t>
            </w:r>
            <w:r>
              <w:rPr>
                <w:rFonts w:ascii="Times New Roman" w:hAnsi="Times New Roman"/>
                <w:noProof/>
                <w:sz w:val="20"/>
                <w:szCs w:val="20"/>
                <w:lang w:val="it-IT"/>
              </w:rPr>
              <w:t>d’accumulo</w:t>
            </w:r>
          </w:p>
        </w:tc>
        <w:tc>
          <w:tcPr>
            <w:tcW w:w="2921" w:type="dxa"/>
            <w:tcBorders>
              <w:top w:val="single" w:sz="4" w:space="0" w:color="auto"/>
              <w:left w:val="single" w:sz="4" w:space="0" w:color="auto"/>
              <w:bottom w:val="single" w:sz="4" w:space="0" w:color="auto"/>
              <w:right w:val="single" w:sz="4" w:space="0" w:color="auto"/>
            </w:tcBorders>
            <w:hideMark/>
            <w:tcPrChange w:id="9388"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9389" w:author="Author">
                <w:pPr>
                  <w:pStyle w:val="TextTi9"/>
                  <w:keepNext/>
                  <w:keepLines/>
                  <w:spacing w:after="120"/>
                  <w:jc w:val="center"/>
                </w:pPr>
              </w:pPrChange>
            </w:pPr>
            <w:r>
              <w:rPr>
                <w:rFonts w:ascii="Times New Roman" w:hAnsi="Times New Roman"/>
                <w:noProof/>
                <w:sz w:val="20"/>
                <w:szCs w:val="20"/>
                <w:lang w:val="it-IT"/>
              </w:rPr>
              <w:t>1,72</w:t>
            </w:r>
          </w:p>
        </w:tc>
        <w:tc>
          <w:tcPr>
            <w:tcW w:w="2921" w:type="dxa"/>
            <w:tcBorders>
              <w:top w:val="single" w:sz="4" w:space="0" w:color="auto"/>
              <w:left w:val="single" w:sz="4" w:space="0" w:color="auto"/>
              <w:bottom w:val="single" w:sz="4" w:space="0" w:color="auto"/>
              <w:right w:val="single" w:sz="4" w:space="0" w:color="auto"/>
            </w:tcBorders>
            <w:hideMark/>
            <w:tcPrChange w:id="9390"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9391" w:author="Author">
                <w:pPr>
                  <w:pStyle w:val="TextTi9"/>
                  <w:keepNext/>
                  <w:keepLines/>
                  <w:spacing w:after="120"/>
                  <w:jc w:val="center"/>
                </w:pPr>
              </w:pPrChange>
            </w:pPr>
            <w:r>
              <w:rPr>
                <w:rFonts w:ascii="Times New Roman" w:hAnsi="Times New Roman"/>
                <w:noProof/>
                <w:sz w:val="20"/>
                <w:szCs w:val="20"/>
                <w:lang w:val="it-IT"/>
              </w:rPr>
              <w:t>1,32</w:t>
            </w:r>
          </w:p>
        </w:tc>
      </w:tr>
      <w:tr>
        <w:trPr>
          <w:cantSplit/>
          <w:trPrChange w:id="9392" w:author="Author">
            <w:trPr>
              <w:cantSplit/>
              <w:trHeight w:val="331"/>
            </w:trPr>
          </w:trPrChange>
        </w:trPr>
        <w:tc>
          <w:tcPr>
            <w:tcW w:w="3055" w:type="dxa"/>
            <w:tcBorders>
              <w:top w:val="single" w:sz="4" w:space="0" w:color="auto"/>
              <w:left w:val="single" w:sz="4" w:space="0" w:color="auto"/>
              <w:bottom w:val="single" w:sz="4" w:space="0" w:color="auto"/>
              <w:right w:val="single" w:sz="4" w:space="0" w:color="auto"/>
            </w:tcBorders>
            <w:hideMark/>
            <w:tcPrChange w:id="9393" w:author="Author">
              <w:tcPr>
                <w:tcW w:w="2943"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9394" w:author="Author">
                <w:pPr>
                  <w:pStyle w:val="TextTi9"/>
                  <w:keepNext/>
                  <w:keepLines/>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 xml:space="preserve">min </w:t>
            </w:r>
            <w:r>
              <w:rPr>
                <w:rFonts w:ascii="Times New Roman" w:hAnsi="Times New Roman"/>
                <w:noProof/>
                <w:sz w:val="20"/>
                <w:szCs w:val="20"/>
                <w:lang w:val="it-IT"/>
              </w:rPr>
              <w:t>d’accumulo</w:t>
            </w:r>
          </w:p>
        </w:tc>
        <w:tc>
          <w:tcPr>
            <w:tcW w:w="2921" w:type="dxa"/>
            <w:tcBorders>
              <w:top w:val="single" w:sz="4" w:space="0" w:color="auto"/>
              <w:left w:val="single" w:sz="4" w:space="0" w:color="auto"/>
              <w:bottom w:val="single" w:sz="4" w:space="0" w:color="auto"/>
              <w:right w:val="single" w:sz="4" w:space="0" w:color="auto"/>
            </w:tcBorders>
            <w:hideMark/>
            <w:tcPrChange w:id="9395"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9396" w:author="Author">
                <w:pPr>
                  <w:pStyle w:val="TextTi9"/>
                  <w:keepNext/>
                  <w:keepLines/>
                  <w:spacing w:after="120"/>
                  <w:jc w:val="center"/>
                </w:pPr>
              </w:pPrChange>
            </w:pPr>
            <w:r>
              <w:rPr>
                <w:rFonts w:ascii="Times New Roman" w:hAnsi="Times New Roman"/>
                <w:noProof/>
                <w:sz w:val="20"/>
                <w:szCs w:val="20"/>
                <w:lang w:val="it-IT"/>
              </w:rPr>
              <w:t>3,58</w:t>
            </w:r>
          </w:p>
        </w:tc>
        <w:tc>
          <w:tcPr>
            <w:tcW w:w="2921" w:type="dxa"/>
            <w:tcBorders>
              <w:top w:val="single" w:sz="4" w:space="0" w:color="auto"/>
              <w:left w:val="single" w:sz="4" w:space="0" w:color="auto"/>
              <w:bottom w:val="single" w:sz="4" w:space="0" w:color="auto"/>
              <w:right w:val="single" w:sz="4" w:space="0" w:color="auto"/>
            </w:tcBorders>
            <w:hideMark/>
            <w:tcPrChange w:id="9397"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9398" w:author="Author">
                <w:pPr>
                  <w:pStyle w:val="TextTi9"/>
                  <w:keepNext/>
                  <w:keepLines/>
                  <w:spacing w:after="120"/>
                  <w:jc w:val="center"/>
                </w:pPr>
              </w:pPrChange>
            </w:pPr>
            <w:r>
              <w:rPr>
                <w:rFonts w:ascii="Times New Roman" w:hAnsi="Times New Roman"/>
                <w:noProof/>
                <w:sz w:val="20"/>
                <w:szCs w:val="20"/>
                <w:lang w:val="it-IT"/>
              </w:rPr>
              <w:t>2,08</w:t>
            </w:r>
          </w:p>
        </w:tc>
      </w:tr>
      <w:tr>
        <w:trPr>
          <w:cantSplit/>
          <w:trPrChange w:id="9399" w:author="Author">
            <w:trPr>
              <w:cantSplit/>
              <w:trHeight w:val="331"/>
            </w:trPr>
          </w:trPrChange>
        </w:trPr>
        <w:tc>
          <w:tcPr>
            <w:tcW w:w="3055" w:type="dxa"/>
            <w:tcBorders>
              <w:top w:val="single" w:sz="4" w:space="0" w:color="auto"/>
              <w:left w:val="single" w:sz="4" w:space="0" w:color="auto"/>
              <w:bottom w:val="single" w:sz="4" w:space="0" w:color="auto"/>
              <w:right w:val="single" w:sz="4" w:space="0" w:color="auto"/>
            </w:tcBorders>
            <w:hideMark/>
            <w:tcPrChange w:id="9400" w:author="Author">
              <w:tcPr>
                <w:tcW w:w="2943"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rPr>
                <w:rFonts w:ascii="Times New Roman" w:hAnsi="Times New Roman"/>
                <w:noProof/>
                <w:sz w:val="20"/>
                <w:szCs w:val="20"/>
                <w:lang w:val="it-IT"/>
              </w:rPr>
              <w:pPrChange w:id="9401" w:author="Author">
                <w:pPr>
                  <w:pStyle w:val="TextTi9"/>
                  <w:keepNext/>
                  <w:keepLines/>
                  <w:spacing w:after="120"/>
                </w:pPr>
              </w:pPrChange>
            </w:pPr>
            <w:r>
              <w:rPr>
                <w:rFonts w:ascii="Times New Roman" w:hAnsi="Times New Roman"/>
                <w:noProof/>
                <w:sz w:val="20"/>
                <w:szCs w:val="20"/>
                <w:lang w:val="it-IT"/>
              </w:rPr>
              <w:t>C</w:t>
            </w:r>
            <w:r>
              <w:rPr>
                <w:rFonts w:ascii="Times New Roman" w:hAnsi="Times New Roman"/>
                <w:noProof/>
                <w:sz w:val="20"/>
                <w:szCs w:val="20"/>
                <w:vertAlign w:val="subscript"/>
                <w:lang w:val="it-IT"/>
              </w:rPr>
              <w:t xml:space="preserve">mean </w:t>
            </w:r>
            <w:r>
              <w:rPr>
                <w:rFonts w:ascii="Times New Roman" w:hAnsi="Times New Roman"/>
                <w:noProof/>
                <w:sz w:val="20"/>
                <w:szCs w:val="20"/>
                <w:lang w:val="it-IT"/>
              </w:rPr>
              <w:t>d’accumulo o AUC</w:t>
            </w:r>
            <w:r>
              <w:rPr>
                <w:rFonts w:ascii="Times New Roman" w:hAnsi="Times New Roman"/>
                <w:noProof/>
                <w:sz w:val="20"/>
                <w:szCs w:val="20"/>
                <w:vertAlign w:val="subscript"/>
                <w:lang w:val="it-IT"/>
              </w:rPr>
              <w:t>τ</w:t>
            </w:r>
            <w:r>
              <w:rPr>
                <w:rFonts w:ascii="Times New Roman" w:hAnsi="Times New Roman"/>
                <w:noProof/>
                <w:sz w:val="20"/>
                <w:szCs w:val="20"/>
                <w:lang w:val="it-IT"/>
              </w:rPr>
              <w:t>*</w:t>
            </w:r>
          </w:p>
        </w:tc>
        <w:tc>
          <w:tcPr>
            <w:tcW w:w="2921" w:type="dxa"/>
            <w:tcBorders>
              <w:top w:val="single" w:sz="4" w:space="0" w:color="auto"/>
              <w:left w:val="single" w:sz="4" w:space="0" w:color="auto"/>
              <w:bottom w:val="single" w:sz="4" w:space="0" w:color="auto"/>
              <w:right w:val="single" w:sz="4" w:space="0" w:color="auto"/>
            </w:tcBorders>
            <w:hideMark/>
            <w:tcPrChange w:id="9402"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9403" w:author="Author">
                <w:pPr>
                  <w:pStyle w:val="TextTi9"/>
                  <w:keepNext/>
                  <w:keepLines/>
                  <w:spacing w:after="120"/>
                  <w:jc w:val="center"/>
                </w:pPr>
              </w:pPrChange>
            </w:pPr>
            <w:r>
              <w:rPr>
                <w:rFonts w:ascii="Times New Roman" w:hAnsi="Times New Roman"/>
                <w:noProof/>
                <w:sz w:val="20"/>
                <w:szCs w:val="20"/>
                <w:lang w:val="it-IT"/>
              </w:rPr>
              <w:t>2,04</w:t>
            </w:r>
          </w:p>
        </w:tc>
        <w:tc>
          <w:tcPr>
            <w:tcW w:w="2921" w:type="dxa"/>
            <w:tcBorders>
              <w:top w:val="single" w:sz="4" w:space="0" w:color="auto"/>
              <w:left w:val="single" w:sz="4" w:space="0" w:color="auto"/>
              <w:bottom w:val="single" w:sz="4" w:space="0" w:color="auto"/>
              <w:right w:val="single" w:sz="4" w:space="0" w:color="auto"/>
            </w:tcBorders>
            <w:hideMark/>
            <w:tcPrChange w:id="9404" w:author="Author">
              <w:tcPr>
                <w:tcW w:w="2977" w:type="dxa"/>
                <w:tcBorders>
                  <w:top w:val="single" w:sz="4" w:space="0" w:color="auto"/>
                  <w:left w:val="single" w:sz="4" w:space="0" w:color="auto"/>
                  <w:bottom w:val="single" w:sz="4" w:space="0" w:color="auto"/>
                  <w:right w:val="single" w:sz="4" w:space="0" w:color="auto"/>
                </w:tcBorders>
                <w:hideMark/>
              </w:tcPr>
            </w:tcPrChange>
          </w:tcPr>
          <w:p>
            <w:pPr>
              <w:pStyle w:val="TextTi9"/>
              <w:keepNext/>
              <w:suppressAutoHyphens/>
              <w:spacing w:after="0"/>
              <w:jc w:val="center"/>
              <w:rPr>
                <w:rFonts w:ascii="Times New Roman" w:hAnsi="Times New Roman"/>
                <w:noProof/>
                <w:sz w:val="20"/>
                <w:szCs w:val="20"/>
                <w:lang w:val="it-IT"/>
              </w:rPr>
              <w:pPrChange w:id="9405" w:author="Author">
                <w:pPr>
                  <w:pStyle w:val="TextTi9"/>
                  <w:keepNext/>
                  <w:keepLines/>
                  <w:spacing w:after="120"/>
                  <w:jc w:val="center"/>
                </w:pPr>
              </w:pPrChange>
            </w:pPr>
            <w:r>
              <w:rPr>
                <w:rFonts w:ascii="Times New Roman" w:hAnsi="Times New Roman"/>
                <w:noProof/>
                <w:sz w:val="20"/>
                <w:szCs w:val="20"/>
                <w:lang w:val="it-IT"/>
              </w:rPr>
              <w:t>1,46</w:t>
            </w:r>
          </w:p>
        </w:tc>
      </w:tr>
    </w:tbl>
    <w:p>
      <w:pPr>
        <w:jc w:val="both"/>
        <w:rPr>
          <w:noProof/>
          <w:sz w:val="18"/>
          <w:szCs w:val="18"/>
          <w:lang w:val="it-IT" w:eastAsia="de-DE"/>
          <w:rPrChange w:id="9406" w:author="Author">
            <w:rPr>
              <w:lang w:val="it-IT" w:eastAsia="de-DE"/>
            </w:rPr>
          </w:rPrChange>
        </w:rPr>
      </w:pPr>
      <w:r>
        <w:rPr>
          <w:noProof/>
          <w:sz w:val="18"/>
          <w:szCs w:val="18"/>
          <w:lang w:val="it-IT" w:eastAsia="en-US"/>
        </w:rPr>
        <w:t>*τ</w:t>
      </w:r>
      <w:del w:id="9407" w:author="Author">
        <w:r>
          <w:rPr>
            <w:noProof/>
            <w:sz w:val="18"/>
            <w:szCs w:val="18"/>
            <w:lang w:val="it-IT" w:eastAsia="en-US"/>
          </w:rPr>
          <w:delText xml:space="preserve"> </w:delText>
        </w:r>
      </w:del>
      <w:ins w:id="9408" w:author="Author">
        <w:r>
          <w:rPr>
            <w:noProof/>
            <w:sz w:val="18"/>
            <w:szCs w:val="18"/>
            <w:lang w:val="it-IT" w:eastAsia="en-US"/>
          </w:rPr>
          <w:t> </w:t>
        </w:r>
      </w:ins>
      <w:r>
        <w:rPr>
          <w:noProof/>
          <w:sz w:val="18"/>
          <w:szCs w:val="18"/>
          <w:lang w:val="it-IT" w:eastAsia="en-US"/>
        </w:rPr>
        <w:t>=</w:t>
      </w:r>
      <w:ins w:id="9409" w:author="Author">
        <w:r>
          <w:rPr>
            <w:noProof/>
            <w:sz w:val="18"/>
            <w:szCs w:val="18"/>
            <w:lang w:val="it-IT" w:eastAsia="en-US"/>
          </w:rPr>
          <w:t> </w:t>
        </w:r>
      </w:ins>
      <w:del w:id="9410" w:author="Author">
        <w:r>
          <w:rPr>
            <w:noProof/>
            <w:sz w:val="18"/>
            <w:szCs w:val="18"/>
            <w:lang w:val="it-IT" w:eastAsia="en-US"/>
          </w:rPr>
          <w:delText xml:space="preserve"> </w:delText>
        </w:r>
      </w:del>
      <w:r>
        <w:rPr>
          <w:noProof/>
          <w:sz w:val="18"/>
          <w:szCs w:val="18"/>
          <w:lang w:val="it-IT" w:eastAsia="en-US"/>
        </w:rPr>
        <w:t xml:space="preserve">2 o 3 settimane per i due regimi </w:t>
      </w:r>
      <w:r>
        <w:rPr>
          <w:noProof/>
          <w:sz w:val="18"/>
          <w:szCs w:val="18"/>
          <w:lang w:val="it-IT" w:eastAsia="de-DE"/>
          <w:rPrChange w:id="9411" w:author="Author">
            <w:rPr>
              <w:lang w:val="it-IT" w:eastAsia="de-DE"/>
            </w:rPr>
          </w:rPrChange>
        </w:rPr>
        <w:t>sottocutanea</w:t>
      </w:r>
    </w:p>
    <w:p>
      <w:pPr>
        <w:numPr>
          <w:ilvl w:val="12"/>
          <w:numId w:val="0"/>
        </w:numPr>
        <w:ind w:right="-2"/>
        <w:rPr>
          <w:noProof/>
          <w:szCs w:val="22"/>
          <w:lang w:val="it-IT"/>
        </w:rPr>
      </w:pPr>
    </w:p>
    <w:p>
      <w:pPr>
        <w:numPr>
          <w:ilvl w:val="12"/>
          <w:numId w:val="0"/>
        </w:numPr>
        <w:tabs>
          <w:tab w:val="left" w:pos="180"/>
        </w:tabs>
        <w:ind w:right="-2"/>
        <w:rPr>
          <w:noProof/>
          <w:lang w:val="it-IT"/>
        </w:rPr>
      </w:pPr>
      <w:r>
        <w:rPr>
          <w:iCs/>
          <w:noProof/>
          <w:szCs w:val="22"/>
          <w:lang w:val="it-IT"/>
        </w:rPr>
        <w:t xml:space="preserve">Dopo somministrazione endovenosa il 90% circa dello stato stazionario è stato raggiunto entro la settimana 12 con la dose da </w:t>
      </w:r>
      <w:r>
        <w:rPr>
          <w:noProof/>
          <w:szCs w:val="22"/>
          <w:lang w:val="it-IT"/>
        </w:rPr>
        <w:t>10 mg/kg (peso corporeo &lt;</w:t>
      </w:r>
      <w:ins w:id="9412" w:author="Author">
        <w:r>
          <w:rPr>
            <w:noProof/>
            <w:szCs w:val="22"/>
            <w:lang w:val="it-IT"/>
          </w:rPr>
          <w:t> </w:t>
        </w:r>
      </w:ins>
      <w:del w:id="9413" w:author="Author">
        <w:r>
          <w:rPr>
            <w:noProof/>
            <w:szCs w:val="22"/>
            <w:lang w:val="it-IT"/>
          </w:rPr>
          <w:delText xml:space="preserve"> </w:delText>
        </w:r>
      </w:del>
      <w:r>
        <w:rPr>
          <w:noProof/>
          <w:szCs w:val="22"/>
          <w:lang w:val="it-IT"/>
        </w:rPr>
        <w:t>30</w:t>
      </w:r>
      <w:ins w:id="9414" w:author="Author">
        <w:r>
          <w:rPr>
            <w:noProof/>
            <w:szCs w:val="22"/>
            <w:lang w:val="it-IT"/>
          </w:rPr>
          <w:t> </w:t>
        </w:r>
      </w:ins>
      <w:del w:id="9415" w:author="Author">
        <w:r>
          <w:rPr>
            <w:noProof/>
            <w:szCs w:val="22"/>
            <w:lang w:val="it-IT"/>
          </w:rPr>
          <w:delText xml:space="preserve"> </w:delText>
        </w:r>
      </w:del>
      <w:r>
        <w:rPr>
          <w:noProof/>
          <w:szCs w:val="22"/>
          <w:lang w:val="it-IT"/>
        </w:rPr>
        <w:t>kg) ed entro la settimana 16 con la dose da 8 mg/kg (peso corporeo ≥</w:t>
      </w:r>
      <w:ins w:id="9416" w:author="Author">
        <w:r>
          <w:rPr>
            <w:noProof/>
            <w:szCs w:val="22"/>
            <w:lang w:val="it-IT"/>
          </w:rPr>
          <w:t> </w:t>
        </w:r>
      </w:ins>
      <w:del w:id="9417" w:author="Author">
        <w:r>
          <w:rPr>
            <w:noProof/>
            <w:szCs w:val="22"/>
            <w:lang w:val="it-IT"/>
          </w:rPr>
          <w:delText xml:space="preserve"> </w:delText>
        </w:r>
      </w:del>
      <w:r>
        <w:rPr>
          <w:noProof/>
          <w:szCs w:val="22"/>
          <w:lang w:val="it-IT"/>
        </w:rPr>
        <w:t>30</w:t>
      </w:r>
      <w:ins w:id="9418" w:author="Author">
        <w:r>
          <w:rPr>
            <w:noProof/>
            <w:szCs w:val="22"/>
            <w:lang w:val="it-IT"/>
          </w:rPr>
          <w:t> </w:t>
        </w:r>
      </w:ins>
      <w:del w:id="9419" w:author="Author">
        <w:r>
          <w:rPr>
            <w:noProof/>
            <w:szCs w:val="22"/>
            <w:lang w:val="it-IT"/>
          </w:rPr>
          <w:delText xml:space="preserve"> </w:delText>
        </w:r>
      </w:del>
      <w:r>
        <w:rPr>
          <w:noProof/>
          <w:szCs w:val="22"/>
          <w:lang w:val="it-IT"/>
        </w:rPr>
        <w:t xml:space="preserve">kg). </w:t>
      </w:r>
      <w:r>
        <w:rPr>
          <w:iCs/>
          <w:noProof/>
          <w:szCs w:val="22"/>
          <w:lang w:val="it-IT"/>
        </w:rPr>
        <w:t xml:space="preserve">Dopo somministrazione sottocutanea, il 90% circa dello stato stazionario è stato raggiunto entro la settimana 12 con entrambi i regimi </w:t>
      </w:r>
      <w:r>
        <w:rPr>
          <w:noProof/>
          <w:szCs w:val="22"/>
          <w:lang w:val="it-IT"/>
        </w:rPr>
        <w:t>162 mg formulazione sottocutanea Q2W e Q3W</w:t>
      </w:r>
      <w:r>
        <w:rPr>
          <w:iCs/>
          <w:noProof/>
          <w:szCs w:val="22"/>
          <w:lang w:val="it-IT"/>
        </w:rPr>
        <w:t>.</w:t>
      </w:r>
    </w:p>
    <w:p>
      <w:pPr>
        <w:tabs>
          <w:tab w:val="left" w:pos="180"/>
        </w:tabs>
        <w:spacing w:line="0" w:lineRule="atLeast"/>
        <w:rPr>
          <w:noProof/>
          <w:szCs w:val="22"/>
          <w:lang w:val="it-IT"/>
        </w:rPr>
      </w:pPr>
    </w:p>
    <w:p>
      <w:pPr>
        <w:tabs>
          <w:tab w:val="left" w:pos="180"/>
        </w:tabs>
        <w:spacing w:line="0" w:lineRule="atLeast"/>
        <w:rPr>
          <w:i/>
          <w:noProof/>
          <w:szCs w:val="22"/>
          <w:u w:val="single"/>
          <w:lang w:val="it-IT"/>
          <w:rPrChange w:id="9420" w:author="Author">
            <w:rPr>
              <w:iCs/>
              <w:szCs w:val="22"/>
              <w:u w:val="single"/>
              <w:lang w:val="it-IT"/>
            </w:rPr>
          </w:rPrChange>
        </w:rPr>
      </w:pPr>
      <w:r>
        <w:rPr>
          <w:i/>
          <w:noProof/>
          <w:szCs w:val="22"/>
          <w:u w:val="single"/>
          <w:lang w:val="it-IT"/>
          <w:rPrChange w:id="9421" w:author="Author">
            <w:rPr>
              <w:iCs/>
              <w:szCs w:val="22"/>
              <w:u w:val="single"/>
              <w:lang w:val="it-IT"/>
            </w:rPr>
          </w:rPrChange>
        </w:rPr>
        <w:t>Assorbimento</w:t>
      </w:r>
    </w:p>
    <w:p>
      <w:pPr>
        <w:tabs>
          <w:tab w:val="left" w:pos="180"/>
        </w:tabs>
        <w:spacing w:line="0" w:lineRule="atLeast"/>
        <w:rPr>
          <w:iCs/>
          <w:noProof/>
          <w:szCs w:val="22"/>
          <w:lang w:val="it-IT"/>
        </w:rPr>
      </w:pPr>
      <w:r>
        <w:rPr>
          <w:iCs/>
          <w:noProof/>
          <w:szCs w:val="22"/>
          <w:lang w:val="it-IT"/>
        </w:rPr>
        <w:t>In seguito a somministrazione s.c. in pazienti affetti da AIGp, l’emivita di assorbimento si è attestata a 2 giorni circa, mentre la biodisponibilità della formulazione sottocutane</w:t>
      </w:r>
      <w:del w:id="9422" w:author="Author">
        <w:r>
          <w:rPr>
            <w:iCs/>
            <w:noProof/>
            <w:szCs w:val="22"/>
            <w:lang w:val="it-IT"/>
          </w:rPr>
          <w:delText>s</w:delText>
        </w:r>
      </w:del>
      <w:ins w:id="9423" w:author="Author">
        <w:r>
          <w:rPr>
            <w:iCs/>
            <w:noProof/>
            <w:szCs w:val="22"/>
            <w:lang w:val="it-IT"/>
          </w:rPr>
          <w:t>a</w:t>
        </w:r>
      </w:ins>
      <w:r>
        <w:rPr>
          <w:iCs/>
          <w:noProof/>
          <w:szCs w:val="22"/>
          <w:lang w:val="it-IT"/>
        </w:rPr>
        <w:t xml:space="preserve"> nei pazienti affetti da AIGp è stata del 96%.</w:t>
      </w:r>
    </w:p>
    <w:p>
      <w:pPr>
        <w:tabs>
          <w:tab w:val="left" w:pos="180"/>
        </w:tabs>
        <w:spacing w:line="0" w:lineRule="atLeast"/>
        <w:rPr>
          <w:iCs/>
          <w:noProof/>
          <w:szCs w:val="22"/>
          <w:lang w:val="it-IT"/>
        </w:rPr>
      </w:pPr>
    </w:p>
    <w:p>
      <w:pPr>
        <w:tabs>
          <w:tab w:val="left" w:pos="180"/>
        </w:tabs>
        <w:spacing w:line="0" w:lineRule="atLeast"/>
        <w:rPr>
          <w:i/>
          <w:noProof/>
          <w:szCs w:val="22"/>
          <w:u w:val="single"/>
          <w:lang w:val="it-IT"/>
          <w:rPrChange w:id="9424" w:author="Author">
            <w:rPr>
              <w:iCs/>
              <w:szCs w:val="22"/>
              <w:u w:val="single"/>
              <w:lang w:val="it-IT"/>
            </w:rPr>
          </w:rPrChange>
        </w:rPr>
      </w:pPr>
      <w:r>
        <w:rPr>
          <w:i/>
          <w:noProof/>
          <w:szCs w:val="22"/>
          <w:u w:val="single"/>
          <w:lang w:val="it-IT"/>
          <w:rPrChange w:id="9425" w:author="Author">
            <w:rPr>
              <w:iCs/>
              <w:szCs w:val="22"/>
              <w:u w:val="single"/>
              <w:lang w:val="it-IT"/>
            </w:rPr>
          </w:rPrChange>
        </w:rPr>
        <w:t>Distribuzione</w:t>
      </w:r>
    </w:p>
    <w:p>
      <w:pPr>
        <w:tabs>
          <w:tab w:val="left" w:pos="180"/>
        </w:tabs>
        <w:spacing w:line="0" w:lineRule="atLeast"/>
        <w:rPr>
          <w:iCs/>
          <w:noProof/>
          <w:szCs w:val="22"/>
          <w:lang w:val="it-IT"/>
        </w:rPr>
      </w:pPr>
      <w:r>
        <w:rPr>
          <w:iCs/>
          <w:noProof/>
          <w:szCs w:val="22"/>
          <w:lang w:val="it-IT"/>
        </w:rPr>
        <w:t xml:space="preserve">Nei pazienti pediatrici affetti da AIGp, il volume </w:t>
      </w:r>
      <w:del w:id="9426" w:author="Author">
        <w:r>
          <w:rPr>
            <w:iCs/>
            <w:noProof/>
            <w:szCs w:val="22"/>
            <w:lang w:val="it-IT"/>
          </w:rPr>
          <w:delText xml:space="preserve">centrale </w:delText>
        </w:r>
      </w:del>
      <w:r>
        <w:rPr>
          <w:iCs/>
          <w:noProof/>
          <w:szCs w:val="22"/>
          <w:lang w:val="it-IT"/>
        </w:rPr>
        <w:t xml:space="preserve">di distribuzione </w:t>
      </w:r>
      <w:ins w:id="9427" w:author="Author">
        <w:r>
          <w:rPr>
            <w:iCs/>
            <w:noProof/>
            <w:szCs w:val="22"/>
            <w:lang w:val="it-IT"/>
          </w:rPr>
          <w:t xml:space="preserve">centrale </w:t>
        </w:r>
      </w:ins>
      <w:r>
        <w:rPr>
          <w:iCs/>
          <w:noProof/>
          <w:szCs w:val="22"/>
          <w:lang w:val="it-IT"/>
        </w:rPr>
        <w:t>si è attestato a 1,97 L, mentre quello periferico a 2,03 L, per un volume di distribuzione allo stato stazionario pari a 4,0 L.</w:t>
      </w:r>
    </w:p>
    <w:p>
      <w:pPr>
        <w:tabs>
          <w:tab w:val="left" w:pos="180"/>
        </w:tabs>
        <w:spacing w:line="0" w:lineRule="atLeast"/>
        <w:rPr>
          <w:iCs/>
          <w:noProof/>
          <w:szCs w:val="22"/>
          <w:lang w:val="it-IT"/>
        </w:rPr>
      </w:pPr>
    </w:p>
    <w:p>
      <w:pPr>
        <w:tabs>
          <w:tab w:val="left" w:pos="180"/>
        </w:tabs>
        <w:spacing w:line="0" w:lineRule="atLeast"/>
        <w:rPr>
          <w:i/>
          <w:noProof/>
          <w:szCs w:val="22"/>
          <w:u w:val="single"/>
          <w:lang w:val="it-IT"/>
          <w:rPrChange w:id="9428" w:author="Author">
            <w:rPr>
              <w:iCs/>
              <w:szCs w:val="22"/>
              <w:u w:val="single"/>
              <w:lang w:val="it-IT"/>
            </w:rPr>
          </w:rPrChange>
        </w:rPr>
      </w:pPr>
      <w:r>
        <w:rPr>
          <w:i/>
          <w:noProof/>
          <w:szCs w:val="22"/>
          <w:u w:val="single"/>
          <w:lang w:val="it-IT"/>
          <w:rPrChange w:id="9429" w:author="Author">
            <w:rPr>
              <w:iCs/>
              <w:szCs w:val="22"/>
              <w:u w:val="single"/>
              <w:lang w:val="it-IT"/>
            </w:rPr>
          </w:rPrChange>
        </w:rPr>
        <w:t>Eliminazione</w:t>
      </w:r>
    </w:p>
    <w:p>
      <w:pPr>
        <w:tabs>
          <w:tab w:val="left" w:pos="180"/>
        </w:tabs>
        <w:spacing w:line="0" w:lineRule="atLeast"/>
        <w:rPr>
          <w:noProof/>
          <w:szCs w:val="22"/>
          <w:lang w:val="it-IT"/>
        </w:rPr>
      </w:pPr>
      <w:r>
        <w:rPr>
          <w:noProof/>
          <w:szCs w:val="22"/>
          <w:lang w:val="it-IT"/>
        </w:rPr>
        <w:t>L’analisi di farmacocinetica di popolazione sui pazienti affetti da AIGp ha evidenziato un impatto sulla clearance lineare correlato al peso corporeo, in ragione del quale occorre prendere in considerazione una posologia basata sul peso (vedere Tabella 9).</w:t>
      </w:r>
    </w:p>
    <w:p>
      <w:pPr>
        <w:tabs>
          <w:tab w:val="left" w:pos="180"/>
        </w:tabs>
        <w:spacing w:line="0" w:lineRule="atLeast"/>
        <w:rPr>
          <w:noProof/>
          <w:szCs w:val="22"/>
          <w:lang w:val="it-IT"/>
        </w:rPr>
        <w:pPrChange w:id="9430" w:author="Author">
          <w:pPr>
            <w:keepNext/>
            <w:keepLines/>
            <w:tabs>
              <w:tab w:val="left" w:pos="180"/>
            </w:tabs>
            <w:spacing w:line="0" w:lineRule="atLeast"/>
          </w:pPr>
        </w:pPrChange>
      </w:pPr>
    </w:p>
    <w:p>
      <w:pPr>
        <w:keepNext/>
        <w:tabs>
          <w:tab w:val="left" w:pos="180"/>
        </w:tabs>
        <w:spacing w:line="0" w:lineRule="atLeast"/>
        <w:rPr>
          <w:iCs/>
          <w:noProof/>
          <w:szCs w:val="22"/>
          <w:lang w:val="it-IT" w:eastAsia="en-US"/>
        </w:rPr>
        <w:pPrChange w:id="9431" w:author="Author">
          <w:pPr>
            <w:keepNext/>
            <w:keepLines/>
            <w:tabs>
              <w:tab w:val="left" w:pos="180"/>
            </w:tabs>
            <w:spacing w:line="0" w:lineRule="atLeast"/>
          </w:pPr>
        </w:pPrChange>
      </w:pPr>
      <w:r>
        <w:rPr>
          <w:noProof/>
          <w:szCs w:val="22"/>
          <w:lang w:val="it-IT"/>
        </w:rPr>
        <w:t>Dopo somministrazione sottocutanea, il t½ effettivo di tocilizumab nei pazienti affetti da AIGp si è attestato a un massimo di 10 giorni nei pazienti di peso &lt;</w:t>
      </w:r>
      <w:ins w:id="9432" w:author="Author">
        <w:r>
          <w:rPr>
            <w:noProof/>
            <w:szCs w:val="22"/>
            <w:lang w:val="it-IT"/>
          </w:rPr>
          <w:t> </w:t>
        </w:r>
      </w:ins>
      <w:del w:id="9433" w:author="Author">
        <w:r>
          <w:rPr>
            <w:noProof/>
            <w:szCs w:val="22"/>
            <w:lang w:val="it-IT"/>
          </w:rPr>
          <w:delText xml:space="preserve"> </w:delText>
        </w:r>
      </w:del>
      <w:r>
        <w:rPr>
          <w:noProof/>
          <w:szCs w:val="22"/>
          <w:lang w:val="it-IT"/>
        </w:rPr>
        <w:t>30</w:t>
      </w:r>
      <w:ins w:id="9434" w:author="Author">
        <w:r>
          <w:rPr>
            <w:noProof/>
            <w:szCs w:val="22"/>
            <w:lang w:val="it-IT"/>
          </w:rPr>
          <w:t> </w:t>
        </w:r>
      </w:ins>
      <w:del w:id="9435" w:author="Author">
        <w:r>
          <w:rPr>
            <w:noProof/>
            <w:szCs w:val="22"/>
            <w:lang w:val="it-IT"/>
          </w:rPr>
          <w:delText xml:space="preserve"> </w:delText>
        </w:r>
      </w:del>
      <w:r>
        <w:rPr>
          <w:noProof/>
          <w:szCs w:val="22"/>
          <w:lang w:val="it-IT"/>
        </w:rPr>
        <w:t>kg (162 mg sottocut</w:t>
      </w:r>
      <w:ins w:id="9436" w:author="Author">
        <w:r>
          <w:rPr>
            <w:noProof/>
            <w:szCs w:val="22"/>
            <w:lang w:val="it-IT"/>
          </w:rPr>
          <w:t>e</w:t>
        </w:r>
      </w:ins>
      <w:del w:id="9437" w:author="Author">
        <w:r>
          <w:rPr>
            <w:noProof/>
            <w:szCs w:val="22"/>
            <w:lang w:val="it-IT"/>
          </w:rPr>
          <w:delText>anea</w:delText>
        </w:r>
      </w:del>
      <w:r>
        <w:rPr>
          <w:noProof/>
          <w:szCs w:val="22"/>
          <w:lang w:val="it-IT"/>
        </w:rPr>
        <w:t xml:space="preserve"> Q3W) e di 7 giorni nei pazienti di peso </w:t>
      </w:r>
      <w:ins w:id="9438" w:author="Author">
        <w:r>
          <w:rPr>
            <w:rFonts w:ascii="Tahoma" w:hAnsi="Tahoma" w:cs="Tahoma"/>
            <w:noProof/>
            <w:szCs w:val="22"/>
            <w:lang w:val="it-IT"/>
          </w:rPr>
          <w:t>≥</w:t>
        </w:r>
        <w:r>
          <w:rPr>
            <w:noProof/>
            <w:szCs w:val="22"/>
            <w:lang w:val="it-IT"/>
          </w:rPr>
          <w:t xml:space="preserve"> </w:t>
        </w:r>
      </w:ins>
      <w:del w:id="9439" w:author="Author">
        <w:r>
          <w:rPr>
            <w:noProof/>
            <w:szCs w:val="22"/>
            <w:lang w:val="it-IT"/>
          </w:rPr>
          <w:delText>&gt;=</w:delText>
        </w:r>
      </w:del>
      <w:r>
        <w:rPr>
          <w:noProof/>
          <w:szCs w:val="22"/>
          <w:lang w:val="it-IT"/>
        </w:rPr>
        <w:t xml:space="preserve"> 30 kg (162 mg sottocut</w:t>
      </w:r>
      <w:ins w:id="9440" w:author="Author">
        <w:r>
          <w:rPr>
            <w:noProof/>
            <w:szCs w:val="22"/>
            <w:lang w:val="it-IT"/>
          </w:rPr>
          <w:t>e</w:t>
        </w:r>
      </w:ins>
      <w:del w:id="9441" w:author="Author">
        <w:r>
          <w:rPr>
            <w:noProof/>
            <w:szCs w:val="22"/>
            <w:lang w:val="it-IT"/>
          </w:rPr>
          <w:delText>anea</w:delText>
        </w:r>
      </w:del>
      <w:r>
        <w:rPr>
          <w:noProof/>
          <w:szCs w:val="22"/>
          <w:lang w:val="it-IT"/>
        </w:rPr>
        <w:t xml:space="preserve"> Q2W) durante un intervallo posologico allo stato stazionario. A seguito di somministrazione endovenosa, tocilizumab viene eliminato dalla circolazione con un andamento bifasico. La clearance totale di tocilizumab è risultata dipendente dalla concentrazione e costituita dalla somma della clearance lineare e della clearance non lineare. La clearance lineare è stata stimata come parametro nell’analisi di farmacocinetica di popolazione ed è </w:t>
      </w:r>
      <w:r>
        <w:rPr>
          <w:noProof/>
          <w:szCs w:val="22"/>
          <w:lang w:val="it-IT"/>
        </w:rPr>
        <w:lastRenderedPageBreak/>
        <w:t>risultata pari a 6,25 mL/h. La clearance non lineare dipendente dalla concentrazione riveste un ruolo di primo piano a basse concentrazioni di tocilizumab. Una volta che la via della clearance non lineare è satura, a concentrazioni più alte di tocilizumab, la clearance è determinata principalmente dalla clearance lineare.</w:t>
      </w:r>
    </w:p>
    <w:p>
      <w:pPr>
        <w:numPr>
          <w:ilvl w:val="12"/>
          <w:numId w:val="0"/>
        </w:numPr>
        <w:ind w:right="-2"/>
        <w:rPr>
          <w:iCs/>
          <w:noProof/>
          <w:szCs w:val="22"/>
          <w:lang w:val="it-IT"/>
        </w:rPr>
      </w:pPr>
    </w:p>
    <w:p>
      <w:pPr>
        <w:keepNext/>
        <w:numPr>
          <w:ilvl w:val="12"/>
          <w:numId w:val="0"/>
        </w:numPr>
        <w:ind w:right="-2"/>
        <w:rPr>
          <w:del w:id="9442" w:author="Author"/>
          <w:rFonts w:eastAsia="Calibri"/>
          <w:iCs/>
          <w:noProof/>
          <w:szCs w:val="22"/>
          <w:u w:val="single"/>
          <w:lang w:val="it-IT" w:eastAsia="en-US"/>
        </w:rPr>
        <w:pPrChange w:id="9443" w:author="Author">
          <w:pPr>
            <w:numPr>
              <w:ilvl w:val="12"/>
            </w:numPr>
            <w:ind w:right="-2"/>
          </w:pPr>
        </w:pPrChange>
      </w:pPr>
      <w:del w:id="9444" w:author="Author">
        <w:r>
          <w:rPr>
            <w:rFonts w:eastAsia="Calibri"/>
            <w:iCs/>
            <w:noProof/>
            <w:szCs w:val="22"/>
            <w:u w:val="single"/>
            <w:lang w:val="it-IT" w:eastAsia="en-US"/>
          </w:rPr>
          <w:delText>Pazienti affetti da ACG</w:delText>
        </w:r>
      </w:del>
    </w:p>
    <w:p>
      <w:pPr>
        <w:keepNext/>
        <w:numPr>
          <w:ilvl w:val="12"/>
          <w:numId w:val="0"/>
        </w:numPr>
        <w:ind w:right="-2"/>
        <w:rPr>
          <w:del w:id="9445" w:author="Author"/>
          <w:iCs/>
          <w:noProof/>
          <w:szCs w:val="22"/>
          <w:u w:val="single"/>
          <w:lang w:val="it-IT" w:eastAsia="en-US"/>
        </w:rPr>
        <w:pPrChange w:id="9446" w:author="Author">
          <w:pPr>
            <w:numPr>
              <w:ilvl w:val="12"/>
            </w:numPr>
            <w:ind w:right="-2"/>
          </w:pPr>
        </w:pPrChange>
      </w:pPr>
    </w:p>
    <w:p>
      <w:pPr>
        <w:keepNext/>
        <w:numPr>
          <w:ilvl w:val="12"/>
          <w:numId w:val="0"/>
        </w:numPr>
        <w:rPr>
          <w:ins w:id="9447" w:author="Author"/>
          <w:rFonts w:eastAsia="Calibri"/>
          <w:iCs/>
          <w:noProof/>
          <w:szCs w:val="22"/>
          <w:u w:val="single"/>
          <w:lang w:val="it-IT" w:eastAsia="en-US"/>
          <w:rPrChange w:id="9448" w:author="Author">
            <w:rPr>
              <w:ins w:id="9449" w:author="Author"/>
              <w:rFonts w:eastAsia="Calibri"/>
              <w:i/>
              <w:szCs w:val="22"/>
              <w:lang w:val="it-IT" w:eastAsia="en-US"/>
            </w:rPr>
          </w:rPrChange>
        </w:rPr>
        <w:pPrChange w:id="9450" w:author="Author">
          <w:pPr>
            <w:numPr>
              <w:ilvl w:val="12"/>
            </w:numPr>
            <w:ind w:right="-2"/>
          </w:pPr>
        </w:pPrChange>
      </w:pPr>
      <w:r>
        <w:rPr>
          <w:rFonts w:eastAsia="Calibri"/>
          <w:iCs/>
          <w:noProof/>
          <w:szCs w:val="22"/>
          <w:u w:val="single"/>
          <w:lang w:val="it-IT" w:eastAsia="en-US"/>
          <w:rPrChange w:id="9451" w:author="Author">
            <w:rPr>
              <w:rFonts w:eastAsia="Calibri"/>
              <w:i/>
              <w:szCs w:val="22"/>
              <w:lang w:val="it-IT" w:eastAsia="en-US"/>
            </w:rPr>
          </w:rPrChange>
        </w:rPr>
        <w:t>Uso sottocutaneo</w:t>
      </w:r>
    </w:p>
    <w:p>
      <w:pPr>
        <w:keepNext/>
        <w:numPr>
          <w:ilvl w:val="12"/>
          <w:numId w:val="0"/>
        </w:numPr>
        <w:rPr>
          <w:ins w:id="9452" w:author="Author"/>
          <w:rFonts w:eastAsia="Calibri"/>
          <w:i/>
          <w:noProof/>
          <w:szCs w:val="22"/>
          <w:lang w:val="it-IT" w:eastAsia="en-US"/>
        </w:rPr>
        <w:pPrChange w:id="9453" w:author="Author">
          <w:pPr>
            <w:numPr>
              <w:ilvl w:val="12"/>
            </w:numPr>
            <w:ind w:right="-2"/>
          </w:pPr>
        </w:pPrChange>
      </w:pPr>
      <w:ins w:id="9454" w:author="Author">
        <w:r>
          <w:rPr>
            <w:rFonts w:eastAsia="Calibri"/>
            <w:i/>
            <w:noProof/>
            <w:szCs w:val="22"/>
            <w:lang w:val="it-IT" w:eastAsia="en-US"/>
          </w:rPr>
          <w:t>Pazienti affetti da ACG</w:t>
        </w:r>
      </w:ins>
    </w:p>
    <w:p>
      <w:pPr>
        <w:keepNext/>
        <w:numPr>
          <w:ilvl w:val="12"/>
          <w:numId w:val="0"/>
        </w:numPr>
        <w:rPr>
          <w:i/>
          <w:noProof/>
          <w:szCs w:val="22"/>
          <w:lang w:val="it-IT" w:eastAsia="en-US"/>
        </w:rPr>
        <w:pPrChange w:id="9455" w:author="Author">
          <w:pPr>
            <w:numPr>
              <w:ilvl w:val="12"/>
            </w:numPr>
            <w:ind w:right="-2"/>
          </w:pPr>
        </w:pPrChange>
      </w:pPr>
    </w:p>
    <w:p>
      <w:pPr>
        <w:rPr>
          <w:rFonts w:eastAsia="Calibri"/>
          <w:noProof/>
          <w:szCs w:val="22"/>
          <w:lang w:val="it-IT" w:eastAsia="en-US"/>
        </w:rPr>
        <w:pPrChange w:id="9456" w:author="Author">
          <w:pPr>
            <w:spacing w:line="280" w:lineRule="atLeast"/>
          </w:pPr>
        </w:pPrChange>
      </w:pPr>
      <w:r>
        <w:rPr>
          <w:rFonts w:eastAsia="Calibri"/>
          <w:noProof/>
          <w:szCs w:val="22"/>
          <w:lang w:val="it-IT" w:eastAsia="en-US"/>
        </w:rPr>
        <w:t xml:space="preserve">La PK di tocilizumab in pazienti con ACG è stata determinata utilizzando un modello </w:t>
      </w:r>
      <w:del w:id="9457" w:author="Author">
        <w:r>
          <w:rPr>
            <w:rFonts w:eastAsia="Calibri"/>
            <w:noProof/>
            <w:szCs w:val="22"/>
            <w:lang w:val="it-IT" w:eastAsia="en-US"/>
          </w:rPr>
          <w:delText>di PK</w:delText>
        </w:r>
      </w:del>
      <w:ins w:id="9458" w:author="Author">
        <w:r>
          <w:rPr>
            <w:rFonts w:eastAsia="Calibri"/>
            <w:noProof/>
            <w:szCs w:val="22"/>
            <w:lang w:val="it-IT" w:eastAsia="en-US"/>
          </w:rPr>
          <w:t>farmacocinetico</w:t>
        </w:r>
      </w:ins>
      <w:r>
        <w:rPr>
          <w:rFonts w:eastAsia="Calibri"/>
          <w:noProof/>
          <w:szCs w:val="22"/>
          <w:lang w:val="it-IT" w:eastAsia="en-US"/>
        </w:rPr>
        <w:t xml:space="preserve"> di popolazione </w:t>
      </w:r>
      <w:ins w:id="9459" w:author="Author">
        <w:r>
          <w:rPr>
            <w:rFonts w:eastAsia="Calibri"/>
            <w:noProof/>
            <w:szCs w:val="22"/>
            <w:lang w:val="it-IT" w:eastAsia="en-US"/>
          </w:rPr>
          <w:t>che includeva i dati di</w:t>
        </w:r>
      </w:ins>
      <w:del w:id="9460" w:author="Author">
        <w:r>
          <w:rPr>
            <w:rFonts w:eastAsia="Calibri"/>
            <w:noProof/>
            <w:szCs w:val="22"/>
            <w:lang w:val="it-IT" w:eastAsia="en-US"/>
          </w:rPr>
          <w:delText xml:space="preserve">da un set di dati composto da </w:delText>
        </w:r>
      </w:del>
      <w:r>
        <w:rPr>
          <w:rFonts w:eastAsia="Calibri"/>
          <w:noProof/>
          <w:szCs w:val="22"/>
          <w:lang w:val="it-IT" w:eastAsia="en-US"/>
        </w:rPr>
        <w:t xml:space="preserve">149 pazienti con ACG trattati con 162 mg per via sottocutanea </w:t>
      </w:r>
      <w:del w:id="9461" w:author="Author">
        <w:r>
          <w:rPr>
            <w:rFonts w:eastAsia="Calibri"/>
            <w:noProof/>
            <w:szCs w:val="22"/>
            <w:lang w:val="it-IT" w:eastAsia="en-US"/>
          </w:rPr>
          <w:delText xml:space="preserve">ogni </w:delText>
        </w:r>
      </w:del>
      <w:ins w:id="9462" w:author="Author">
        <w:r>
          <w:rPr>
            <w:rFonts w:eastAsia="Calibri"/>
            <w:noProof/>
            <w:szCs w:val="22"/>
            <w:lang w:val="it-IT" w:eastAsia="en-US"/>
          </w:rPr>
          <w:t xml:space="preserve">una volta a </w:t>
        </w:r>
      </w:ins>
      <w:r>
        <w:rPr>
          <w:rFonts w:eastAsia="Calibri"/>
          <w:noProof/>
          <w:szCs w:val="22"/>
          <w:lang w:val="it-IT" w:eastAsia="en-US"/>
        </w:rPr>
        <w:t xml:space="preserve">settimana o 162 mg per via sottocutanea </w:t>
      </w:r>
      <w:ins w:id="9463" w:author="Author">
        <w:r>
          <w:rPr>
            <w:rFonts w:eastAsia="Calibri"/>
            <w:noProof/>
            <w:szCs w:val="22"/>
            <w:lang w:val="it-IT" w:eastAsia="en-US"/>
          </w:rPr>
          <w:t>ogni due</w:t>
        </w:r>
      </w:ins>
      <w:del w:id="9464" w:author="Author">
        <w:r>
          <w:rPr>
            <w:rFonts w:eastAsia="Calibri"/>
            <w:noProof/>
            <w:szCs w:val="22"/>
            <w:lang w:val="it-IT" w:eastAsia="en-US"/>
          </w:rPr>
          <w:delText>a</w:delText>
        </w:r>
      </w:del>
      <w:r>
        <w:rPr>
          <w:rFonts w:eastAsia="Calibri"/>
          <w:noProof/>
          <w:szCs w:val="22"/>
          <w:lang w:val="it-IT" w:eastAsia="en-US"/>
        </w:rPr>
        <w:t xml:space="preserve"> settimane</w:t>
      </w:r>
      <w:del w:id="9465" w:author="Author">
        <w:r>
          <w:rPr>
            <w:rFonts w:eastAsia="Calibri"/>
            <w:noProof/>
            <w:szCs w:val="22"/>
            <w:lang w:val="it-IT" w:eastAsia="en-US"/>
          </w:rPr>
          <w:delText xml:space="preserve"> alterne</w:delText>
        </w:r>
      </w:del>
      <w:r>
        <w:rPr>
          <w:rFonts w:eastAsia="Calibri"/>
          <w:noProof/>
          <w:szCs w:val="22"/>
          <w:lang w:val="it-IT" w:eastAsia="en-US"/>
        </w:rPr>
        <w:t xml:space="preserve">. Il modello sviluppato aveva la stessa struttura del modello </w:t>
      </w:r>
      <w:del w:id="9466" w:author="Author">
        <w:r>
          <w:rPr>
            <w:rFonts w:eastAsia="Calibri"/>
            <w:noProof/>
            <w:szCs w:val="22"/>
            <w:lang w:val="it-IT" w:eastAsia="en-US"/>
          </w:rPr>
          <w:delText xml:space="preserve">di </w:delText>
        </w:r>
      </w:del>
      <w:r>
        <w:rPr>
          <w:rFonts w:eastAsia="Calibri"/>
          <w:noProof/>
          <w:szCs w:val="22"/>
          <w:lang w:val="it-IT" w:eastAsia="en-US"/>
        </w:rPr>
        <w:t>PK di popolazione sviluppato in precedenza sulla base dei dati raccolti su pazienti con AR (vedere Tabella 10).</w:t>
      </w:r>
    </w:p>
    <w:p>
      <w:pPr>
        <w:rPr>
          <w:i/>
          <w:noProof/>
          <w:szCs w:val="22"/>
          <w:lang w:val="it-IT" w:eastAsia="en-US"/>
        </w:rPr>
        <w:pPrChange w:id="9467" w:author="Author">
          <w:pPr>
            <w:spacing w:line="280" w:lineRule="atLeast"/>
          </w:pPr>
        </w:pPrChange>
      </w:pPr>
    </w:p>
    <w:p>
      <w:pPr>
        <w:keepNext/>
        <w:keepLines/>
        <w:rPr>
          <w:rFonts w:eastAsia="Calibri"/>
          <w:i/>
          <w:noProof/>
          <w:szCs w:val="22"/>
          <w:lang w:val="it-IT" w:eastAsia="en-US"/>
        </w:rPr>
        <w:pPrChange w:id="9468" w:author="Author">
          <w:pPr>
            <w:keepNext/>
            <w:keepLines/>
            <w:spacing w:line="280" w:lineRule="atLeast"/>
            <w:jc w:val="both"/>
          </w:pPr>
        </w:pPrChange>
      </w:pPr>
      <w:r>
        <w:rPr>
          <w:rFonts w:eastAsia="Calibri"/>
          <w:i/>
          <w:noProof/>
          <w:szCs w:val="22"/>
          <w:lang w:val="it-IT" w:eastAsia="en-US"/>
        </w:rPr>
        <w:t xml:space="preserve">Tabella 10. Parametri </w:t>
      </w:r>
      <w:del w:id="9469" w:author="Author">
        <w:r>
          <w:rPr>
            <w:rFonts w:eastAsia="Calibri"/>
            <w:i/>
            <w:noProof/>
            <w:szCs w:val="22"/>
            <w:lang w:val="it-IT" w:eastAsia="en-US"/>
          </w:rPr>
          <w:delText xml:space="preserve">previsti di </w:delText>
        </w:r>
      </w:del>
      <w:r>
        <w:rPr>
          <w:rFonts w:eastAsia="Calibri"/>
          <w:i/>
          <w:noProof/>
          <w:szCs w:val="22"/>
          <w:lang w:val="it-IT" w:eastAsia="en-US"/>
        </w:rPr>
        <w:t xml:space="preserve">PK </w:t>
      </w:r>
      <w:del w:id="9470" w:author="Author">
        <w:r>
          <w:rPr>
            <w:rFonts w:eastAsia="Calibri"/>
            <w:i/>
            <w:noProof/>
            <w:szCs w:val="22"/>
            <w:lang w:val="it-IT" w:eastAsia="en-US"/>
          </w:rPr>
          <w:delText xml:space="preserve">allo stato stazionario relativi a </w:delText>
        </w:r>
      </w:del>
      <w:r>
        <w:rPr>
          <w:rFonts w:eastAsia="Calibri"/>
          <w:i/>
          <w:noProof/>
          <w:szCs w:val="22"/>
          <w:lang w:val="it-IT" w:eastAsia="en-US"/>
        </w:rPr>
        <w:t>med</w:t>
      </w:r>
      <w:ins w:id="9471" w:author="Author">
        <w:r>
          <w:rPr>
            <w:rFonts w:eastAsia="Calibri"/>
            <w:i/>
            <w:noProof/>
            <w:szCs w:val="22"/>
            <w:lang w:val="it-IT" w:eastAsia="en-US"/>
          </w:rPr>
          <w:t>i</w:t>
        </w:r>
      </w:ins>
      <w:del w:id="9472" w:author="Author">
        <w:r>
          <w:rPr>
            <w:rFonts w:eastAsia="Calibri"/>
            <w:i/>
            <w:noProof/>
            <w:szCs w:val="22"/>
            <w:lang w:val="it-IT" w:eastAsia="en-US"/>
          </w:rPr>
          <w:delText xml:space="preserve">ia </w:delText>
        </w:r>
      </w:del>
      <w:ins w:id="9473" w:author="Author">
        <w:r>
          <w:rPr>
            <w:rFonts w:eastAsia="Calibri"/>
            <w:i/>
            <w:noProof/>
            <w:szCs w:val="22"/>
            <w:lang w:val="it-IT" w:eastAsia="en-US"/>
          </w:rPr>
          <w:t> </w:t>
        </w:r>
      </w:ins>
      <w:r>
        <w:rPr>
          <w:rFonts w:eastAsia="Calibri"/>
          <w:i/>
          <w:noProof/>
          <w:szCs w:val="22"/>
          <w:lang w:val="it-IT" w:eastAsia="en-US"/>
        </w:rPr>
        <w:t>±</w:t>
      </w:r>
      <w:ins w:id="9474" w:author="Author">
        <w:r>
          <w:rPr>
            <w:rFonts w:eastAsia="Calibri"/>
            <w:i/>
            <w:noProof/>
            <w:szCs w:val="22"/>
            <w:lang w:val="it-IT" w:eastAsia="en-US"/>
          </w:rPr>
          <w:t> </w:t>
        </w:r>
      </w:ins>
      <w:del w:id="9475" w:author="Author">
        <w:r>
          <w:rPr>
            <w:rFonts w:eastAsia="Calibri"/>
            <w:i/>
            <w:noProof/>
            <w:szCs w:val="22"/>
            <w:lang w:val="it-IT" w:eastAsia="en-US"/>
          </w:rPr>
          <w:delText xml:space="preserve"> </w:delText>
        </w:r>
      </w:del>
      <w:r>
        <w:rPr>
          <w:rFonts w:eastAsia="Calibri"/>
          <w:i/>
          <w:noProof/>
          <w:szCs w:val="22"/>
          <w:lang w:val="it-IT" w:eastAsia="en-US"/>
        </w:rPr>
        <w:t xml:space="preserve">DS </w:t>
      </w:r>
      <w:del w:id="9476" w:author="Author">
        <w:r>
          <w:rPr>
            <w:rFonts w:eastAsia="Calibri"/>
            <w:i/>
            <w:noProof/>
            <w:szCs w:val="22"/>
            <w:lang w:val="it-IT" w:eastAsia="en-US"/>
          </w:rPr>
          <w:delText xml:space="preserve">dopo </w:delText>
        </w:r>
      </w:del>
      <w:ins w:id="9477" w:author="Author">
        <w:r>
          <w:rPr>
            <w:rFonts w:eastAsia="Calibri"/>
            <w:i/>
            <w:noProof/>
            <w:szCs w:val="22"/>
            <w:lang w:val="it-IT" w:eastAsia="en-US"/>
          </w:rPr>
          <w:t xml:space="preserve">predetti allo stato stazionario dopo </w:t>
        </w:r>
      </w:ins>
      <w:r>
        <w:rPr>
          <w:rFonts w:eastAsia="Calibri"/>
          <w:i/>
          <w:noProof/>
          <w:szCs w:val="22"/>
          <w:lang w:val="it-IT" w:eastAsia="en-US"/>
        </w:rPr>
        <w:t>somministrazione sottocutanea in pazienti con ACG</w:t>
      </w:r>
    </w:p>
    <w:p>
      <w:pPr>
        <w:keepNext/>
        <w:keepLines/>
        <w:rPr>
          <w:i/>
          <w:noProof/>
          <w:color w:val="000000"/>
          <w:szCs w:val="22"/>
          <w:lang w:val="it-IT" w:eastAsia="en-US"/>
        </w:rPr>
        <w:pPrChange w:id="9478" w:author="Author">
          <w:pPr>
            <w:keepNext/>
            <w:keepLines/>
            <w:spacing w:line="280" w:lineRule="atLeast"/>
            <w:jc w:val="both"/>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9479" w:author="Author">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693"/>
        <w:gridCol w:w="2684"/>
        <w:gridCol w:w="2684"/>
        <w:tblGridChange w:id="9480">
          <w:tblGrid>
            <w:gridCol w:w="4735"/>
            <w:gridCol w:w="1483"/>
            <w:gridCol w:w="2601"/>
          </w:tblGrid>
        </w:tblGridChange>
      </w:tblGrid>
      <w:tr>
        <w:trPr>
          <w:cantSplit/>
          <w:trPrChange w:id="9481" w:author="Author">
            <w:trPr>
              <w:cantSplit/>
              <w:trHeight w:val="128"/>
              <w:jc w:val="center"/>
            </w:trPr>
          </w:trPrChange>
        </w:trPr>
        <w:tc>
          <w:tcPr>
            <w:tcW w:w="3595" w:type="dxa"/>
            <w:tcBorders>
              <w:top w:val="single" w:sz="4" w:space="0" w:color="auto"/>
              <w:left w:val="single" w:sz="4" w:space="0" w:color="auto"/>
              <w:bottom w:val="single" w:sz="4" w:space="0" w:color="auto"/>
              <w:right w:val="single" w:sz="4" w:space="0" w:color="auto"/>
            </w:tcBorders>
            <w:tcPrChange w:id="9482" w:author="Author">
              <w:tcPr>
                <w:tcW w:w="4735" w:type="dxa"/>
                <w:tcBorders>
                  <w:top w:val="single" w:sz="4" w:space="0" w:color="auto"/>
                  <w:left w:val="single" w:sz="4" w:space="0" w:color="auto"/>
                  <w:bottom w:val="single" w:sz="4" w:space="0" w:color="auto"/>
                  <w:right w:val="single" w:sz="4" w:space="0" w:color="auto"/>
                </w:tcBorders>
              </w:tcPr>
            </w:tcPrChange>
          </w:tcPr>
          <w:p>
            <w:pPr>
              <w:keepNext/>
              <w:suppressAutoHyphens/>
              <w:rPr>
                <w:rFonts w:eastAsia="MS Mincho"/>
                <w:b/>
                <w:noProof/>
                <w:sz w:val="20"/>
                <w:lang w:val="it-IT"/>
              </w:rPr>
              <w:pPrChange w:id="9483" w:author="Author">
                <w:pPr>
                  <w:keepNext/>
                  <w:keepLines/>
                  <w:spacing w:before="113" w:after="57" w:line="280" w:lineRule="atLeast"/>
                  <w:ind w:left="1701" w:hanging="1701"/>
                  <w:outlineLvl w:val="6"/>
                </w:pPr>
              </w:pPrChange>
            </w:pPr>
          </w:p>
        </w:tc>
        <w:tc>
          <w:tcPr>
            <w:tcW w:w="5224" w:type="dxa"/>
            <w:gridSpan w:val="2"/>
            <w:tcBorders>
              <w:top w:val="single" w:sz="4" w:space="0" w:color="auto"/>
              <w:left w:val="single" w:sz="4" w:space="0" w:color="auto"/>
              <w:bottom w:val="single" w:sz="4" w:space="0" w:color="auto"/>
              <w:right w:val="single" w:sz="4" w:space="0" w:color="auto"/>
            </w:tcBorders>
            <w:tcPrChange w:id="9484" w:author="Author">
              <w:tcPr>
                <w:tcW w:w="4084" w:type="dxa"/>
                <w:gridSpan w:val="2"/>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b/>
                <w:noProof/>
                <w:sz w:val="20"/>
                <w:lang w:val="it-IT" w:eastAsia="en-US"/>
              </w:rPr>
              <w:pPrChange w:id="9485" w:author="Author">
                <w:pPr>
                  <w:keepNext/>
                  <w:keepLines/>
                  <w:spacing w:after="200"/>
                  <w:jc w:val="center"/>
                </w:pPr>
              </w:pPrChange>
            </w:pPr>
            <w:r>
              <w:rPr>
                <w:rFonts w:eastAsia="Calibri"/>
                <w:b/>
                <w:noProof/>
                <w:sz w:val="20"/>
                <w:lang w:val="it-IT" w:eastAsia="en-US"/>
              </w:rPr>
              <w:t>Somministrazione sottocutanea</w:t>
            </w:r>
          </w:p>
        </w:tc>
      </w:tr>
      <w:tr>
        <w:trPr>
          <w:cantSplit/>
          <w:trPrChange w:id="9486" w:author="Author">
            <w:trPr>
              <w:cantSplit/>
              <w:trHeight w:val="452"/>
              <w:jc w:val="center"/>
            </w:trPr>
          </w:trPrChange>
        </w:trPr>
        <w:tc>
          <w:tcPr>
            <w:tcW w:w="3595" w:type="dxa"/>
            <w:tcBorders>
              <w:top w:val="single" w:sz="4" w:space="0" w:color="auto"/>
              <w:left w:val="single" w:sz="4" w:space="0" w:color="auto"/>
              <w:bottom w:val="single" w:sz="4" w:space="0" w:color="auto"/>
              <w:right w:val="single" w:sz="4" w:space="0" w:color="auto"/>
            </w:tcBorders>
            <w:tcPrChange w:id="9487" w:author="Author">
              <w:tcPr>
                <w:tcW w:w="4735" w:type="dxa"/>
                <w:tcBorders>
                  <w:top w:val="single" w:sz="4" w:space="0" w:color="auto"/>
                  <w:left w:val="single" w:sz="4" w:space="0" w:color="auto"/>
                  <w:bottom w:val="single" w:sz="4" w:space="0" w:color="auto"/>
                  <w:right w:val="single" w:sz="4" w:space="0" w:color="auto"/>
                </w:tcBorders>
              </w:tcPr>
            </w:tcPrChange>
          </w:tcPr>
          <w:p>
            <w:pPr>
              <w:keepNext/>
              <w:suppressAutoHyphens/>
              <w:rPr>
                <w:rFonts w:eastAsia="PMingLiU"/>
                <w:noProof/>
                <w:sz w:val="20"/>
                <w:lang w:val="it-IT" w:eastAsia="en-US"/>
              </w:rPr>
              <w:pPrChange w:id="9488" w:author="Author">
                <w:pPr>
                  <w:keepNext/>
                  <w:keepLines/>
                  <w:spacing w:after="120"/>
                </w:pPr>
              </w:pPrChange>
            </w:pPr>
            <w:r>
              <w:rPr>
                <w:rFonts w:eastAsia="Calibri"/>
                <w:b/>
                <w:noProof/>
                <w:sz w:val="20"/>
                <w:lang w:val="it-IT" w:eastAsia="en-US"/>
              </w:rPr>
              <w:t>Parametro di PK di tocilizumab</w:t>
            </w:r>
          </w:p>
        </w:tc>
        <w:tc>
          <w:tcPr>
            <w:tcW w:w="2612" w:type="dxa"/>
            <w:tcBorders>
              <w:top w:val="single" w:sz="4" w:space="0" w:color="auto"/>
              <w:left w:val="single" w:sz="4" w:space="0" w:color="auto"/>
              <w:bottom w:val="single" w:sz="4" w:space="0" w:color="auto"/>
              <w:right w:val="single" w:sz="4" w:space="0" w:color="auto"/>
            </w:tcBorders>
            <w:tcPrChange w:id="9489" w:author="Author">
              <w:tcPr>
                <w:tcW w:w="1483"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b/>
                <w:noProof/>
                <w:sz w:val="20"/>
                <w:lang w:val="it-IT" w:eastAsia="en-US"/>
              </w:rPr>
              <w:pPrChange w:id="9490" w:author="Author">
                <w:pPr>
                  <w:keepNext/>
                  <w:keepLines/>
                  <w:spacing w:after="120"/>
                  <w:jc w:val="center"/>
                </w:pPr>
              </w:pPrChange>
            </w:pPr>
            <w:r>
              <w:rPr>
                <w:rFonts w:eastAsia="Calibri"/>
                <w:b/>
                <w:noProof/>
                <w:sz w:val="20"/>
                <w:lang w:val="it-IT" w:eastAsia="en-US"/>
              </w:rPr>
              <w:t xml:space="preserve">162 mg </w:t>
            </w:r>
            <w:ins w:id="9491" w:author="Author">
              <w:r>
                <w:rPr>
                  <w:rFonts w:eastAsia="Calibri"/>
                  <w:b/>
                  <w:noProof/>
                  <w:sz w:val="20"/>
                  <w:lang w:val="it-IT" w:eastAsia="en-US"/>
                </w:rPr>
                <w:t>ogni due</w:t>
              </w:r>
            </w:ins>
            <w:del w:id="9492" w:author="Author">
              <w:r>
                <w:rPr>
                  <w:rFonts w:eastAsia="Calibri"/>
                  <w:b/>
                  <w:noProof/>
                  <w:sz w:val="20"/>
                  <w:lang w:val="it-IT" w:eastAsia="en-US"/>
                </w:rPr>
                <w:delText>a</w:delText>
              </w:r>
            </w:del>
            <w:r>
              <w:rPr>
                <w:rFonts w:eastAsia="Calibri"/>
                <w:b/>
                <w:noProof/>
                <w:sz w:val="20"/>
                <w:lang w:val="it-IT" w:eastAsia="en-US"/>
              </w:rPr>
              <w:t xml:space="preserve"> settimane </w:t>
            </w:r>
            <w:del w:id="9493" w:author="Author">
              <w:r>
                <w:rPr>
                  <w:rFonts w:eastAsia="Calibri"/>
                  <w:b/>
                  <w:noProof/>
                  <w:sz w:val="20"/>
                  <w:lang w:val="it-IT" w:eastAsia="en-US"/>
                </w:rPr>
                <w:delText>alterne</w:delText>
              </w:r>
            </w:del>
          </w:p>
        </w:tc>
        <w:tc>
          <w:tcPr>
            <w:tcW w:w="2612" w:type="dxa"/>
            <w:tcBorders>
              <w:top w:val="single" w:sz="4" w:space="0" w:color="auto"/>
              <w:left w:val="single" w:sz="4" w:space="0" w:color="auto"/>
              <w:bottom w:val="single" w:sz="4" w:space="0" w:color="auto"/>
              <w:right w:val="single" w:sz="4" w:space="0" w:color="auto"/>
            </w:tcBorders>
            <w:tcPrChange w:id="9494" w:author="Author">
              <w:tcPr>
                <w:tcW w:w="2601"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b/>
                <w:noProof/>
                <w:sz w:val="20"/>
                <w:lang w:val="it-IT" w:eastAsia="en-US"/>
              </w:rPr>
              <w:pPrChange w:id="9495" w:author="Author">
                <w:pPr>
                  <w:keepNext/>
                  <w:keepLines/>
                  <w:spacing w:after="120"/>
                  <w:jc w:val="center"/>
                </w:pPr>
              </w:pPrChange>
            </w:pPr>
            <w:r>
              <w:rPr>
                <w:rFonts w:eastAsia="Calibri"/>
                <w:b/>
                <w:noProof/>
                <w:sz w:val="20"/>
                <w:lang w:val="it-IT" w:eastAsia="en-US"/>
              </w:rPr>
              <w:t xml:space="preserve">162 mg </w:t>
            </w:r>
            <w:del w:id="9496" w:author="Author">
              <w:r>
                <w:rPr>
                  <w:rFonts w:eastAsia="Calibri"/>
                  <w:b/>
                  <w:noProof/>
                  <w:sz w:val="20"/>
                  <w:lang w:val="it-IT" w:eastAsia="en-US"/>
                </w:rPr>
                <w:delText xml:space="preserve">ogni </w:delText>
              </w:r>
            </w:del>
            <w:ins w:id="9497" w:author="Author">
              <w:r>
                <w:rPr>
                  <w:rFonts w:eastAsia="Calibri"/>
                  <w:b/>
                  <w:noProof/>
                  <w:sz w:val="20"/>
                  <w:lang w:val="it-IT" w:eastAsia="en-US"/>
                </w:rPr>
                <w:t xml:space="preserve">una volta a </w:t>
              </w:r>
            </w:ins>
            <w:r>
              <w:rPr>
                <w:rFonts w:eastAsia="Calibri"/>
                <w:b/>
                <w:noProof/>
                <w:sz w:val="20"/>
                <w:lang w:val="it-IT" w:eastAsia="en-US"/>
              </w:rPr>
              <w:t>settimana</w:t>
            </w:r>
          </w:p>
        </w:tc>
      </w:tr>
      <w:tr>
        <w:trPr>
          <w:cantSplit/>
          <w:trPrChange w:id="9498" w:author="Author">
            <w:trPr>
              <w:cantSplit/>
              <w:trHeight w:val="195"/>
              <w:jc w:val="center"/>
            </w:trPr>
          </w:trPrChange>
        </w:trPr>
        <w:tc>
          <w:tcPr>
            <w:tcW w:w="3595" w:type="dxa"/>
            <w:tcBorders>
              <w:top w:val="single" w:sz="4" w:space="0" w:color="auto"/>
              <w:left w:val="single" w:sz="4" w:space="0" w:color="auto"/>
              <w:bottom w:val="single" w:sz="4" w:space="0" w:color="auto"/>
              <w:right w:val="single" w:sz="4" w:space="0" w:color="auto"/>
            </w:tcBorders>
            <w:tcPrChange w:id="9499" w:author="Author">
              <w:tcPr>
                <w:tcW w:w="4735" w:type="dxa"/>
                <w:tcBorders>
                  <w:top w:val="single" w:sz="4" w:space="0" w:color="auto"/>
                  <w:left w:val="single" w:sz="4" w:space="0" w:color="auto"/>
                  <w:bottom w:val="single" w:sz="4" w:space="0" w:color="auto"/>
                  <w:right w:val="single" w:sz="4" w:space="0" w:color="auto"/>
                </w:tcBorders>
              </w:tcPr>
            </w:tcPrChange>
          </w:tcPr>
          <w:p>
            <w:pPr>
              <w:keepNext/>
              <w:suppressAutoHyphens/>
              <w:rPr>
                <w:rFonts w:eastAsia="PMingLiU"/>
                <w:noProof/>
                <w:sz w:val="20"/>
                <w:lang w:val="it-IT" w:eastAsia="en-US"/>
              </w:rPr>
              <w:pPrChange w:id="9500" w:author="Author">
                <w:pPr>
                  <w:keepNext/>
                  <w:keepLines/>
                  <w:spacing w:after="120"/>
                </w:pPr>
              </w:pPrChange>
            </w:pPr>
            <w:r>
              <w:rPr>
                <w:rFonts w:eastAsia="Calibri"/>
                <w:noProof/>
                <w:sz w:val="20"/>
                <w:lang w:val="it-IT" w:eastAsia="en-US"/>
              </w:rPr>
              <w:t>C</w:t>
            </w:r>
            <w:r>
              <w:rPr>
                <w:rFonts w:eastAsia="Calibri"/>
                <w:noProof/>
                <w:sz w:val="20"/>
                <w:vertAlign w:val="subscript"/>
                <w:lang w:val="it-IT" w:eastAsia="en-US"/>
              </w:rPr>
              <w:t>max</w:t>
            </w:r>
            <w:r>
              <w:rPr>
                <w:rFonts w:eastAsia="Calibri"/>
                <w:noProof/>
                <w:sz w:val="20"/>
                <w:lang w:val="it-IT" w:eastAsia="en-US"/>
              </w:rPr>
              <w:t xml:space="preserve"> (µg/mL)</w:t>
            </w:r>
          </w:p>
        </w:tc>
        <w:tc>
          <w:tcPr>
            <w:tcW w:w="2612" w:type="dxa"/>
            <w:tcBorders>
              <w:top w:val="single" w:sz="4" w:space="0" w:color="auto"/>
              <w:left w:val="single" w:sz="4" w:space="0" w:color="auto"/>
              <w:bottom w:val="single" w:sz="4" w:space="0" w:color="auto"/>
              <w:right w:val="single" w:sz="4" w:space="0" w:color="auto"/>
            </w:tcBorders>
            <w:tcPrChange w:id="9501" w:author="Author">
              <w:tcPr>
                <w:tcW w:w="1483"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eastAsia="en-US"/>
              </w:rPr>
              <w:pPrChange w:id="9502" w:author="Author">
                <w:pPr>
                  <w:keepNext/>
                  <w:keepLines/>
                  <w:spacing w:after="120"/>
                  <w:jc w:val="center"/>
                </w:pPr>
              </w:pPrChange>
            </w:pPr>
            <w:r>
              <w:rPr>
                <w:rFonts w:eastAsia="Calibri"/>
                <w:noProof/>
                <w:sz w:val="20"/>
                <w:lang w:val="it-IT" w:eastAsia="en-US"/>
              </w:rPr>
              <w:t>19,3</w:t>
            </w:r>
            <w:del w:id="9503" w:author="Author">
              <w:r>
                <w:rPr>
                  <w:rFonts w:eastAsia="Calibri"/>
                  <w:noProof/>
                  <w:sz w:val="20"/>
                  <w:lang w:val="it-IT" w:eastAsia="en-US"/>
                </w:rPr>
                <w:delText xml:space="preserve"> </w:delText>
              </w:r>
            </w:del>
            <w:ins w:id="9504" w:author="Author">
              <w:r>
                <w:rPr>
                  <w:rFonts w:eastAsia="Calibri"/>
                  <w:noProof/>
                  <w:sz w:val="20"/>
                  <w:lang w:val="it-IT" w:eastAsia="en-US"/>
                </w:rPr>
                <w:t> </w:t>
              </w:r>
            </w:ins>
            <w:r>
              <w:rPr>
                <w:rFonts w:eastAsia="Calibri"/>
                <w:noProof/>
                <w:sz w:val="20"/>
                <w:lang w:val="it-IT" w:eastAsia="en-US"/>
              </w:rPr>
              <w:t>±</w:t>
            </w:r>
            <w:ins w:id="9505" w:author="Author">
              <w:r>
                <w:rPr>
                  <w:rFonts w:eastAsia="Calibri"/>
                  <w:noProof/>
                  <w:sz w:val="20"/>
                  <w:lang w:val="it-IT" w:eastAsia="en-US"/>
                </w:rPr>
                <w:t> </w:t>
              </w:r>
            </w:ins>
            <w:del w:id="9506" w:author="Author">
              <w:r>
                <w:rPr>
                  <w:rFonts w:eastAsia="Calibri"/>
                  <w:noProof/>
                  <w:sz w:val="20"/>
                  <w:lang w:val="it-IT" w:eastAsia="en-US"/>
                </w:rPr>
                <w:delText xml:space="preserve"> </w:delText>
              </w:r>
            </w:del>
            <w:r>
              <w:rPr>
                <w:rFonts w:eastAsia="Calibri"/>
                <w:noProof/>
                <w:sz w:val="20"/>
                <w:lang w:val="it-IT" w:eastAsia="en-US"/>
              </w:rPr>
              <w:t>12,8</w:t>
            </w:r>
          </w:p>
        </w:tc>
        <w:tc>
          <w:tcPr>
            <w:tcW w:w="2612" w:type="dxa"/>
            <w:tcBorders>
              <w:top w:val="single" w:sz="4" w:space="0" w:color="auto"/>
              <w:left w:val="single" w:sz="4" w:space="0" w:color="auto"/>
              <w:bottom w:val="single" w:sz="4" w:space="0" w:color="auto"/>
              <w:right w:val="single" w:sz="4" w:space="0" w:color="auto"/>
            </w:tcBorders>
            <w:tcPrChange w:id="9507" w:author="Author">
              <w:tcPr>
                <w:tcW w:w="2601"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eastAsia="en-US"/>
              </w:rPr>
              <w:pPrChange w:id="9508" w:author="Author">
                <w:pPr>
                  <w:keepNext/>
                  <w:keepLines/>
                  <w:spacing w:after="120"/>
                  <w:jc w:val="center"/>
                </w:pPr>
              </w:pPrChange>
            </w:pPr>
            <w:r>
              <w:rPr>
                <w:rFonts w:eastAsia="Calibri"/>
                <w:noProof/>
                <w:sz w:val="20"/>
                <w:lang w:val="it-IT" w:eastAsia="en-US"/>
              </w:rPr>
              <w:t>73</w:t>
            </w:r>
            <w:del w:id="9509" w:author="Author">
              <w:r>
                <w:rPr>
                  <w:rFonts w:eastAsia="Calibri"/>
                  <w:noProof/>
                  <w:sz w:val="20"/>
                  <w:lang w:val="it-IT" w:eastAsia="en-US"/>
                </w:rPr>
                <w:delText xml:space="preserve"> </w:delText>
              </w:r>
            </w:del>
            <w:ins w:id="9510" w:author="Author">
              <w:r>
                <w:rPr>
                  <w:rFonts w:eastAsia="Calibri"/>
                  <w:noProof/>
                  <w:sz w:val="20"/>
                  <w:lang w:val="it-IT" w:eastAsia="en-US"/>
                </w:rPr>
                <w:t> </w:t>
              </w:r>
            </w:ins>
            <w:r>
              <w:rPr>
                <w:rFonts w:eastAsia="Calibri"/>
                <w:noProof/>
                <w:sz w:val="20"/>
                <w:lang w:val="it-IT" w:eastAsia="en-US"/>
              </w:rPr>
              <w:t>±</w:t>
            </w:r>
            <w:ins w:id="9511" w:author="Author">
              <w:r>
                <w:rPr>
                  <w:rFonts w:eastAsia="Calibri"/>
                  <w:noProof/>
                  <w:sz w:val="20"/>
                  <w:lang w:val="it-IT" w:eastAsia="en-US"/>
                </w:rPr>
                <w:t> </w:t>
              </w:r>
            </w:ins>
            <w:del w:id="9512" w:author="Author">
              <w:r>
                <w:rPr>
                  <w:rFonts w:eastAsia="Calibri"/>
                  <w:noProof/>
                  <w:sz w:val="20"/>
                  <w:lang w:val="it-IT" w:eastAsia="en-US"/>
                </w:rPr>
                <w:delText xml:space="preserve"> </w:delText>
              </w:r>
            </w:del>
            <w:r>
              <w:rPr>
                <w:rFonts w:eastAsia="Calibri"/>
                <w:noProof/>
                <w:sz w:val="20"/>
                <w:lang w:val="it-IT" w:eastAsia="en-US"/>
              </w:rPr>
              <w:t>30,4</w:t>
            </w:r>
          </w:p>
        </w:tc>
      </w:tr>
      <w:tr>
        <w:trPr>
          <w:cantSplit/>
          <w:trPrChange w:id="9513" w:author="Author">
            <w:trPr>
              <w:cantSplit/>
              <w:trHeight w:val="195"/>
              <w:jc w:val="center"/>
            </w:trPr>
          </w:trPrChange>
        </w:trPr>
        <w:tc>
          <w:tcPr>
            <w:tcW w:w="3595" w:type="dxa"/>
            <w:tcBorders>
              <w:top w:val="single" w:sz="4" w:space="0" w:color="auto"/>
              <w:left w:val="single" w:sz="4" w:space="0" w:color="auto"/>
              <w:bottom w:val="single" w:sz="4" w:space="0" w:color="auto"/>
              <w:right w:val="single" w:sz="4" w:space="0" w:color="auto"/>
            </w:tcBorders>
            <w:tcPrChange w:id="9514" w:author="Author">
              <w:tcPr>
                <w:tcW w:w="4735" w:type="dxa"/>
                <w:tcBorders>
                  <w:top w:val="single" w:sz="4" w:space="0" w:color="auto"/>
                  <w:left w:val="single" w:sz="4" w:space="0" w:color="auto"/>
                  <w:bottom w:val="single" w:sz="4" w:space="0" w:color="auto"/>
                  <w:right w:val="single" w:sz="4" w:space="0" w:color="auto"/>
                </w:tcBorders>
              </w:tcPr>
            </w:tcPrChange>
          </w:tcPr>
          <w:p>
            <w:pPr>
              <w:keepNext/>
              <w:suppressAutoHyphens/>
              <w:rPr>
                <w:rFonts w:eastAsia="PMingLiU"/>
                <w:noProof/>
                <w:sz w:val="20"/>
                <w:lang w:val="it-IT" w:eastAsia="en-US"/>
              </w:rPr>
              <w:pPrChange w:id="9515" w:author="Author">
                <w:pPr>
                  <w:keepNext/>
                  <w:keepLines/>
                  <w:spacing w:after="120"/>
                </w:pPr>
              </w:pPrChange>
            </w:pPr>
            <w:r>
              <w:rPr>
                <w:rFonts w:eastAsia="Calibri"/>
                <w:noProof/>
                <w:sz w:val="20"/>
                <w:lang w:val="it-IT" w:eastAsia="en-US"/>
              </w:rPr>
              <w:t>C</w:t>
            </w:r>
            <w:r>
              <w:rPr>
                <w:rFonts w:eastAsia="Calibri"/>
                <w:noProof/>
                <w:sz w:val="20"/>
                <w:vertAlign w:val="subscript"/>
                <w:lang w:val="it-IT" w:eastAsia="en-US"/>
              </w:rPr>
              <w:t>trough</w:t>
            </w:r>
            <w:r>
              <w:rPr>
                <w:rFonts w:eastAsia="Calibri"/>
                <w:noProof/>
                <w:sz w:val="20"/>
                <w:lang w:val="it-IT" w:eastAsia="en-US"/>
              </w:rPr>
              <w:t xml:space="preserve"> (µg/mL)</w:t>
            </w:r>
          </w:p>
        </w:tc>
        <w:tc>
          <w:tcPr>
            <w:tcW w:w="2612" w:type="dxa"/>
            <w:tcBorders>
              <w:top w:val="single" w:sz="4" w:space="0" w:color="auto"/>
              <w:left w:val="single" w:sz="4" w:space="0" w:color="auto"/>
              <w:bottom w:val="single" w:sz="4" w:space="0" w:color="auto"/>
              <w:right w:val="single" w:sz="4" w:space="0" w:color="auto"/>
            </w:tcBorders>
            <w:tcPrChange w:id="9516" w:author="Author">
              <w:tcPr>
                <w:tcW w:w="1483"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eastAsia="en-US"/>
              </w:rPr>
              <w:pPrChange w:id="9517" w:author="Author">
                <w:pPr>
                  <w:keepNext/>
                  <w:keepLines/>
                  <w:spacing w:after="120"/>
                  <w:jc w:val="center"/>
                </w:pPr>
              </w:pPrChange>
            </w:pPr>
            <w:r>
              <w:rPr>
                <w:rFonts w:eastAsia="Calibri"/>
                <w:noProof/>
                <w:sz w:val="20"/>
                <w:lang w:val="it-IT" w:eastAsia="en-US"/>
              </w:rPr>
              <w:t>11,1</w:t>
            </w:r>
            <w:del w:id="9518" w:author="Author">
              <w:r>
                <w:rPr>
                  <w:rFonts w:eastAsia="Calibri"/>
                  <w:noProof/>
                  <w:sz w:val="20"/>
                  <w:lang w:val="it-IT" w:eastAsia="en-US"/>
                </w:rPr>
                <w:delText xml:space="preserve"> </w:delText>
              </w:r>
            </w:del>
            <w:ins w:id="9519" w:author="Author">
              <w:r>
                <w:rPr>
                  <w:rFonts w:eastAsia="Calibri"/>
                  <w:noProof/>
                  <w:sz w:val="20"/>
                  <w:lang w:val="it-IT" w:eastAsia="en-US"/>
                </w:rPr>
                <w:t> </w:t>
              </w:r>
            </w:ins>
            <w:r>
              <w:rPr>
                <w:rFonts w:eastAsia="Calibri"/>
                <w:noProof/>
                <w:sz w:val="20"/>
                <w:lang w:val="it-IT" w:eastAsia="en-US"/>
              </w:rPr>
              <w:t>±</w:t>
            </w:r>
            <w:ins w:id="9520" w:author="Author">
              <w:r>
                <w:rPr>
                  <w:rFonts w:eastAsia="Calibri"/>
                  <w:noProof/>
                  <w:sz w:val="20"/>
                  <w:lang w:val="it-IT" w:eastAsia="en-US"/>
                </w:rPr>
                <w:t> </w:t>
              </w:r>
            </w:ins>
            <w:del w:id="9521" w:author="Author">
              <w:r>
                <w:rPr>
                  <w:rFonts w:eastAsia="Calibri"/>
                  <w:noProof/>
                  <w:sz w:val="20"/>
                  <w:lang w:val="it-IT" w:eastAsia="en-US"/>
                </w:rPr>
                <w:delText xml:space="preserve"> </w:delText>
              </w:r>
            </w:del>
            <w:r>
              <w:rPr>
                <w:rFonts w:eastAsia="Calibri"/>
                <w:noProof/>
                <w:sz w:val="20"/>
                <w:lang w:val="it-IT" w:eastAsia="en-US"/>
              </w:rPr>
              <w:t>10,3</w:t>
            </w:r>
          </w:p>
        </w:tc>
        <w:tc>
          <w:tcPr>
            <w:tcW w:w="2612" w:type="dxa"/>
            <w:tcBorders>
              <w:top w:val="single" w:sz="4" w:space="0" w:color="auto"/>
              <w:left w:val="single" w:sz="4" w:space="0" w:color="auto"/>
              <w:bottom w:val="single" w:sz="4" w:space="0" w:color="auto"/>
              <w:right w:val="single" w:sz="4" w:space="0" w:color="auto"/>
            </w:tcBorders>
            <w:tcPrChange w:id="9522" w:author="Author">
              <w:tcPr>
                <w:tcW w:w="2601"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eastAsia="en-US"/>
              </w:rPr>
              <w:pPrChange w:id="9523" w:author="Author">
                <w:pPr>
                  <w:keepNext/>
                  <w:keepLines/>
                  <w:spacing w:after="120"/>
                  <w:jc w:val="center"/>
                </w:pPr>
              </w:pPrChange>
            </w:pPr>
            <w:r>
              <w:rPr>
                <w:rFonts w:eastAsia="Calibri"/>
                <w:noProof/>
                <w:sz w:val="20"/>
                <w:lang w:val="it-IT" w:eastAsia="en-US"/>
              </w:rPr>
              <w:t>68,1</w:t>
            </w:r>
            <w:ins w:id="9524" w:author="Author">
              <w:r>
                <w:rPr>
                  <w:rFonts w:eastAsia="Calibri"/>
                  <w:noProof/>
                  <w:sz w:val="20"/>
                  <w:lang w:val="it-IT" w:eastAsia="en-US"/>
                </w:rPr>
                <w:t> </w:t>
              </w:r>
            </w:ins>
            <w:r>
              <w:rPr>
                <w:rFonts w:eastAsia="Calibri"/>
                <w:noProof/>
                <w:sz w:val="20"/>
                <w:lang w:val="it-IT" w:eastAsia="en-US"/>
              </w:rPr>
              <w:t>±</w:t>
            </w:r>
            <w:ins w:id="9525" w:author="Author">
              <w:r>
                <w:rPr>
                  <w:rFonts w:eastAsia="Calibri"/>
                  <w:noProof/>
                  <w:sz w:val="20"/>
                  <w:lang w:val="it-IT" w:eastAsia="en-US"/>
                </w:rPr>
                <w:t> </w:t>
              </w:r>
            </w:ins>
            <w:del w:id="9526" w:author="Author">
              <w:r>
                <w:rPr>
                  <w:rFonts w:eastAsia="Calibri"/>
                  <w:noProof/>
                  <w:sz w:val="20"/>
                  <w:lang w:val="it-IT" w:eastAsia="en-US"/>
                </w:rPr>
                <w:delText xml:space="preserve"> </w:delText>
              </w:r>
            </w:del>
            <w:r>
              <w:rPr>
                <w:rFonts w:eastAsia="Calibri"/>
                <w:noProof/>
                <w:sz w:val="20"/>
                <w:lang w:val="it-IT" w:eastAsia="en-US"/>
              </w:rPr>
              <w:t>29,5</w:t>
            </w:r>
          </w:p>
        </w:tc>
      </w:tr>
      <w:tr>
        <w:trPr>
          <w:cantSplit/>
          <w:trPrChange w:id="9527" w:author="Author">
            <w:trPr>
              <w:cantSplit/>
              <w:trHeight w:val="324"/>
              <w:jc w:val="center"/>
            </w:trPr>
          </w:trPrChange>
        </w:trPr>
        <w:tc>
          <w:tcPr>
            <w:tcW w:w="3595" w:type="dxa"/>
            <w:tcBorders>
              <w:top w:val="single" w:sz="4" w:space="0" w:color="auto"/>
              <w:left w:val="single" w:sz="4" w:space="0" w:color="auto"/>
              <w:bottom w:val="single" w:sz="4" w:space="0" w:color="auto"/>
              <w:right w:val="single" w:sz="4" w:space="0" w:color="auto"/>
            </w:tcBorders>
            <w:tcPrChange w:id="9528" w:author="Author">
              <w:tcPr>
                <w:tcW w:w="4735" w:type="dxa"/>
                <w:tcBorders>
                  <w:top w:val="single" w:sz="4" w:space="0" w:color="auto"/>
                  <w:left w:val="single" w:sz="4" w:space="0" w:color="auto"/>
                  <w:bottom w:val="single" w:sz="4" w:space="0" w:color="auto"/>
                  <w:right w:val="single" w:sz="4" w:space="0" w:color="auto"/>
                </w:tcBorders>
              </w:tcPr>
            </w:tcPrChange>
          </w:tcPr>
          <w:p>
            <w:pPr>
              <w:keepNext/>
              <w:suppressAutoHyphens/>
              <w:rPr>
                <w:rFonts w:eastAsia="PMingLiU"/>
                <w:noProof/>
                <w:sz w:val="20"/>
                <w:lang w:val="it-IT" w:eastAsia="en-US"/>
              </w:rPr>
              <w:pPrChange w:id="9529" w:author="Author">
                <w:pPr>
                  <w:keepNext/>
                  <w:keepLines/>
                  <w:spacing w:after="120"/>
                </w:pPr>
              </w:pPrChange>
            </w:pPr>
            <w:r>
              <w:rPr>
                <w:rFonts w:eastAsia="Calibri"/>
                <w:noProof/>
                <w:sz w:val="20"/>
                <w:lang w:val="it-IT" w:eastAsia="en-US"/>
              </w:rPr>
              <w:t>C</w:t>
            </w:r>
            <w:r>
              <w:rPr>
                <w:rFonts w:eastAsia="Calibri"/>
                <w:noProof/>
                <w:sz w:val="20"/>
                <w:vertAlign w:val="subscript"/>
                <w:lang w:val="it-IT" w:eastAsia="en-US"/>
              </w:rPr>
              <w:t>mean</w:t>
            </w:r>
            <w:r>
              <w:rPr>
                <w:rFonts w:eastAsia="Calibri"/>
                <w:noProof/>
                <w:sz w:val="20"/>
                <w:lang w:val="it-IT" w:eastAsia="en-US"/>
              </w:rPr>
              <w:t xml:space="preserve"> (µg/mL)</w:t>
            </w:r>
          </w:p>
        </w:tc>
        <w:tc>
          <w:tcPr>
            <w:tcW w:w="2612" w:type="dxa"/>
            <w:tcBorders>
              <w:top w:val="single" w:sz="4" w:space="0" w:color="auto"/>
              <w:left w:val="single" w:sz="4" w:space="0" w:color="auto"/>
              <w:bottom w:val="single" w:sz="4" w:space="0" w:color="auto"/>
              <w:right w:val="single" w:sz="4" w:space="0" w:color="auto"/>
            </w:tcBorders>
            <w:tcPrChange w:id="9530" w:author="Author">
              <w:tcPr>
                <w:tcW w:w="1483"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eastAsia="en-US"/>
              </w:rPr>
              <w:pPrChange w:id="9531" w:author="Author">
                <w:pPr>
                  <w:keepNext/>
                  <w:keepLines/>
                  <w:spacing w:after="120"/>
                  <w:jc w:val="center"/>
                </w:pPr>
              </w:pPrChange>
            </w:pPr>
            <w:del w:id="9532" w:author="Author">
              <w:r>
                <w:rPr>
                  <w:rFonts w:eastAsia="Calibri"/>
                  <w:noProof/>
                  <w:sz w:val="20"/>
                  <w:lang w:val="it-IT" w:eastAsia="en-US"/>
                </w:rPr>
                <w:delText xml:space="preserve"> </w:delText>
              </w:r>
            </w:del>
            <w:r>
              <w:rPr>
                <w:rFonts w:eastAsia="Calibri"/>
                <w:noProof/>
                <w:sz w:val="20"/>
                <w:lang w:val="it-IT" w:eastAsia="en-US"/>
              </w:rPr>
              <w:t>16,2</w:t>
            </w:r>
            <w:del w:id="9533" w:author="Author">
              <w:r>
                <w:rPr>
                  <w:rFonts w:eastAsia="Calibri"/>
                  <w:noProof/>
                  <w:sz w:val="20"/>
                  <w:lang w:val="it-IT" w:eastAsia="en-US"/>
                </w:rPr>
                <w:delText xml:space="preserve"> </w:delText>
              </w:r>
            </w:del>
            <w:ins w:id="9534" w:author="Author">
              <w:r>
                <w:rPr>
                  <w:rFonts w:eastAsia="Calibri"/>
                  <w:noProof/>
                  <w:sz w:val="20"/>
                  <w:lang w:val="it-IT" w:eastAsia="en-US"/>
                </w:rPr>
                <w:t> </w:t>
              </w:r>
            </w:ins>
            <w:r>
              <w:rPr>
                <w:rFonts w:eastAsia="Calibri"/>
                <w:noProof/>
                <w:sz w:val="20"/>
                <w:lang w:val="it-IT" w:eastAsia="en-US"/>
              </w:rPr>
              <w:t>±</w:t>
            </w:r>
            <w:ins w:id="9535" w:author="Author">
              <w:r>
                <w:rPr>
                  <w:rFonts w:eastAsia="Calibri"/>
                  <w:noProof/>
                  <w:sz w:val="20"/>
                  <w:lang w:val="it-IT" w:eastAsia="en-US"/>
                </w:rPr>
                <w:t> </w:t>
              </w:r>
            </w:ins>
            <w:del w:id="9536" w:author="Author">
              <w:r>
                <w:rPr>
                  <w:rFonts w:eastAsia="Calibri"/>
                  <w:noProof/>
                  <w:sz w:val="20"/>
                  <w:lang w:val="it-IT" w:eastAsia="en-US"/>
                </w:rPr>
                <w:delText xml:space="preserve"> </w:delText>
              </w:r>
            </w:del>
            <w:r>
              <w:rPr>
                <w:rFonts w:eastAsia="Calibri"/>
                <w:noProof/>
                <w:sz w:val="20"/>
                <w:lang w:val="it-IT" w:eastAsia="en-US"/>
              </w:rPr>
              <w:t>11,8</w:t>
            </w:r>
          </w:p>
        </w:tc>
        <w:tc>
          <w:tcPr>
            <w:tcW w:w="2612" w:type="dxa"/>
            <w:tcBorders>
              <w:top w:val="single" w:sz="4" w:space="0" w:color="auto"/>
              <w:left w:val="single" w:sz="4" w:space="0" w:color="auto"/>
              <w:bottom w:val="single" w:sz="4" w:space="0" w:color="auto"/>
              <w:right w:val="single" w:sz="4" w:space="0" w:color="auto"/>
            </w:tcBorders>
            <w:tcPrChange w:id="9537" w:author="Author">
              <w:tcPr>
                <w:tcW w:w="2601"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eastAsia="en-US"/>
              </w:rPr>
              <w:pPrChange w:id="9538" w:author="Author">
                <w:pPr>
                  <w:keepNext/>
                  <w:keepLines/>
                  <w:spacing w:after="120"/>
                  <w:jc w:val="center"/>
                </w:pPr>
              </w:pPrChange>
            </w:pPr>
            <w:r>
              <w:rPr>
                <w:rFonts w:eastAsia="Calibri"/>
                <w:noProof/>
                <w:sz w:val="20"/>
                <w:lang w:val="it-IT" w:eastAsia="en-US"/>
              </w:rPr>
              <w:t>71,3</w:t>
            </w:r>
            <w:del w:id="9539" w:author="Author">
              <w:r>
                <w:rPr>
                  <w:rFonts w:eastAsia="Calibri"/>
                  <w:noProof/>
                  <w:sz w:val="20"/>
                  <w:lang w:val="it-IT" w:eastAsia="en-US"/>
                </w:rPr>
                <w:delText xml:space="preserve"> </w:delText>
              </w:r>
            </w:del>
            <w:ins w:id="9540" w:author="Author">
              <w:r>
                <w:rPr>
                  <w:rFonts w:eastAsia="Calibri"/>
                  <w:noProof/>
                  <w:sz w:val="20"/>
                  <w:lang w:val="it-IT" w:eastAsia="en-US"/>
                </w:rPr>
                <w:t> </w:t>
              </w:r>
            </w:ins>
            <w:r>
              <w:rPr>
                <w:rFonts w:eastAsia="Calibri"/>
                <w:noProof/>
                <w:sz w:val="20"/>
                <w:lang w:val="it-IT" w:eastAsia="en-US"/>
              </w:rPr>
              <w:t>±</w:t>
            </w:r>
            <w:ins w:id="9541" w:author="Author">
              <w:r>
                <w:rPr>
                  <w:rFonts w:eastAsia="Calibri"/>
                  <w:noProof/>
                  <w:sz w:val="20"/>
                  <w:lang w:val="it-IT" w:eastAsia="en-US"/>
                </w:rPr>
                <w:t> </w:t>
              </w:r>
            </w:ins>
            <w:del w:id="9542" w:author="Author">
              <w:r>
                <w:rPr>
                  <w:rFonts w:eastAsia="Calibri"/>
                  <w:noProof/>
                  <w:sz w:val="20"/>
                  <w:lang w:val="it-IT" w:eastAsia="en-US"/>
                </w:rPr>
                <w:delText xml:space="preserve"> </w:delText>
              </w:r>
            </w:del>
            <w:r>
              <w:rPr>
                <w:rFonts w:eastAsia="Calibri"/>
                <w:noProof/>
                <w:sz w:val="20"/>
                <w:lang w:val="it-IT" w:eastAsia="en-US"/>
              </w:rPr>
              <w:t>30,1</w:t>
            </w:r>
          </w:p>
        </w:tc>
      </w:tr>
      <w:tr>
        <w:trPr>
          <w:cantSplit/>
          <w:trPrChange w:id="9543" w:author="Author">
            <w:trPr>
              <w:cantSplit/>
              <w:trHeight w:val="324"/>
              <w:jc w:val="center"/>
            </w:trPr>
          </w:trPrChange>
        </w:trPr>
        <w:tc>
          <w:tcPr>
            <w:tcW w:w="3595" w:type="dxa"/>
            <w:tcBorders>
              <w:top w:val="single" w:sz="4" w:space="0" w:color="auto"/>
              <w:left w:val="single" w:sz="4" w:space="0" w:color="auto"/>
              <w:bottom w:val="single" w:sz="4" w:space="0" w:color="auto"/>
              <w:right w:val="single" w:sz="4" w:space="0" w:color="auto"/>
            </w:tcBorders>
            <w:tcPrChange w:id="9544" w:author="Author">
              <w:tcPr>
                <w:tcW w:w="4735" w:type="dxa"/>
                <w:tcBorders>
                  <w:top w:val="single" w:sz="4" w:space="0" w:color="auto"/>
                  <w:left w:val="single" w:sz="4" w:space="0" w:color="auto"/>
                  <w:bottom w:val="single" w:sz="4" w:space="0" w:color="auto"/>
                  <w:right w:val="single" w:sz="4" w:space="0" w:color="auto"/>
                </w:tcBorders>
              </w:tcPr>
            </w:tcPrChange>
          </w:tcPr>
          <w:p>
            <w:pPr>
              <w:keepNext/>
              <w:suppressAutoHyphens/>
              <w:rPr>
                <w:rFonts w:eastAsia="PMingLiU"/>
                <w:noProof/>
                <w:sz w:val="20"/>
                <w:lang w:val="it-IT" w:eastAsia="en-US"/>
              </w:rPr>
              <w:pPrChange w:id="9545" w:author="Author">
                <w:pPr>
                  <w:keepNext/>
                  <w:keepLines/>
                  <w:spacing w:after="120"/>
                </w:pPr>
              </w:pPrChange>
            </w:pPr>
            <w:r>
              <w:rPr>
                <w:rFonts w:eastAsia="Calibri"/>
                <w:noProof/>
                <w:sz w:val="20"/>
                <w:lang w:val="it-IT" w:eastAsia="en-US"/>
              </w:rPr>
              <w:t>C</w:t>
            </w:r>
            <w:r>
              <w:rPr>
                <w:rFonts w:eastAsia="Calibri"/>
                <w:noProof/>
                <w:sz w:val="20"/>
                <w:vertAlign w:val="subscript"/>
                <w:lang w:val="it-IT" w:eastAsia="en-US"/>
              </w:rPr>
              <w:t xml:space="preserve">max </w:t>
            </w:r>
            <w:r>
              <w:rPr>
                <w:rFonts w:eastAsia="Calibri"/>
                <w:noProof/>
                <w:sz w:val="20"/>
                <w:lang w:val="it-IT" w:eastAsia="en-US"/>
              </w:rPr>
              <w:t>d’accumulo</w:t>
            </w:r>
          </w:p>
        </w:tc>
        <w:tc>
          <w:tcPr>
            <w:tcW w:w="2612" w:type="dxa"/>
            <w:tcBorders>
              <w:top w:val="single" w:sz="4" w:space="0" w:color="auto"/>
              <w:left w:val="single" w:sz="4" w:space="0" w:color="auto"/>
              <w:bottom w:val="single" w:sz="4" w:space="0" w:color="auto"/>
              <w:right w:val="single" w:sz="4" w:space="0" w:color="auto"/>
            </w:tcBorders>
            <w:tcPrChange w:id="9546" w:author="Author">
              <w:tcPr>
                <w:tcW w:w="1483"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eastAsia="en-US"/>
              </w:rPr>
              <w:pPrChange w:id="9547" w:author="Author">
                <w:pPr>
                  <w:keepNext/>
                  <w:keepLines/>
                  <w:spacing w:after="120"/>
                  <w:jc w:val="center"/>
                </w:pPr>
              </w:pPrChange>
            </w:pPr>
            <w:r>
              <w:rPr>
                <w:rFonts w:eastAsia="Calibri"/>
                <w:noProof/>
                <w:sz w:val="20"/>
                <w:lang w:val="it-IT" w:eastAsia="en-US"/>
              </w:rPr>
              <w:t>2,18</w:t>
            </w:r>
          </w:p>
        </w:tc>
        <w:tc>
          <w:tcPr>
            <w:tcW w:w="2612" w:type="dxa"/>
            <w:tcBorders>
              <w:top w:val="single" w:sz="4" w:space="0" w:color="auto"/>
              <w:left w:val="single" w:sz="4" w:space="0" w:color="auto"/>
              <w:bottom w:val="single" w:sz="4" w:space="0" w:color="auto"/>
              <w:right w:val="single" w:sz="4" w:space="0" w:color="auto"/>
            </w:tcBorders>
            <w:tcPrChange w:id="9548" w:author="Author">
              <w:tcPr>
                <w:tcW w:w="2601"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eastAsia="en-US"/>
              </w:rPr>
              <w:pPrChange w:id="9549" w:author="Author">
                <w:pPr>
                  <w:keepNext/>
                  <w:keepLines/>
                  <w:spacing w:after="120"/>
                  <w:jc w:val="center"/>
                </w:pPr>
              </w:pPrChange>
            </w:pPr>
            <w:del w:id="9550" w:author="Author">
              <w:r>
                <w:rPr>
                  <w:rFonts w:eastAsia="Calibri"/>
                  <w:noProof/>
                  <w:sz w:val="20"/>
                  <w:lang w:val="it-IT" w:eastAsia="en-US"/>
                </w:rPr>
                <w:delText xml:space="preserve"> </w:delText>
              </w:r>
            </w:del>
            <w:r>
              <w:rPr>
                <w:rFonts w:eastAsia="Calibri"/>
                <w:noProof/>
                <w:sz w:val="20"/>
                <w:lang w:val="it-IT" w:eastAsia="en-US"/>
              </w:rPr>
              <w:t>8,88</w:t>
            </w:r>
          </w:p>
        </w:tc>
      </w:tr>
      <w:tr>
        <w:trPr>
          <w:cantSplit/>
          <w:trPrChange w:id="9551" w:author="Author">
            <w:trPr>
              <w:cantSplit/>
              <w:trHeight w:val="331"/>
              <w:jc w:val="center"/>
            </w:trPr>
          </w:trPrChange>
        </w:trPr>
        <w:tc>
          <w:tcPr>
            <w:tcW w:w="3595" w:type="dxa"/>
            <w:tcBorders>
              <w:top w:val="single" w:sz="4" w:space="0" w:color="auto"/>
              <w:left w:val="single" w:sz="4" w:space="0" w:color="auto"/>
              <w:bottom w:val="single" w:sz="4" w:space="0" w:color="auto"/>
              <w:right w:val="single" w:sz="4" w:space="0" w:color="auto"/>
            </w:tcBorders>
            <w:tcPrChange w:id="9552" w:author="Author">
              <w:tcPr>
                <w:tcW w:w="4735" w:type="dxa"/>
                <w:tcBorders>
                  <w:top w:val="single" w:sz="4" w:space="0" w:color="auto"/>
                  <w:left w:val="single" w:sz="4" w:space="0" w:color="auto"/>
                  <w:bottom w:val="single" w:sz="4" w:space="0" w:color="auto"/>
                  <w:right w:val="single" w:sz="4" w:space="0" w:color="auto"/>
                </w:tcBorders>
              </w:tcPr>
            </w:tcPrChange>
          </w:tcPr>
          <w:p>
            <w:pPr>
              <w:keepNext/>
              <w:suppressAutoHyphens/>
              <w:rPr>
                <w:rFonts w:eastAsia="PMingLiU"/>
                <w:noProof/>
                <w:sz w:val="20"/>
                <w:lang w:val="it-IT" w:eastAsia="en-US"/>
              </w:rPr>
              <w:pPrChange w:id="9553" w:author="Author">
                <w:pPr>
                  <w:spacing w:after="120"/>
                </w:pPr>
              </w:pPrChange>
            </w:pPr>
            <w:r>
              <w:rPr>
                <w:rFonts w:eastAsia="Calibri"/>
                <w:noProof/>
                <w:sz w:val="20"/>
                <w:lang w:val="it-IT" w:eastAsia="en-US"/>
              </w:rPr>
              <w:t>C</w:t>
            </w:r>
            <w:r>
              <w:rPr>
                <w:rFonts w:eastAsia="Calibri"/>
                <w:noProof/>
                <w:sz w:val="20"/>
                <w:vertAlign w:val="subscript"/>
                <w:lang w:val="it-IT" w:eastAsia="en-US"/>
              </w:rPr>
              <w:t xml:space="preserve">trough </w:t>
            </w:r>
            <w:r>
              <w:rPr>
                <w:rFonts w:eastAsia="Calibri"/>
                <w:noProof/>
                <w:sz w:val="20"/>
                <w:lang w:val="it-IT" w:eastAsia="en-US"/>
              </w:rPr>
              <w:t>d’accumulo</w:t>
            </w:r>
          </w:p>
        </w:tc>
        <w:tc>
          <w:tcPr>
            <w:tcW w:w="2612" w:type="dxa"/>
            <w:tcBorders>
              <w:top w:val="single" w:sz="4" w:space="0" w:color="auto"/>
              <w:left w:val="single" w:sz="4" w:space="0" w:color="auto"/>
              <w:bottom w:val="single" w:sz="4" w:space="0" w:color="auto"/>
              <w:right w:val="single" w:sz="4" w:space="0" w:color="auto"/>
            </w:tcBorders>
            <w:tcPrChange w:id="9554" w:author="Author">
              <w:tcPr>
                <w:tcW w:w="1483"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eastAsia="en-US"/>
              </w:rPr>
              <w:pPrChange w:id="9555" w:author="Author">
                <w:pPr>
                  <w:spacing w:after="120"/>
                  <w:jc w:val="center"/>
                </w:pPr>
              </w:pPrChange>
            </w:pPr>
            <w:r>
              <w:rPr>
                <w:rFonts w:eastAsia="Calibri"/>
                <w:noProof/>
                <w:sz w:val="20"/>
                <w:lang w:val="it-IT" w:eastAsia="en-US"/>
              </w:rPr>
              <w:t>5,61</w:t>
            </w:r>
          </w:p>
        </w:tc>
        <w:tc>
          <w:tcPr>
            <w:tcW w:w="2612" w:type="dxa"/>
            <w:tcBorders>
              <w:top w:val="single" w:sz="4" w:space="0" w:color="auto"/>
              <w:left w:val="single" w:sz="4" w:space="0" w:color="auto"/>
              <w:bottom w:val="single" w:sz="4" w:space="0" w:color="auto"/>
              <w:right w:val="single" w:sz="4" w:space="0" w:color="auto"/>
            </w:tcBorders>
            <w:tcPrChange w:id="9556" w:author="Author">
              <w:tcPr>
                <w:tcW w:w="2601"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eastAsia="en-US"/>
              </w:rPr>
              <w:pPrChange w:id="9557" w:author="Author">
                <w:pPr>
                  <w:spacing w:after="120"/>
                  <w:jc w:val="center"/>
                </w:pPr>
              </w:pPrChange>
            </w:pPr>
            <w:r>
              <w:rPr>
                <w:rFonts w:eastAsia="Calibri"/>
                <w:noProof/>
                <w:sz w:val="20"/>
                <w:lang w:val="it-IT" w:eastAsia="en-US"/>
              </w:rPr>
              <w:t>9,59</w:t>
            </w:r>
          </w:p>
        </w:tc>
      </w:tr>
      <w:tr>
        <w:trPr>
          <w:cantSplit/>
          <w:trPrChange w:id="9558" w:author="Author">
            <w:trPr>
              <w:cantSplit/>
              <w:trHeight w:val="331"/>
              <w:jc w:val="center"/>
            </w:trPr>
          </w:trPrChange>
        </w:trPr>
        <w:tc>
          <w:tcPr>
            <w:tcW w:w="3595" w:type="dxa"/>
            <w:tcBorders>
              <w:top w:val="single" w:sz="4" w:space="0" w:color="auto"/>
              <w:left w:val="single" w:sz="4" w:space="0" w:color="auto"/>
              <w:bottom w:val="single" w:sz="4" w:space="0" w:color="auto"/>
              <w:right w:val="single" w:sz="4" w:space="0" w:color="auto"/>
            </w:tcBorders>
            <w:tcPrChange w:id="9559" w:author="Author">
              <w:tcPr>
                <w:tcW w:w="4735" w:type="dxa"/>
                <w:tcBorders>
                  <w:top w:val="single" w:sz="4" w:space="0" w:color="auto"/>
                  <w:left w:val="single" w:sz="4" w:space="0" w:color="auto"/>
                  <w:bottom w:val="single" w:sz="4" w:space="0" w:color="auto"/>
                  <w:right w:val="single" w:sz="4" w:space="0" w:color="auto"/>
                </w:tcBorders>
              </w:tcPr>
            </w:tcPrChange>
          </w:tcPr>
          <w:p>
            <w:pPr>
              <w:keepNext/>
              <w:suppressAutoHyphens/>
              <w:rPr>
                <w:rFonts w:eastAsia="PMingLiU"/>
                <w:noProof/>
                <w:sz w:val="20"/>
                <w:lang w:val="it-IT" w:eastAsia="en-US"/>
              </w:rPr>
              <w:pPrChange w:id="9560" w:author="Author">
                <w:pPr>
                  <w:spacing w:after="120"/>
                </w:pPr>
              </w:pPrChange>
            </w:pPr>
            <w:r>
              <w:rPr>
                <w:rFonts w:eastAsia="Calibri"/>
                <w:noProof/>
                <w:sz w:val="20"/>
                <w:lang w:val="it-IT" w:eastAsia="en-US"/>
              </w:rPr>
              <w:t>C</w:t>
            </w:r>
            <w:r>
              <w:rPr>
                <w:rFonts w:eastAsia="Calibri"/>
                <w:noProof/>
                <w:sz w:val="20"/>
                <w:vertAlign w:val="subscript"/>
                <w:lang w:val="it-IT" w:eastAsia="en-US"/>
              </w:rPr>
              <w:t>mean</w:t>
            </w:r>
            <w:r>
              <w:rPr>
                <w:rFonts w:eastAsia="Calibri"/>
                <w:noProof/>
                <w:sz w:val="20"/>
                <w:lang w:val="it-IT" w:eastAsia="en-US"/>
              </w:rPr>
              <w:t xml:space="preserve"> d’accumulo o AUC</w:t>
            </w:r>
            <w:r>
              <w:rPr>
                <w:rFonts w:eastAsia="Calibri"/>
                <w:noProof/>
                <w:sz w:val="20"/>
                <w:vertAlign w:val="subscript"/>
                <w:lang w:val="it-IT" w:eastAsia="en-US"/>
              </w:rPr>
              <w:t>τ</w:t>
            </w:r>
            <w:r>
              <w:rPr>
                <w:rFonts w:eastAsia="Calibri"/>
                <w:noProof/>
                <w:sz w:val="20"/>
                <w:lang w:val="it-IT" w:eastAsia="en-US"/>
              </w:rPr>
              <w:t>*</w:t>
            </w:r>
          </w:p>
        </w:tc>
        <w:tc>
          <w:tcPr>
            <w:tcW w:w="2612" w:type="dxa"/>
            <w:tcBorders>
              <w:top w:val="single" w:sz="4" w:space="0" w:color="auto"/>
              <w:left w:val="single" w:sz="4" w:space="0" w:color="auto"/>
              <w:bottom w:val="single" w:sz="4" w:space="0" w:color="auto"/>
              <w:right w:val="single" w:sz="4" w:space="0" w:color="auto"/>
            </w:tcBorders>
            <w:tcPrChange w:id="9561" w:author="Author">
              <w:tcPr>
                <w:tcW w:w="1483"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eastAsia="en-US"/>
              </w:rPr>
              <w:pPrChange w:id="9562" w:author="Author">
                <w:pPr>
                  <w:spacing w:after="120"/>
                  <w:jc w:val="center"/>
                </w:pPr>
              </w:pPrChange>
            </w:pPr>
            <w:r>
              <w:rPr>
                <w:rFonts w:eastAsia="Calibri"/>
                <w:noProof/>
                <w:sz w:val="20"/>
                <w:lang w:val="it-IT" w:eastAsia="en-US"/>
              </w:rPr>
              <w:t>2,81</w:t>
            </w:r>
          </w:p>
        </w:tc>
        <w:tc>
          <w:tcPr>
            <w:tcW w:w="2612" w:type="dxa"/>
            <w:tcBorders>
              <w:top w:val="single" w:sz="4" w:space="0" w:color="auto"/>
              <w:left w:val="single" w:sz="4" w:space="0" w:color="auto"/>
              <w:bottom w:val="single" w:sz="4" w:space="0" w:color="auto"/>
              <w:right w:val="single" w:sz="4" w:space="0" w:color="auto"/>
            </w:tcBorders>
            <w:tcPrChange w:id="9563" w:author="Author">
              <w:tcPr>
                <w:tcW w:w="2601" w:type="dxa"/>
                <w:tcBorders>
                  <w:top w:val="single" w:sz="4" w:space="0" w:color="auto"/>
                  <w:left w:val="single" w:sz="4" w:space="0" w:color="auto"/>
                  <w:bottom w:val="single" w:sz="4" w:space="0" w:color="auto"/>
                  <w:right w:val="single" w:sz="4" w:space="0" w:color="auto"/>
                </w:tcBorders>
              </w:tcPr>
            </w:tcPrChange>
          </w:tcPr>
          <w:p>
            <w:pPr>
              <w:keepNext/>
              <w:suppressAutoHyphens/>
              <w:jc w:val="center"/>
              <w:rPr>
                <w:rFonts w:eastAsia="PMingLiU"/>
                <w:noProof/>
                <w:sz w:val="20"/>
                <w:lang w:val="it-IT" w:eastAsia="en-US"/>
              </w:rPr>
              <w:pPrChange w:id="9564" w:author="Author">
                <w:pPr>
                  <w:spacing w:after="120"/>
                  <w:jc w:val="center"/>
                </w:pPr>
              </w:pPrChange>
            </w:pPr>
            <w:r>
              <w:rPr>
                <w:rFonts w:eastAsia="Calibri"/>
                <w:noProof/>
                <w:sz w:val="20"/>
                <w:lang w:val="it-IT" w:eastAsia="en-US"/>
              </w:rPr>
              <w:t>10,91</w:t>
            </w:r>
          </w:p>
        </w:tc>
      </w:tr>
    </w:tbl>
    <w:p>
      <w:pPr>
        <w:rPr>
          <w:noProof/>
          <w:sz w:val="18"/>
          <w:szCs w:val="18"/>
          <w:lang w:val="it-IT" w:eastAsia="de-DE"/>
          <w:rPrChange w:id="9565" w:author="Author">
            <w:rPr>
              <w:lang w:val="it-IT" w:eastAsia="de-DE"/>
            </w:rPr>
          </w:rPrChange>
        </w:rPr>
      </w:pPr>
      <w:r>
        <w:rPr>
          <w:noProof/>
          <w:sz w:val="18"/>
          <w:szCs w:val="18"/>
          <w:lang w:val="it-IT" w:eastAsia="en-US"/>
        </w:rPr>
        <w:t>*τ</w:t>
      </w:r>
      <w:del w:id="9566" w:author="Author">
        <w:r>
          <w:rPr>
            <w:noProof/>
            <w:sz w:val="18"/>
            <w:szCs w:val="18"/>
            <w:lang w:val="it-IT" w:eastAsia="en-US"/>
          </w:rPr>
          <w:delText xml:space="preserve"> </w:delText>
        </w:r>
      </w:del>
      <w:ins w:id="9567" w:author="Author">
        <w:r>
          <w:rPr>
            <w:noProof/>
            <w:sz w:val="18"/>
            <w:szCs w:val="18"/>
            <w:lang w:val="it-IT" w:eastAsia="en-US"/>
          </w:rPr>
          <w:t> </w:t>
        </w:r>
      </w:ins>
      <w:r>
        <w:rPr>
          <w:noProof/>
          <w:sz w:val="18"/>
          <w:szCs w:val="18"/>
          <w:lang w:val="it-IT" w:eastAsia="en-US"/>
        </w:rPr>
        <w:t>=</w:t>
      </w:r>
      <w:ins w:id="9568" w:author="Author">
        <w:r>
          <w:rPr>
            <w:noProof/>
            <w:sz w:val="18"/>
            <w:szCs w:val="18"/>
            <w:lang w:val="it-IT" w:eastAsia="en-US"/>
          </w:rPr>
          <w:t> </w:t>
        </w:r>
      </w:ins>
      <w:del w:id="9569" w:author="Author">
        <w:r>
          <w:rPr>
            <w:noProof/>
            <w:sz w:val="18"/>
            <w:szCs w:val="18"/>
            <w:lang w:val="it-IT" w:eastAsia="en-US"/>
          </w:rPr>
          <w:delText xml:space="preserve"> </w:delText>
        </w:r>
      </w:del>
      <w:r>
        <w:rPr>
          <w:noProof/>
          <w:sz w:val="18"/>
          <w:szCs w:val="18"/>
          <w:lang w:val="it-IT" w:eastAsia="en-US"/>
        </w:rPr>
        <w:t xml:space="preserve">2 o 1 settimana per i due regimi </w:t>
      </w:r>
      <w:del w:id="9570" w:author="Author">
        <w:r>
          <w:rPr>
            <w:noProof/>
            <w:sz w:val="18"/>
            <w:szCs w:val="18"/>
            <w:lang w:val="it-IT" w:eastAsia="en-US"/>
          </w:rPr>
          <w:delText>sottocutabea</w:delText>
        </w:r>
      </w:del>
      <w:ins w:id="9571" w:author="Author">
        <w:r>
          <w:rPr>
            <w:noProof/>
            <w:sz w:val="18"/>
            <w:szCs w:val="18"/>
            <w:lang w:val="it-IT" w:eastAsia="en-US"/>
          </w:rPr>
          <w:t>sottocutanei</w:t>
        </w:r>
        <w:del w:id="9572" w:author="Author">
          <w:r>
            <w:rPr>
              <w:noProof/>
              <w:sz w:val="18"/>
              <w:szCs w:val="18"/>
              <w:lang w:val="it-IT" w:eastAsia="en-US"/>
            </w:rPr>
            <w:delText>a</w:delText>
          </w:r>
        </w:del>
      </w:ins>
    </w:p>
    <w:p>
      <w:pPr>
        <w:rPr>
          <w:noProof/>
          <w:lang w:val="it-IT" w:eastAsia="de-DE"/>
        </w:rPr>
      </w:pPr>
    </w:p>
    <w:p>
      <w:pPr>
        <w:rPr>
          <w:noProof/>
          <w:szCs w:val="22"/>
          <w:lang w:val="it-IT" w:eastAsia="en-US"/>
        </w:rPr>
      </w:pPr>
      <w:r>
        <w:rPr>
          <w:rFonts w:eastAsia="Calibri"/>
          <w:noProof/>
          <w:szCs w:val="22"/>
          <w:lang w:val="it-IT" w:eastAsia="en-US"/>
        </w:rPr>
        <w:t xml:space="preserve">Il profilo allo stato stazionario della somministrazione settimanale di tocilizumab è risultato sostanzialmente piatto, con fluttuazioni minime tra i valori minimi e massimi, mentre per </w:t>
      </w:r>
      <w:del w:id="9573" w:author="Author">
        <w:r>
          <w:rPr>
            <w:rFonts w:eastAsia="Calibri"/>
            <w:noProof/>
            <w:szCs w:val="22"/>
            <w:lang w:val="it-IT" w:eastAsia="en-US"/>
          </w:rPr>
          <w:delText>RoActemra</w:delText>
        </w:r>
      </w:del>
      <w:ins w:id="9574" w:author="Author">
        <w:r>
          <w:rPr>
            <w:rFonts w:eastAsia="Calibri"/>
            <w:noProof/>
            <w:szCs w:val="22"/>
            <w:lang w:val="it-IT" w:eastAsia="en-US"/>
          </w:rPr>
          <w:t>tocilizumab</w:t>
        </w:r>
      </w:ins>
      <w:del w:id="9575" w:author="Author">
        <w:r>
          <w:rPr>
            <w:rFonts w:eastAsia="Calibri"/>
            <w:noProof/>
            <w:szCs w:val="22"/>
            <w:lang w:val="it-IT" w:eastAsia="en-US"/>
          </w:rPr>
          <w:delText xml:space="preserve"> in</w:delText>
        </w:r>
      </w:del>
      <w:r>
        <w:rPr>
          <w:rFonts w:eastAsia="Calibri"/>
          <w:noProof/>
          <w:szCs w:val="22"/>
          <w:lang w:val="it-IT" w:eastAsia="en-US"/>
        </w:rPr>
        <w:t xml:space="preserve"> somministra</w:t>
      </w:r>
      <w:ins w:id="9576" w:author="Author">
        <w:r>
          <w:rPr>
            <w:rFonts w:eastAsia="Calibri"/>
            <w:noProof/>
            <w:szCs w:val="22"/>
            <w:lang w:val="it-IT" w:eastAsia="en-US"/>
          </w:rPr>
          <w:t>to</w:t>
        </w:r>
      </w:ins>
      <w:del w:id="9577" w:author="Author">
        <w:r>
          <w:rPr>
            <w:rFonts w:eastAsia="Calibri"/>
            <w:noProof/>
            <w:szCs w:val="22"/>
            <w:lang w:val="it-IT" w:eastAsia="en-US"/>
          </w:rPr>
          <w:delText>zione</w:delText>
        </w:r>
      </w:del>
      <w:r>
        <w:rPr>
          <w:rFonts w:eastAsia="Calibri"/>
          <w:noProof/>
          <w:szCs w:val="22"/>
          <w:lang w:val="it-IT" w:eastAsia="en-US"/>
        </w:rPr>
        <w:t xml:space="preserve"> </w:t>
      </w:r>
      <w:ins w:id="9578" w:author="Author">
        <w:r>
          <w:rPr>
            <w:rFonts w:eastAsia="Calibri"/>
            <w:noProof/>
            <w:szCs w:val="22"/>
            <w:lang w:val="it-IT" w:eastAsia="en-US"/>
          </w:rPr>
          <w:t>ogni due</w:t>
        </w:r>
      </w:ins>
      <w:del w:id="9579" w:author="Author">
        <w:r>
          <w:rPr>
            <w:rFonts w:eastAsia="Calibri"/>
            <w:noProof/>
            <w:szCs w:val="22"/>
            <w:lang w:val="it-IT" w:eastAsia="en-US"/>
          </w:rPr>
          <w:delText>a</w:delText>
        </w:r>
      </w:del>
      <w:r>
        <w:rPr>
          <w:rFonts w:eastAsia="Calibri"/>
          <w:noProof/>
          <w:szCs w:val="22"/>
          <w:lang w:val="it-IT" w:eastAsia="en-US"/>
        </w:rPr>
        <w:t xml:space="preserve"> settimane </w:t>
      </w:r>
      <w:del w:id="9580" w:author="Author">
        <w:r>
          <w:rPr>
            <w:rFonts w:eastAsia="Calibri"/>
            <w:noProof/>
            <w:szCs w:val="22"/>
            <w:lang w:val="it-IT" w:eastAsia="en-US"/>
          </w:rPr>
          <w:delText xml:space="preserve">alterne </w:delText>
        </w:r>
      </w:del>
      <w:r>
        <w:rPr>
          <w:rFonts w:eastAsia="Calibri"/>
          <w:noProof/>
          <w:szCs w:val="22"/>
          <w:lang w:val="it-IT" w:eastAsia="en-US"/>
        </w:rPr>
        <w:t>le fluttuazioni rilevate sono state considerevoli. Il 90% circa dello stato stazionario (AUC</w:t>
      </w:r>
      <w:r>
        <w:rPr>
          <w:rFonts w:eastAsia="Calibri"/>
          <w:noProof/>
          <w:szCs w:val="22"/>
          <w:vertAlign w:val="subscript"/>
          <w:lang w:val="it-IT" w:eastAsia="en-US"/>
          <w:rPrChange w:id="9581" w:author="Author">
            <w:rPr>
              <w:rFonts w:eastAsia="Calibri"/>
              <w:sz w:val="20"/>
              <w:vertAlign w:val="subscript"/>
              <w:lang w:val="it-IT" w:eastAsia="en-US"/>
            </w:rPr>
          </w:rPrChange>
        </w:rPr>
        <w:t>τ</w:t>
      </w:r>
      <w:r>
        <w:rPr>
          <w:rFonts w:eastAsia="Calibri"/>
          <w:noProof/>
          <w:szCs w:val="22"/>
          <w:lang w:val="it-IT" w:eastAsia="en-US"/>
        </w:rPr>
        <w:t xml:space="preserve">) è stato raggiunto entro la settimana 14 nel gruppo trattato </w:t>
      </w:r>
      <w:ins w:id="9582" w:author="Author">
        <w:r>
          <w:rPr>
            <w:rFonts w:eastAsia="Calibri"/>
            <w:noProof/>
            <w:szCs w:val="22"/>
            <w:lang w:val="it-IT" w:eastAsia="en-US"/>
          </w:rPr>
          <w:t>ogni due</w:t>
        </w:r>
      </w:ins>
      <w:del w:id="9583" w:author="Author">
        <w:r>
          <w:rPr>
            <w:rFonts w:eastAsia="Calibri"/>
            <w:noProof/>
            <w:szCs w:val="22"/>
            <w:lang w:val="it-IT" w:eastAsia="en-US"/>
          </w:rPr>
          <w:delText>a</w:delText>
        </w:r>
      </w:del>
      <w:r>
        <w:rPr>
          <w:rFonts w:eastAsia="Calibri"/>
          <w:noProof/>
          <w:szCs w:val="22"/>
          <w:lang w:val="it-IT" w:eastAsia="en-US"/>
        </w:rPr>
        <w:t xml:space="preserve"> settimane </w:t>
      </w:r>
      <w:del w:id="9584" w:author="Author">
        <w:r>
          <w:rPr>
            <w:rFonts w:eastAsia="Calibri"/>
            <w:noProof/>
            <w:szCs w:val="22"/>
            <w:lang w:val="it-IT" w:eastAsia="en-US"/>
          </w:rPr>
          <w:delText xml:space="preserve">alterne </w:delText>
        </w:r>
      </w:del>
      <w:r>
        <w:rPr>
          <w:rFonts w:eastAsia="Calibri"/>
          <w:noProof/>
          <w:szCs w:val="22"/>
          <w:lang w:val="it-IT" w:eastAsia="en-US"/>
        </w:rPr>
        <w:t xml:space="preserve">ed entro la settimana 17 nel gruppo </w:t>
      </w:r>
      <w:del w:id="9585" w:author="Author">
        <w:r>
          <w:rPr>
            <w:rFonts w:eastAsia="Calibri"/>
            <w:noProof/>
            <w:szCs w:val="22"/>
            <w:lang w:val="it-IT" w:eastAsia="en-US"/>
          </w:rPr>
          <w:delText xml:space="preserve">in </w:delText>
        </w:r>
      </w:del>
      <w:r>
        <w:rPr>
          <w:rFonts w:eastAsia="Calibri"/>
          <w:noProof/>
          <w:szCs w:val="22"/>
          <w:lang w:val="it-IT" w:eastAsia="en-US"/>
        </w:rPr>
        <w:t>tratta</w:t>
      </w:r>
      <w:ins w:id="9586" w:author="Author">
        <w:r>
          <w:rPr>
            <w:rFonts w:eastAsia="Calibri"/>
            <w:noProof/>
            <w:szCs w:val="22"/>
            <w:lang w:val="it-IT" w:eastAsia="en-US"/>
          </w:rPr>
          <w:t>to</w:t>
        </w:r>
      </w:ins>
      <w:del w:id="9587" w:author="Author">
        <w:r>
          <w:rPr>
            <w:rFonts w:eastAsia="Calibri"/>
            <w:noProof/>
            <w:szCs w:val="22"/>
            <w:lang w:val="it-IT" w:eastAsia="en-US"/>
          </w:rPr>
          <w:delText>mento</w:delText>
        </w:r>
      </w:del>
      <w:r>
        <w:rPr>
          <w:rFonts w:eastAsia="Calibri"/>
          <w:noProof/>
          <w:szCs w:val="22"/>
          <w:lang w:val="it-IT" w:eastAsia="en-US"/>
        </w:rPr>
        <w:t xml:space="preserve"> </w:t>
      </w:r>
      <w:ins w:id="9588" w:author="Author">
        <w:r>
          <w:rPr>
            <w:rFonts w:eastAsia="Calibri"/>
            <w:noProof/>
            <w:szCs w:val="22"/>
            <w:lang w:val="it-IT" w:eastAsia="en-US"/>
          </w:rPr>
          <w:t xml:space="preserve">una volta a </w:t>
        </w:r>
      </w:ins>
      <w:r>
        <w:rPr>
          <w:rFonts w:eastAsia="Calibri"/>
          <w:noProof/>
          <w:szCs w:val="22"/>
          <w:lang w:val="it-IT" w:eastAsia="en-US"/>
        </w:rPr>
        <w:t>settimana</w:t>
      </w:r>
      <w:del w:id="9589" w:author="Author">
        <w:r>
          <w:rPr>
            <w:rFonts w:eastAsia="Calibri"/>
            <w:noProof/>
            <w:szCs w:val="22"/>
            <w:lang w:val="it-IT" w:eastAsia="en-US"/>
          </w:rPr>
          <w:delText>le</w:delText>
        </w:r>
      </w:del>
      <w:r>
        <w:rPr>
          <w:rFonts w:eastAsia="Calibri"/>
          <w:noProof/>
          <w:szCs w:val="22"/>
          <w:lang w:val="it-IT" w:eastAsia="en-US"/>
        </w:rPr>
        <w:t>.</w:t>
      </w:r>
    </w:p>
    <w:p>
      <w:pPr>
        <w:rPr>
          <w:noProof/>
          <w:lang w:val="it-IT" w:eastAsia="de-DE"/>
        </w:rPr>
      </w:pPr>
    </w:p>
    <w:p>
      <w:pPr>
        <w:kinsoku w:val="0"/>
        <w:overflowPunct w:val="0"/>
        <w:textAlignment w:val="baseline"/>
        <w:rPr>
          <w:rFonts w:eastAsia="Calibri"/>
          <w:i/>
          <w:iCs/>
          <w:noProof/>
          <w:color w:val="0070C0"/>
          <w:szCs w:val="22"/>
          <w:shd w:val="clear" w:color="auto" w:fill="FFFFFF"/>
          <w:lang w:val="it-IT" w:eastAsia="en-US"/>
          <w:rPrChange w:id="9590" w:author="Author">
            <w:rPr>
              <w:rFonts w:ascii="Imago" w:eastAsia="Calibri" w:hAnsi="Imago"/>
              <w:i/>
              <w:iCs/>
              <w:color w:val="0070C0"/>
              <w:shd w:val="clear" w:color="auto" w:fill="FFFFFF"/>
              <w:lang w:val="it-IT" w:eastAsia="en-US"/>
            </w:rPr>
          </w:rPrChange>
        </w:rPr>
      </w:pPr>
      <w:r>
        <w:rPr>
          <w:rFonts w:eastAsia="Calibri"/>
          <w:noProof/>
          <w:szCs w:val="24"/>
          <w:lang w:val="it-IT" w:eastAsia="en-US"/>
        </w:rPr>
        <w:t>Sulla base dell’attuale caratterizzazione della PK, in questa popolazione si osservano concentrazioni minime allo stato stazionario di tocilizumab più elevate del 50% rispetto alle concentrazioni medie rilevate nel più ampio set di dati della popolazione con AR. Tali differenze sono ascrivibili a ragioni non note</w:t>
      </w:r>
      <w:r>
        <w:rPr>
          <w:rFonts w:eastAsia="Calibri"/>
          <w:noProof/>
          <w:szCs w:val="22"/>
          <w:lang w:val="it-IT" w:eastAsia="en-US"/>
        </w:rPr>
        <w:t xml:space="preserve">. Le differenze di PK non si associano a differenze marcate dei parametri di PD e pertanto la loro rilevanza clinica non è nota. </w:t>
      </w:r>
    </w:p>
    <w:p>
      <w:pPr>
        <w:kinsoku w:val="0"/>
        <w:overflowPunct w:val="0"/>
        <w:textAlignment w:val="baseline"/>
        <w:rPr>
          <w:iCs/>
          <w:noProof/>
          <w:szCs w:val="22"/>
          <w:shd w:val="clear" w:color="auto" w:fill="FFFFFF"/>
          <w:lang w:val="it-IT"/>
          <w:rPrChange w:id="9591" w:author="Author">
            <w:rPr>
              <w:rFonts w:ascii="Imago" w:hAnsi="Imago"/>
              <w:iCs/>
              <w:shd w:val="clear" w:color="auto" w:fill="FFFFFF"/>
              <w:lang w:val="it-IT"/>
            </w:rPr>
          </w:rPrChange>
        </w:rPr>
      </w:pPr>
    </w:p>
    <w:p>
      <w:pPr>
        <w:keepNext/>
        <w:keepLines/>
        <w:widowControl w:val="0"/>
        <w:kinsoku w:val="0"/>
        <w:overflowPunct w:val="0"/>
        <w:textAlignment w:val="baseline"/>
        <w:rPr>
          <w:noProof/>
          <w:szCs w:val="22"/>
          <w:lang w:val="it-IT" w:eastAsia="en-US"/>
        </w:rPr>
      </w:pPr>
      <w:r>
        <w:rPr>
          <w:rFonts w:eastAsia="Calibri"/>
          <w:iCs/>
          <w:noProof/>
          <w:shd w:val="clear" w:color="auto" w:fill="FFFFFF"/>
          <w:lang w:val="it-IT" w:eastAsia="en-US"/>
        </w:rPr>
        <w:t xml:space="preserve">Nei pazienti affetti da ACG </w:t>
      </w:r>
      <w:del w:id="9592" w:author="Author">
        <w:r>
          <w:rPr>
            <w:rFonts w:eastAsia="Calibri"/>
            <w:iCs/>
            <w:noProof/>
            <w:shd w:val="clear" w:color="auto" w:fill="FFFFFF"/>
            <w:lang w:val="it-IT" w:eastAsia="en-US"/>
          </w:rPr>
          <w:delText xml:space="preserve">si </w:delText>
        </w:r>
      </w:del>
      <w:r>
        <w:rPr>
          <w:rFonts w:eastAsia="Calibri"/>
          <w:iCs/>
          <w:noProof/>
          <w:shd w:val="clear" w:color="auto" w:fill="FFFFFF"/>
          <w:lang w:val="it-IT" w:eastAsia="en-US"/>
        </w:rPr>
        <w:t xml:space="preserve">è </w:t>
      </w:r>
      <w:ins w:id="9593" w:author="Author">
        <w:r>
          <w:rPr>
            <w:rFonts w:eastAsia="Calibri"/>
            <w:iCs/>
            <w:noProof/>
            <w:shd w:val="clear" w:color="auto" w:fill="FFFFFF"/>
            <w:lang w:val="it-IT" w:eastAsia="en-US"/>
          </w:rPr>
          <w:t>stata</w:t>
        </w:r>
      </w:ins>
      <w:r>
        <w:rPr>
          <w:rFonts w:eastAsia="Calibri"/>
          <w:iCs/>
          <w:noProof/>
          <w:shd w:val="clear" w:color="auto" w:fill="FFFFFF"/>
          <w:lang w:val="it-IT" w:eastAsia="en-US"/>
        </w:rPr>
        <w:t>osservata un’esposizione più elevata in pazienti con peso corporeo inferiore.</w:t>
      </w:r>
      <w:ins w:id="9594" w:author="Author">
        <w:r>
          <w:rPr>
            <w:rFonts w:eastAsia="Calibri"/>
            <w:iCs/>
            <w:noProof/>
            <w:shd w:val="clear" w:color="auto" w:fill="FFFFFF"/>
            <w:lang w:val="it-IT" w:eastAsia="en-US"/>
          </w:rPr>
          <w:t xml:space="preserve"> </w:t>
        </w:r>
      </w:ins>
      <w:del w:id="9595" w:author="Author">
        <w:r>
          <w:rPr>
            <w:rFonts w:eastAsia="Calibri"/>
            <w:iCs/>
            <w:noProof/>
            <w:shd w:val="clear" w:color="auto" w:fill="FFFFFF"/>
            <w:lang w:val="it-IT" w:eastAsia="en-US"/>
          </w:rPr>
          <w:delText> </w:delText>
        </w:r>
      </w:del>
      <w:r>
        <w:rPr>
          <w:rFonts w:eastAsia="Calibri"/>
          <w:iCs/>
          <w:noProof/>
          <w:shd w:val="clear" w:color="auto" w:fill="FFFFFF"/>
          <w:lang w:val="it-IT" w:eastAsia="en-US"/>
        </w:rPr>
        <w:t>Per lo schema posologico da 162 mg una volta alla settimana, lo stato stazionario C</w:t>
      </w:r>
      <w:r>
        <w:rPr>
          <w:rFonts w:eastAsia="Calibri"/>
          <w:iCs/>
          <w:noProof/>
          <w:shd w:val="clear" w:color="auto" w:fill="FFFFFF"/>
          <w:vertAlign w:val="subscript"/>
          <w:lang w:val="it-IT" w:eastAsia="en-US"/>
          <w:rPrChange w:id="9596" w:author="Author">
            <w:rPr>
              <w:rFonts w:eastAsia="Calibri"/>
              <w:iCs/>
              <w:shd w:val="clear" w:color="auto" w:fill="FFFFFF"/>
              <w:lang w:val="it-IT" w:eastAsia="en-US"/>
            </w:rPr>
          </w:rPrChange>
        </w:rPr>
        <w:t>av</w:t>
      </w:r>
      <w:r>
        <w:rPr>
          <w:rFonts w:eastAsia="Calibri"/>
          <w:iCs/>
          <w:noProof/>
          <w:shd w:val="clear" w:color="auto" w:fill="FFFFFF"/>
          <w:lang w:val="it-IT" w:eastAsia="en-US"/>
        </w:rPr>
        <w:t xml:space="preserve"> è stato più elevato (del 51%) in pazienti con peso corporeo inferiore a 60 kg rispetto a pazienti con peso compreso tra 60 e 100 kg. Per lo schema posologico da 162 mg ogni due settimane, lo stato stazionario C</w:t>
      </w:r>
      <w:r>
        <w:rPr>
          <w:rFonts w:eastAsia="Calibri"/>
          <w:iCs/>
          <w:noProof/>
          <w:shd w:val="clear" w:color="auto" w:fill="FFFFFF"/>
          <w:vertAlign w:val="subscript"/>
          <w:lang w:val="it-IT" w:eastAsia="en-US"/>
          <w:rPrChange w:id="9597" w:author="Author">
            <w:rPr>
              <w:rFonts w:eastAsia="Calibri"/>
              <w:iCs/>
              <w:shd w:val="clear" w:color="auto" w:fill="FFFFFF"/>
              <w:lang w:val="it-IT" w:eastAsia="en-US"/>
            </w:rPr>
          </w:rPrChange>
        </w:rPr>
        <w:t>av</w:t>
      </w:r>
      <w:r>
        <w:rPr>
          <w:rFonts w:eastAsia="Calibri"/>
          <w:iCs/>
          <w:noProof/>
          <w:shd w:val="clear" w:color="auto" w:fill="FFFFFF"/>
          <w:lang w:val="it-IT" w:eastAsia="en-US"/>
        </w:rPr>
        <w:t xml:space="preserve"> è stato più elevato (del 129%) in pazienti con peso corporeo inferiore a 60 kg rispetto a pazienti con peso compreso tra 60 e 100 kg. Sono disponibili dati limitati su pazienti con peso superiore a 100 kg (n</w:t>
      </w:r>
      <w:ins w:id="9598" w:author="Author">
        <w:r>
          <w:rPr>
            <w:rFonts w:eastAsia="Calibri"/>
            <w:iCs/>
            <w:noProof/>
            <w:shd w:val="clear" w:color="auto" w:fill="FFFFFF"/>
            <w:lang w:val="it-IT" w:eastAsia="en-US"/>
          </w:rPr>
          <w:t> </w:t>
        </w:r>
      </w:ins>
      <w:r>
        <w:rPr>
          <w:rFonts w:eastAsia="Calibri"/>
          <w:iCs/>
          <w:noProof/>
          <w:shd w:val="clear" w:color="auto" w:fill="FFFFFF"/>
          <w:lang w:val="it-IT" w:eastAsia="en-US"/>
        </w:rPr>
        <w:t>=</w:t>
      </w:r>
      <w:ins w:id="9599" w:author="Author">
        <w:r>
          <w:rPr>
            <w:rFonts w:eastAsia="Calibri"/>
            <w:iCs/>
            <w:noProof/>
            <w:shd w:val="clear" w:color="auto" w:fill="FFFFFF"/>
            <w:lang w:val="it-IT" w:eastAsia="en-US"/>
          </w:rPr>
          <w:t> </w:t>
        </w:r>
      </w:ins>
      <w:r>
        <w:rPr>
          <w:rFonts w:eastAsia="Calibri"/>
          <w:iCs/>
          <w:noProof/>
          <w:shd w:val="clear" w:color="auto" w:fill="FFFFFF"/>
          <w:lang w:val="it-IT" w:eastAsia="en-US"/>
        </w:rPr>
        <w:t>7).</w:t>
      </w:r>
    </w:p>
    <w:p>
      <w:pPr>
        <w:rPr>
          <w:rFonts w:eastAsia="SimSun"/>
          <w:noProof/>
          <w:szCs w:val="24"/>
          <w:lang w:val="it-IT" w:eastAsia="zh-CN"/>
        </w:rPr>
      </w:pPr>
    </w:p>
    <w:p>
      <w:pPr>
        <w:keepNext/>
        <w:keepLines/>
        <w:rPr>
          <w:del w:id="9600" w:author="Author"/>
          <w:i/>
          <w:iCs/>
          <w:noProof/>
          <w:u w:val="single"/>
          <w:lang w:val="it-IT" w:eastAsia="en-US"/>
          <w:rPrChange w:id="9601" w:author="Author">
            <w:rPr>
              <w:del w:id="9602" w:author="Author"/>
              <w:u w:val="single"/>
              <w:lang w:val="it-IT" w:eastAsia="en-US"/>
            </w:rPr>
          </w:rPrChange>
        </w:rPr>
      </w:pPr>
      <w:r>
        <w:rPr>
          <w:rFonts w:eastAsia="Calibri"/>
          <w:i/>
          <w:iCs/>
          <w:noProof/>
          <w:u w:val="single"/>
          <w:lang w:val="it-IT" w:eastAsia="en-US"/>
          <w:rPrChange w:id="9603" w:author="Author">
            <w:rPr>
              <w:rFonts w:eastAsia="Calibri"/>
              <w:u w:val="single"/>
              <w:lang w:val="it-IT" w:eastAsia="en-US"/>
            </w:rPr>
          </w:rPrChange>
        </w:rPr>
        <w:t>Assorbimento</w:t>
      </w:r>
    </w:p>
    <w:p>
      <w:pPr>
        <w:keepNext/>
        <w:keepLines/>
        <w:rPr>
          <w:noProof/>
          <w:u w:val="single"/>
          <w:lang w:val="it-IT" w:eastAsia="de-DE"/>
        </w:rPr>
      </w:pPr>
    </w:p>
    <w:p>
      <w:pPr>
        <w:keepNext/>
        <w:keepLines/>
        <w:rPr>
          <w:rFonts w:eastAsia="Calibri"/>
          <w:iCs/>
          <w:noProof/>
          <w:lang w:val="it-IT" w:eastAsia="en-US"/>
        </w:rPr>
      </w:pPr>
      <w:r>
        <w:rPr>
          <w:rFonts w:eastAsia="Calibri"/>
          <w:iCs/>
          <w:noProof/>
          <w:lang w:val="it-IT" w:eastAsia="en-US"/>
        </w:rPr>
        <w:t>In seguito a somministrazione sottocutanea in pazienti con ACG, il t</w:t>
      </w:r>
      <w:r>
        <w:rPr>
          <w:rFonts w:eastAsia="Calibri"/>
          <w:iCs/>
          <w:noProof/>
          <w:vertAlign w:val="subscript"/>
          <w:lang w:val="it-IT" w:eastAsia="en-US"/>
        </w:rPr>
        <w:t>½</w:t>
      </w:r>
      <w:r>
        <w:rPr>
          <w:rFonts w:eastAsia="Calibri"/>
          <w:iCs/>
          <w:noProof/>
          <w:lang w:val="it-IT" w:eastAsia="en-US"/>
        </w:rPr>
        <w:t xml:space="preserve"> di assorbimento è stato raggiunto intorno ai 4 giorni. La biodisponibilità della formulazione sottocutanea è stata di 0,8. I valori mediani di T</w:t>
      </w:r>
      <w:r>
        <w:rPr>
          <w:rFonts w:eastAsia="Calibri"/>
          <w:iCs/>
          <w:noProof/>
          <w:vertAlign w:val="subscript"/>
          <w:lang w:val="it-IT" w:eastAsia="en-US"/>
        </w:rPr>
        <w:t>max</w:t>
      </w:r>
      <w:r>
        <w:rPr>
          <w:rFonts w:eastAsia="Calibri"/>
          <w:iCs/>
          <w:noProof/>
          <w:lang w:val="it-IT" w:eastAsia="en-US"/>
        </w:rPr>
        <w:t xml:space="preserve"> sono stati raggiunti 3 giorni dopo la somministrazione della dose settimanale di </w:t>
      </w:r>
      <w:r>
        <w:rPr>
          <w:noProof/>
          <w:lang w:val="it-IT" w:eastAsia="de-DE"/>
        </w:rPr>
        <w:t>tocilizumab</w:t>
      </w:r>
      <w:r>
        <w:rPr>
          <w:rFonts w:eastAsia="Calibri"/>
          <w:noProof/>
          <w:lang w:val="it-IT" w:eastAsia="en-US"/>
        </w:rPr>
        <w:t xml:space="preserve"> </w:t>
      </w:r>
      <w:r>
        <w:rPr>
          <w:rFonts w:eastAsia="Calibri"/>
          <w:iCs/>
          <w:noProof/>
          <w:lang w:val="it-IT" w:eastAsia="en-US"/>
        </w:rPr>
        <w:t xml:space="preserve">e 4,5 giorni dopo la somministrazione della dose di tocilizumab </w:t>
      </w:r>
      <w:ins w:id="9604" w:author="Author">
        <w:r>
          <w:rPr>
            <w:rFonts w:eastAsia="Calibri"/>
            <w:iCs/>
            <w:noProof/>
            <w:lang w:val="it-IT" w:eastAsia="en-US"/>
          </w:rPr>
          <w:t>ogmi due</w:t>
        </w:r>
      </w:ins>
      <w:del w:id="9605" w:author="Author">
        <w:r>
          <w:rPr>
            <w:rFonts w:eastAsia="Calibri"/>
            <w:iCs/>
            <w:noProof/>
            <w:lang w:val="it-IT" w:eastAsia="en-US"/>
          </w:rPr>
          <w:delText>a</w:delText>
        </w:r>
      </w:del>
      <w:r>
        <w:rPr>
          <w:rFonts w:eastAsia="Calibri"/>
          <w:iCs/>
          <w:noProof/>
          <w:lang w:val="it-IT" w:eastAsia="en-US"/>
        </w:rPr>
        <w:t xml:space="preserve"> settimane</w:t>
      </w:r>
      <w:del w:id="9606" w:author="Author">
        <w:r>
          <w:rPr>
            <w:rFonts w:eastAsia="Calibri"/>
            <w:iCs/>
            <w:noProof/>
            <w:lang w:val="it-IT" w:eastAsia="en-US"/>
          </w:rPr>
          <w:delText xml:space="preserve"> alterne</w:delText>
        </w:r>
      </w:del>
      <w:r>
        <w:rPr>
          <w:rFonts w:eastAsia="Calibri"/>
          <w:iCs/>
          <w:noProof/>
          <w:lang w:val="it-IT" w:eastAsia="en-US"/>
        </w:rPr>
        <w:t>.</w:t>
      </w:r>
    </w:p>
    <w:p>
      <w:pPr>
        <w:rPr>
          <w:iCs/>
          <w:noProof/>
          <w:lang w:val="it-IT" w:eastAsia="de-DE"/>
        </w:rPr>
      </w:pPr>
    </w:p>
    <w:p>
      <w:pPr>
        <w:keepNext/>
        <w:keepLines/>
        <w:rPr>
          <w:del w:id="9607" w:author="Author"/>
          <w:i/>
          <w:iCs/>
          <w:noProof/>
          <w:u w:val="single"/>
          <w:lang w:val="it-IT" w:eastAsia="en-US"/>
          <w:rPrChange w:id="9608" w:author="Author">
            <w:rPr>
              <w:del w:id="9609" w:author="Author"/>
              <w:u w:val="single"/>
              <w:lang w:val="it-IT" w:eastAsia="en-US"/>
            </w:rPr>
          </w:rPrChange>
        </w:rPr>
        <w:pPrChange w:id="9610" w:author="TCS" w:date="2026-03-20T13:55:00Z">
          <w:pPr/>
        </w:pPrChange>
      </w:pPr>
      <w:r>
        <w:rPr>
          <w:rFonts w:eastAsia="Calibri"/>
          <w:i/>
          <w:iCs/>
          <w:noProof/>
          <w:u w:val="single"/>
          <w:lang w:val="it-IT" w:eastAsia="en-US"/>
          <w:rPrChange w:id="9611" w:author="Author">
            <w:rPr>
              <w:rFonts w:eastAsia="Calibri"/>
              <w:u w:val="single"/>
              <w:lang w:val="it-IT" w:eastAsia="en-US"/>
            </w:rPr>
          </w:rPrChange>
        </w:rPr>
        <w:lastRenderedPageBreak/>
        <w:t>Distribuzione</w:t>
      </w:r>
    </w:p>
    <w:p>
      <w:pPr>
        <w:keepNext/>
        <w:keepLines/>
        <w:rPr>
          <w:noProof/>
          <w:u w:val="single"/>
          <w:lang w:val="it-IT" w:eastAsia="de-DE"/>
        </w:rPr>
        <w:pPrChange w:id="9612" w:author="TCS" w:date="2026-03-20T13:55:00Z">
          <w:pPr/>
        </w:pPrChange>
      </w:pPr>
    </w:p>
    <w:p>
      <w:pPr>
        <w:keepNext/>
        <w:keepLines/>
        <w:rPr>
          <w:noProof/>
          <w:lang w:val="it-IT" w:eastAsia="en-US"/>
        </w:rPr>
        <w:pPrChange w:id="9613" w:author="TCS" w:date="2026-03-20T13:55:00Z">
          <w:pPr/>
        </w:pPrChange>
      </w:pPr>
      <w:r>
        <w:rPr>
          <w:rFonts w:eastAsia="Calibri"/>
          <w:noProof/>
          <w:lang w:val="it-IT" w:eastAsia="en-US"/>
        </w:rPr>
        <w:t>In pazienti con ACG, il volume di distribuzione centrale è stato di 4,09 L, il volume di distribuzione periferico è stato di 3,37 L, e di conseguenza il volume di distribuzione in stato stazionario è stato di 7,46 L.</w:t>
      </w:r>
    </w:p>
    <w:p>
      <w:pPr>
        <w:keepNext/>
        <w:keepLines/>
        <w:rPr>
          <w:noProof/>
          <w:lang w:val="it-IT" w:eastAsia="de-DE"/>
        </w:rPr>
        <w:pPrChange w:id="9614" w:author="TCS" w:date="2026-03-20T13:55:00Z">
          <w:pPr/>
        </w:pPrChange>
      </w:pPr>
    </w:p>
    <w:p>
      <w:pPr>
        <w:keepNext/>
        <w:keepLines/>
        <w:rPr>
          <w:del w:id="9615" w:author="Author"/>
          <w:i/>
          <w:iCs/>
          <w:noProof/>
          <w:u w:val="single"/>
          <w:lang w:val="it-IT" w:eastAsia="en-US"/>
          <w:rPrChange w:id="9616" w:author="Author">
            <w:rPr>
              <w:del w:id="9617" w:author="Author"/>
              <w:u w:val="single"/>
              <w:lang w:val="it-IT" w:eastAsia="en-US"/>
            </w:rPr>
          </w:rPrChange>
        </w:rPr>
      </w:pPr>
      <w:r>
        <w:rPr>
          <w:rFonts w:eastAsia="Calibri"/>
          <w:i/>
          <w:iCs/>
          <w:noProof/>
          <w:u w:val="single"/>
          <w:lang w:val="it-IT" w:eastAsia="en-US"/>
          <w:rPrChange w:id="9618" w:author="Author">
            <w:rPr>
              <w:rFonts w:eastAsia="Calibri"/>
              <w:u w:val="single"/>
              <w:lang w:val="it-IT" w:eastAsia="en-US"/>
            </w:rPr>
          </w:rPrChange>
        </w:rPr>
        <w:t>Eliminazione</w:t>
      </w:r>
    </w:p>
    <w:p>
      <w:pPr>
        <w:keepNext/>
        <w:keepLines/>
        <w:rPr>
          <w:noProof/>
          <w:u w:val="single"/>
          <w:lang w:val="it-IT" w:eastAsia="de-DE"/>
        </w:rPr>
      </w:pPr>
    </w:p>
    <w:p>
      <w:pPr>
        <w:keepNext/>
        <w:keepLines/>
        <w:rPr>
          <w:noProof/>
          <w:lang w:val="it-IT" w:eastAsia="en-US"/>
        </w:rPr>
      </w:pPr>
      <w:r>
        <w:rPr>
          <w:rFonts w:eastAsia="Calibri"/>
          <w:noProof/>
          <w:lang w:val="it-IT" w:eastAsia="en-US"/>
        </w:rPr>
        <w:t xml:space="preserve">La clearance totale di </w:t>
      </w:r>
      <w:r>
        <w:rPr>
          <w:noProof/>
          <w:lang w:val="it-IT" w:eastAsia="de-DE"/>
        </w:rPr>
        <w:t>tocilizumab</w:t>
      </w:r>
      <w:r>
        <w:rPr>
          <w:rFonts w:eastAsia="Calibri"/>
          <w:noProof/>
          <w:lang w:val="it-IT" w:eastAsia="en-US"/>
        </w:rPr>
        <w:t xml:space="preserve"> è risultata dipendente dalla concentrazione e costituita dalla somma della clearance lineare e della clearance non lineare. La clearance lineare è stata stimata come parametro nell’analisi della farmacocinetica di popolazione ed è risultata pari a 6,7 mL/h nei pazienti con ACG.</w:t>
      </w:r>
    </w:p>
    <w:p>
      <w:pPr>
        <w:rPr>
          <w:noProof/>
          <w:lang w:val="it-IT"/>
        </w:rPr>
      </w:pPr>
    </w:p>
    <w:p>
      <w:pPr>
        <w:rPr>
          <w:noProof/>
          <w:lang w:val="it-IT" w:eastAsia="en-US"/>
        </w:rPr>
      </w:pPr>
      <w:r>
        <w:rPr>
          <w:rFonts w:eastAsia="Calibri"/>
          <w:noProof/>
          <w:lang w:val="it-IT" w:eastAsia="en-US"/>
        </w:rPr>
        <w:t>Nei pazienti con ACG, allo stato stazionario, il t</w:t>
      </w:r>
      <w:r>
        <w:rPr>
          <w:rFonts w:eastAsia="Calibri"/>
          <w:noProof/>
          <w:vertAlign w:val="subscript"/>
          <w:lang w:val="it-IT" w:eastAsia="en-US"/>
          <w:rPrChange w:id="9619" w:author="Author">
            <w:rPr>
              <w:rFonts w:eastAsia="Calibri"/>
              <w:lang w:val="it-IT" w:eastAsia="en-US"/>
            </w:rPr>
          </w:rPrChange>
        </w:rPr>
        <w:t>½</w:t>
      </w:r>
      <w:r>
        <w:rPr>
          <w:rFonts w:eastAsia="Calibri"/>
          <w:noProof/>
          <w:lang w:val="it-IT" w:eastAsia="en-US"/>
        </w:rPr>
        <w:t xml:space="preserve"> effettivo di </w:t>
      </w:r>
      <w:r>
        <w:rPr>
          <w:noProof/>
          <w:lang w:val="it-IT" w:eastAsia="de-DE"/>
        </w:rPr>
        <w:t>tocilizumab</w:t>
      </w:r>
      <w:r>
        <w:rPr>
          <w:rFonts w:eastAsia="Calibri"/>
          <w:noProof/>
          <w:lang w:val="it-IT" w:eastAsia="en-US"/>
        </w:rPr>
        <w:t xml:space="preserve"> ha oscillato tra 18,3 e 18,9 giorni per il regime settimanale da 162 mg, e tra 4,2 e 7,9 giorni per il regime </w:t>
      </w:r>
      <w:ins w:id="9620" w:author="Author">
        <w:r>
          <w:rPr>
            <w:rFonts w:eastAsia="Calibri"/>
            <w:noProof/>
            <w:lang w:val="it-IT" w:eastAsia="en-US"/>
          </w:rPr>
          <w:t>ogni due</w:t>
        </w:r>
      </w:ins>
      <w:del w:id="9621" w:author="Author">
        <w:r>
          <w:rPr>
            <w:rFonts w:eastAsia="Calibri"/>
            <w:noProof/>
            <w:lang w:val="it-IT" w:eastAsia="en-US"/>
          </w:rPr>
          <w:delText>a</w:delText>
        </w:r>
      </w:del>
      <w:r>
        <w:rPr>
          <w:rFonts w:eastAsia="Calibri"/>
          <w:noProof/>
          <w:lang w:val="it-IT" w:eastAsia="en-US"/>
        </w:rPr>
        <w:t xml:space="preserve"> settimane </w:t>
      </w:r>
      <w:del w:id="9622" w:author="Author">
        <w:r>
          <w:rPr>
            <w:rFonts w:eastAsia="Calibri"/>
            <w:noProof/>
            <w:lang w:val="it-IT" w:eastAsia="en-US"/>
          </w:rPr>
          <w:delText xml:space="preserve">alterne </w:delText>
        </w:r>
      </w:del>
      <w:r>
        <w:rPr>
          <w:rFonts w:eastAsia="Calibri"/>
          <w:noProof/>
          <w:lang w:val="it-IT" w:eastAsia="en-US"/>
        </w:rPr>
        <w:t xml:space="preserve">da 162 mg. A concentrazioni sieriche elevate, quando la clearance totale di </w:t>
      </w:r>
      <w:r>
        <w:rPr>
          <w:noProof/>
          <w:lang w:val="it-IT" w:eastAsia="de-DE"/>
        </w:rPr>
        <w:t>tocilizumab</w:t>
      </w:r>
      <w:r>
        <w:rPr>
          <w:rFonts w:eastAsia="Calibri"/>
          <w:noProof/>
          <w:lang w:val="it-IT" w:eastAsia="en-US"/>
        </w:rPr>
        <w:t xml:space="preserve"> è dominata dalla clearance lineare, dalle stime dei parametri di popolazione è stato ricavato un t</w:t>
      </w:r>
      <w:r>
        <w:rPr>
          <w:rFonts w:eastAsia="Calibri"/>
          <w:noProof/>
          <w:vertAlign w:val="subscript"/>
          <w:lang w:val="it-IT" w:eastAsia="en-US"/>
        </w:rPr>
        <w:t>½</w:t>
      </w:r>
      <w:r>
        <w:rPr>
          <w:rFonts w:eastAsia="Calibri"/>
          <w:noProof/>
          <w:lang w:val="it-IT" w:eastAsia="en-US"/>
        </w:rPr>
        <w:t xml:space="preserve"> effettivo di circa 32 giorni.</w:t>
      </w:r>
    </w:p>
    <w:p>
      <w:pPr>
        <w:numPr>
          <w:ilvl w:val="12"/>
          <w:numId w:val="0"/>
        </w:numPr>
        <w:ind w:right="-2"/>
        <w:rPr>
          <w:iCs/>
          <w:noProof/>
          <w:szCs w:val="22"/>
          <w:lang w:val="it-IT"/>
        </w:rPr>
      </w:pPr>
    </w:p>
    <w:p>
      <w:pPr>
        <w:ind w:left="567" w:hanging="567"/>
        <w:outlineLvl w:val="0"/>
        <w:rPr>
          <w:ins w:id="9623" w:author="Author"/>
          <w:rFonts w:eastAsia="Calibri"/>
          <w:noProof/>
          <w:szCs w:val="22"/>
          <w:u w:val="single"/>
          <w:lang w:val="it-IT" w:eastAsia="en-US"/>
        </w:rPr>
      </w:pPr>
      <w:r>
        <w:rPr>
          <w:rFonts w:eastAsia="Calibri"/>
          <w:noProof/>
          <w:szCs w:val="22"/>
          <w:u w:val="single"/>
          <w:lang w:val="it-IT" w:eastAsia="en-US"/>
        </w:rPr>
        <w:t xml:space="preserve">Popolazioni </w:t>
      </w:r>
      <w:del w:id="9624" w:author="Author">
        <w:r>
          <w:rPr>
            <w:rFonts w:eastAsia="Calibri"/>
            <w:noProof/>
            <w:szCs w:val="22"/>
            <w:u w:val="single"/>
            <w:lang w:val="it-IT" w:eastAsia="en-US"/>
          </w:rPr>
          <w:delText>particolari</w:delText>
        </w:r>
      </w:del>
      <w:ins w:id="9625" w:author="Author">
        <w:r>
          <w:rPr>
            <w:rFonts w:eastAsia="Calibri"/>
            <w:noProof/>
            <w:szCs w:val="22"/>
            <w:u w:val="single"/>
            <w:lang w:val="it-IT" w:eastAsia="en-US"/>
          </w:rPr>
          <w:t>speciali</w:t>
        </w:r>
      </w:ins>
    </w:p>
    <w:p>
      <w:pPr>
        <w:ind w:left="567" w:hanging="567"/>
        <w:outlineLvl w:val="0"/>
        <w:rPr>
          <w:noProof/>
          <w:szCs w:val="22"/>
          <w:u w:val="single"/>
          <w:lang w:val="it-IT" w:eastAsia="en-US"/>
        </w:rPr>
      </w:pPr>
    </w:p>
    <w:p>
      <w:pPr>
        <w:numPr>
          <w:ilvl w:val="12"/>
          <w:numId w:val="0"/>
        </w:numPr>
        <w:ind w:right="-2"/>
        <w:rPr>
          <w:rFonts w:eastAsia="Calibri"/>
          <w:i/>
          <w:iCs/>
          <w:noProof/>
          <w:szCs w:val="22"/>
          <w:lang w:val="it-IT" w:eastAsia="en-US"/>
        </w:rPr>
      </w:pPr>
      <w:r>
        <w:rPr>
          <w:rFonts w:eastAsia="Calibri"/>
          <w:i/>
          <w:iCs/>
          <w:noProof/>
          <w:szCs w:val="22"/>
          <w:lang w:val="it-IT" w:eastAsia="en-US"/>
        </w:rPr>
        <w:t>Compromissione renale</w:t>
      </w:r>
    </w:p>
    <w:p>
      <w:pPr>
        <w:numPr>
          <w:ilvl w:val="12"/>
          <w:numId w:val="0"/>
        </w:numPr>
        <w:ind w:right="-2"/>
        <w:rPr>
          <w:iCs/>
          <w:noProof/>
          <w:szCs w:val="22"/>
          <w:lang w:val="it-IT"/>
        </w:rPr>
      </w:pPr>
      <w:del w:id="9626" w:author="Author">
        <w:r>
          <w:rPr>
            <w:rFonts w:eastAsia="Calibri"/>
            <w:iCs/>
            <w:noProof/>
            <w:szCs w:val="22"/>
            <w:lang w:val="it-IT" w:eastAsia="en-US"/>
          </w:rPr>
          <w:delText xml:space="preserve"> non</w:delText>
        </w:r>
      </w:del>
      <w:ins w:id="9627" w:author="Author">
        <w:r>
          <w:rPr>
            <w:rFonts w:eastAsia="Calibri"/>
            <w:iCs/>
            <w:noProof/>
            <w:szCs w:val="22"/>
            <w:lang w:val="it-IT" w:eastAsia="en-US"/>
          </w:rPr>
          <w:t>Non</w:t>
        </w:r>
      </w:ins>
      <w:r>
        <w:rPr>
          <w:rFonts w:eastAsia="Calibri"/>
          <w:iCs/>
          <w:noProof/>
          <w:szCs w:val="22"/>
          <w:lang w:val="it-IT" w:eastAsia="en-US"/>
        </w:rPr>
        <w:t xml:space="preserve"> sono stati condotti studi </w:t>
      </w:r>
      <w:ins w:id="9628" w:author="Author">
        <w:r>
          <w:rPr>
            <w:rFonts w:eastAsia="Calibri"/>
            <w:iCs/>
            <w:noProof/>
            <w:szCs w:val="22"/>
            <w:lang w:val="it-IT" w:eastAsia="en-US"/>
          </w:rPr>
          <w:t xml:space="preserve">clinici </w:t>
        </w:r>
      </w:ins>
      <w:r>
        <w:rPr>
          <w:rFonts w:eastAsia="Calibri"/>
          <w:iCs/>
          <w:noProof/>
          <w:szCs w:val="22"/>
          <w:lang w:val="it-IT" w:eastAsia="en-US"/>
        </w:rPr>
        <w:t xml:space="preserve">formali sull’effetto di una funzione renale compromessa sulla farmacocinetica di </w:t>
      </w:r>
      <w:r>
        <w:rPr>
          <w:noProof/>
          <w:lang w:val="it-IT" w:eastAsia="de-DE"/>
        </w:rPr>
        <w:t>tocilizumab</w:t>
      </w:r>
      <w:del w:id="9629" w:author="Author">
        <w:r>
          <w:rPr>
            <w:rFonts w:eastAsia="Calibri"/>
            <w:noProof/>
            <w:lang w:val="it-IT" w:eastAsia="en-US"/>
          </w:rPr>
          <w:delText xml:space="preserve"> </w:delText>
        </w:r>
      </w:del>
      <w:r>
        <w:rPr>
          <w:rFonts w:eastAsia="Calibri"/>
          <w:iCs/>
          <w:noProof/>
          <w:szCs w:val="22"/>
          <w:lang w:val="it-IT" w:eastAsia="en-US"/>
        </w:rPr>
        <w:t xml:space="preserve">. La maggior parte dei pazienti con AR e ACG inclusi negli studi oggetto dell’analisi di farmacocinetica di popolazione presentava una funzione renale nella norma o una </w:t>
      </w:r>
      <w:ins w:id="9630" w:author="Author">
        <w:r>
          <w:rPr>
            <w:rFonts w:eastAsia="Calibri"/>
            <w:iCs/>
            <w:noProof/>
            <w:szCs w:val="22"/>
            <w:lang w:val="it-IT" w:eastAsia="en-US"/>
          </w:rPr>
          <w:t xml:space="preserve">compromissione renale </w:t>
        </w:r>
      </w:ins>
      <w:r>
        <w:rPr>
          <w:rFonts w:eastAsia="Calibri"/>
          <w:iCs/>
          <w:noProof/>
          <w:szCs w:val="22"/>
          <w:lang w:val="it-IT" w:eastAsia="en-US"/>
        </w:rPr>
        <w:t>lieve</w:t>
      </w:r>
      <w:del w:id="9631" w:author="Author">
        <w:r>
          <w:rPr>
            <w:rFonts w:eastAsia="Calibri"/>
            <w:iCs/>
            <w:noProof/>
            <w:szCs w:val="22"/>
            <w:lang w:val="it-IT" w:eastAsia="en-US"/>
          </w:rPr>
          <w:delText xml:space="preserve"> alterazione della funzione renale</w:delText>
        </w:r>
      </w:del>
      <w:r>
        <w:rPr>
          <w:rFonts w:eastAsia="Calibri"/>
          <w:iCs/>
          <w:noProof/>
          <w:szCs w:val="22"/>
          <w:lang w:val="it-IT" w:eastAsia="en-US"/>
        </w:rPr>
        <w:t xml:space="preserve">. Una </w:t>
      </w:r>
      <w:ins w:id="9632" w:author="Author">
        <w:r>
          <w:rPr>
            <w:rFonts w:eastAsia="Calibri"/>
            <w:iCs/>
            <w:noProof/>
            <w:szCs w:val="22"/>
            <w:lang w:val="it-IT" w:eastAsia="en-US"/>
          </w:rPr>
          <w:t xml:space="preserve">compromissione renale </w:t>
        </w:r>
      </w:ins>
      <w:r>
        <w:rPr>
          <w:rFonts w:eastAsia="Calibri"/>
          <w:iCs/>
          <w:noProof/>
          <w:szCs w:val="22"/>
          <w:lang w:val="it-IT" w:eastAsia="en-US"/>
        </w:rPr>
        <w:t xml:space="preserve">lieve </w:t>
      </w:r>
      <w:del w:id="9633" w:author="Author">
        <w:r>
          <w:rPr>
            <w:rFonts w:eastAsia="Calibri"/>
            <w:iCs/>
            <w:noProof/>
            <w:szCs w:val="22"/>
            <w:lang w:val="it-IT" w:eastAsia="en-US"/>
          </w:rPr>
          <w:delText xml:space="preserve">alterazione </w:delText>
        </w:r>
      </w:del>
      <w:r>
        <w:rPr>
          <w:rFonts w:eastAsia="Calibri"/>
          <w:iCs/>
          <w:noProof/>
          <w:szCs w:val="22"/>
          <w:lang w:val="it-IT" w:eastAsia="en-US"/>
        </w:rPr>
        <w:t xml:space="preserve">della funzione renale (clearance della creatinina stimata secondo la formula di Cockcroft-Gault) non ha avuto alcun effetto sulla farmacocinetica di </w:t>
      </w:r>
      <w:r>
        <w:rPr>
          <w:noProof/>
          <w:lang w:val="it-IT" w:eastAsia="de-DE"/>
        </w:rPr>
        <w:t>tocilizumab</w:t>
      </w:r>
      <w:r>
        <w:rPr>
          <w:rFonts w:eastAsia="Calibri"/>
          <w:noProof/>
          <w:lang w:val="it-IT" w:eastAsia="en-US"/>
        </w:rPr>
        <w:t xml:space="preserve"> </w:t>
      </w:r>
    </w:p>
    <w:p>
      <w:pPr>
        <w:rPr>
          <w:ins w:id="9634" w:author="Author"/>
          <w:rFonts w:eastAsia="Calibri"/>
          <w:noProof/>
          <w:szCs w:val="22"/>
          <w:lang w:val="it-IT" w:eastAsia="en-US"/>
        </w:rPr>
      </w:pPr>
    </w:p>
    <w:p>
      <w:pPr>
        <w:rPr>
          <w:rFonts w:eastAsia="Calibri"/>
          <w:noProof/>
          <w:szCs w:val="22"/>
          <w:lang w:val="it-IT" w:eastAsia="en-US"/>
        </w:rPr>
        <w:pPrChange w:id="9635" w:author="Author">
          <w:pPr>
            <w:spacing w:line="280" w:lineRule="atLeast"/>
          </w:pPr>
        </w:pPrChange>
      </w:pPr>
      <w:r>
        <w:rPr>
          <w:rFonts w:eastAsia="Calibri"/>
          <w:noProof/>
          <w:szCs w:val="22"/>
          <w:lang w:val="it-IT" w:eastAsia="en-US"/>
        </w:rPr>
        <w:t xml:space="preserve">Un terzo circa dei pazienti nello studio </w:t>
      </w:r>
      <w:ins w:id="9636" w:author="Author">
        <w:r>
          <w:rPr>
            <w:rFonts w:eastAsia="Calibri"/>
            <w:noProof/>
            <w:szCs w:val="22"/>
            <w:lang w:val="it-IT" w:eastAsia="en-US"/>
          </w:rPr>
          <w:t xml:space="preserve">clinico </w:t>
        </w:r>
      </w:ins>
      <w:r>
        <w:rPr>
          <w:rFonts w:eastAsia="Calibri"/>
          <w:noProof/>
          <w:szCs w:val="22"/>
          <w:lang w:val="it-IT" w:eastAsia="en-US"/>
        </w:rPr>
        <w:t xml:space="preserve">sulla ACG presentava una compromissione renale moderata al basale (clearance della creatinina stimata di 30-59 mL/min). In questi pazienti non è stato osservato alcun effetto sull’esposizione a </w:t>
      </w:r>
      <w:r>
        <w:rPr>
          <w:noProof/>
          <w:lang w:val="it-IT" w:eastAsia="de-DE"/>
        </w:rPr>
        <w:t>tocilizumab</w:t>
      </w:r>
      <w:del w:id="9637" w:author="Author">
        <w:r>
          <w:rPr>
            <w:rFonts w:eastAsia="Calibri"/>
            <w:noProof/>
            <w:lang w:val="it-IT" w:eastAsia="en-US"/>
          </w:rPr>
          <w:delText xml:space="preserve"> </w:delText>
        </w:r>
      </w:del>
      <w:r>
        <w:rPr>
          <w:rFonts w:eastAsia="Calibri"/>
          <w:noProof/>
          <w:szCs w:val="22"/>
          <w:lang w:val="it-IT" w:eastAsia="en-US"/>
        </w:rPr>
        <w:t>.</w:t>
      </w:r>
    </w:p>
    <w:p>
      <w:pPr>
        <w:spacing w:line="280" w:lineRule="atLeast"/>
        <w:rPr>
          <w:noProof/>
          <w:szCs w:val="22"/>
          <w:lang w:val="it-IT" w:eastAsia="en-US"/>
        </w:rPr>
      </w:pPr>
    </w:p>
    <w:p>
      <w:pPr>
        <w:spacing w:line="280" w:lineRule="atLeast"/>
        <w:rPr>
          <w:noProof/>
          <w:szCs w:val="22"/>
          <w:lang w:val="it-IT" w:eastAsia="en-US"/>
        </w:rPr>
      </w:pPr>
      <w:r>
        <w:rPr>
          <w:rFonts w:eastAsia="Calibri"/>
          <w:noProof/>
          <w:szCs w:val="22"/>
          <w:lang w:val="it-IT" w:eastAsia="en-US"/>
        </w:rPr>
        <w:t>Non è necessario alcun aggiustamento della dose nei pazienti con compromissione renale lieve o moderata.</w:t>
      </w:r>
    </w:p>
    <w:p>
      <w:pPr>
        <w:ind w:left="567" w:hanging="567"/>
        <w:outlineLvl w:val="0"/>
        <w:rPr>
          <w:noProof/>
          <w:szCs w:val="22"/>
          <w:lang w:val="it-IT"/>
        </w:rPr>
      </w:pPr>
    </w:p>
    <w:p>
      <w:pPr>
        <w:outlineLvl w:val="0"/>
        <w:rPr>
          <w:rFonts w:eastAsia="Calibri"/>
          <w:iCs/>
          <w:noProof/>
          <w:szCs w:val="22"/>
          <w:lang w:val="it-IT" w:eastAsia="en-US"/>
        </w:rPr>
      </w:pPr>
      <w:r>
        <w:rPr>
          <w:rFonts w:eastAsia="Calibri"/>
          <w:bCs/>
          <w:i/>
          <w:iCs/>
          <w:noProof/>
          <w:szCs w:val="22"/>
          <w:lang w:val="it-IT" w:eastAsia="en-US"/>
        </w:rPr>
        <w:t>Compromissione epatica</w:t>
      </w:r>
    </w:p>
    <w:p>
      <w:pPr>
        <w:outlineLvl w:val="0"/>
        <w:rPr>
          <w:rFonts w:eastAsia="Calibri"/>
          <w:iCs/>
          <w:noProof/>
          <w:szCs w:val="22"/>
          <w:lang w:val="it-IT" w:eastAsia="en-US"/>
        </w:rPr>
      </w:pPr>
      <w:del w:id="9638" w:author="Author">
        <w:r>
          <w:rPr>
            <w:rFonts w:eastAsia="Calibri"/>
            <w:iCs/>
            <w:noProof/>
            <w:szCs w:val="22"/>
            <w:lang w:val="it-IT" w:eastAsia="en-US"/>
          </w:rPr>
          <w:delText xml:space="preserve">non </w:delText>
        </w:r>
      </w:del>
      <w:ins w:id="9639" w:author="Author">
        <w:r>
          <w:rPr>
            <w:rFonts w:eastAsia="Calibri"/>
            <w:iCs/>
            <w:noProof/>
            <w:szCs w:val="22"/>
            <w:lang w:val="it-IT" w:eastAsia="en-US"/>
          </w:rPr>
          <w:t xml:space="preserve">Non </w:t>
        </w:r>
      </w:ins>
      <w:r>
        <w:rPr>
          <w:rFonts w:eastAsia="Calibri"/>
          <w:iCs/>
          <w:noProof/>
          <w:szCs w:val="22"/>
          <w:lang w:val="it-IT" w:eastAsia="en-US"/>
        </w:rPr>
        <w:t xml:space="preserve">sono stati condotti studi formali sull’effetto di una funzione epatica compromessa sulla farmacocinetica di </w:t>
      </w:r>
      <w:r>
        <w:rPr>
          <w:noProof/>
          <w:lang w:val="it-IT" w:eastAsia="de-DE"/>
        </w:rPr>
        <w:t>tocilizumab</w:t>
      </w:r>
      <w:del w:id="9640" w:author="Author">
        <w:r>
          <w:rPr>
            <w:rFonts w:eastAsia="Calibri"/>
            <w:noProof/>
            <w:lang w:val="it-IT" w:eastAsia="en-US"/>
          </w:rPr>
          <w:delText xml:space="preserve"> </w:delText>
        </w:r>
      </w:del>
      <w:r>
        <w:rPr>
          <w:rFonts w:eastAsia="Calibri"/>
          <w:iCs/>
          <w:noProof/>
          <w:szCs w:val="22"/>
          <w:lang w:val="it-IT" w:eastAsia="en-US"/>
        </w:rPr>
        <w:t>.</w:t>
      </w:r>
    </w:p>
    <w:p>
      <w:pPr>
        <w:outlineLvl w:val="0"/>
        <w:rPr>
          <w:bCs/>
          <w:i/>
          <w:iCs/>
          <w:noProof/>
          <w:szCs w:val="22"/>
          <w:lang w:val="it-IT"/>
        </w:rPr>
      </w:pPr>
    </w:p>
    <w:p>
      <w:pPr>
        <w:numPr>
          <w:ilvl w:val="12"/>
          <w:numId w:val="0"/>
        </w:numPr>
        <w:ind w:right="-2"/>
        <w:rPr>
          <w:ins w:id="9641" w:author="Author"/>
          <w:rFonts w:eastAsia="Calibri"/>
          <w:iCs/>
          <w:noProof/>
          <w:szCs w:val="22"/>
          <w:lang w:val="it-IT" w:eastAsia="en-US"/>
        </w:rPr>
      </w:pPr>
      <w:r>
        <w:rPr>
          <w:rFonts w:eastAsia="Calibri"/>
          <w:i/>
          <w:noProof/>
          <w:szCs w:val="22"/>
          <w:lang w:val="it-IT" w:eastAsia="en-US"/>
          <w:rPrChange w:id="9642" w:author="Author">
            <w:rPr>
              <w:rFonts w:eastAsia="Calibri"/>
              <w:iCs/>
              <w:szCs w:val="22"/>
              <w:lang w:val="it-IT" w:eastAsia="en-US"/>
            </w:rPr>
          </w:rPrChange>
        </w:rPr>
        <w:t>Età, genere ed etnia</w:t>
      </w:r>
      <w:del w:id="9643" w:author="Author">
        <w:r>
          <w:rPr>
            <w:rFonts w:eastAsia="Calibri"/>
            <w:iCs/>
            <w:noProof/>
            <w:szCs w:val="22"/>
            <w:lang w:val="it-IT" w:eastAsia="en-US"/>
          </w:rPr>
          <w:delText>:</w:delText>
        </w:r>
      </w:del>
      <w:r>
        <w:rPr>
          <w:rFonts w:eastAsia="Calibri"/>
          <w:iCs/>
          <w:noProof/>
          <w:szCs w:val="22"/>
          <w:lang w:val="it-IT" w:eastAsia="en-US"/>
        </w:rPr>
        <w:t xml:space="preserve"> </w:t>
      </w:r>
    </w:p>
    <w:p>
      <w:pPr>
        <w:numPr>
          <w:ilvl w:val="12"/>
          <w:numId w:val="0"/>
        </w:numPr>
        <w:ind w:right="-2"/>
        <w:rPr>
          <w:rFonts w:eastAsia="Calibri"/>
          <w:iCs/>
          <w:noProof/>
          <w:szCs w:val="22"/>
          <w:lang w:val="it-IT" w:eastAsia="en-US"/>
        </w:rPr>
      </w:pPr>
      <w:del w:id="9644" w:author="Author">
        <w:r>
          <w:rPr>
            <w:rFonts w:eastAsia="Calibri"/>
            <w:iCs/>
            <w:noProof/>
            <w:szCs w:val="22"/>
            <w:lang w:val="it-IT" w:eastAsia="en-US"/>
          </w:rPr>
          <w:delText xml:space="preserve">le </w:delText>
        </w:r>
      </w:del>
      <w:ins w:id="9645" w:author="Author">
        <w:r>
          <w:rPr>
            <w:rFonts w:eastAsia="Calibri"/>
            <w:iCs/>
            <w:noProof/>
            <w:szCs w:val="22"/>
            <w:lang w:val="it-IT" w:eastAsia="en-US"/>
          </w:rPr>
          <w:t xml:space="preserve">Le </w:t>
        </w:r>
      </w:ins>
      <w:r>
        <w:rPr>
          <w:rFonts w:eastAsia="Calibri"/>
          <w:iCs/>
          <w:noProof/>
          <w:szCs w:val="22"/>
          <w:lang w:val="it-IT" w:eastAsia="en-US"/>
        </w:rPr>
        <w:t xml:space="preserve">analisi di farmacocinetica di popolazione effettuate su pazienti adulti affetti da AR e ACG hanno dimostrato che età, sesso e origine etnica non hanno influito sulla farmacocinetica di </w:t>
      </w:r>
      <w:r>
        <w:rPr>
          <w:noProof/>
          <w:lang w:val="it-IT" w:eastAsia="de-DE"/>
        </w:rPr>
        <w:t>tocilizumab</w:t>
      </w:r>
      <w:del w:id="9646" w:author="Author">
        <w:r>
          <w:rPr>
            <w:rFonts w:eastAsia="Calibri"/>
            <w:noProof/>
            <w:lang w:val="it-IT" w:eastAsia="en-US"/>
          </w:rPr>
          <w:delText xml:space="preserve"> </w:delText>
        </w:r>
      </w:del>
      <w:r>
        <w:rPr>
          <w:rFonts w:eastAsia="Calibri"/>
          <w:iCs/>
          <w:noProof/>
          <w:szCs w:val="22"/>
          <w:lang w:val="it-IT" w:eastAsia="en-US"/>
        </w:rPr>
        <w:t>.</w:t>
      </w:r>
    </w:p>
    <w:p>
      <w:pPr>
        <w:numPr>
          <w:ilvl w:val="12"/>
          <w:numId w:val="0"/>
        </w:numPr>
        <w:ind w:right="-2"/>
        <w:rPr>
          <w:rFonts w:eastAsia="Calibri"/>
          <w:iCs/>
          <w:noProof/>
          <w:szCs w:val="22"/>
          <w:lang w:val="it-IT" w:eastAsia="en-US"/>
        </w:rPr>
      </w:pPr>
    </w:p>
    <w:p>
      <w:pPr>
        <w:rPr>
          <w:rFonts w:eastAsia="Calibri"/>
          <w:iCs/>
          <w:noProof/>
          <w:szCs w:val="22"/>
          <w:lang w:val="it-IT" w:eastAsia="en-US"/>
        </w:rPr>
      </w:pPr>
      <w:r>
        <w:rPr>
          <w:iCs/>
          <w:noProof/>
          <w:szCs w:val="22"/>
          <w:lang w:val="it-IT"/>
        </w:rPr>
        <w:t xml:space="preserve">I risultati dell’analisi di farmacocinetica di popolazione nei pazienti affetti da AIGs e AIGp hanno confermato che le dimensioni corporee rappresentano l’unica covariata che influisce in misura significativa sulla farmacocinetica di </w:t>
      </w:r>
      <w:r>
        <w:rPr>
          <w:noProof/>
          <w:lang w:val="it-IT" w:eastAsia="de-DE"/>
        </w:rPr>
        <w:t>tocilizumab</w:t>
      </w:r>
      <w:del w:id="9647" w:author="Author">
        <w:r>
          <w:rPr>
            <w:rFonts w:eastAsia="Calibri"/>
            <w:noProof/>
            <w:lang w:val="it-IT" w:eastAsia="en-US"/>
          </w:rPr>
          <w:delText xml:space="preserve"> </w:delText>
        </w:r>
      </w:del>
      <w:r>
        <w:rPr>
          <w:iCs/>
          <w:noProof/>
          <w:szCs w:val="22"/>
          <w:lang w:val="it-IT"/>
        </w:rPr>
        <w:t xml:space="preserve">, inclusi l’eliminazione e l’assorbimento, </w:t>
      </w:r>
      <w:r>
        <w:rPr>
          <w:noProof/>
          <w:szCs w:val="22"/>
          <w:lang w:val="it-IT"/>
        </w:rPr>
        <w:t>ragione per cui occorre prendere in considerazione una posologia basata sul peso corporeo</w:t>
      </w:r>
      <w:r>
        <w:rPr>
          <w:iCs/>
          <w:noProof/>
          <w:szCs w:val="22"/>
          <w:lang w:val="it-IT"/>
        </w:rPr>
        <w:t xml:space="preserve"> (vedere Tabelle</w:t>
      </w:r>
      <w:del w:id="9648" w:author="Author">
        <w:r>
          <w:rPr>
            <w:iCs/>
            <w:noProof/>
            <w:szCs w:val="22"/>
            <w:lang w:val="it-IT"/>
          </w:rPr>
          <w:delText xml:space="preserve"> </w:delText>
        </w:r>
      </w:del>
      <w:ins w:id="9649" w:author="Author">
        <w:r>
          <w:rPr>
            <w:iCs/>
            <w:noProof/>
            <w:szCs w:val="22"/>
            <w:lang w:val="it-IT"/>
          </w:rPr>
          <w:t> </w:t>
        </w:r>
      </w:ins>
      <w:r>
        <w:rPr>
          <w:iCs/>
          <w:noProof/>
          <w:szCs w:val="22"/>
          <w:lang w:val="it-IT"/>
        </w:rPr>
        <w:t>8</w:t>
      </w:r>
      <w:del w:id="9650" w:author="Author">
        <w:r>
          <w:rPr>
            <w:iCs/>
            <w:noProof/>
            <w:szCs w:val="22"/>
            <w:lang w:val="it-IT"/>
          </w:rPr>
          <w:delText xml:space="preserve"> </w:delText>
        </w:r>
      </w:del>
      <w:ins w:id="9651" w:author="Author">
        <w:r>
          <w:rPr>
            <w:iCs/>
            <w:noProof/>
            <w:szCs w:val="22"/>
            <w:lang w:val="it-IT"/>
          </w:rPr>
          <w:t> </w:t>
        </w:r>
      </w:ins>
      <w:r>
        <w:rPr>
          <w:iCs/>
          <w:noProof/>
          <w:szCs w:val="22"/>
          <w:lang w:val="it-IT"/>
        </w:rPr>
        <w:t>e</w:t>
      </w:r>
      <w:ins w:id="9652" w:author="Author">
        <w:r>
          <w:rPr>
            <w:iCs/>
            <w:noProof/>
            <w:szCs w:val="22"/>
            <w:lang w:val="it-IT"/>
          </w:rPr>
          <w:t> </w:t>
        </w:r>
      </w:ins>
      <w:del w:id="9653" w:author="Author">
        <w:r>
          <w:rPr>
            <w:iCs/>
            <w:noProof/>
            <w:szCs w:val="22"/>
            <w:lang w:val="it-IT"/>
          </w:rPr>
          <w:delText xml:space="preserve"> </w:delText>
        </w:r>
      </w:del>
      <w:r>
        <w:rPr>
          <w:iCs/>
          <w:noProof/>
          <w:szCs w:val="22"/>
          <w:lang w:val="it-IT"/>
        </w:rPr>
        <w:t>9).</w:t>
      </w:r>
    </w:p>
    <w:p>
      <w:pPr>
        <w:numPr>
          <w:ilvl w:val="12"/>
          <w:numId w:val="0"/>
        </w:numPr>
        <w:ind w:right="-2"/>
        <w:rPr>
          <w:iCs/>
          <w:noProof/>
          <w:szCs w:val="22"/>
          <w:lang w:val="it-IT"/>
        </w:rPr>
      </w:pPr>
    </w:p>
    <w:p>
      <w:pPr>
        <w:keepNext/>
        <w:keepLines/>
        <w:ind w:left="567" w:hanging="567"/>
        <w:outlineLvl w:val="0"/>
        <w:rPr>
          <w:noProof/>
          <w:szCs w:val="22"/>
          <w:lang w:val="it-IT" w:eastAsia="en-US"/>
        </w:rPr>
      </w:pPr>
      <w:r>
        <w:rPr>
          <w:rFonts w:eastAsia="Calibri"/>
          <w:b/>
          <w:bCs/>
          <w:noProof/>
          <w:szCs w:val="22"/>
          <w:lang w:val="it-IT" w:eastAsia="en-US"/>
        </w:rPr>
        <w:t>5.3</w:t>
      </w:r>
      <w:r>
        <w:rPr>
          <w:rFonts w:eastAsia="Calibri"/>
          <w:b/>
          <w:bCs/>
          <w:noProof/>
          <w:szCs w:val="22"/>
          <w:lang w:val="it-IT" w:eastAsia="en-US"/>
        </w:rPr>
        <w:tab/>
        <w:t>Dati preclinici di sicurezza</w:t>
      </w:r>
    </w:p>
    <w:p>
      <w:pPr>
        <w:keepNext/>
        <w:keepLines/>
        <w:rPr>
          <w:noProof/>
          <w:szCs w:val="22"/>
          <w:lang w:val="it-IT"/>
        </w:rPr>
      </w:pPr>
    </w:p>
    <w:p>
      <w:pPr>
        <w:rPr>
          <w:noProof/>
          <w:szCs w:val="22"/>
          <w:lang w:val="it-IT" w:eastAsia="en-US"/>
        </w:rPr>
      </w:pPr>
      <w:r>
        <w:rPr>
          <w:rFonts w:eastAsia="Calibri"/>
          <w:noProof/>
          <w:szCs w:val="22"/>
          <w:lang w:val="it-IT" w:eastAsia="en-US"/>
        </w:rPr>
        <w:t>I dati non-clinici non rivelano rischi particolari per l’uomo sulla base di studi convenzionali di farmacologia di sicurezza, tossicità a dosi ripetute, genotossicità, tossicità riproduttiva e dello sviluppo.</w:t>
      </w:r>
    </w:p>
    <w:p>
      <w:pPr>
        <w:rPr>
          <w:bCs/>
          <w:noProof/>
          <w:szCs w:val="22"/>
          <w:lang w:val="it-IT"/>
        </w:rPr>
      </w:pPr>
    </w:p>
    <w:p>
      <w:pPr>
        <w:rPr>
          <w:rFonts w:eastAsia="Calibri"/>
          <w:bCs/>
          <w:noProof/>
          <w:szCs w:val="22"/>
          <w:lang w:val="it-IT" w:eastAsia="en-US"/>
        </w:rPr>
      </w:pPr>
      <w:r>
        <w:rPr>
          <w:rFonts w:eastAsia="Calibri"/>
          <w:bCs/>
          <w:noProof/>
          <w:szCs w:val="22"/>
          <w:lang w:val="it-IT" w:eastAsia="en-US"/>
        </w:rPr>
        <w:t xml:space="preserve">Non sono stati effettuati studi </w:t>
      </w:r>
      <w:ins w:id="9654" w:author="Author">
        <w:r>
          <w:rPr>
            <w:rFonts w:eastAsia="Calibri"/>
            <w:bCs/>
            <w:noProof/>
            <w:szCs w:val="22"/>
            <w:lang w:val="it-IT" w:eastAsia="en-US"/>
          </w:rPr>
          <w:t xml:space="preserve">clinici </w:t>
        </w:r>
      </w:ins>
      <w:r>
        <w:rPr>
          <w:rFonts w:eastAsia="Calibri"/>
          <w:bCs/>
          <w:noProof/>
          <w:szCs w:val="22"/>
          <w:lang w:val="it-IT" w:eastAsia="en-US"/>
        </w:rPr>
        <w:t>di carcinogenicità con tocilizumab in quanto non si ritiene che gli anticorpi monoclonali IgG1 abbiano un potenziale carcinogenico intrinseco.</w:t>
      </w:r>
    </w:p>
    <w:p>
      <w:pPr>
        <w:rPr>
          <w:noProof/>
          <w:szCs w:val="22"/>
          <w:lang w:val="it-IT"/>
        </w:rPr>
      </w:pPr>
    </w:p>
    <w:p>
      <w:pPr>
        <w:rPr>
          <w:rFonts w:eastAsia="Calibri"/>
          <w:noProof/>
          <w:szCs w:val="22"/>
          <w:lang w:val="it-IT" w:eastAsia="en-US"/>
        </w:rPr>
      </w:pPr>
      <w:r>
        <w:rPr>
          <w:rFonts w:eastAsia="Calibri"/>
          <w:noProof/>
          <w:szCs w:val="22"/>
          <w:lang w:val="it-IT" w:eastAsia="en-US"/>
        </w:rPr>
        <w:lastRenderedPageBreak/>
        <w:t xml:space="preserve">I dati non-clinici disponibili hanno dimostrato l’effetto di IL-6 sulla progressione tumorale e sulla resistenza all’apoptosi di diverse tipologie tumorali. Questi dati non suggeriscono un rischio rilevante per l’instaurarsi e il progredire di una neoplasia nel corso della terapia con </w:t>
      </w:r>
      <w:r>
        <w:rPr>
          <w:noProof/>
          <w:lang w:val="it-IT" w:eastAsia="de-DE"/>
        </w:rPr>
        <w:t>tocilizumab</w:t>
      </w:r>
      <w:r>
        <w:rPr>
          <w:rFonts w:eastAsia="Calibri"/>
          <w:noProof/>
          <w:szCs w:val="22"/>
          <w:lang w:val="it-IT" w:eastAsia="en-US"/>
        </w:rPr>
        <w:t>. Inoltre, non sono state osservate lesioni proliferative in uno studio di tossicità cronica della durata di 6 mesi effettuato nelle scimmie cynomolgus o su topi privi di IL-6.</w:t>
      </w:r>
    </w:p>
    <w:p>
      <w:pPr>
        <w:rPr>
          <w:noProof/>
          <w:szCs w:val="22"/>
          <w:lang w:val="it-IT"/>
        </w:rPr>
      </w:pPr>
    </w:p>
    <w:p>
      <w:pPr>
        <w:numPr>
          <w:ilvl w:val="12"/>
          <w:numId w:val="0"/>
        </w:numPr>
        <w:ind w:right="-2"/>
        <w:rPr>
          <w:iCs/>
          <w:noProof/>
          <w:szCs w:val="22"/>
          <w:lang w:val="it-IT" w:eastAsia="en-US"/>
        </w:rPr>
      </w:pPr>
      <w:r>
        <w:rPr>
          <w:rFonts w:eastAsia="Calibri"/>
          <w:iCs/>
          <w:noProof/>
          <w:szCs w:val="22"/>
          <w:lang w:val="it-IT" w:eastAsia="en-US"/>
        </w:rPr>
        <w:t xml:space="preserve">I dati non-clinici disponibili non indicano un effetto sulla fertilità del trattamento con </w:t>
      </w:r>
      <w:r>
        <w:rPr>
          <w:noProof/>
          <w:lang w:val="it-IT" w:eastAsia="de-DE"/>
        </w:rPr>
        <w:t>tocilizumab</w:t>
      </w:r>
      <w:r>
        <w:rPr>
          <w:rFonts w:eastAsia="Calibri"/>
          <w:iCs/>
          <w:noProof/>
          <w:szCs w:val="22"/>
          <w:lang w:val="it-IT" w:eastAsia="en-US"/>
        </w:rPr>
        <w:t xml:space="preserve">. Non sono stati osservati effetti sugli organi attivi del sistema endocrino o dell’apparato riproduttivo in uno studio di tossicità cronica effettuato su scimmie cynomolgus e le potenzialità riproduttive non sono state alterate in topi privi di IL-6. </w:t>
      </w:r>
      <w:r>
        <w:rPr>
          <w:noProof/>
          <w:lang w:val="it-IT" w:eastAsia="de-DE"/>
        </w:rPr>
        <w:t>Tocilizumab</w:t>
      </w:r>
      <w:r>
        <w:rPr>
          <w:rFonts w:eastAsia="Calibri"/>
          <w:noProof/>
          <w:lang w:val="it-IT" w:eastAsia="en-US"/>
        </w:rPr>
        <w:t xml:space="preserve"> </w:t>
      </w:r>
      <w:r>
        <w:rPr>
          <w:rFonts w:eastAsia="Calibri"/>
          <w:iCs/>
          <w:noProof/>
          <w:szCs w:val="22"/>
          <w:lang w:val="it-IT" w:eastAsia="en-US"/>
        </w:rPr>
        <w:t>somministrato a scimmie cynomolgus nella prima fase della gestazione non ha dimostrato di determinare alcun effetto nocivo diretto o indiretto sulla gravidanza o sullo sviluppo embrio-fetale. Con un’esposizione sistemica elevata (&gt;</w:t>
      </w:r>
      <w:ins w:id="9655" w:author="Author">
        <w:r>
          <w:rPr>
            <w:rFonts w:eastAsia="Calibri"/>
            <w:iCs/>
            <w:noProof/>
            <w:szCs w:val="22"/>
            <w:lang w:val="it-IT" w:eastAsia="en-US"/>
          </w:rPr>
          <w:t> </w:t>
        </w:r>
      </w:ins>
      <w:r>
        <w:rPr>
          <w:rFonts w:eastAsia="Calibri"/>
          <w:iCs/>
          <w:noProof/>
          <w:szCs w:val="22"/>
          <w:lang w:val="it-IT" w:eastAsia="en-US"/>
        </w:rPr>
        <w:t>100</w:t>
      </w:r>
      <w:ins w:id="9656" w:author="Author">
        <w:r>
          <w:rPr>
            <w:rFonts w:eastAsia="Calibri"/>
            <w:iCs/>
            <w:noProof/>
            <w:szCs w:val="22"/>
            <w:lang w:val="it-IT" w:eastAsia="en-US"/>
          </w:rPr>
          <w:t> </w:t>
        </w:r>
      </w:ins>
      <w:del w:id="9657" w:author="Author">
        <w:r>
          <w:rPr>
            <w:rFonts w:eastAsia="Calibri"/>
            <w:iCs/>
            <w:noProof/>
            <w:szCs w:val="22"/>
            <w:lang w:val="it-IT" w:eastAsia="en-US"/>
          </w:rPr>
          <w:delText xml:space="preserve"> </w:delText>
        </w:r>
      </w:del>
      <w:r>
        <w:rPr>
          <w:rFonts w:eastAsia="Calibri"/>
          <w:iCs/>
          <w:noProof/>
          <w:szCs w:val="22"/>
          <w:lang w:val="it-IT" w:eastAsia="en-US"/>
        </w:rPr>
        <w:t xml:space="preserve">volte l’esposizione nell’uomo) è stato tuttavia registrato un lieve incremento del tasso di aborto/morte embrio-fetale nel gruppo trattato con la dose elevata di 50 mg/kg/die rispetto ai gruppi placebo e a basse dosi. Sebbene IL-6 non sembri rappresentare una citochina fondamentale per la crescita fetale o per il controllo immunologico dell’interfaccia materno-fetale, non può essere esclusa una correlazione tra questo risultato e </w:t>
      </w:r>
      <w:r>
        <w:rPr>
          <w:noProof/>
          <w:lang w:val="it-IT" w:eastAsia="de-DE"/>
        </w:rPr>
        <w:t>tocilizumab</w:t>
      </w:r>
      <w:r>
        <w:rPr>
          <w:rFonts w:eastAsia="Calibri"/>
          <w:iCs/>
          <w:noProof/>
          <w:szCs w:val="22"/>
          <w:lang w:val="it-IT" w:eastAsia="en-US"/>
        </w:rPr>
        <w:t>.</w:t>
      </w:r>
    </w:p>
    <w:p>
      <w:pPr>
        <w:rPr>
          <w:noProof/>
          <w:szCs w:val="22"/>
          <w:lang w:val="it-IT"/>
        </w:rPr>
      </w:pPr>
    </w:p>
    <w:p>
      <w:pPr>
        <w:rPr>
          <w:noProof/>
          <w:szCs w:val="22"/>
          <w:lang w:val="it-IT" w:eastAsia="en-US"/>
        </w:rPr>
      </w:pPr>
      <w:r>
        <w:rPr>
          <w:rFonts w:eastAsia="Calibri"/>
          <w:noProof/>
          <w:szCs w:val="22"/>
          <w:lang w:val="it-IT" w:eastAsia="en-US"/>
        </w:rPr>
        <w:t>Il trattamento con un analogo murino non ha comportato effetti tossici nei topi giovani. In particolare, non è stata osservata alcuna compromissione della crescita scheletrica, della funzione immunitaria e della maturazione sessuale.</w:t>
      </w:r>
    </w:p>
    <w:p>
      <w:pPr>
        <w:ind w:left="567" w:hanging="567"/>
        <w:rPr>
          <w:b/>
          <w:noProof/>
          <w:szCs w:val="22"/>
          <w:lang w:val="it-IT"/>
        </w:rPr>
      </w:pPr>
    </w:p>
    <w:p>
      <w:pPr>
        <w:rPr>
          <w:rFonts w:eastAsia="Calibri"/>
          <w:noProof/>
          <w:szCs w:val="22"/>
          <w:lang w:val="it-IT" w:eastAsia="en-US"/>
        </w:rPr>
      </w:pPr>
      <w:r>
        <w:rPr>
          <w:rFonts w:eastAsia="Calibri"/>
          <w:noProof/>
          <w:szCs w:val="22"/>
          <w:lang w:val="it-IT" w:eastAsia="en-US"/>
        </w:rPr>
        <w:t>Il profilo non-clinico di sicurezza di RoActemra valutato nelle scimmie cynomolgus non suggerisce l’esistenza di differenze tra la via di somministrazione endovenosa e quella sottocutanea.</w:t>
      </w:r>
    </w:p>
    <w:p>
      <w:pPr>
        <w:ind w:left="567" w:hanging="567"/>
        <w:rPr>
          <w:b/>
          <w:noProof/>
          <w:szCs w:val="22"/>
          <w:lang w:val="it-IT"/>
        </w:rPr>
      </w:pPr>
    </w:p>
    <w:p>
      <w:pPr>
        <w:ind w:left="567" w:hanging="567"/>
        <w:rPr>
          <w:b/>
          <w:noProof/>
          <w:szCs w:val="22"/>
          <w:lang w:val="it-IT"/>
        </w:rPr>
      </w:pPr>
    </w:p>
    <w:p>
      <w:pPr>
        <w:ind w:left="567" w:hanging="567"/>
        <w:rPr>
          <w:b/>
          <w:noProof/>
          <w:szCs w:val="22"/>
          <w:lang w:val="it-IT" w:eastAsia="en-US"/>
        </w:rPr>
      </w:pPr>
      <w:r>
        <w:rPr>
          <w:rFonts w:eastAsia="Calibri"/>
          <w:b/>
          <w:noProof/>
          <w:szCs w:val="22"/>
          <w:lang w:val="it-IT" w:eastAsia="en-US"/>
        </w:rPr>
        <w:t>6.</w:t>
      </w:r>
      <w:r>
        <w:rPr>
          <w:rFonts w:eastAsia="Calibri"/>
          <w:b/>
          <w:noProof/>
          <w:szCs w:val="22"/>
          <w:lang w:val="it-IT" w:eastAsia="en-US"/>
        </w:rPr>
        <w:tab/>
        <w:t>INFORMAZIONI FARMACEUTICHE</w:t>
      </w:r>
    </w:p>
    <w:p>
      <w:pPr>
        <w:rPr>
          <w:noProof/>
          <w:szCs w:val="22"/>
          <w:lang w:val="it-IT"/>
        </w:rPr>
      </w:pPr>
    </w:p>
    <w:p>
      <w:pPr>
        <w:rPr>
          <w:b/>
          <w:noProof/>
          <w:szCs w:val="22"/>
          <w:lang w:val="it-IT" w:eastAsia="en-US"/>
        </w:rPr>
      </w:pPr>
      <w:r>
        <w:rPr>
          <w:rFonts w:eastAsia="Calibri"/>
          <w:b/>
          <w:noProof/>
          <w:szCs w:val="22"/>
          <w:lang w:val="it-IT" w:eastAsia="en-US"/>
        </w:rPr>
        <w:t>6.1</w:t>
      </w:r>
      <w:r>
        <w:rPr>
          <w:rFonts w:eastAsia="Calibri"/>
          <w:b/>
          <w:noProof/>
          <w:szCs w:val="22"/>
          <w:lang w:val="it-IT" w:eastAsia="en-US"/>
        </w:rPr>
        <w:tab/>
        <w:t>Elenco degli eccipienti</w:t>
      </w:r>
    </w:p>
    <w:p>
      <w:pPr>
        <w:rPr>
          <w:iCs/>
          <w:noProof/>
          <w:szCs w:val="22"/>
          <w:lang w:val="it-IT"/>
        </w:rPr>
      </w:pPr>
    </w:p>
    <w:p>
      <w:pPr>
        <w:ind w:left="567" w:hanging="567"/>
        <w:outlineLvl w:val="0"/>
        <w:rPr>
          <w:bCs/>
          <w:noProof/>
          <w:szCs w:val="22"/>
          <w:lang w:val="it-IT" w:eastAsia="en-US"/>
        </w:rPr>
      </w:pPr>
      <w:r>
        <w:rPr>
          <w:rFonts w:eastAsia="Calibri"/>
          <w:bCs/>
          <w:noProof/>
          <w:szCs w:val="22"/>
          <w:lang w:val="it-IT" w:eastAsia="en-US"/>
        </w:rPr>
        <w:t>L-istidina (per aggiustamenti del pH)</w:t>
      </w:r>
    </w:p>
    <w:p>
      <w:pPr>
        <w:ind w:left="567" w:hanging="567"/>
        <w:outlineLvl w:val="0"/>
        <w:rPr>
          <w:rFonts w:eastAsia="Calibri"/>
          <w:bCs/>
          <w:noProof/>
          <w:szCs w:val="22"/>
          <w:lang w:val="it-IT" w:eastAsia="en-US"/>
        </w:rPr>
      </w:pPr>
      <w:r>
        <w:rPr>
          <w:rFonts w:eastAsia="Calibri"/>
          <w:bCs/>
          <w:noProof/>
          <w:szCs w:val="22"/>
          <w:lang w:val="it-IT" w:eastAsia="en-US"/>
        </w:rPr>
        <w:t>L-istidina monocloridrato monoidrato (per aggiustamenti del pH)</w:t>
      </w:r>
    </w:p>
    <w:p>
      <w:pPr>
        <w:ind w:left="567" w:hanging="567"/>
        <w:outlineLvl w:val="0"/>
        <w:rPr>
          <w:bCs/>
          <w:noProof/>
          <w:szCs w:val="22"/>
          <w:lang w:val="it-IT" w:eastAsia="en-US"/>
        </w:rPr>
      </w:pPr>
      <w:r>
        <w:rPr>
          <w:rFonts w:eastAsia="Calibri"/>
          <w:bCs/>
          <w:noProof/>
          <w:szCs w:val="22"/>
          <w:lang w:val="it-IT" w:eastAsia="en-US"/>
        </w:rPr>
        <w:t>L-arginina/L-arginina cloridrato</w:t>
      </w:r>
    </w:p>
    <w:p>
      <w:pPr>
        <w:outlineLvl w:val="0"/>
        <w:rPr>
          <w:bCs/>
          <w:noProof/>
          <w:szCs w:val="22"/>
          <w:lang w:val="it-IT" w:eastAsia="en-US"/>
        </w:rPr>
      </w:pPr>
      <w:r>
        <w:rPr>
          <w:rFonts w:eastAsia="Calibri"/>
          <w:bCs/>
          <w:noProof/>
          <w:szCs w:val="22"/>
          <w:lang w:val="it-IT" w:eastAsia="en-US"/>
        </w:rPr>
        <w:t>L-metionina</w:t>
      </w:r>
    </w:p>
    <w:p>
      <w:pPr>
        <w:ind w:left="567" w:hanging="567"/>
        <w:outlineLvl w:val="0"/>
        <w:rPr>
          <w:bCs/>
          <w:noProof/>
          <w:szCs w:val="22"/>
          <w:lang w:val="it-IT" w:eastAsia="en-US"/>
        </w:rPr>
      </w:pPr>
      <w:r>
        <w:rPr>
          <w:rFonts w:eastAsia="Calibri"/>
          <w:bCs/>
          <w:noProof/>
          <w:szCs w:val="22"/>
          <w:lang w:val="it-IT" w:eastAsia="en-US"/>
        </w:rPr>
        <w:t>Polisorbato 80 (E</w:t>
      </w:r>
      <w:del w:id="9658" w:author="Author">
        <w:r>
          <w:rPr>
            <w:rFonts w:eastAsia="Calibri"/>
            <w:bCs/>
            <w:noProof/>
            <w:szCs w:val="22"/>
            <w:lang w:val="it-IT" w:eastAsia="en-US"/>
          </w:rPr>
          <w:delText xml:space="preserve"> </w:delText>
        </w:r>
      </w:del>
      <w:ins w:id="9659" w:author="Author">
        <w:r>
          <w:rPr>
            <w:rFonts w:eastAsia="Calibri"/>
            <w:bCs/>
            <w:noProof/>
            <w:szCs w:val="22"/>
            <w:lang w:val="it-IT" w:eastAsia="en-US"/>
          </w:rPr>
          <w:t> </w:t>
        </w:r>
      </w:ins>
      <w:r>
        <w:rPr>
          <w:rFonts w:eastAsia="Calibri"/>
          <w:bCs/>
          <w:noProof/>
          <w:szCs w:val="22"/>
          <w:lang w:val="it-IT" w:eastAsia="en-US"/>
        </w:rPr>
        <w:t>433)</w:t>
      </w:r>
    </w:p>
    <w:p>
      <w:pPr>
        <w:ind w:left="567" w:hanging="567"/>
        <w:outlineLvl w:val="0"/>
        <w:rPr>
          <w:bCs/>
          <w:noProof/>
          <w:szCs w:val="22"/>
          <w:lang w:val="it-IT" w:eastAsia="en-US"/>
        </w:rPr>
      </w:pPr>
      <w:r>
        <w:rPr>
          <w:rFonts w:eastAsia="Calibri"/>
          <w:bCs/>
          <w:noProof/>
          <w:szCs w:val="22"/>
          <w:lang w:val="it-IT" w:eastAsia="en-US"/>
        </w:rPr>
        <w:t>Acqua per preparazioni iniettabili</w:t>
      </w:r>
    </w:p>
    <w:p>
      <w:pPr>
        <w:ind w:left="567" w:hanging="567"/>
        <w:outlineLvl w:val="0"/>
        <w:rPr>
          <w:bCs/>
          <w:noProof/>
          <w:szCs w:val="22"/>
          <w:lang w:val="it-IT"/>
        </w:rPr>
      </w:pPr>
    </w:p>
    <w:p>
      <w:pPr>
        <w:ind w:left="567" w:hanging="567"/>
        <w:outlineLvl w:val="0"/>
        <w:rPr>
          <w:noProof/>
          <w:szCs w:val="22"/>
          <w:lang w:val="it-IT" w:eastAsia="en-US"/>
        </w:rPr>
      </w:pPr>
      <w:r>
        <w:rPr>
          <w:rFonts w:eastAsia="Calibri"/>
          <w:b/>
          <w:noProof/>
          <w:szCs w:val="22"/>
          <w:lang w:val="it-IT" w:eastAsia="en-US"/>
        </w:rPr>
        <w:t>6.2</w:t>
      </w:r>
      <w:r>
        <w:rPr>
          <w:rFonts w:eastAsia="Calibri"/>
          <w:b/>
          <w:noProof/>
          <w:szCs w:val="22"/>
          <w:lang w:val="it-IT" w:eastAsia="en-US"/>
        </w:rPr>
        <w:tab/>
        <w:t>Incompatibilità</w:t>
      </w:r>
    </w:p>
    <w:p>
      <w:pPr>
        <w:rPr>
          <w:noProof/>
          <w:szCs w:val="22"/>
          <w:lang w:val="it-IT"/>
        </w:rPr>
      </w:pPr>
    </w:p>
    <w:p>
      <w:pPr>
        <w:outlineLvl w:val="0"/>
        <w:rPr>
          <w:rFonts w:eastAsia="Calibri"/>
          <w:bCs/>
          <w:noProof/>
          <w:szCs w:val="22"/>
          <w:lang w:val="it-IT" w:eastAsia="en-US"/>
        </w:rPr>
      </w:pPr>
      <w:r>
        <w:rPr>
          <w:rFonts w:eastAsia="Calibri"/>
          <w:bCs/>
          <w:noProof/>
          <w:szCs w:val="22"/>
          <w:lang w:val="it-IT" w:eastAsia="en-US"/>
        </w:rPr>
        <w:t xml:space="preserve">In assenza di studi di compatibilità, questo medicinale non deve essere miscelato con altri </w:t>
      </w:r>
      <w:del w:id="9660" w:author="Author">
        <w:r>
          <w:rPr>
            <w:rFonts w:eastAsia="Calibri"/>
            <w:bCs/>
            <w:noProof/>
            <w:szCs w:val="22"/>
            <w:lang w:val="it-IT" w:eastAsia="en-US"/>
          </w:rPr>
          <w:delText xml:space="preserve">prodotti </w:delText>
        </w:r>
      </w:del>
      <w:r>
        <w:rPr>
          <w:rFonts w:eastAsia="Calibri"/>
          <w:bCs/>
          <w:noProof/>
          <w:szCs w:val="22"/>
          <w:lang w:val="it-IT" w:eastAsia="en-US"/>
        </w:rPr>
        <w:t>medicinali.</w:t>
      </w:r>
    </w:p>
    <w:p>
      <w:pPr>
        <w:ind w:left="567" w:hanging="567"/>
        <w:outlineLvl w:val="0"/>
        <w:rPr>
          <w:noProof/>
          <w:szCs w:val="22"/>
          <w:lang w:val="it-IT"/>
        </w:rPr>
      </w:pPr>
    </w:p>
    <w:p>
      <w:pPr>
        <w:keepNext/>
        <w:keepLines/>
        <w:ind w:left="567" w:hanging="567"/>
        <w:outlineLvl w:val="0"/>
        <w:rPr>
          <w:noProof/>
          <w:szCs w:val="22"/>
          <w:lang w:val="it-IT" w:eastAsia="en-US"/>
        </w:rPr>
      </w:pPr>
      <w:r>
        <w:rPr>
          <w:rFonts w:eastAsia="Calibri"/>
          <w:b/>
          <w:noProof/>
          <w:szCs w:val="22"/>
          <w:lang w:val="it-IT" w:eastAsia="en-US"/>
        </w:rPr>
        <w:t>6.3</w:t>
      </w:r>
      <w:r>
        <w:rPr>
          <w:rFonts w:eastAsia="Calibri"/>
          <w:b/>
          <w:noProof/>
          <w:szCs w:val="22"/>
          <w:lang w:val="it-IT" w:eastAsia="en-US"/>
        </w:rPr>
        <w:tab/>
        <w:t>Periodo di validità</w:t>
      </w:r>
    </w:p>
    <w:p>
      <w:pPr>
        <w:keepNext/>
        <w:keepLines/>
        <w:rPr>
          <w:noProof/>
          <w:szCs w:val="22"/>
          <w:lang w:val="it-IT"/>
        </w:rPr>
      </w:pPr>
    </w:p>
    <w:p>
      <w:pPr>
        <w:keepNext/>
        <w:keepLines/>
        <w:rPr>
          <w:rFonts w:eastAsia="Calibri"/>
          <w:noProof/>
          <w:szCs w:val="22"/>
          <w:lang w:val="it-IT" w:eastAsia="en-US"/>
        </w:rPr>
      </w:pPr>
      <w:r>
        <w:rPr>
          <w:rFonts w:eastAsia="Calibri"/>
          <w:noProof/>
          <w:szCs w:val="22"/>
          <w:lang w:val="it-IT" w:eastAsia="en-US"/>
        </w:rPr>
        <w:t>3 anni</w:t>
      </w:r>
    </w:p>
    <w:p>
      <w:pPr>
        <w:ind w:left="567" w:hanging="567"/>
        <w:outlineLvl w:val="0"/>
        <w:rPr>
          <w:noProof/>
          <w:szCs w:val="22"/>
          <w:lang w:val="it-IT"/>
        </w:rPr>
      </w:pPr>
    </w:p>
    <w:p>
      <w:pPr>
        <w:numPr>
          <w:ilvl w:val="12"/>
          <w:numId w:val="0"/>
        </w:numPr>
        <w:ind w:right="-2"/>
        <w:rPr>
          <w:rFonts w:eastAsia="Calibri"/>
          <w:b/>
          <w:noProof/>
          <w:szCs w:val="22"/>
          <w:lang w:val="it-IT" w:eastAsia="en-US"/>
        </w:rPr>
      </w:pPr>
      <w:r>
        <w:rPr>
          <w:rFonts w:eastAsia="Calibri"/>
          <w:b/>
          <w:noProof/>
          <w:szCs w:val="22"/>
          <w:lang w:val="it-IT" w:eastAsia="en-US"/>
        </w:rPr>
        <w:t>6.4</w:t>
      </w:r>
      <w:r>
        <w:rPr>
          <w:rFonts w:eastAsia="Calibri"/>
          <w:b/>
          <w:noProof/>
          <w:szCs w:val="22"/>
          <w:lang w:val="it-IT" w:eastAsia="en-US"/>
        </w:rPr>
        <w:tab/>
        <w:t>Precauzioni particolari per la conservazione</w:t>
      </w:r>
    </w:p>
    <w:p>
      <w:pPr>
        <w:numPr>
          <w:ilvl w:val="12"/>
          <w:numId w:val="0"/>
        </w:numPr>
        <w:ind w:right="-2"/>
        <w:rPr>
          <w:rFonts w:eastAsia="Calibri"/>
          <w:b/>
          <w:noProof/>
          <w:szCs w:val="22"/>
          <w:lang w:val="it-IT" w:eastAsia="en-US"/>
        </w:rPr>
      </w:pPr>
    </w:p>
    <w:p>
      <w:pPr>
        <w:tabs>
          <w:tab w:val="left" w:pos="180"/>
        </w:tabs>
        <w:rPr>
          <w:noProof/>
          <w:szCs w:val="22"/>
          <w:lang w:val="it-IT"/>
        </w:rPr>
      </w:pPr>
      <w:r>
        <w:rPr>
          <w:rFonts w:eastAsia="Calibri"/>
          <w:noProof/>
          <w:szCs w:val="22"/>
          <w:lang w:val="it-IT" w:eastAsia="en-US"/>
        </w:rPr>
        <w:t xml:space="preserve">Conservare in frigorifero (2 °C-8 °C). Non congelare. </w:t>
      </w:r>
      <w:r>
        <w:rPr>
          <w:noProof/>
          <w:szCs w:val="22"/>
          <w:lang w:val="it-IT"/>
        </w:rPr>
        <w:t>Una volta tolta dal frigorifero, la penna preriempita può essere conservata per un massimo di 2 settimane a temperatura pari o inferiore a 30°C.</w:t>
      </w:r>
    </w:p>
    <w:p>
      <w:pPr>
        <w:rPr>
          <w:rFonts w:eastAsia="Calibri"/>
          <w:noProof/>
          <w:szCs w:val="22"/>
          <w:lang w:val="it-IT" w:eastAsia="en-US"/>
        </w:rPr>
      </w:pPr>
    </w:p>
    <w:p>
      <w:pPr>
        <w:rPr>
          <w:noProof/>
          <w:szCs w:val="22"/>
          <w:lang w:val="it-IT" w:eastAsia="en-US"/>
        </w:rPr>
      </w:pPr>
      <w:r>
        <w:rPr>
          <w:rFonts w:eastAsia="Calibri"/>
          <w:noProof/>
          <w:szCs w:val="22"/>
          <w:lang w:val="it-IT" w:eastAsia="en-US"/>
        </w:rPr>
        <w:t>Tenere la penna preriempita nell’imballaggio esterno per proteggerl</w:t>
      </w:r>
      <w:ins w:id="9661" w:author="Author">
        <w:r>
          <w:rPr>
            <w:rFonts w:eastAsia="Calibri"/>
            <w:noProof/>
            <w:szCs w:val="22"/>
            <w:lang w:val="it-IT" w:eastAsia="en-US"/>
          </w:rPr>
          <w:t>a</w:t>
        </w:r>
      </w:ins>
      <w:del w:id="9662" w:author="Author">
        <w:r>
          <w:rPr>
            <w:rFonts w:eastAsia="Calibri"/>
            <w:noProof/>
            <w:szCs w:val="22"/>
            <w:lang w:val="it-IT" w:eastAsia="en-US"/>
          </w:rPr>
          <w:delText>e</w:delText>
        </w:r>
      </w:del>
      <w:r>
        <w:rPr>
          <w:rFonts w:eastAsia="Calibri"/>
          <w:noProof/>
          <w:szCs w:val="22"/>
          <w:lang w:val="it-IT" w:eastAsia="en-US"/>
        </w:rPr>
        <w:t xml:space="preserve"> dalla luce e dall’umidità.</w:t>
      </w:r>
    </w:p>
    <w:p>
      <w:pPr>
        <w:rPr>
          <w:ins w:id="9663" w:author="Author"/>
          <w:noProof/>
          <w:szCs w:val="22"/>
          <w:lang w:val="it-IT"/>
        </w:rPr>
      </w:pPr>
    </w:p>
    <w:p>
      <w:pPr>
        <w:tabs>
          <w:tab w:val="left" w:pos="180"/>
        </w:tabs>
        <w:rPr>
          <w:ins w:id="9664" w:author="Author"/>
          <w:noProof/>
          <w:lang w:val="it-IT"/>
          <w:rPrChange w:id="9665" w:author="Author">
            <w:rPr>
              <w:ins w:id="9666" w:author="Author"/>
              <w:noProof/>
              <w:highlight w:val="green"/>
              <w:lang w:val="it-IT"/>
            </w:rPr>
          </w:rPrChange>
        </w:rPr>
      </w:pPr>
      <w:ins w:id="9667" w:author="Author">
        <w:r>
          <w:rPr>
            <w:noProof/>
            <w:lang w:val="it-IT"/>
            <w:rPrChange w:id="9668" w:author="Author">
              <w:rPr>
                <w:noProof/>
                <w:highlight w:val="green"/>
                <w:lang w:val="it-IT"/>
              </w:rPr>
            </w:rPrChange>
          </w:rPr>
          <w:t>La data e l'ora di rimozione della confezione dal frigorifero devono essere registrate sulla confezione.</w:t>
        </w:r>
      </w:ins>
    </w:p>
    <w:p>
      <w:pPr>
        <w:rPr>
          <w:ins w:id="9669" w:author="Author"/>
          <w:noProof/>
          <w:szCs w:val="22"/>
          <w:lang w:val="it-IT"/>
        </w:rPr>
      </w:pPr>
      <w:ins w:id="9670" w:author="Author">
        <w:r>
          <w:rPr>
            <w:noProof/>
            <w:lang w:val="it-IT"/>
          </w:rPr>
          <w:t>Eliminare la siringa se lasciata fuori dal frigorifero per più di 2 settimane. Non utilizzare fonti di calore esterne come acqua calda per riscaldare la siringa preriempita</w:t>
        </w:r>
        <w:r>
          <w:rPr>
            <w:noProof/>
            <w:szCs w:val="22"/>
            <w:lang w:val="it-IT"/>
          </w:rPr>
          <w:t>.</w:t>
        </w:r>
      </w:ins>
    </w:p>
    <w:p>
      <w:pPr>
        <w:rPr>
          <w:noProof/>
          <w:szCs w:val="22"/>
          <w:lang w:val="it-IT"/>
        </w:rPr>
      </w:pPr>
    </w:p>
    <w:p>
      <w:pPr>
        <w:keepNext/>
        <w:keepLines/>
        <w:ind w:left="562" w:hanging="562"/>
        <w:outlineLvl w:val="0"/>
        <w:rPr>
          <w:rFonts w:eastAsia="Calibri"/>
          <w:b/>
          <w:noProof/>
          <w:szCs w:val="22"/>
          <w:lang w:val="it-IT" w:eastAsia="en-US"/>
        </w:rPr>
      </w:pPr>
      <w:r>
        <w:rPr>
          <w:rFonts w:eastAsia="Calibri"/>
          <w:b/>
          <w:noProof/>
          <w:szCs w:val="22"/>
          <w:lang w:val="it-IT" w:eastAsia="en-US"/>
        </w:rPr>
        <w:lastRenderedPageBreak/>
        <w:t>6.5</w:t>
      </w:r>
      <w:r>
        <w:rPr>
          <w:rFonts w:eastAsia="Calibri"/>
          <w:b/>
          <w:noProof/>
          <w:szCs w:val="22"/>
          <w:lang w:val="it-IT" w:eastAsia="en-US"/>
        </w:rPr>
        <w:tab/>
        <w:t>Natura e contenuto del contenitore</w:t>
      </w:r>
    </w:p>
    <w:p>
      <w:pPr>
        <w:keepNext/>
        <w:keepLines/>
        <w:ind w:left="562" w:hanging="562"/>
        <w:outlineLvl w:val="0"/>
        <w:rPr>
          <w:b/>
          <w:noProof/>
          <w:szCs w:val="22"/>
          <w:lang w:val="it-IT"/>
        </w:rPr>
      </w:pPr>
    </w:p>
    <w:p>
      <w:pPr>
        <w:keepNext/>
        <w:rPr>
          <w:iCs/>
          <w:noProof/>
          <w:szCs w:val="22"/>
          <w:lang w:val="it-IT" w:eastAsia="en-US"/>
        </w:rPr>
      </w:pPr>
      <w:r>
        <w:rPr>
          <w:rFonts w:eastAsia="Calibri"/>
          <w:noProof/>
          <w:szCs w:val="22"/>
          <w:lang w:val="it-IT" w:eastAsia="en-US"/>
        </w:rPr>
        <w:t>Soluzione da 0,9 mL in una siringa preriempita (vetro di tipo 1) con un ago fisso, contenente 162 mg di RoActemra, il tutto incorporato in una penna preriempita.</w:t>
      </w:r>
      <w:r>
        <w:rPr>
          <w:rFonts w:eastAsia="Calibri"/>
          <w:iCs/>
          <w:noProof/>
          <w:szCs w:val="22"/>
          <w:lang w:val="it-IT" w:eastAsia="en-US"/>
        </w:rPr>
        <w:t xml:space="preserve"> </w:t>
      </w:r>
      <w:r>
        <w:rPr>
          <w:rFonts w:eastAsia="Calibri"/>
          <w:noProof/>
          <w:szCs w:val="22"/>
          <w:lang w:val="it-IT" w:eastAsia="en-US"/>
        </w:rPr>
        <w:t xml:space="preserve">La siringa è chiusa da un </w:t>
      </w:r>
      <w:del w:id="9671" w:author="Author">
        <w:r>
          <w:rPr>
            <w:rFonts w:eastAsia="Calibri"/>
            <w:noProof/>
            <w:szCs w:val="22"/>
            <w:lang w:val="it-IT" w:eastAsia="en-US"/>
          </w:rPr>
          <w:delText xml:space="preserve">manicotto </w:delText>
        </w:r>
      </w:del>
      <w:ins w:id="9672" w:author="Author">
        <w:r>
          <w:rPr>
            <w:rFonts w:eastAsia="Calibri"/>
            <w:noProof/>
            <w:szCs w:val="22"/>
            <w:lang w:val="it-IT" w:eastAsia="en-US"/>
          </w:rPr>
          <w:t xml:space="preserve">copriago rigido </w:t>
        </w:r>
      </w:ins>
      <w:del w:id="9673" w:author="Author">
        <w:r>
          <w:rPr>
            <w:rFonts w:eastAsia="Calibri"/>
            <w:noProof/>
            <w:szCs w:val="22"/>
            <w:lang w:val="it-IT" w:eastAsia="en-US"/>
          </w:rPr>
          <w:delText xml:space="preserve">di sicurezza rigido per l’ago </w:delText>
        </w:r>
      </w:del>
      <w:r>
        <w:rPr>
          <w:rFonts w:eastAsia="Calibri"/>
          <w:noProof/>
          <w:szCs w:val="22"/>
          <w:lang w:val="it-IT" w:eastAsia="en-US"/>
        </w:rPr>
        <w:t>(guarnizione elastomerica di tenuta con involucro in polipropilene) e da un tappo a stantuffo (gomma butilica rivestita in fluororesina).</w:t>
      </w:r>
    </w:p>
    <w:p>
      <w:pPr>
        <w:keepNext/>
        <w:rPr>
          <w:noProof/>
          <w:szCs w:val="22"/>
          <w:lang w:val="it-IT"/>
        </w:rPr>
      </w:pPr>
    </w:p>
    <w:p>
      <w:pPr>
        <w:rPr>
          <w:iCs/>
          <w:noProof/>
          <w:szCs w:val="22"/>
          <w:lang w:val="it-IT" w:eastAsia="en-US"/>
          <w:rPrChange w:id="9674" w:author="Author">
            <w:rPr>
              <w:b/>
              <w:bCs/>
              <w:iCs/>
              <w:szCs w:val="22"/>
              <w:lang w:val="it-IT" w:eastAsia="en-US"/>
            </w:rPr>
          </w:rPrChange>
        </w:rPr>
      </w:pPr>
      <w:r>
        <w:rPr>
          <w:rFonts w:eastAsia="Calibri"/>
          <w:iCs/>
          <w:noProof/>
          <w:szCs w:val="22"/>
          <w:lang w:val="it-IT" w:eastAsia="en-US"/>
        </w:rPr>
        <w:t xml:space="preserve">Confezioni da 4 penne preriempite </w:t>
      </w:r>
      <w:r>
        <w:rPr>
          <w:rFonts w:eastAsia="Calibri"/>
          <w:iCs/>
          <w:noProof/>
          <w:szCs w:val="22"/>
          <w:lang w:val="it-IT" w:eastAsia="en-US"/>
          <w:rPrChange w:id="9675" w:author="Author">
            <w:rPr>
              <w:rFonts w:eastAsia="Calibri"/>
              <w:b/>
              <w:bCs/>
              <w:iCs/>
              <w:szCs w:val="22"/>
              <w:lang w:val="it-IT" w:eastAsia="en-US"/>
            </w:rPr>
          </w:rPrChange>
        </w:rPr>
        <w:t>e confezioni multiple che contengono 12 (3 confezioni da 4) penne preriempite. È possibile che non tutte le confezioni siano commercializzate.</w:t>
      </w:r>
    </w:p>
    <w:p>
      <w:pPr>
        <w:rPr>
          <w:noProof/>
          <w:szCs w:val="22"/>
          <w:lang w:val="it-IT"/>
        </w:rPr>
      </w:pPr>
    </w:p>
    <w:p>
      <w:pPr>
        <w:keepNext/>
        <w:ind w:left="567" w:hanging="567"/>
        <w:outlineLvl w:val="0"/>
        <w:rPr>
          <w:noProof/>
          <w:szCs w:val="22"/>
          <w:lang w:val="it-IT" w:eastAsia="en-US"/>
        </w:rPr>
        <w:pPrChange w:id="9676" w:author="Author">
          <w:pPr>
            <w:ind w:left="567" w:hanging="567"/>
            <w:outlineLvl w:val="0"/>
          </w:pPr>
        </w:pPrChange>
      </w:pPr>
      <w:r>
        <w:rPr>
          <w:rFonts w:eastAsia="Calibri"/>
          <w:b/>
          <w:noProof/>
          <w:szCs w:val="22"/>
          <w:lang w:val="it-IT" w:eastAsia="en-US"/>
        </w:rPr>
        <w:t>6.6</w:t>
      </w:r>
      <w:r>
        <w:rPr>
          <w:rFonts w:eastAsia="Calibri"/>
          <w:b/>
          <w:noProof/>
          <w:szCs w:val="22"/>
          <w:lang w:val="it-IT" w:eastAsia="en-US"/>
        </w:rPr>
        <w:tab/>
        <w:t>Precauzioni particolari per lo smaltimento e la manipolazione</w:t>
      </w:r>
    </w:p>
    <w:p>
      <w:pPr>
        <w:keepNext/>
        <w:rPr>
          <w:noProof/>
          <w:szCs w:val="22"/>
          <w:u w:val="single"/>
          <w:lang w:val="it-IT"/>
        </w:rPr>
        <w:pPrChange w:id="9677" w:author="Author">
          <w:pPr/>
        </w:pPrChange>
      </w:pPr>
    </w:p>
    <w:p>
      <w:pPr>
        <w:rPr>
          <w:noProof/>
          <w:lang w:val="it-IT" w:eastAsia="en-US"/>
        </w:rPr>
      </w:pPr>
      <w:r>
        <w:rPr>
          <w:rFonts w:eastAsia="Calibri"/>
          <w:noProof/>
          <w:lang w:val="it-IT" w:eastAsia="en-US"/>
        </w:rPr>
        <w:t>RoActemra è fornito in una penna preriempita monouso. Prima dell’iniezione, una volta tolta la penna preriempita dal frigorifero, occorre lasciare che raggiunga la temperatura ambiente (tra 18 °C e 28 °C</w:t>
      </w:r>
      <w:r>
        <w:rPr>
          <w:rFonts w:ascii="Arial" w:eastAsia="Calibri" w:hAnsi="Arial"/>
          <w:noProof/>
          <w:color w:val="222222"/>
          <w:sz w:val="20"/>
          <w:shd w:val="clear" w:color="auto" w:fill="FFFFFF"/>
          <w:lang w:val="it-IT" w:eastAsia="en-US"/>
        </w:rPr>
        <w:t>)</w:t>
      </w:r>
      <w:r>
        <w:rPr>
          <w:rFonts w:eastAsia="Calibri"/>
          <w:noProof/>
          <w:lang w:val="it-IT" w:eastAsia="en-US"/>
        </w:rPr>
        <w:t xml:space="preserve"> attendendo per 45 minuti</w:t>
      </w:r>
      <w:r>
        <w:rPr>
          <w:rFonts w:ascii="Calibri" w:eastAsia="Calibri" w:hAnsi="Calibri"/>
          <w:noProof/>
          <w:lang w:val="it-IT" w:eastAsia="en-US"/>
        </w:rPr>
        <w:t>.</w:t>
      </w:r>
      <w:r>
        <w:rPr>
          <w:rFonts w:eastAsia="Calibri"/>
          <w:noProof/>
          <w:lang w:val="it-IT" w:eastAsia="en-US"/>
        </w:rPr>
        <w:t xml:space="preserve"> La penna non deve essere agitata. Una volta rimosso il cappuccio la somministrazione </w:t>
      </w:r>
      <w:del w:id="9678" w:author="Author">
        <w:r>
          <w:rPr>
            <w:rFonts w:eastAsia="Calibri"/>
            <w:noProof/>
            <w:lang w:val="it-IT" w:eastAsia="en-US"/>
          </w:rPr>
          <w:delText xml:space="preserve">dell’iniezione </w:delText>
        </w:r>
      </w:del>
      <w:r>
        <w:rPr>
          <w:rFonts w:eastAsia="Calibri"/>
          <w:noProof/>
          <w:lang w:val="it-IT" w:eastAsia="en-US"/>
        </w:rPr>
        <w:t xml:space="preserve">deve essere iniziata entro 3 minuti, per evitare che il </w:t>
      </w:r>
      <w:del w:id="9679" w:author="Author">
        <w:r>
          <w:rPr>
            <w:rFonts w:eastAsia="Calibri"/>
            <w:noProof/>
            <w:lang w:val="it-IT" w:eastAsia="en-US"/>
          </w:rPr>
          <w:delText xml:space="preserve">farmaco </w:delText>
        </w:r>
      </w:del>
      <w:ins w:id="9680" w:author="Author">
        <w:r>
          <w:rPr>
            <w:rFonts w:eastAsia="Calibri"/>
            <w:noProof/>
            <w:lang w:val="it-IT" w:eastAsia="en-US"/>
          </w:rPr>
          <w:t xml:space="preserve">medicinale </w:t>
        </w:r>
      </w:ins>
      <w:r>
        <w:rPr>
          <w:rFonts w:eastAsia="Calibri"/>
          <w:noProof/>
          <w:lang w:val="it-IT" w:eastAsia="en-US"/>
        </w:rPr>
        <w:t>si secchi e blocchi l’ago. Se la penna preriempita non viene utilizzata entro 3 minuti dalla rimozione del cappuccio, è necessario smaltirla in un contenitore resistente alla perforazione e utilizzare una nuova penna preriempita.</w:t>
      </w:r>
    </w:p>
    <w:p>
      <w:pPr>
        <w:rPr>
          <w:noProof/>
          <w:szCs w:val="22"/>
          <w:lang w:val="it-IT"/>
        </w:rPr>
      </w:pPr>
    </w:p>
    <w:p>
      <w:pPr>
        <w:rPr>
          <w:noProof/>
          <w:szCs w:val="22"/>
          <w:lang w:val="it-IT" w:eastAsia="en-US"/>
        </w:rPr>
      </w:pPr>
      <w:r>
        <w:rPr>
          <w:rFonts w:eastAsia="Calibri"/>
          <w:bCs/>
          <w:noProof/>
          <w:szCs w:val="22"/>
          <w:lang w:val="it-IT" w:eastAsia="en-US"/>
        </w:rPr>
        <w:t>Se dopo aver premuto il pulsante di attivazione l’indicatore viola non si muove, è necessario gettare la penna preriempita in un contenitore resistente alla perforazione.</w:t>
      </w:r>
      <w:ins w:id="9681" w:author="Author">
        <w:r>
          <w:rPr>
            <w:rFonts w:eastAsia="Calibri"/>
            <w:bCs/>
            <w:noProof/>
            <w:szCs w:val="22"/>
            <w:lang w:val="it-IT" w:eastAsia="en-US"/>
          </w:rPr>
          <w:t xml:space="preserve"> </w:t>
        </w:r>
      </w:ins>
      <w:del w:id="9682" w:author="Author">
        <w:r>
          <w:rPr>
            <w:rFonts w:eastAsia="Calibri"/>
            <w:bCs/>
            <w:noProof/>
            <w:szCs w:val="22"/>
            <w:lang w:val="it-IT" w:eastAsia="en-US"/>
          </w:rPr>
          <w:delText> </w:delText>
        </w:r>
      </w:del>
      <w:r>
        <w:rPr>
          <w:rFonts w:eastAsia="Calibri"/>
          <w:b/>
          <w:bCs/>
          <w:noProof/>
          <w:szCs w:val="22"/>
          <w:lang w:val="it-IT" w:eastAsia="en-US"/>
        </w:rPr>
        <w:t xml:space="preserve">Non </w:t>
      </w:r>
      <w:r>
        <w:rPr>
          <w:rFonts w:eastAsia="Calibri"/>
          <w:bCs/>
          <w:noProof/>
          <w:szCs w:val="22"/>
          <w:lang w:val="it-IT" w:eastAsia="en-US"/>
        </w:rPr>
        <w:t>cercare di riutilizzare la penna preriempita. Non ripetere l’iniezione con un’altra penna preriempita. Contattare l’operatore sanitario per ricevere assistenza.</w:t>
      </w:r>
    </w:p>
    <w:p>
      <w:pPr>
        <w:rPr>
          <w:noProof/>
          <w:szCs w:val="22"/>
          <w:lang w:val="it-IT"/>
        </w:rPr>
      </w:pPr>
    </w:p>
    <w:p>
      <w:pPr>
        <w:spacing w:line="280" w:lineRule="atLeast"/>
        <w:rPr>
          <w:noProof/>
          <w:szCs w:val="22"/>
          <w:lang w:val="it-IT" w:eastAsia="en-US"/>
        </w:rPr>
      </w:pPr>
      <w:r>
        <w:rPr>
          <w:rFonts w:eastAsia="Calibri"/>
          <w:noProof/>
          <w:szCs w:val="22"/>
          <w:lang w:val="it-IT" w:eastAsia="en-US"/>
        </w:rPr>
        <w:t>Il medicinale non deve essere usato se la soluzione è torbida o contiene particelle, se non è trasparente o presenta un colore diverso dal leggermente giallastro, o se qualsiasi parte della penna preriempita appare danneggiata.</w:t>
      </w:r>
    </w:p>
    <w:p>
      <w:pPr>
        <w:spacing w:line="280" w:lineRule="atLeast"/>
        <w:rPr>
          <w:noProof/>
          <w:szCs w:val="22"/>
          <w:lang w:val="it-IT" w:eastAsia="de-DE"/>
        </w:rPr>
      </w:pPr>
    </w:p>
    <w:p>
      <w:pPr>
        <w:rPr>
          <w:noProof/>
          <w:szCs w:val="22"/>
          <w:lang w:val="it-IT" w:eastAsia="en-US"/>
        </w:rPr>
      </w:pPr>
      <w:r>
        <w:rPr>
          <w:rFonts w:eastAsia="Calibri"/>
          <w:noProof/>
          <w:szCs w:val="22"/>
          <w:lang w:val="it-IT" w:eastAsia="en-US"/>
        </w:rPr>
        <w:t>Le istruzioni complete relative alla somministrazione di RoActemra in penna preriempita sono fornite nel foglio illustrativo.</w:t>
      </w:r>
    </w:p>
    <w:p>
      <w:pPr>
        <w:rPr>
          <w:noProof/>
          <w:szCs w:val="22"/>
          <w:lang w:val="it-IT"/>
        </w:rPr>
      </w:pPr>
    </w:p>
    <w:p>
      <w:pPr>
        <w:rPr>
          <w:noProof/>
          <w:szCs w:val="22"/>
          <w:lang w:val="it-IT" w:eastAsia="en-US"/>
        </w:rPr>
      </w:pPr>
      <w:r>
        <w:rPr>
          <w:rFonts w:eastAsia="Calibri"/>
          <w:noProof/>
          <w:szCs w:val="22"/>
          <w:lang w:val="it-IT" w:eastAsia="en-US"/>
        </w:rPr>
        <w:t>Il medicinale non utilizzato e i rifiuti derivati da tale medicinale devono essere smaltiti in conformità alla normativa locale vigente</w:t>
      </w:r>
    </w:p>
    <w:p>
      <w:pPr>
        <w:rPr>
          <w:noProof/>
          <w:szCs w:val="22"/>
          <w:lang w:val="it-IT"/>
        </w:rPr>
      </w:pPr>
    </w:p>
    <w:p>
      <w:pPr>
        <w:rPr>
          <w:noProof/>
          <w:szCs w:val="22"/>
          <w:lang w:val="it-IT"/>
        </w:rPr>
      </w:pPr>
    </w:p>
    <w:p>
      <w:pPr>
        <w:keepNext/>
        <w:ind w:left="567" w:hanging="567"/>
        <w:rPr>
          <w:noProof/>
          <w:szCs w:val="22"/>
          <w:lang w:val="it-IT" w:eastAsia="en-US"/>
        </w:rPr>
      </w:pPr>
      <w:r>
        <w:rPr>
          <w:rFonts w:eastAsia="Calibri"/>
          <w:b/>
          <w:noProof/>
          <w:szCs w:val="22"/>
          <w:lang w:val="it-IT" w:eastAsia="en-US"/>
        </w:rPr>
        <w:t>7.</w:t>
      </w:r>
      <w:r>
        <w:rPr>
          <w:rFonts w:eastAsia="Calibri"/>
          <w:b/>
          <w:noProof/>
          <w:szCs w:val="22"/>
          <w:lang w:val="it-IT" w:eastAsia="en-US"/>
        </w:rPr>
        <w:tab/>
        <w:t>TITOLARE DELL’AUTORIZZAZIONE ALL’IMMISSIONE IN COMMERCIO</w:t>
      </w:r>
    </w:p>
    <w:p>
      <w:pPr>
        <w:keepNext/>
        <w:rPr>
          <w:noProof/>
          <w:szCs w:val="22"/>
          <w:lang w:val="it-IT"/>
        </w:rPr>
      </w:pPr>
    </w:p>
    <w:p>
      <w:pPr>
        <w:rPr>
          <w:noProof/>
          <w:lang w:val="it-IT"/>
        </w:rPr>
      </w:pPr>
      <w:r>
        <w:rPr>
          <w:noProof/>
          <w:lang w:val="it-IT"/>
        </w:rPr>
        <w:t xml:space="preserve">Roche Registration GmbH </w:t>
      </w:r>
    </w:p>
    <w:p>
      <w:pPr>
        <w:rPr>
          <w:noProof/>
          <w:lang w:val="it-IT"/>
        </w:rPr>
      </w:pPr>
      <w:r>
        <w:rPr>
          <w:noProof/>
          <w:lang w:val="it-IT"/>
        </w:rPr>
        <w:t>Emil-Barell-Strasse 1</w:t>
      </w:r>
    </w:p>
    <w:p>
      <w:pPr>
        <w:rPr>
          <w:noProof/>
          <w:lang w:val="it-IT"/>
        </w:rPr>
      </w:pPr>
      <w:r>
        <w:rPr>
          <w:noProof/>
          <w:lang w:val="it-IT"/>
        </w:rPr>
        <w:t>79639 Grenzach-Wyhlen</w:t>
      </w:r>
    </w:p>
    <w:p>
      <w:pPr>
        <w:rPr>
          <w:noProof/>
          <w:lang w:val="it-IT"/>
        </w:rPr>
      </w:pPr>
      <w:r>
        <w:rPr>
          <w:noProof/>
          <w:lang w:val="it-IT"/>
        </w:rPr>
        <w:t>Germania</w:t>
      </w:r>
    </w:p>
    <w:p>
      <w:pPr>
        <w:rPr>
          <w:noProof/>
          <w:szCs w:val="22"/>
          <w:lang w:val="it-IT"/>
        </w:rPr>
      </w:pPr>
    </w:p>
    <w:p>
      <w:pPr>
        <w:rPr>
          <w:noProof/>
          <w:szCs w:val="22"/>
          <w:lang w:val="it-IT"/>
        </w:rPr>
      </w:pPr>
    </w:p>
    <w:p>
      <w:pPr>
        <w:keepNext/>
        <w:ind w:left="567" w:hanging="567"/>
        <w:rPr>
          <w:rFonts w:eastAsia="Calibri"/>
          <w:b/>
          <w:noProof/>
          <w:szCs w:val="22"/>
          <w:lang w:val="it-IT" w:eastAsia="en-US"/>
        </w:rPr>
      </w:pPr>
      <w:r>
        <w:rPr>
          <w:rFonts w:eastAsia="Calibri"/>
          <w:b/>
          <w:noProof/>
          <w:szCs w:val="22"/>
          <w:lang w:val="it-IT" w:eastAsia="en-US"/>
        </w:rPr>
        <w:t>8.</w:t>
      </w:r>
      <w:r>
        <w:rPr>
          <w:rFonts w:eastAsia="Calibri"/>
          <w:b/>
          <w:noProof/>
          <w:szCs w:val="22"/>
          <w:lang w:val="it-IT" w:eastAsia="en-US"/>
        </w:rPr>
        <w:tab/>
        <w:t>NUMER</w:t>
      </w:r>
      <w:del w:id="9683" w:author="Author">
        <w:r>
          <w:rPr>
            <w:rFonts w:eastAsia="Calibri"/>
            <w:b/>
            <w:noProof/>
            <w:szCs w:val="22"/>
            <w:lang w:val="it-IT" w:eastAsia="en-US"/>
          </w:rPr>
          <w:delText>O(</w:delText>
        </w:r>
      </w:del>
      <w:r>
        <w:rPr>
          <w:rFonts w:eastAsia="Calibri"/>
          <w:b/>
          <w:noProof/>
          <w:szCs w:val="22"/>
          <w:lang w:val="it-IT" w:eastAsia="en-US"/>
        </w:rPr>
        <w:t>I</w:t>
      </w:r>
      <w:del w:id="9684" w:author="Author">
        <w:r>
          <w:rPr>
            <w:rFonts w:eastAsia="Calibri"/>
            <w:b/>
            <w:noProof/>
            <w:szCs w:val="22"/>
            <w:lang w:val="it-IT" w:eastAsia="en-US"/>
          </w:rPr>
          <w:delText>)</w:delText>
        </w:r>
      </w:del>
      <w:r>
        <w:rPr>
          <w:rFonts w:eastAsia="Calibri"/>
          <w:b/>
          <w:noProof/>
          <w:szCs w:val="22"/>
          <w:lang w:val="it-IT" w:eastAsia="en-US"/>
        </w:rPr>
        <w:t xml:space="preserve"> DELL’AUTORIZZAZIONE ALL’IMMISSIONE IN COMMERCIO</w:t>
      </w:r>
    </w:p>
    <w:p>
      <w:pPr>
        <w:keepNext/>
        <w:rPr>
          <w:noProof/>
          <w:szCs w:val="22"/>
          <w:lang w:val="it-IT"/>
        </w:rPr>
      </w:pPr>
    </w:p>
    <w:p>
      <w:pPr>
        <w:rPr>
          <w:noProof/>
          <w:szCs w:val="22"/>
          <w:lang w:val="it-IT" w:eastAsia="en-US"/>
        </w:rPr>
      </w:pPr>
      <w:r>
        <w:rPr>
          <w:rFonts w:eastAsia="Calibri"/>
          <w:noProof/>
          <w:szCs w:val="22"/>
          <w:lang w:val="it-IT" w:eastAsia="en-US"/>
        </w:rPr>
        <w:t>EU/1/08/492/009</w:t>
      </w:r>
    </w:p>
    <w:p>
      <w:pPr>
        <w:widowControl w:val="0"/>
        <w:rPr>
          <w:noProof/>
          <w:szCs w:val="22"/>
          <w:lang w:val="it-IT" w:eastAsia="en-US"/>
        </w:rPr>
      </w:pPr>
      <w:r>
        <w:rPr>
          <w:rFonts w:eastAsia="Calibri"/>
          <w:noProof/>
          <w:szCs w:val="22"/>
          <w:lang w:val="it-IT" w:eastAsia="en-US"/>
        </w:rPr>
        <w:t>EU/1/08/492/010</w:t>
      </w:r>
    </w:p>
    <w:p>
      <w:pPr>
        <w:widowControl w:val="0"/>
        <w:rPr>
          <w:noProof/>
          <w:szCs w:val="22"/>
          <w:lang w:val="it-IT"/>
        </w:rPr>
      </w:pPr>
    </w:p>
    <w:p>
      <w:pPr>
        <w:widowControl w:val="0"/>
        <w:rPr>
          <w:noProof/>
          <w:szCs w:val="22"/>
          <w:lang w:val="it-IT"/>
        </w:rPr>
      </w:pPr>
    </w:p>
    <w:p>
      <w:pPr>
        <w:keepNext/>
        <w:keepLines/>
        <w:widowControl w:val="0"/>
        <w:ind w:left="567" w:hanging="567"/>
        <w:rPr>
          <w:rFonts w:eastAsia="Calibri"/>
          <w:b/>
          <w:noProof/>
          <w:szCs w:val="22"/>
          <w:lang w:val="it-IT" w:eastAsia="en-US"/>
        </w:rPr>
        <w:pPrChange w:id="9685" w:author="Author">
          <w:pPr>
            <w:widowControl w:val="0"/>
            <w:ind w:left="567" w:hanging="567"/>
          </w:pPr>
        </w:pPrChange>
      </w:pPr>
      <w:r>
        <w:rPr>
          <w:rFonts w:eastAsia="Calibri"/>
          <w:b/>
          <w:noProof/>
          <w:szCs w:val="22"/>
          <w:lang w:val="it-IT" w:eastAsia="en-US"/>
        </w:rPr>
        <w:t>9.</w:t>
      </w:r>
      <w:r>
        <w:rPr>
          <w:rFonts w:eastAsia="Calibri"/>
          <w:b/>
          <w:noProof/>
          <w:szCs w:val="22"/>
          <w:lang w:val="it-IT" w:eastAsia="en-US"/>
        </w:rPr>
        <w:tab/>
        <w:t>DATA DELLA PRIMA AUTORIZZAZIONE/DATA DELL’ULTIMO RINNOVO</w:t>
      </w:r>
    </w:p>
    <w:p>
      <w:pPr>
        <w:keepNext/>
        <w:keepLines/>
        <w:widowControl w:val="0"/>
        <w:rPr>
          <w:noProof/>
          <w:szCs w:val="22"/>
          <w:lang w:val="it-IT"/>
        </w:rPr>
        <w:pPrChange w:id="9686" w:author="Author">
          <w:pPr>
            <w:widowControl w:val="0"/>
          </w:pPr>
        </w:pPrChange>
      </w:pPr>
    </w:p>
    <w:p>
      <w:pPr>
        <w:keepNext/>
        <w:keepLines/>
        <w:widowControl w:val="0"/>
        <w:rPr>
          <w:noProof/>
          <w:szCs w:val="22"/>
          <w:lang w:val="it-IT" w:eastAsia="en-US"/>
        </w:rPr>
        <w:pPrChange w:id="9687" w:author="Author">
          <w:pPr>
            <w:widowControl w:val="0"/>
          </w:pPr>
        </w:pPrChange>
      </w:pPr>
      <w:r>
        <w:rPr>
          <w:noProof/>
          <w:color w:val="222222"/>
          <w:szCs w:val="22"/>
          <w:shd w:val="clear" w:color="auto" w:fill="FFFFFF"/>
          <w:lang w:val="it-IT"/>
        </w:rPr>
        <w:t xml:space="preserve">Data della prima autorizzazione: </w:t>
      </w:r>
      <w:r>
        <w:rPr>
          <w:rFonts w:eastAsia="Calibri"/>
          <w:noProof/>
          <w:szCs w:val="22"/>
          <w:lang w:val="it-IT" w:eastAsia="en-US"/>
        </w:rPr>
        <w:t>16 gennaio 2009</w:t>
      </w:r>
    </w:p>
    <w:p>
      <w:pPr>
        <w:widowControl w:val="0"/>
        <w:rPr>
          <w:noProof/>
          <w:szCs w:val="22"/>
          <w:lang w:val="it-IT"/>
        </w:rPr>
      </w:pPr>
      <w:r>
        <w:rPr>
          <w:noProof/>
          <w:color w:val="222222"/>
          <w:szCs w:val="22"/>
          <w:shd w:val="clear" w:color="auto" w:fill="FFFFFF"/>
          <w:lang w:val="it-IT"/>
        </w:rPr>
        <w:t>Data del rinnovo più recente: 25 settembre 2013</w:t>
      </w:r>
    </w:p>
    <w:p>
      <w:pPr>
        <w:keepNext/>
        <w:keepLines/>
        <w:rPr>
          <w:noProof/>
          <w:szCs w:val="22"/>
          <w:lang w:val="it-IT"/>
        </w:rPr>
      </w:pPr>
    </w:p>
    <w:p>
      <w:pPr>
        <w:rPr>
          <w:noProof/>
          <w:szCs w:val="22"/>
          <w:lang w:val="it-IT"/>
        </w:rPr>
        <w:pPrChange w:id="9688" w:author="Author">
          <w:pPr>
            <w:keepNext/>
            <w:keepLines/>
          </w:pPr>
        </w:pPrChange>
      </w:pPr>
    </w:p>
    <w:p>
      <w:pPr>
        <w:keepNext/>
        <w:keepLines/>
        <w:ind w:left="567" w:hanging="567"/>
        <w:rPr>
          <w:b/>
          <w:noProof/>
          <w:szCs w:val="22"/>
          <w:lang w:val="it-IT" w:eastAsia="en-US"/>
        </w:rPr>
      </w:pPr>
      <w:r>
        <w:rPr>
          <w:rFonts w:eastAsia="Calibri"/>
          <w:b/>
          <w:noProof/>
          <w:szCs w:val="22"/>
          <w:lang w:val="it-IT" w:eastAsia="en-US"/>
        </w:rPr>
        <w:lastRenderedPageBreak/>
        <w:t>10.</w:t>
      </w:r>
      <w:r>
        <w:rPr>
          <w:rFonts w:eastAsia="Calibri"/>
          <w:b/>
          <w:noProof/>
          <w:szCs w:val="22"/>
          <w:lang w:val="it-IT" w:eastAsia="en-US"/>
        </w:rPr>
        <w:tab/>
        <w:t>DATA DI REVISIONE DEL TESTO</w:t>
      </w:r>
    </w:p>
    <w:p>
      <w:pPr>
        <w:keepNext/>
        <w:keepLines/>
        <w:numPr>
          <w:ilvl w:val="12"/>
          <w:numId w:val="0"/>
        </w:numPr>
        <w:ind w:right="-2"/>
        <w:rPr>
          <w:iCs/>
          <w:noProof/>
          <w:szCs w:val="22"/>
          <w:lang w:val="it-IT"/>
        </w:rPr>
      </w:pPr>
    </w:p>
    <w:p>
      <w:pPr>
        <w:keepNext/>
        <w:keepLines/>
        <w:numPr>
          <w:ilvl w:val="12"/>
          <w:numId w:val="0"/>
        </w:numPr>
        <w:ind w:right="-2"/>
        <w:rPr>
          <w:noProof/>
          <w:szCs w:val="22"/>
          <w:lang w:val="it-IT" w:eastAsia="en-US"/>
        </w:rPr>
      </w:pPr>
      <w:r>
        <w:rPr>
          <w:rFonts w:eastAsia="Calibri"/>
          <w:noProof/>
          <w:szCs w:val="22"/>
          <w:lang w:val="it-IT" w:eastAsia="en-US"/>
        </w:rPr>
        <w:t xml:space="preserve">Informazioni più dettagliate su questo medicinale sono disponibili sul sito web dell’Agenzia europea dei medicinali: </w:t>
      </w:r>
      <w:r>
        <w:rPr>
          <w:noProof/>
          <w:lang w:val="it-IT"/>
        </w:rPr>
        <w:fldChar w:fldCharType="begin"/>
      </w:r>
      <w:r>
        <w:rPr>
          <w:noProof/>
          <w:lang w:val="it-IT"/>
          <w:rPrChange w:id="9689" w:author="Author">
            <w:rPr/>
          </w:rPrChange>
        </w:rPr>
        <w:instrText>HYPERLINK "http://www.ema.europa.eu"</w:instrText>
      </w:r>
      <w:r>
        <w:rPr>
          <w:noProof/>
          <w:lang w:val="it-IT"/>
        </w:rPr>
        <w:fldChar w:fldCharType="separate"/>
      </w:r>
      <w:r>
        <w:rPr>
          <w:rStyle w:val="Hyperlink"/>
          <w:rFonts w:eastAsia="Calibri"/>
          <w:noProof/>
          <w:szCs w:val="22"/>
          <w:lang w:val="it-IT" w:eastAsia="en-US"/>
        </w:rPr>
        <w:t>https://www.ema.europa.eu</w:t>
      </w:r>
      <w:r>
        <w:rPr>
          <w:noProof/>
          <w:lang w:val="it-IT"/>
        </w:rPr>
        <w:fldChar w:fldCharType="end"/>
      </w:r>
      <w:r>
        <w:rPr>
          <w:rFonts w:eastAsia="Calibri"/>
          <w:noProof/>
          <w:szCs w:val="22"/>
          <w:lang w:val="it-IT" w:eastAsia="en-US"/>
        </w:rPr>
        <w:t>.</w:t>
      </w:r>
    </w:p>
    <w:p>
      <w:pPr>
        <w:keepLines/>
        <w:tabs>
          <w:tab w:val="left" w:pos="180"/>
        </w:tabs>
        <w:rPr>
          <w:del w:id="9690" w:author="Author"/>
          <w:b/>
          <w:noProof/>
          <w:sz w:val="20"/>
          <w:u w:val="single"/>
          <w:lang w:val="it-IT"/>
        </w:rPr>
        <w:pPrChange w:id="9691" w:author="Author">
          <w:pPr>
            <w:keepNext/>
            <w:keepLines/>
            <w:tabs>
              <w:tab w:val="left" w:pos="180"/>
            </w:tabs>
            <w:jc w:val="center"/>
          </w:pPr>
        </w:pPrChange>
      </w:pPr>
    </w:p>
    <w:p>
      <w:pPr>
        <w:tabs>
          <w:tab w:val="left" w:pos="180"/>
        </w:tabs>
        <w:rPr>
          <w:b/>
          <w:noProof/>
          <w:sz w:val="20"/>
          <w:u w:val="single"/>
          <w:lang w:val="it-IT"/>
        </w:rPr>
        <w:pPrChange w:id="9692" w:author="Author">
          <w:pPr>
            <w:tabs>
              <w:tab w:val="left" w:pos="180"/>
            </w:tabs>
            <w:jc w:val="center"/>
          </w:pPr>
        </w:pPrChange>
      </w:pPr>
      <w:r>
        <w:rPr>
          <w:b/>
          <w:noProof/>
          <w:sz w:val="20"/>
          <w:u w:val="single"/>
          <w:lang w:val="it-IT"/>
        </w:rPr>
        <w:br w:type="page"/>
      </w:r>
    </w:p>
    <w:p>
      <w:pPr>
        <w:tabs>
          <w:tab w:val="left" w:pos="180"/>
        </w:tabs>
        <w:rPr>
          <w:b/>
          <w:noProof/>
          <w:sz w:val="20"/>
          <w:u w:val="single"/>
          <w:lang w:val="it-IT"/>
        </w:rPr>
      </w:pPr>
    </w:p>
    <w:p>
      <w:pPr>
        <w:tabs>
          <w:tab w:val="left" w:pos="180"/>
        </w:tabs>
        <w:jc w:val="center"/>
        <w:rPr>
          <w:b/>
          <w:noProof/>
          <w:sz w:val="20"/>
          <w:u w:val="single"/>
          <w:lang w:val="it-IT"/>
        </w:rPr>
      </w:pPr>
    </w:p>
    <w:p>
      <w:pPr>
        <w:tabs>
          <w:tab w:val="left" w:pos="180"/>
        </w:tabs>
        <w:jc w:val="center"/>
        <w:rPr>
          <w:b/>
          <w:noProof/>
          <w:sz w:val="20"/>
          <w:u w:val="single"/>
          <w:lang w:val="it-IT"/>
        </w:rPr>
      </w:pPr>
    </w:p>
    <w:p>
      <w:pPr>
        <w:tabs>
          <w:tab w:val="left" w:pos="180"/>
        </w:tabs>
        <w:jc w:val="center"/>
        <w:rPr>
          <w:b/>
          <w:noProof/>
          <w:sz w:val="20"/>
          <w:u w:val="single"/>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r>
        <w:rPr>
          <w:b/>
          <w:noProof/>
          <w:lang w:val="it-IT"/>
        </w:rPr>
        <w:t>ALLEGATO II</w:t>
      </w:r>
    </w:p>
    <w:p>
      <w:pPr>
        <w:tabs>
          <w:tab w:val="left" w:pos="180"/>
        </w:tabs>
        <w:ind w:left="1701" w:right="1416" w:hanging="567"/>
        <w:rPr>
          <w:noProof/>
          <w:u w:val="single"/>
          <w:lang w:val="it-IT"/>
        </w:rPr>
      </w:pPr>
    </w:p>
    <w:p>
      <w:pPr>
        <w:tabs>
          <w:tab w:val="left" w:pos="180"/>
        </w:tabs>
        <w:ind w:left="1701" w:right="1416" w:hanging="708"/>
        <w:rPr>
          <w:b/>
          <w:noProof/>
          <w:szCs w:val="22"/>
          <w:lang w:val="it-IT"/>
        </w:rPr>
      </w:pPr>
      <w:r>
        <w:rPr>
          <w:b/>
          <w:noProof/>
          <w:szCs w:val="22"/>
          <w:lang w:val="it-IT"/>
        </w:rPr>
        <w:t>A.</w:t>
      </w:r>
      <w:r>
        <w:rPr>
          <w:noProof/>
          <w:lang w:val="it-IT"/>
        </w:rPr>
        <w:tab/>
      </w:r>
      <w:r>
        <w:rPr>
          <w:b/>
          <w:noProof/>
          <w:szCs w:val="22"/>
          <w:lang w:val="it-IT"/>
        </w:rPr>
        <w:t>PRODUTTORE(I) DEL(DEI) PRINCIPIO(I) ATTIVO(I) BIOLOGICO(I) E PRODUTTORE(I) RESPONSABILE(I) DEL RILASCIO DEI LOTTI</w:t>
      </w:r>
    </w:p>
    <w:p>
      <w:pPr>
        <w:tabs>
          <w:tab w:val="left" w:pos="180"/>
        </w:tabs>
        <w:ind w:left="567" w:hanging="567"/>
        <w:rPr>
          <w:noProof/>
          <w:szCs w:val="22"/>
          <w:u w:val="single"/>
          <w:lang w:val="it-IT"/>
        </w:rPr>
      </w:pPr>
    </w:p>
    <w:p>
      <w:pPr>
        <w:tabs>
          <w:tab w:val="left" w:pos="180"/>
        </w:tabs>
        <w:ind w:left="1701" w:right="1416" w:hanging="708"/>
        <w:rPr>
          <w:b/>
          <w:noProof/>
          <w:szCs w:val="22"/>
          <w:lang w:val="it-IT"/>
        </w:rPr>
      </w:pPr>
      <w:r>
        <w:rPr>
          <w:b/>
          <w:noProof/>
          <w:szCs w:val="22"/>
          <w:lang w:val="it-IT"/>
        </w:rPr>
        <w:t>B.</w:t>
      </w:r>
      <w:r>
        <w:rPr>
          <w:noProof/>
          <w:lang w:val="it-IT"/>
        </w:rPr>
        <w:tab/>
      </w:r>
      <w:r>
        <w:rPr>
          <w:b/>
          <w:noProof/>
          <w:szCs w:val="22"/>
          <w:lang w:val="it-IT"/>
        </w:rPr>
        <w:t>CONDIZIONI O LIMITAZIONI DI FORNITURA E UTILIZZO</w:t>
      </w:r>
    </w:p>
    <w:p>
      <w:pPr>
        <w:tabs>
          <w:tab w:val="left" w:pos="180"/>
        </w:tabs>
        <w:ind w:left="567" w:hanging="567"/>
        <w:rPr>
          <w:noProof/>
          <w:szCs w:val="22"/>
          <w:lang w:val="it-IT"/>
        </w:rPr>
      </w:pPr>
    </w:p>
    <w:p>
      <w:pPr>
        <w:tabs>
          <w:tab w:val="left" w:pos="180"/>
        </w:tabs>
        <w:ind w:left="1701" w:right="1416" w:hanging="708"/>
        <w:rPr>
          <w:b/>
          <w:noProof/>
          <w:szCs w:val="22"/>
          <w:lang w:val="it-IT"/>
        </w:rPr>
        <w:pPrChange w:id="9693" w:author="Author">
          <w:pPr>
            <w:tabs>
              <w:tab w:val="left" w:pos="180"/>
            </w:tabs>
            <w:ind w:left="1701" w:right="1558" w:hanging="850"/>
          </w:pPr>
        </w:pPrChange>
      </w:pPr>
      <w:del w:id="9694" w:author="Author">
        <w:r>
          <w:rPr>
            <w:b/>
            <w:noProof/>
            <w:szCs w:val="22"/>
            <w:lang w:val="it-IT"/>
          </w:rPr>
          <w:delText xml:space="preserve">  </w:delText>
        </w:r>
      </w:del>
      <w:r>
        <w:rPr>
          <w:b/>
          <w:noProof/>
          <w:szCs w:val="22"/>
          <w:lang w:val="it-IT"/>
        </w:rPr>
        <w:t>C.</w:t>
      </w:r>
      <w:r>
        <w:rPr>
          <w:noProof/>
          <w:lang w:val="it-IT"/>
        </w:rPr>
        <w:tab/>
      </w:r>
      <w:r>
        <w:rPr>
          <w:b/>
          <w:noProof/>
          <w:szCs w:val="22"/>
          <w:lang w:val="it-IT"/>
        </w:rPr>
        <w:t>ALTRE CONDIZIONI E REQUISITI DELL’AUTORIZZAZIONE ALL’IMMISSIONE IN COMMERCIO</w:t>
      </w:r>
    </w:p>
    <w:p>
      <w:pPr>
        <w:suppressLineNumbers/>
        <w:tabs>
          <w:tab w:val="left" w:pos="180"/>
        </w:tabs>
        <w:ind w:right="1416"/>
        <w:rPr>
          <w:b/>
          <w:noProof/>
          <w:szCs w:val="22"/>
          <w:lang w:val="it-IT"/>
        </w:rPr>
      </w:pPr>
    </w:p>
    <w:p>
      <w:pPr>
        <w:suppressLineNumbers/>
        <w:tabs>
          <w:tab w:val="left" w:pos="180"/>
        </w:tabs>
        <w:ind w:left="1701" w:right="1416" w:hanging="708"/>
        <w:rPr>
          <w:b/>
          <w:noProof/>
          <w:szCs w:val="22"/>
          <w:lang w:val="it-IT"/>
        </w:rPr>
      </w:pPr>
      <w:r>
        <w:rPr>
          <w:b/>
          <w:noProof/>
          <w:szCs w:val="22"/>
          <w:lang w:val="it-IT"/>
        </w:rPr>
        <w:t>D.</w:t>
      </w:r>
      <w:r>
        <w:rPr>
          <w:noProof/>
          <w:lang w:val="it-IT"/>
        </w:rPr>
        <w:tab/>
      </w:r>
      <w:r>
        <w:rPr>
          <w:b/>
          <w:caps/>
          <w:noProof/>
          <w:szCs w:val="22"/>
          <w:lang w:val="it-IT"/>
        </w:rPr>
        <w:t>CONDIZIONI O LIMITAZIONI PER QUANTO RIGUARDA L’USO SICURO ED EFFICACE DEL MEDICINALE</w:t>
      </w:r>
    </w:p>
    <w:p>
      <w:pPr>
        <w:tabs>
          <w:tab w:val="left" w:pos="180"/>
          <w:tab w:val="left" w:pos="1701"/>
        </w:tabs>
        <w:ind w:left="1134" w:right="1416" w:hanging="141"/>
        <w:rPr>
          <w:b/>
          <w:noProof/>
          <w:lang w:val="it-IT"/>
        </w:rPr>
      </w:pPr>
    </w:p>
    <w:p>
      <w:pPr>
        <w:tabs>
          <w:tab w:val="left" w:pos="180"/>
        </w:tabs>
        <w:ind w:left="567" w:hanging="567"/>
        <w:rPr>
          <w:noProof/>
          <w:lang w:val="it-IT"/>
        </w:rPr>
      </w:pPr>
    </w:p>
    <w:p>
      <w:pPr>
        <w:pStyle w:val="AnnexHeading"/>
        <w:tabs>
          <w:tab w:val="left" w:pos="180"/>
        </w:tabs>
        <w:rPr>
          <w:noProof/>
          <w:szCs w:val="22"/>
          <w:lang w:val="it-IT"/>
        </w:rPr>
      </w:pPr>
      <w:r>
        <w:rPr>
          <w:noProof/>
          <w:szCs w:val="22"/>
          <w:lang w:val="it-IT"/>
        </w:rPr>
        <w:br w:type="page"/>
      </w:r>
      <w:r>
        <w:rPr>
          <w:noProof/>
          <w:szCs w:val="22"/>
          <w:lang w:val="it-IT"/>
        </w:rPr>
        <w:lastRenderedPageBreak/>
        <w:t>A.</w:t>
      </w:r>
      <w:r>
        <w:rPr>
          <w:noProof/>
          <w:szCs w:val="22"/>
          <w:lang w:val="it-IT"/>
        </w:rPr>
        <w:tab/>
        <w:t>PRODUTTOR</w:t>
      </w:r>
      <w:del w:id="9695" w:author="Author">
        <w:r>
          <w:rPr>
            <w:noProof/>
            <w:szCs w:val="22"/>
            <w:lang w:val="it-IT"/>
          </w:rPr>
          <w:delText>E(</w:delText>
        </w:r>
      </w:del>
      <w:r>
        <w:rPr>
          <w:noProof/>
          <w:szCs w:val="22"/>
          <w:lang w:val="it-IT"/>
        </w:rPr>
        <w:t>I</w:t>
      </w:r>
      <w:del w:id="9696" w:author="Author">
        <w:r>
          <w:rPr>
            <w:noProof/>
            <w:szCs w:val="22"/>
            <w:lang w:val="it-IT"/>
          </w:rPr>
          <w:delText>)</w:delText>
        </w:r>
      </w:del>
      <w:r>
        <w:rPr>
          <w:noProof/>
          <w:szCs w:val="22"/>
          <w:lang w:val="it-IT"/>
        </w:rPr>
        <w:t xml:space="preserve"> DEL PRINCIPIO ATTIVO BIOLOGICO E PRODUTTORE</w:t>
      </w:r>
      <w:del w:id="9697" w:author="Author">
        <w:r>
          <w:rPr>
            <w:noProof/>
            <w:szCs w:val="22"/>
            <w:lang w:val="it-IT"/>
          </w:rPr>
          <w:delText>(I)</w:delText>
        </w:r>
      </w:del>
      <w:r>
        <w:rPr>
          <w:noProof/>
          <w:szCs w:val="22"/>
          <w:lang w:val="it-IT"/>
        </w:rPr>
        <w:t xml:space="preserve"> RESPONSABILE</w:t>
      </w:r>
      <w:del w:id="9698" w:author="Author">
        <w:r>
          <w:rPr>
            <w:noProof/>
            <w:szCs w:val="22"/>
            <w:lang w:val="it-IT"/>
          </w:rPr>
          <w:delText>(I)</w:delText>
        </w:r>
      </w:del>
      <w:r>
        <w:rPr>
          <w:noProof/>
          <w:szCs w:val="22"/>
          <w:lang w:val="it-IT"/>
        </w:rPr>
        <w:t xml:space="preserve"> DEL RILASCIO DEI LOTTI</w:t>
      </w:r>
    </w:p>
    <w:p>
      <w:pPr>
        <w:tabs>
          <w:tab w:val="left" w:pos="180"/>
        </w:tabs>
        <w:rPr>
          <w:noProof/>
          <w:lang w:val="it-IT"/>
        </w:rPr>
      </w:pPr>
    </w:p>
    <w:p>
      <w:pPr>
        <w:tabs>
          <w:tab w:val="left" w:pos="180"/>
        </w:tabs>
        <w:outlineLvl w:val="0"/>
        <w:rPr>
          <w:noProof/>
          <w:u w:val="single"/>
          <w:lang w:val="it-IT"/>
        </w:rPr>
      </w:pPr>
      <w:r>
        <w:rPr>
          <w:noProof/>
          <w:u w:val="single"/>
          <w:lang w:val="it-IT"/>
        </w:rPr>
        <w:t>Nome e indirizzo de</w:t>
      </w:r>
      <w:ins w:id="9699" w:author="Author">
        <w:r>
          <w:rPr>
            <w:noProof/>
            <w:u w:val="single"/>
            <w:lang w:val="it-IT"/>
          </w:rPr>
          <w:t>i</w:t>
        </w:r>
      </w:ins>
      <w:del w:id="9700" w:author="Author">
        <w:r>
          <w:rPr>
            <w:noProof/>
            <w:u w:val="single"/>
            <w:lang w:val="it-IT"/>
          </w:rPr>
          <w:delText>l</w:delText>
        </w:r>
      </w:del>
      <w:r>
        <w:rPr>
          <w:noProof/>
          <w:u w:val="single"/>
          <w:lang w:val="it-IT"/>
        </w:rPr>
        <w:t xml:space="preserve"> produttor</w:t>
      </w:r>
      <w:ins w:id="9701" w:author="Author">
        <w:r>
          <w:rPr>
            <w:noProof/>
            <w:u w:val="single"/>
            <w:lang w:val="it-IT"/>
          </w:rPr>
          <w:t>i</w:t>
        </w:r>
      </w:ins>
      <w:del w:id="9702" w:author="Author">
        <w:r>
          <w:rPr>
            <w:noProof/>
            <w:u w:val="single"/>
            <w:lang w:val="it-IT"/>
          </w:rPr>
          <w:delText>e</w:delText>
        </w:r>
      </w:del>
      <w:r>
        <w:rPr>
          <w:noProof/>
          <w:u w:val="single"/>
          <w:lang w:val="it-IT"/>
        </w:rPr>
        <w:t xml:space="preserve"> del principio attivo biologico</w:t>
      </w:r>
    </w:p>
    <w:p>
      <w:pPr>
        <w:tabs>
          <w:tab w:val="left" w:pos="180"/>
        </w:tabs>
        <w:rPr>
          <w:noProof/>
          <w:lang w:val="it-IT"/>
        </w:rPr>
        <w:pPrChange w:id="9703" w:author="Author">
          <w:pPr>
            <w:tabs>
              <w:tab w:val="left" w:pos="180"/>
            </w:tabs>
            <w:ind w:right="1416"/>
          </w:pPr>
        </w:pPrChange>
      </w:pPr>
    </w:p>
    <w:p>
      <w:pPr>
        <w:rPr>
          <w:noProof/>
          <w:szCs w:val="22"/>
          <w:rPrChange w:id="9704" w:author="Author">
            <w:rPr>
              <w:noProof/>
              <w:szCs w:val="22"/>
              <w:lang w:val="it-IT"/>
            </w:rPr>
          </w:rPrChange>
        </w:rPr>
      </w:pPr>
      <w:r>
        <w:rPr>
          <w:noProof/>
          <w:szCs w:val="22"/>
          <w:rPrChange w:id="9705" w:author="Author">
            <w:rPr>
              <w:noProof/>
              <w:szCs w:val="22"/>
              <w:lang w:val="it-IT"/>
            </w:rPr>
          </w:rPrChange>
        </w:rPr>
        <w:t xml:space="preserve">Lonza Manufacturing LLC </w:t>
      </w:r>
    </w:p>
    <w:p>
      <w:pPr>
        <w:rPr>
          <w:noProof/>
          <w:szCs w:val="22"/>
          <w:rPrChange w:id="9706" w:author="Author">
            <w:rPr>
              <w:noProof/>
              <w:szCs w:val="22"/>
              <w:lang w:val="it-IT"/>
            </w:rPr>
          </w:rPrChange>
        </w:rPr>
      </w:pPr>
      <w:r>
        <w:rPr>
          <w:noProof/>
          <w:rPrChange w:id="9707" w:author="Author">
            <w:rPr>
              <w:noProof/>
              <w:lang w:val="it-IT"/>
            </w:rPr>
          </w:rPrChange>
        </w:rPr>
        <w:t xml:space="preserve">1000 New Horizons Way </w:t>
      </w:r>
    </w:p>
    <w:p>
      <w:pPr>
        <w:pStyle w:val="Standard"/>
        <w:rPr>
          <w:noProof/>
          <w:lang w:val="it-IT"/>
        </w:rPr>
      </w:pPr>
      <w:r>
        <w:rPr>
          <w:noProof/>
          <w:lang w:val="it-IT"/>
        </w:rPr>
        <w:t xml:space="preserve">Vacaville, CA </w:t>
      </w:r>
    </w:p>
    <w:p>
      <w:pPr>
        <w:pStyle w:val="Standard"/>
        <w:rPr>
          <w:noProof/>
          <w:lang w:val="it-IT"/>
        </w:rPr>
      </w:pPr>
      <w:r>
        <w:rPr>
          <w:noProof/>
          <w:lang w:val="it-IT"/>
        </w:rPr>
        <w:t xml:space="preserve">95688 </w:t>
      </w:r>
    </w:p>
    <w:p>
      <w:pPr>
        <w:pStyle w:val="Standard"/>
        <w:rPr>
          <w:noProof/>
          <w:lang w:val="it-IT"/>
        </w:rPr>
      </w:pPr>
      <w:r>
        <w:rPr>
          <w:noProof/>
          <w:lang w:val="it-IT"/>
        </w:rPr>
        <w:t>Stati Uniti</w:t>
      </w:r>
    </w:p>
    <w:p>
      <w:pPr>
        <w:pStyle w:val="Standard"/>
        <w:rPr>
          <w:noProof/>
          <w:szCs w:val="22"/>
          <w:lang w:val="it-IT"/>
        </w:rPr>
      </w:pPr>
    </w:p>
    <w:p>
      <w:pPr>
        <w:pStyle w:val="Standard"/>
        <w:rPr>
          <w:noProof/>
          <w:szCs w:val="22"/>
          <w:lang w:val="it-IT"/>
        </w:rPr>
      </w:pPr>
      <w:r>
        <w:rPr>
          <w:noProof/>
          <w:szCs w:val="22"/>
          <w:lang w:val="it-IT"/>
        </w:rPr>
        <w:t>Genentech Inc.</w:t>
      </w:r>
    </w:p>
    <w:p>
      <w:pPr>
        <w:pStyle w:val="Standard"/>
        <w:rPr>
          <w:noProof/>
          <w:szCs w:val="22"/>
          <w:lang w:val="it-IT"/>
        </w:rPr>
      </w:pPr>
      <w:r>
        <w:rPr>
          <w:noProof/>
          <w:szCs w:val="22"/>
          <w:lang w:val="it-IT"/>
        </w:rPr>
        <w:t>1 Antibody Way</w:t>
      </w:r>
    </w:p>
    <w:p>
      <w:pPr>
        <w:pStyle w:val="Standard"/>
        <w:rPr>
          <w:noProof/>
          <w:szCs w:val="22"/>
          <w:lang w:val="it-IT"/>
        </w:rPr>
      </w:pPr>
      <w:r>
        <w:rPr>
          <w:noProof/>
          <w:szCs w:val="22"/>
          <w:lang w:val="it-IT"/>
        </w:rPr>
        <w:t>Oceanside, CA</w:t>
      </w:r>
    </w:p>
    <w:p>
      <w:pPr>
        <w:pStyle w:val="Standard"/>
        <w:rPr>
          <w:noProof/>
          <w:szCs w:val="22"/>
          <w:lang w:val="it-IT"/>
        </w:rPr>
      </w:pPr>
      <w:r>
        <w:rPr>
          <w:noProof/>
          <w:szCs w:val="22"/>
          <w:lang w:val="it-IT"/>
        </w:rPr>
        <w:t>92056</w:t>
      </w:r>
    </w:p>
    <w:p>
      <w:pPr>
        <w:pStyle w:val="Standard"/>
        <w:rPr>
          <w:noProof/>
          <w:szCs w:val="22"/>
          <w:lang w:val="it-IT"/>
        </w:rPr>
      </w:pPr>
      <w:r>
        <w:rPr>
          <w:noProof/>
          <w:szCs w:val="22"/>
          <w:lang w:val="it-IT"/>
        </w:rPr>
        <w:t>Stati Uniti</w:t>
      </w:r>
    </w:p>
    <w:p>
      <w:pPr>
        <w:tabs>
          <w:tab w:val="left" w:pos="180"/>
        </w:tabs>
        <w:rPr>
          <w:noProof/>
          <w:szCs w:val="22"/>
          <w:lang w:val="it-IT"/>
        </w:rPr>
        <w:pPrChange w:id="9708" w:author="Author">
          <w:pPr>
            <w:tabs>
              <w:tab w:val="left" w:pos="180"/>
            </w:tabs>
            <w:ind w:right="1416"/>
          </w:pPr>
        </w:pPrChange>
      </w:pPr>
    </w:p>
    <w:p>
      <w:pPr>
        <w:pStyle w:val="Standard"/>
        <w:rPr>
          <w:noProof/>
          <w:lang w:val="it-IT"/>
        </w:rPr>
      </w:pPr>
      <w:r>
        <w:rPr>
          <w:noProof/>
          <w:lang w:val="it-IT"/>
        </w:rPr>
        <w:t>Samsung Biologics Co Ltd</w:t>
      </w:r>
    </w:p>
    <w:p>
      <w:pPr>
        <w:pStyle w:val="Standard"/>
        <w:rPr>
          <w:noProof/>
          <w:lang w:val="it-IT"/>
        </w:rPr>
      </w:pPr>
      <w:r>
        <w:rPr>
          <w:noProof/>
          <w:lang w:val="it-IT"/>
        </w:rPr>
        <w:t>300, Songdo bio-daero, Yeonsu-gu</w:t>
      </w:r>
    </w:p>
    <w:p>
      <w:pPr>
        <w:pStyle w:val="Standard"/>
        <w:rPr>
          <w:noProof/>
          <w:rPrChange w:id="9709" w:author="Author">
            <w:rPr>
              <w:noProof/>
              <w:lang w:val="it-IT"/>
            </w:rPr>
          </w:rPrChange>
        </w:rPr>
      </w:pPr>
      <w:r>
        <w:rPr>
          <w:noProof/>
          <w:rPrChange w:id="9710" w:author="Author">
            <w:rPr>
              <w:noProof/>
              <w:lang w:val="it-IT"/>
            </w:rPr>
          </w:rPrChange>
        </w:rPr>
        <w:t>Incheon, 21987</w:t>
      </w:r>
    </w:p>
    <w:p>
      <w:pPr>
        <w:pStyle w:val="Standard"/>
        <w:rPr>
          <w:noProof/>
          <w:rPrChange w:id="9711" w:author="Author">
            <w:rPr>
              <w:noProof/>
              <w:lang w:val="it-IT"/>
            </w:rPr>
          </w:rPrChange>
        </w:rPr>
      </w:pPr>
      <w:r>
        <w:rPr>
          <w:noProof/>
          <w:rPrChange w:id="9712" w:author="Author">
            <w:rPr>
              <w:noProof/>
              <w:lang w:val="it-IT"/>
            </w:rPr>
          </w:rPrChange>
        </w:rPr>
        <w:t>Corea del Sud</w:t>
      </w:r>
    </w:p>
    <w:p>
      <w:pPr>
        <w:pStyle w:val="Standard"/>
        <w:rPr>
          <w:noProof/>
          <w:rPrChange w:id="9713" w:author="Author">
            <w:rPr>
              <w:noProof/>
              <w:lang w:val="it-IT"/>
            </w:rPr>
          </w:rPrChange>
        </w:rPr>
      </w:pPr>
    </w:p>
    <w:p>
      <w:pPr>
        <w:shd w:val="clear" w:color="auto" w:fill="FFFFFF"/>
        <w:rPr>
          <w:noProof/>
          <w:szCs w:val="22"/>
          <w:rPrChange w:id="9714" w:author="Author">
            <w:rPr>
              <w:noProof/>
              <w:szCs w:val="22"/>
              <w:lang w:val="it-IT"/>
            </w:rPr>
          </w:rPrChange>
        </w:rPr>
      </w:pPr>
      <w:r>
        <w:rPr>
          <w:noProof/>
          <w:szCs w:val="22"/>
          <w:rPrChange w:id="9715" w:author="Author">
            <w:rPr>
              <w:noProof/>
              <w:szCs w:val="22"/>
              <w:lang w:val="it-IT"/>
            </w:rPr>
          </w:rPrChange>
        </w:rPr>
        <w:t>Chugai Pharma Manufacturing Co., Ltd.</w:t>
      </w:r>
    </w:p>
    <w:p>
      <w:pPr>
        <w:shd w:val="clear" w:color="auto" w:fill="FFFFFF"/>
        <w:rPr>
          <w:noProof/>
          <w:szCs w:val="22"/>
          <w:rPrChange w:id="9716" w:author="Author">
            <w:rPr>
              <w:noProof/>
              <w:szCs w:val="22"/>
              <w:lang w:val="it-IT"/>
            </w:rPr>
          </w:rPrChange>
        </w:rPr>
      </w:pPr>
      <w:r>
        <w:rPr>
          <w:noProof/>
          <w:szCs w:val="22"/>
          <w:rPrChange w:id="9717" w:author="Author">
            <w:rPr>
              <w:noProof/>
              <w:szCs w:val="22"/>
              <w:lang w:val="it-IT"/>
            </w:rPr>
          </w:rPrChange>
        </w:rPr>
        <w:t>16‑3 Kiyohara‑Kogyodanchi</w:t>
      </w:r>
    </w:p>
    <w:p>
      <w:pPr>
        <w:shd w:val="clear" w:color="auto" w:fill="FFFFFF"/>
        <w:rPr>
          <w:noProof/>
          <w:szCs w:val="22"/>
          <w:rPrChange w:id="9718" w:author="Author">
            <w:rPr>
              <w:noProof/>
              <w:szCs w:val="22"/>
              <w:lang w:val="it-IT"/>
            </w:rPr>
          </w:rPrChange>
        </w:rPr>
      </w:pPr>
      <w:r>
        <w:rPr>
          <w:noProof/>
          <w:szCs w:val="22"/>
          <w:rPrChange w:id="9719" w:author="Author">
            <w:rPr>
              <w:noProof/>
              <w:szCs w:val="22"/>
              <w:lang w:val="it-IT"/>
            </w:rPr>
          </w:rPrChange>
        </w:rPr>
        <w:t>Utsunomiya City, Tochigi Pref., 321-3231</w:t>
      </w:r>
    </w:p>
    <w:p>
      <w:pPr>
        <w:pStyle w:val="Standard"/>
        <w:rPr>
          <w:noProof/>
          <w:szCs w:val="22"/>
          <w:rPrChange w:id="9720" w:author="Author">
            <w:rPr>
              <w:noProof/>
              <w:szCs w:val="22"/>
              <w:lang w:val="it-IT"/>
            </w:rPr>
          </w:rPrChange>
        </w:rPr>
      </w:pPr>
      <w:r>
        <w:rPr>
          <w:noProof/>
          <w:szCs w:val="22"/>
          <w:rPrChange w:id="9721" w:author="Author">
            <w:rPr>
              <w:noProof/>
              <w:szCs w:val="22"/>
              <w:lang w:val="it-IT"/>
            </w:rPr>
          </w:rPrChange>
        </w:rPr>
        <w:t>Giappone</w:t>
      </w:r>
    </w:p>
    <w:p>
      <w:pPr>
        <w:tabs>
          <w:tab w:val="left" w:pos="180"/>
        </w:tabs>
        <w:rPr>
          <w:noProof/>
          <w:szCs w:val="22"/>
          <w:rPrChange w:id="9722" w:author="Author">
            <w:rPr>
              <w:noProof/>
              <w:szCs w:val="22"/>
              <w:lang w:val="it-IT"/>
            </w:rPr>
          </w:rPrChange>
        </w:rPr>
        <w:pPrChange w:id="9723" w:author="Author">
          <w:pPr>
            <w:tabs>
              <w:tab w:val="left" w:pos="180"/>
            </w:tabs>
            <w:ind w:right="1416"/>
          </w:pPr>
        </w:pPrChange>
      </w:pPr>
    </w:p>
    <w:p>
      <w:pPr>
        <w:shd w:val="clear" w:color="auto" w:fill="FFFFFF"/>
        <w:rPr>
          <w:noProof/>
          <w:szCs w:val="22"/>
          <w:rPrChange w:id="9724" w:author="Author">
            <w:rPr>
              <w:noProof/>
              <w:szCs w:val="22"/>
              <w:lang w:val="it-IT"/>
            </w:rPr>
          </w:rPrChange>
        </w:rPr>
      </w:pPr>
      <w:r>
        <w:rPr>
          <w:noProof/>
          <w:szCs w:val="22"/>
          <w:rPrChange w:id="9725" w:author="Author">
            <w:rPr>
              <w:noProof/>
              <w:szCs w:val="22"/>
              <w:lang w:val="it-IT"/>
            </w:rPr>
          </w:rPrChange>
        </w:rPr>
        <w:t xml:space="preserve">Novartis Singapore Pharmaceutical Manufacturing Pte. Ltd. </w:t>
      </w:r>
    </w:p>
    <w:p>
      <w:pPr>
        <w:shd w:val="clear" w:color="auto" w:fill="FFFFFF"/>
        <w:rPr>
          <w:noProof/>
          <w:szCs w:val="22"/>
          <w:rPrChange w:id="9726" w:author="Author">
            <w:rPr>
              <w:noProof/>
              <w:szCs w:val="22"/>
              <w:lang w:val="it-IT"/>
            </w:rPr>
          </w:rPrChange>
        </w:rPr>
      </w:pPr>
      <w:r>
        <w:rPr>
          <w:noProof/>
          <w:szCs w:val="22"/>
          <w:rPrChange w:id="9727" w:author="Author">
            <w:rPr>
              <w:noProof/>
              <w:szCs w:val="22"/>
              <w:lang w:val="it-IT"/>
            </w:rPr>
          </w:rPrChange>
        </w:rPr>
        <w:t>Bioproduction Operations Singapore</w:t>
      </w:r>
    </w:p>
    <w:p>
      <w:pPr>
        <w:shd w:val="clear" w:color="auto" w:fill="FFFFFF"/>
        <w:rPr>
          <w:noProof/>
          <w:szCs w:val="22"/>
          <w:rPrChange w:id="9728" w:author="Author">
            <w:rPr>
              <w:noProof/>
              <w:szCs w:val="22"/>
              <w:lang w:val="it-IT"/>
            </w:rPr>
          </w:rPrChange>
        </w:rPr>
      </w:pPr>
      <w:r>
        <w:rPr>
          <w:noProof/>
          <w:szCs w:val="22"/>
          <w:rPrChange w:id="9729" w:author="Author">
            <w:rPr>
              <w:noProof/>
              <w:szCs w:val="22"/>
              <w:lang w:val="it-IT"/>
            </w:rPr>
          </w:rPrChange>
        </w:rPr>
        <w:t>8 Tuas Bay Lane</w:t>
      </w:r>
    </w:p>
    <w:p>
      <w:pPr>
        <w:shd w:val="clear" w:color="auto" w:fill="FFFFFF"/>
        <w:rPr>
          <w:noProof/>
          <w:szCs w:val="22"/>
          <w:lang w:val="it-IT"/>
        </w:rPr>
      </w:pPr>
      <w:r>
        <w:rPr>
          <w:noProof/>
          <w:szCs w:val="22"/>
          <w:lang w:val="it-IT"/>
        </w:rPr>
        <w:t>Singapore 636986</w:t>
      </w:r>
    </w:p>
    <w:p>
      <w:pPr>
        <w:shd w:val="clear" w:color="auto" w:fill="FFFFFF"/>
        <w:rPr>
          <w:noProof/>
          <w:szCs w:val="22"/>
          <w:lang w:val="it-IT"/>
        </w:rPr>
      </w:pPr>
      <w:r>
        <w:rPr>
          <w:noProof/>
          <w:szCs w:val="22"/>
          <w:lang w:val="it-IT"/>
        </w:rPr>
        <w:t>Singapore</w:t>
      </w:r>
    </w:p>
    <w:p>
      <w:pPr>
        <w:pStyle w:val="Standard"/>
        <w:rPr>
          <w:noProof/>
          <w:lang w:val="it-IT"/>
        </w:rPr>
      </w:pPr>
    </w:p>
    <w:p>
      <w:pPr>
        <w:tabs>
          <w:tab w:val="left" w:pos="180"/>
        </w:tabs>
        <w:outlineLvl w:val="0"/>
        <w:rPr>
          <w:noProof/>
          <w:lang w:val="it-IT"/>
        </w:rPr>
      </w:pPr>
      <w:r>
        <w:rPr>
          <w:noProof/>
          <w:u w:val="single"/>
          <w:lang w:val="it-IT"/>
        </w:rPr>
        <w:t>Nome e indirizzo del produttore responsabile del rilascio dei lotti</w:t>
      </w:r>
    </w:p>
    <w:p>
      <w:pPr>
        <w:tabs>
          <w:tab w:val="left" w:pos="180"/>
        </w:tabs>
        <w:rPr>
          <w:noProof/>
          <w:lang w:val="it-IT"/>
        </w:rPr>
      </w:pPr>
    </w:p>
    <w:p>
      <w:pPr>
        <w:tabs>
          <w:tab w:val="left" w:pos="180"/>
        </w:tabs>
        <w:rPr>
          <w:iCs/>
          <w:noProof/>
          <w:lang w:val="de-DE"/>
          <w:rPrChange w:id="9730" w:author="Author">
            <w:rPr>
              <w:iCs/>
              <w:noProof/>
              <w:lang w:val="it-IT"/>
            </w:rPr>
          </w:rPrChange>
        </w:rPr>
      </w:pPr>
      <w:r>
        <w:rPr>
          <w:iCs/>
          <w:noProof/>
          <w:lang w:val="de-DE"/>
          <w:rPrChange w:id="9731" w:author="Author">
            <w:rPr>
              <w:iCs/>
              <w:noProof/>
              <w:lang w:val="it-IT"/>
            </w:rPr>
          </w:rPrChange>
        </w:rPr>
        <w:t>Roche Pharma AG</w:t>
      </w:r>
    </w:p>
    <w:p>
      <w:pPr>
        <w:tabs>
          <w:tab w:val="left" w:pos="180"/>
        </w:tabs>
        <w:rPr>
          <w:iCs/>
          <w:noProof/>
          <w:lang w:val="de-DE"/>
          <w:rPrChange w:id="9732" w:author="Author">
            <w:rPr>
              <w:iCs/>
              <w:noProof/>
              <w:lang w:val="it-IT"/>
            </w:rPr>
          </w:rPrChange>
        </w:rPr>
      </w:pPr>
      <w:r>
        <w:rPr>
          <w:iCs/>
          <w:noProof/>
          <w:lang w:val="de-DE"/>
          <w:rPrChange w:id="9733" w:author="Author">
            <w:rPr>
              <w:iCs/>
              <w:noProof/>
              <w:lang w:val="it-IT"/>
            </w:rPr>
          </w:rPrChange>
        </w:rPr>
        <w:t>Emil-Barell-Strasse 1</w:t>
      </w:r>
    </w:p>
    <w:p>
      <w:pPr>
        <w:tabs>
          <w:tab w:val="left" w:pos="180"/>
        </w:tabs>
        <w:rPr>
          <w:iCs/>
          <w:noProof/>
          <w:lang w:val="it-IT"/>
        </w:rPr>
      </w:pPr>
      <w:r>
        <w:rPr>
          <w:iCs/>
          <w:noProof/>
          <w:lang w:val="it-IT"/>
        </w:rPr>
        <w:t>79639 Grenzach-Wyhlen</w:t>
      </w:r>
    </w:p>
    <w:p>
      <w:pPr>
        <w:tabs>
          <w:tab w:val="left" w:pos="180"/>
        </w:tabs>
        <w:rPr>
          <w:iCs/>
          <w:noProof/>
          <w:lang w:val="it-IT"/>
        </w:rPr>
      </w:pPr>
      <w:r>
        <w:rPr>
          <w:iCs/>
          <w:noProof/>
          <w:lang w:val="it-IT"/>
        </w:rPr>
        <w:t>Germania</w:t>
      </w:r>
    </w:p>
    <w:p>
      <w:pPr>
        <w:tabs>
          <w:tab w:val="left" w:pos="180"/>
        </w:tabs>
        <w:rPr>
          <w:noProof/>
          <w:lang w:val="it-IT"/>
        </w:rPr>
      </w:pPr>
    </w:p>
    <w:p>
      <w:pPr>
        <w:tabs>
          <w:tab w:val="left" w:pos="180"/>
        </w:tabs>
        <w:rPr>
          <w:noProof/>
          <w:lang w:val="it-IT"/>
        </w:rPr>
      </w:pPr>
    </w:p>
    <w:p>
      <w:pPr>
        <w:pStyle w:val="AnnexHeading"/>
        <w:tabs>
          <w:tab w:val="left" w:pos="180"/>
        </w:tabs>
        <w:rPr>
          <w:noProof/>
          <w:lang w:val="it-IT"/>
        </w:rPr>
      </w:pPr>
      <w:r>
        <w:rPr>
          <w:noProof/>
          <w:lang w:val="it-IT"/>
        </w:rPr>
        <w:t>B.</w:t>
      </w:r>
      <w:r>
        <w:rPr>
          <w:noProof/>
          <w:lang w:val="it-IT"/>
        </w:rPr>
        <w:tab/>
        <w:t xml:space="preserve">CONDIZIONI O LIMITAZIONI DI FORNITURA E UTILIZZO </w:t>
      </w:r>
    </w:p>
    <w:p>
      <w:pPr>
        <w:tabs>
          <w:tab w:val="left" w:pos="180"/>
        </w:tabs>
        <w:rPr>
          <w:noProof/>
          <w:szCs w:val="22"/>
          <w:lang w:val="it-IT"/>
        </w:rPr>
      </w:pPr>
    </w:p>
    <w:p>
      <w:pPr>
        <w:numPr>
          <w:ilvl w:val="12"/>
          <w:numId w:val="0"/>
        </w:numPr>
        <w:tabs>
          <w:tab w:val="left" w:pos="180"/>
        </w:tabs>
        <w:rPr>
          <w:noProof/>
          <w:szCs w:val="22"/>
          <w:lang w:val="it-IT"/>
        </w:rPr>
      </w:pPr>
      <w:r>
        <w:rPr>
          <w:noProof/>
          <w:szCs w:val="22"/>
          <w:lang w:val="it-IT"/>
        </w:rPr>
        <w:t>Medicinale soggetto a prescrizione medica limitativa (vedere allegato I: riassunto delle caratteristiche del prodotto, paragrafo 4.2).</w:t>
      </w:r>
    </w:p>
    <w:p>
      <w:pPr>
        <w:tabs>
          <w:tab w:val="left" w:pos="180"/>
        </w:tabs>
        <w:rPr>
          <w:noProof/>
          <w:lang w:val="it-IT"/>
        </w:rPr>
      </w:pPr>
    </w:p>
    <w:p>
      <w:pPr>
        <w:numPr>
          <w:ilvl w:val="12"/>
          <w:numId w:val="0"/>
        </w:numPr>
        <w:tabs>
          <w:tab w:val="left" w:pos="180"/>
        </w:tabs>
        <w:rPr>
          <w:noProof/>
          <w:szCs w:val="22"/>
          <w:lang w:val="it-IT"/>
        </w:rPr>
      </w:pPr>
    </w:p>
    <w:p>
      <w:pPr>
        <w:pStyle w:val="AnnexHeading"/>
        <w:tabs>
          <w:tab w:val="left" w:pos="180"/>
        </w:tabs>
        <w:rPr>
          <w:noProof/>
          <w:lang w:val="it-IT"/>
        </w:rPr>
      </w:pPr>
      <w:r>
        <w:rPr>
          <w:noProof/>
          <w:lang w:val="it-IT"/>
        </w:rPr>
        <w:t>C.</w:t>
      </w:r>
      <w:r>
        <w:rPr>
          <w:noProof/>
          <w:lang w:val="it-IT"/>
        </w:rPr>
        <w:tab/>
        <w:t>ALTRE CONDIZIONI E REQUISITI DELL’AUTORIZZAZIONE ALL’IMMISSIONE IN COMMERCIO</w:t>
      </w:r>
    </w:p>
    <w:p>
      <w:pPr>
        <w:tabs>
          <w:tab w:val="left" w:pos="180"/>
        </w:tabs>
        <w:rPr>
          <w:noProof/>
          <w:lang w:val="it-IT"/>
        </w:rPr>
      </w:pPr>
    </w:p>
    <w:p>
      <w:pPr>
        <w:suppressLineNumbers/>
        <w:spacing w:line="260" w:lineRule="exact"/>
        <w:ind w:left="567" w:hanging="567"/>
        <w:rPr>
          <w:b/>
          <w:noProof/>
          <w:szCs w:val="22"/>
          <w:lang w:val="it-IT"/>
        </w:rPr>
        <w:pPrChange w:id="9734" w:author="Author">
          <w:pPr>
            <w:suppressLineNumbers/>
            <w:tabs>
              <w:tab w:val="left" w:pos="180"/>
            </w:tabs>
            <w:spacing w:line="260" w:lineRule="exact"/>
            <w:ind w:right="-1"/>
          </w:pPr>
        </w:pPrChange>
      </w:pPr>
      <w:r>
        <w:rPr>
          <w:noProof/>
          <w:lang w:val="it-IT"/>
        </w:rPr>
        <w:sym w:font="Symbol" w:char="F0B7"/>
      </w:r>
      <w:r>
        <w:rPr>
          <w:noProof/>
          <w:lang w:val="it-IT"/>
        </w:rPr>
        <w:tab/>
      </w:r>
      <w:r>
        <w:rPr>
          <w:b/>
          <w:noProof/>
          <w:szCs w:val="22"/>
          <w:lang w:val="it-IT"/>
        </w:rPr>
        <w:t xml:space="preserve">Rapporti periodici di aggiornamento sulla sicurezza (PSUR) </w:t>
      </w:r>
    </w:p>
    <w:p>
      <w:pPr>
        <w:suppressLineNumbers/>
        <w:tabs>
          <w:tab w:val="left" w:pos="0"/>
          <w:tab w:val="left" w:pos="180"/>
        </w:tabs>
        <w:rPr>
          <w:ins w:id="9735" w:author="Author"/>
          <w:iCs/>
          <w:noProof/>
          <w:szCs w:val="22"/>
          <w:lang w:val="it-IT" w:bidi="it-IT"/>
        </w:rPr>
        <w:pPrChange w:id="9736" w:author="Author">
          <w:pPr>
            <w:suppressLineNumbers/>
            <w:tabs>
              <w:tab w:val="left" w:pos="0"/>
              <w:tab w:val="left" w:pos="180"/>
            </w:tabs>
            <w:ind w:right="567"/>
          </w:pPr>
        </w:pPrChange>
      </w:pPr>
    </w:p>
    <w:p>
      <w:pPr>
        <w:keepNext/>
        <w:suppressLineNumbers/>
        <w:tabs>
          <w:tab w:val="left" w:pos="0"/>
          <w:tab w:val="left" w:pos="180"/>
        </w:tabs>
        <w:rPr>
          <w:iCs/>
          <w:noProof/>
          <w:szCs w:val="22"/>
          <w:lang w:val="it-IT"/>
        </w:rPr>
        <w:pPrChange w:id="9737" w:author="Author">
          <w:pPr>
            <w:suppressLineNumbers/>
            <w:tabs>
              <w:tab w:val="left" w:pos="0"/>
              <w:tab w:val="left" w:pos="180"/>
            </w:tabs>
            <w:ind w:right="567"/>
          </w:pPr>
        </w:pPrChange>
      </w:pPr>
      <w:r>
        <w:rPr>
          <w:iCs/>
          <w:noProof/>
          <w:szCs w:val="22"/>
          <w:lang w:val="it-IT" w:bidi="it-IT"/>
        </w:rPr>
        <w:t xml:space="preserve">I requisiti per la presentazione degli PSUR per questo medicinale sono definiti nell’elenco delle date di riferimento per l’Unione europea (elenco EURD) di cui all’articolo 107 </w:t>
      </w:r>
      <w:r>
        <w:rPr>
          <w:i/>
          <w:iCs/>
          <w:noProof/>
          <w:szCs w:val="22"/>
          <w:lang w:val="it-IT" w:bidi="it-IT"/>
        </w:rPr>
        <w:t>quater</w:t>
      </w:r>
      <w:r>
        <w:rPr>
          <w:iCs/>
          <w:noProof/>
          <w:szCs w:val="22"/>
          <w:lang w:val="it-IT" w:bidi="it-IT"/>
        </w:rPr>
        <w:t>, paragrafo 7, della Direttiva 2001/83/CE e successive modifiche, pubblicato sul sito web dell'Agenzia europea dei medicinali.</w:t>
      </w:r>
    </w:p>
    <w:p>
      <w:pPr>
        <w:tabs>
          <w:tab w:val="left" w:pos="180"/>
        </w:tabs>
        <w:rPr>
          <w:iCs/>
          <w:noProof/>
          <w:u w:val="single"/>
          <w:lang w:val="it-IT"/>
        </w:rPr>
        <w:pPrChange w:id="9738" w:author="Author">
          <w:pPr>
            <w:tabs>
              <w:tab w:val="left" w:pos="180"/>
            </w:tabs>
            <w:ind w:right="-1"/>
          </w:pPr>
        </w:pPrChange>
      </w:pPr>
    </w:p>
    <w:p>
      <w:pPr>
        <w:tabs>
          <w:tab w:val="left" w:pos="180"/>
        </w:tabs>
        <w:rPr>
          <w:iCs/>
          <w:noProof/>
          <w:u w:val="single"/>
          <w:lang w:val="it-IT"/>
        </w:rPr>
        <w:pPrChange w:id="9739" w:author="Author">
          <w:pPr>
            <w:tabs>
              <w:tab w:val="left" w:pos="180"/>
            </w:tabs>
            <w:ind w:right="-1"/>
          </w:pPr>
        </w:pPrChange>
      </w:pPr>
    </w:p>
    <w:p>
      <w:pPr>
        <w:pStyle w:val="AnnexHeading"/>
        <w:tabs>
          <w:tab w:val="left" w:pos="180"/>
        </w:tabs>
        <w:rPr>
          <w:noProof/>
          <w:lang w:val="it-IT"/>
        </w:rPr>
      </w:pPr>
      <w:r>
        <w:rPr>
          <w:noProof/>
          <w:lang w:val="it-IT"/>
        </w:rPr>
        <w:t>D.</w:t>
      </w:r>
      <w:r>
        <w:rPr>
          <w:noProof/>
          <w:lang w:val="it-IT"/>
        </w:rPr>
        <w:tab/>
        <w:t>CONDIZIONI O LIMITAZIONI PER QUANTO RIGUARDA L’USO SICURO ED EFFICACE DEL MEDICINALE</w:t>
      </w:r>
    </w:p>
    <w:p>
      <w:pPr>
        <w:suppressLineNumbers/>
        <w:tabs>
          <w:tab w:val="left" w:pos="180"/>
        </w:tabs>
        <w:ind w:left="567" w:hanging="567"/>
        <w:rPr>
          <w:b/>
          <w:bCs/>
          <w:noProof/>
          <w:szCs w:val="22"/>
          <w:lang w:val="it-IT"/>
        </w:rPr>
      </w:pPr>
    </w:p>
    <w:p>
      <w:pPr>
        <w:suppressLineNumbers/>
        <w:spacing w:line="260" w:lineRule="exact"/>
        <w:ind w:left="567" w:hanging="567"/>
        <w:rPr>
          <w:b/>
          <w:noProof/>
          <w:szCs w:val="22"/>
          <w:lang w:val="it-IT"/>
        </w:rPr>
        <w:pPrChange w:id="9740" w:author="Author">
          <w:pPr>
            <w:suppressLineNumbers/>
            <w:tabs>
              <w:tab w:val="left" w:pos="180"/>
              <w:tab w:val="left" w:pos="567"/>
            </w:tabs>
            <w:spacing w:line="260" w:lineRule="exact"/>
            <w:ind w:right="-1"/>
          </w:pPr>
        </w:pPrChange>
      </w:pPr>
      <w:r>
        <w:rPr>
          <w:noProof/>
          <w:lang w:val="it-IT"/>
        </w:rPr>
        <w:sym w:font="Symbol" w:char="F0B7"/>
      </w:r>
      <w:r>
        <w:rPr>
          <w:noProof/>
          <w:lang w:val="it-IT"/>
        </w:rPr>
        <w:tab/>
      </w:r>
      <w:r>
        <w:rPr>
          <w:b/>
          <w:noProof/>
          <w:szCs w:val="22"/>
          <w:lang w:val="it-IT"/>
        </w:rPr>
        <w:t>Piano di gestione del rischio (RMP)</w:t>
      </w:r>
    </w:p>
    <w:p>
      <w:pPr>
        <w:tabs>
          <w:tab w:val="left" w:pos="0"/>
          <w:tab w:val="left" w:pos="180"/>
        </w:tabs>
        <w:rPr>
          <w:ins w:id="9741" w:author="Author"/>
          <w:noProof/>
          <w:lang w:val="it-IT"/>
        </w:rPr>
        <w:pPrChange w:id="9742" w:author="Author">
          <w:pPr>
            <w:tabs>
              <w:tab w:val="left" w:pos="0"/>
              <w:tab w:val="left" w:pos="180"/>
            </w:tabs>
            <w:ind w:right="567"/>
          </w:pPr>
        </w:pPrChange>
      </w:pPr>
    </w:p>
    <w:p>
      <w:pPr>
        <w:tabs>
          <w:tab w:val="left" w:pos="0"/>
          <w:tab w:val="left" w:pos="180"/>
        </w:tabs>
        <w:rPr>
          <w:noProof/>
          <w:lang w:val="it-IT"/>
        </w:rPr>
        <w:pPrChange w:id="9743" w:author="Author">
          <w:pPr>
            <w:tabs>
              <w:tab w:val="left" w:pos="0"/>
              <w:tab w:val="left" w:pos="180"/>
            </w:tabs>
            <w:ind w:right="567"/>
          </w:pPr>
        </w:pPrChange>
      </w:pPr>
      <w:r>
        <w:rPr>
          <w:noProof/>
          <w:lang w:val="it-IT"/>
        </w:rPr>
        <w:t>Il titolare dell’autorizzazione all'immissione in commercio deve effettuare le attività e le azioni di farmacovigilanza richiesti e dettagliati nel RMP approvato e presentato nel modulo 1.8.2 dell’autorizzazione all'immissione in commercio e in ogni successivo aggiornamento approvato del RMP.</w:t>
      </w:r>
    </w:p>
    <w:p>
      <w:pPr>
        <w:tabs>
          <w:tab w:val="left" w:pos="180"/>
        </w:tabs>
        <w:rPr>
          <w:iCs/>
          <w:noProof/>
          <w:lang w:val="it-IT"/>
        </w:rPr>
        <w:pPrChange w:id="9744" w:author="Author">
          <w:pPr>
            <w:tabs>
              <w:tab w:val="left" w:pos="180"/>
            </w:tabs>
            <w:ind w:right="-1"/>
          </w:pPr>
        </w:pPrChange>
      </w:pPr>
    </w:p>
    <w:p>
      <w:pPr>
        <w:keepNext/>
        <w:keepLines/>
        <w:tabs>
          <w:tab w:val="left" w:pos="180"/>
        </w:tabs>
        <w:rPr>
          <w:iCs/>
          <w:noProof/>
          <w:lang w:val="it-IT"/>
        </w:rPr>
      </w:pPr>
      <w:r>
        <w:rPr>
          <w:iCs/>
          <w:noProof/>
          <w:lang w:val="it-IT"/>
        </w:rPr>
        <w:t>Il RMP aggiornato deve essere presentato:</w:t>
      </w:r>
    </w:p>
    <w:p>
      <w:pPr>
        <w:keepNext/>
        <w:keepLines/>
        <w:spacing w:line="260" w:lineRule="exact"/>
        <w:ind w:left="567" w:hanging="567"/>
        <w:rPr>
          <w:iCs/>
          <w:noProof/>
          <w:lang w:val="it-IT"/>
        </w:rPr>
        <w:pPrChange w:id="9745" w:author="Author">
          <w:pPr>
            <w:keepNext/>
            <w:keepLines/>
            <w:tabs>
              <w:tab w:val="left" w:pos="180"/>
              <w:tab w:val="left" w:pos="567"/>
            </w:tabs>
            <w:spacing w:line="260" w:lineRule="exact"/>
            <w:ind w:left="360"/>
          </w:pPr>
        </w:pPrChange>
      </w:pPr>
      <w:r>
        <w:rPr>
          <w:noProof/>
          <w:lang w:val="it-IT"/>
        </w:rPr>
        <w:sym w:font="Symbol" w:char="F0B7"/>
      </w:r>
      <w:r>
        <w:rPr>
          <w:noProof/>
          <w:lang w:val="it-IT"/>
        </w:rPr>
        <w:tab/>
      </w:r>
      <w:del w:id="9746" w:author="Author">
        <w:r>
          <w:rPr>
            <w:noProof/>
            <w:lang w:val="it-IT"/>
          </w:rPr>
          <w:delText xml:space="preserve">   </w:delText>
        </w:r>
      </w:del>
      <w:r>
        <w:rPr>
          <w:iCs/>
          <w:noProof/>
          <w:lang w:val="it-IT"/>
        </w:rPr>
        <w:t xml:space="preserve">su richiesta dell’Agenzia europea dei medicinali; </w:t>
      </w:r>
    </w:p>
    <w:p>
      <w:pPr>
        <w:keepNext/>
        <w:keepLines/>
        <w:spacing w:line="260" w:lineRule="exact"/>
        <w:ind w:left="567" w:hanging="567"/>
        <w:rPr>
          <w:iCs/>
          <w:noProof/>
          <w:lang w:val="it-IT"/>
        </w:rPr>
        <w:pPrChange w:id="9747" w:author="Author">
          <w:pPr>
            <w:keepNext/>
            <w:keepLines/>
            <w:tabs>
              <w:tab w:val="left" w:pos="180"/>
            </w:tabs>
            <w:spacing w:line="260" w:lineRule="exact"/>
            <w:ind w:left="720" w:hanging="360"/>
          </w:pPr>
        </w:pPrChange>
      </w:pPr>
      <w:r>
        <w:rPr>
          <w:noProof/>
          <w:lang w:val="it-IT"/>
        </w:rPr>
        <w:sym w:font="Symbol" w:char="F0B7"/>
      </w:r>
      <w:r>
        <w:rPr>
          <w:noProof/>
          <w:lang w:val="it-IT"/>
        </w:rPr>
        <w:tab/>
      </w:r>
      <w:r>
        <w:rPr>
          <w:iCs/>
          <w:noProof/>
          <w:szCs w:val="22"/>
          <w:lang w:val="it-IT"/>
        </w:rPr>
        <w:t xml:space="preserve">ogni volta che il sistema di gestione del rischio è modificato, in particolare a seguito del ricevimento di </w:t>
      </w:r>
      <w:r>
        <w:rPr>
          <w:iCs/>
          <w:noProof/>
          <w:lang w:val="it-IT"/>
        </w:rPr>
        <w:t xml:space="preserve">nuove informazioni che possono portare a un cambiamento </w:t>
      </w:r>
      <w:r>
        <w:rPr>
          <w:iCs/>
          <w:noProof/>
          <w:szCs w:val="22"/>
          <w:lang w:val="it-IT"/>
        </w:rPr>
        <w:t xml:space="preserve">significativo del profilo beneficio/rischio o a seguito del raggiungimento di </w:t>
      </w:r>
      <w:r>
        <w:rPr>
          <w:iCs/>
          <w:noProof/>
          <w:lang w:val="it-IT"/>
        </w:rPr>
        <w:t>un importante obiettivo (di farmacovigilanza o di minimizzazione del rischio).</w:t>
      </w:r>
    </w:p>
    <w:p>
      <w:pPr>
        <w:tabs>
          <w:tab w:val="left" w:pos="180"/>
        </w:tabs>
        <w:spacing w:line="260" w:lineRule="exact"/>
        <w:ind w:left="720" w:hanging="360"/>
        <w:rPr>
          <w:iCs/>
          <w:noProof/>
          <w:lang w:val="it-IT"/>
        </w:rPr>
        <w:pPrChange w:id="9748" w:author="Author">
          <w:pPr>
            <w:tabs>
              <w:tab w:val="left" w:pos="180"/>
            </w:tabs>
            <w:spacing w:line="260" w:lineRule="exact"/>
            <w:ind w:left="720" w:right="-1" w:hanging="360"/>
          </w:pPr>
        </w:pPrChange>
      </w:pPr>
    </w:p>
    <w:p>
      <w:pPr>
        <w:suppressLineNumbers/>
        <w:tabs>
          <w:tab w:val="left" w:pos="180"/>
        </w:tabs>
        <w:rPr>
          <w:iCs/>
          <w:noProof/>
          <w:szCs w:val="22"/>
          <w:lang w:val="it-IT"/>
        </w:rPr>
        <w:pPrChange w:id="9749" w:author="Author">
          <w:pPr>
            <w:suppressLineNumbers/>
            <w:tabs>
              <w:tab w:val="left" w:pos="180"/>
            </w:tabs>
            <w:ind w:right="-1"/>
          </w:pPr>
        </w:pPrChange>
      </w:pPr>
      <w:r>
        <w:rPr>
          <w:iCs/>
          <w:noProof/>
          <w:szCs w:val="22"/>
          <w:lang w:val="it-IT"/>
        </w:rPr>
        <w:t>Quando le date per la presentazione di un rapporto periodico di aggiornamento sulla sicurezza (PSUR) e l’aggiornamento del RMP coincidono, essi possono essere presentati allo stesso tempo.</w:t>
      </w:r>
    </w:p>
    <w:p>
      <w:pPr>
        <w:tabs>
          <w:tab w:val="left" w:pos="180"/>
        </w:tabs>
        <w:rPr>
          <w:del w:id="9750" w:author="Author"/>
          <w:noProof/>
          <w:lang w:val="it-IT"/>
        </w:rPr>
      </w:pPr>
    </w:p>
    <w:p>
      <w:pPr>
        <w:keepNext/>
        <w:keepLines/>
        <w:suppressLineNumbers/>
        <w:tabs>
          <w:tab w:val="left" w:pos="180"/>
          <w:tab w:val="left" w:pos="567"/>
        </w:tabs>
        <w:spacing w:line="260" w:lineRule="exact"/>
        <w:rPr>
          <w:del w:id="9751" w:author="Author"/>
          <w:b/>
          <w:noProof/>
          <w:szCs w:val="22"/>
          <w:lang w:val="it-IT"/>
        </w:rPr>
      </w:pPr>
      <w:del w:id="9752" w:author="Author">
        <w:r>
          <w:rPr>
            <w:noProof/>
            <w:lang w:val="it-IT"/>
          </w:rPr>
          <w:sym w:font="Symbol" w:char="F0B7"/>
        </w:r>
        <w:r>
          <w:rPr>
            <w:noProof/>
            <w:lang w:val="it-IT"/>
          </w:rPr>
          <w:tab/>
        </w:r>
      </w:del>
      <w:r>
        <w:rPr>
          <w:b/>
          <w:noProof/>
          <w:szCs w:val="22"/>
          <w:lang w:val="it-IT"/>
        </w:rPr>
        <w:t>Misure aggiuntive di minimizzazione del rischio</w:t>
      </w:r>
    </w:p>
    <w:p>
      <w:pPr>
        <w:keepNext/>
        <w:keepLines/>
        <w:suppressLineNumbers/>
        <w:tabs>
          <w:tab w:val="left" w:pos="180"/>
        </w:tabs>
        <w:rPr>
          <w:del w:id="9753" w:author="Author"/>
          <w:iCs/>
          <w:noProof/>
          <w:szCs w:val="22"/>
          <w:lang w:val="it-IT"/>
        </w:rPr>
      </w:pPr>
    </w:p>
    <w:p>
      <w:pPr>
        <w:tabs>
          <w:tab w:val="left" w:pos="180"/>
        </w:tabs>
        <w:autoSpaceDE w:val="0"/>
        <w:autoSpaceDN w:val="0"/>
        <w:adjustRightInd w:val="0"/>
        <w:rPr>
          <w:del w:id="9754" w:author="Author"/>
          <w:rFonts w:eastAsia="SimSun"/>
          <w:noProof/>
          <w:szCs w:val="22"/>
          <w:lang w:val="it-IT"/>
        </w:rPr>
      </w:pPr>
      <w:r>
        <w:rPr>
          <w:noProof/>
          <w:szCs w:val="22"/>
          <w:lang w:val="it-IT"/>
        </w:rPr>
        <w:t xml:space="preserve">Il </w:t>
      </w:r>
      <w:r>
        <w:rPr>
          <w:iCs/>
          <w:noProof/>
          <w:szCs w:val="22"/>
          <w:lang w:val="it-IT"/>
        </w:rPr>
        <w:t>titolare dell’autorizzazione all’immissione in commercio</w:t>
      </w:r>
      <w:r>
        <w:rPr>
          <w:noProof/>
          <w:sz w:val="21"/>
          <w:szCs w:val="21"/>
          <w:lang w:val="it-IT"/>
        </w:rPr>
        <w:t xml:space="preserve"> </w:t>
      </w:r>
      <w:r>
        <w:rPr>
          <w:noProof/>
          <w:szCs w:val="22"/>
          <w:lang w:val="it-IT"/>
        </w:rPr>
        <w:t xml:space="preserve">deve </w:t>
      </w:r>
      <w:r>
        <w:rPr>
          <w:noProof/>
          <w:lang w:val="it-IT"/>
        </w:rPr>
        <w:t xml:space="preserve">fornire un pacchetto </w:t>
      </w:r>
      <w:ins w:id="9755" w:author="Author">
        <w:r>
          <w:rPr>
            <w:noProof/>
            <w:lang w:val="it-IT"/>
          </w:rPr>
          <w:t>informativo per il paziente</w:t>
        </w:r>
      </w:ins>
      <w:r>
        <w:rPr>
          <w:noProof/>
          <w:lang w:val="it-IT"/>
        </w:rPr>
        <w:t xml:space="preserve"> </w:t>
      </w:r>
      <w:del w:id="9756" w:author="Author">
        <w:r>
          <w:rPr>
            <w:noProof/>
            <w:lang w:val="it-IT"/>
          </w:rPr>
          <w:delText xml:space="preserve">educazionale </w:delText>
        </w:r>
      </w:del>
      <w:r>
        <w:rPr>
          <w:noProof/>
          <w:lang w:val="it-IT"/>
        </w:rPr>
        <w:t>per le indicazioni terapeutiche AR, AIGs, AIGp e ACG</w:t>
      </w:r>
      <w:del w:id="9757" w:author="Author">
        <w:r>
          <w:rPr>
            <w:noProof/>
            <w:lang w:val="it-IT"/>
          </w:rPr>
          <w:delText xml:space="preserve">, </w:delText>
        </w:r>
      </w:del>
      <w:r>
        <w:rPr>
          <w:noProof/>
          <w:lang w:val="it-IT"/>
        </w:rPr>
        <w:t xml:space="preserve">indirizzato a tutti i </w:t>
      </w:r>
      <w:ins w:id="9758" w:author="Author">
        <w:r>
          <w:rPr>
            <w:noProof/>
            <w:lang w:val="it-IT"/>
          </w:rPr>
          <w:t xml:space="preserve">pazienti </w:t>
        </w:r>
      </w:ins>
      <w:del w:id="9759" w:author="Author">
        <w:r>
          <w:rPr>
            <w:noProof/>
            <w:lang w:val="it-IT"/>
          </w:rPr>
          <w:delText xml:space="preserve">medici </w:delText>
        </w:r>
      </w:del>
      <w:r>
        <w:rPr>
          <w:noProof/>
          <w:lang w:val="it-IT"/>
        </w:rPr>
        <w:t xml:space="preserve">che possono </w:t>
      </w:r>
      <w:del w:id="9760" w:author="Author">
        <w:r>
          <w:rPr>
            <w:noProof/>
            <w:lang w:val="it-IT"/>
          </w:rPr>
          <w:delText>prescrivere/</w:delText>
        </w:r>
      </w:del>
      <w:r>
        <w:rPr>
          <w:noProof/>
          <w:lang w:val="it-IT"/>
        </w:rPr>
        <w:t>usare</w:t>
      </w:r>
      <w:del w:id="9761" w:author="Author">
        <w:r>
          <w:rPr>
            <w:noProof/>
            <w:lang w:val="it-IT"/>
          </w:rPr>
          <w:delText xml:space="preserve"> </w:delText>
        </w:r>
      </w:del>
      <w:r>
        <w:rPr>
          <w:noProof/>
          <w:lang w:val="it-IT"/>
        </w:rPr>
        <w:t>RoActemra</w:t>
      </w:r>
      <w:ins w:id="9762" w:author="Author">
        <w:r>
          <w:rPr>
            <w:noProof/>
            <w:lang w:val="it-IT"/>
          </w:rPr>
          <w:t>.</w:t>
        </w:r>
      </w:ins>
      <w:del w:id="9763" w:author="Author">
        <w:r>
          <w:rPr>
            <w:noProof/>
            <w:lang w:val="it-IT"/>
          </w:rPr>
          <w:delText xml:space="preserve">, </w:delText>
        </w:r>
        <w:r>
          <w:rPr>
            <w:noProof/>
            <w:szCs w:val="22"/>
            <w:lang w:val="it-IT"/>
          </w:rPr>
          <w:delText>contenente quanto segue:</w:delText>
        </w:r>
      </w:del>
    </w:p>
    <w:p>
      <w:pPr>
        <w:tabs>
          <w:tab w:val="left" w:pos="180"/>
        </w:tabs>
        <w:autoSpaceDE w:val="0"/>
        <w:autoSpaceDN w:val="0"/>
        <w:adjustRightInd w:val="0"/>
        <w:rPr>
          <w:del w:id="9764" w:author="Author"/>
          <w:rFonts w:ascii="Symbol" w:eastAsia="SimSun" w:hAnsi="Symbol" w:cs="Symbol"/>
          <w:noProof/>
          <w:szCs w:val="22"/>
          <w:lang w:val="it-IT" w:eastAsia="zh-CN"/>
        </w:rPr>
      </w:pPr>
    </w:p>
    <w:p>
      <w:pPr>
        <w:tabs>
          <w:tab w:val="left" w:pos="180"/>
        </w:tabs>
        <w:autoSpaceDE w:val="0"/>
        <w:autoSpaceDN w:val="0"/>
        <w:adjustRightInd w:val="0"/>
        <w:ind w:left="720" w:hanging="360"/>
        <w:rPr>
          <w:del w:id="9765" w:author="Author"/>
          <w:rFonts w:eastAsia="SimSun"/>
          <w:noProof/>
          <w:szCs w:val="22"/>
          <w:lang w:val="it-IT"/>
        </w:rPr>
      </w:pPr>
      <w:del w:id="9766" w:author="Author">
        <w:r>
          <w:rPr>
            <w:noProof/>
            <w:lang w:val="it-IT"/>
          </w:rPr>
          <w:sym w:font="Symbol" w:char="F0B7"/>
        </w:r>
        <w:r>
          <w:rPr>
            <w:noProof/>
            <w:lang w:val="it-IT"/>
          </w:rPr>
          <w:tab/>
          <w:delText>Pacchetto informativo per il medico</w:delText>
        </w:r>
      </w:del>
    </w:p>
    <w:p>
      <w:pPr>
        <w:tabs>
          <w:tab w:val="left" w:pos="180"/>
        </w:tabs>
        <w:autoSpaceDE w:val="0"/>
        <w:autoSpaceDN w:val="0"/>
        <w:adjustRightInd w:val="0"/>
        <w:ind w:left="720" w:hanging="360"/>
        <w:rPr>
          <w:del w:id="9767" w:author="Author"/>
          <w:rFonts w:eastAsia="SimSun"/>
          <w:noProof/>
          <w:szCs w:val="22"/>
          <w:lang w:val="it-IT"/>
        </w:rPr>
      </w:pPr>
      <w:del w:id="9768" w:author="Author">
        <w:r>
          <w:rPr>
            <w:noProof/>
            <w:lang w:val="it-IT"/>
          </w:rPr>
          <w:sym w:font="Symbol" w:char="F0B7"/>
        </w:r>
        <w:r>
          <w:rPr>
            <w:noProof/>
            <w:lang w:val="it-IT"/>
          </w:rPr>
          <w:tab/>
          <w:delText>Pacchetto informativo per l’infermiere</w:delText>
        </w:r>
      </w:del>
    </w:p>
    <w:p>
      <w:pPr>
        <w:tabs>
          <w:tab w:val="left" w:pos="180"/>
        </w:tabs>
        <w:autoSpaceDE w:val="0"/>
        <w:autoSpaceDN w:val="0"/>
        <w:adjustRightInd w:val="0"/>
        <w:ind w:left="720" w:hanging="360"/>
        <w:rPr>
          <w:del w:id="9769" w:author="Author"/>
          <w:rFonts w:eastAsia="SimSun"/>
          <w:noProof/>
          <w:szCs w:val="22"/>
          <w:lang w:val="it-IT"/>
        </w:rPr>
      </w:pPr>
      <w:del w:id="9770" w:author="Author">
        <w:r>
          <w:rPr>
            <w:noProof/>
            <w:lang w:val="it-IT"/>
          </w:rPr>
          <w:sym w:font="Symbol" w:char="F0B7"/>
        </w:r>
        <w:r>
          <w:rPr>
            <w:noProof/>
            <w:lang w:val="it-IT"/>
          </w:rPr>
          <w:tab/>
        </w:r>
        <w:r>
          <w:rPr>
            <w:noProof/>
            <w:szCs w:val="22"/>
            <w:lang w:val="it-IT"/>
          </w:rPr>
          <w:delText>Pacchetto informativo per il paziente</w:delText>
        </w:r>
      </w:del>
    </w:p>
    <w:p>
      <w:pPr>
        <w:tabs>
          <w:tab w:val="left" w:pos="180"/>
        </w:tabs>
        <w:rPr>
          <w:del w:id="9771" w:author="Author"/>
          <w:rFonts w:eastAsia="SimSun"/>
          <w:noProof/>
          <w:lang w:val="it-IT" w:eastAsia="zh-CN"/>
        </w:rPr>
      </w:pPr>
    </w:p>
    <w:p>
      <w:pPr>
        <w:tabs>
          <w:tab w:val="left" w:pos="180"/>
        </w:tabs>
        <w:rPr>
          <w:del w:id="9772" w:author="Author"/>
          <w:rFonts w:eastAsia="SimSun"/>
          <w:noProof/>
          <w:lang w:val="it-IT"/>
        </w:rPr>
      </w:pPr>
      <w:del w:id="9773" w:author="Author">
        <w:r>
          <w:rPr>
            <w:noProof/>
            <w:lang w:val="it-IT"/>
          </w:rPr>
          <w:delText>Il titolare dell’autorizzazione all’immissione in commercio deve concordare il contenuto e il formato del materiale educazionale (compresi i mezzi di distribuzione), insieme ad un programma di comunicazione, con l'autorità competente nazionale prima della distribuzione del materiale educazionale stesso.</w:delText>
        </w:r>
      </w:del>
    </w:p>
    <w:p>
      <w:pPr>
        <w:tabs>
          <w:tab w:val="left" w:pos="180"/>
        </w:tabs>
        <w:rPr>
          <w:del w:id="9774" w:author="Author"/>
          <w:rFonts w:eastAsia="SimSun"/>
          <w:noProof/>
          <w:lang w:val="it-IT" w:eastAsia="zh-CN"/>
        </w:rPr>
      </w:pPr>
    </w:p>
    <w:p>
      <w:pPr>
        <w:tabs>
          <w:tab w:val="left" w:pos="180"/>
        </w:tabs>
        <w:autoSpaceDE w:val="0"/>
        <w:autoSpaceDN w:val="0"/>
        <w:adjustRightInd w:val="0"/>
        <w:rPr>
          <w:del w:id="9775" w:author="Author"/>
          <w:rFonts w:eastAsia="SimSun"/>
          <w:noProof/>
          <w:szCs w:val="22"/>
          <w:lang w:val="it-IT"/>
        </w:rPr>
      </w:pPr>
      <w:del w:id="9776" w:author="Author">
        <w:r>
          <w:rPr>
            <w:noProof/>
            <w:szCs w:val="22"/>
            <w:lang w:val="it-IT"/>
          </w:rPr>
          <w:delText>Il Pacchetto informativo per il medico deve contenere i seguenti elementi chiave:</w:delText>
        </w:r>
      </w:del>
    </w:p>
    <w:p>
      <w:pPr>
        <w:tabs>
          <w:tab w:val="left" w:pos="180"/>
        </w:tabs>
        <w:autoSpaceDE w:val="0"/>
        <w:autoSpaceDN w:val="0"/>
        <w:adjustRightInd w:val="0"/>
        <w:ind w:left="720" w:hanging="360"/>
        <w:rPr>
          <w:del w:id="9777" w:author="Author"/>
          <w:noProof/>
          <w:szCs w:val="22"/>
          <w:lang w:val="it-IT"/>
        </w:rPr>
      </w:pPr>
      <w:del w:id="9778" w:author="Author">
        <w:r>
          <w:rPr>
            <w:noProof/>
            <w:lang w:val="it-IT"/>
          </w:rPr>
          <w:sym w:font="Symbol" w:char="F0B7"/>
        </w:r>
        <w:r>
          <w:rPr>
            <w:noProof/>
            <w:lang w:val="it-IT"/>
          </w:rPr>
          <w:tab/>
          <w:delText>Riferimento a</w:delText>
        </w:r>
        <w:r>
          <w:rPr>
            <w:noProof/>
            <w:szCs w:val="22"/>
            <w:lang w:val="it-IT"/>
          </w:rPr>
          <w:delText>l riassunto delle caratteristiche del prodotto (ad es. collegamento al sito web dell’EMA)</w:delText>
        </w:r>
      </w:del>
    </w:p>
    <w:p>
      <w:pPr>
        <w:tabs>
          <w:tab w:val="left" w:pos="180"/>
        </w:tabs>
        <w:autoSpaceDE w:val="0"/>
        <w:autoSpaceDN w:val="0"/>
        <w:adjustRightInd w:val="0"/>
        <w:ind w:left="720" w:hanging="360"/>
        <w:rPr>
          <w:del w:id="9779" w:author="Author"/>
          <w:noProof/>
          <w:lang w:val="it-IT"/>
        </w:rPr>
      </w:pPr>
      <w:del w:id="9780" w:author="Author">
        <w:r>
          <w:rPr>
            <w:noProof/>
            <w:lang w:val="it-IT"/>
          </w:rPr>
          <w:sym w:font="Symbol" w:char="F0B7"/>
        </w:r>
        <w:r>
          <w:rPr>
            <w:noProof/>
            <w:lang w:val="it-IT"/>
          </w:rPr>
          <w:tab/>
          <w:delText>I calcoli per il dosaggio (pazienti affetti da AR, AIGs o AIGp), la preparazione dell’infusione e la velocità di somministrazione</w:delText>
        </w:r>
      </w:del>
    </w:p>
    <w:p>
      <w:pPr>
        <w:tabs>
          <w:tab w:val="left" w:pos="180"/>
        </w:tabs>
        <w:autoSpaceDE w:val="0"/>
        <w:autoSpaceDN w:val="0"/>
        <w:adjustRightInd w:val="0"/>
        <w:ind w:left="720" w:hanging="360"/>
        <w:rPr>
          <w:del w:id="9781" w:author="Author"/>
          <w:noProof/>
          <w:lang w:val="it-IT"/>
        </w:rPr>
      </w:pPr>
      <w:del w:id="9782" w:author="Author">
        <w:r>
          <w:rPr>
            <w:noProof/>
            <w:lang w:val="it-IT"/>
          </w:rPr>
          <w:sym w:font="Symbol" w:char="F0B7"/>
        </w:r>
        <w:r>
          <w:rPr>
            <w:noProof/>
            <w:lang w:val="it-IT"/>
          </w:rPr>
          <w:tab/>
          <w:delText>Il rischio di infezioni gravi</w:delText>
        </w:r>
      </w:del>
    </w:p>
    <w:p>
      <w:pPr>
        <w:tabs>
          <w:tab w:val="left" w:pos="180"/>
        </w:tabs>
        <w:autoSpaceDE w:val="0"/>
        <w:autoSpaceDN w:val="0"/>
        <w:adjustRightInd w:val="0"/>
        <w:ind w:left="1710" w:hanging="630"/>
        <w:rPr>
          <w:del w:id="9783" w:author="Author"/>
          <w:rFonts w:eastAsia="SimSun"/>
          <w:noProof/>
          <w:szCs w:val="22"/>
          <w:lang w:val="it-IT"/>
        </w:rPr>
      </w:pPr>
      <w:del w:id="9784" w:author="Author">
        <w:r>
          <w:rPr>
            <w:noProof/>
            <w:lang w:val="it-IT"/>
          </w:rPr>
          <w:sym w:font="Symbol" w:char="F0B7"/>
        </w:r>
        <w:r>
          <w:rPr>
            <w:noProof/>
            <w:lang w:val="it-IT"/>
          </w:rPr>
          <w:tab/>
        </w:r>
        <w:r>
          <w:rPr>
            <w:noProof/>
            <w:szCs w:val="22"/>
            <w:lang w:val="it-IT"/>
          </w:rPr>
          <w:delText>Il prodotto non deve essere dato a pazienti con infezione attiva o sospetta</w:delText>
        </w:r>
      </w:del>
    </w:p>
    <w:p>
      <w:pPr>
        <w:tabs>
          <w:tab w:val="left" w:pos="180"/>
        </w:tabs>
        <w:autoSpaceDE w:val="0"/>
        <w:autoSpaceDN w:val="0"/>
        <w:adjustRightInd w:val="0"/>
        <w:ind w:left="1710" w:hanging="630"/>
        <w:rPr>
          <w:del w:id="9785" w:author="Author"/>
          <w:noProof/>
          <w:lang w:val="it-IT"/>
        </w:rPr>
      </w:pPr>
      <w:del w:id="9786" w:author="Author">
        <w:r>
          <w:rPr>
            <w:noProof/>
            <w:lang w:val="it-IT"/>
          </w:rPr>
          <w:sym w:font="Symbol" w:char="F0B7"/>
        </w:r>
        <w:r>
          <w:rPr>
            <w:noProof/>
            <w:lang w:val="it-IT"/>
          </w:rPr>
          <w:tab/>
          <w:delText>Il prodotto può diminuire i segni e i sintomi di infezione acuta, ritardandone la diagnosi</w:delText>
        </w:r>
      </w:del>
    </w:p>
    <w:p>
      <w:pPr>
        <w:autoSpaceDE w:val="0"/>
        <w:autoSpaceDN w:val="0"/>
        <w:adjustRightInd w:val="0"/>
        <w:ind w:left="714" w:hanging="357"/>
        <w:rPr>
          <w:del w:id="9787" w:author="Author"/>
          <w:noProof/>
          <w:lang w:val="it-IT"/>
        </w:rPr>
      </w:pPr>
      <w:del w:id="9788" w:author="Author">
        <w:r>
          <w:rPr>
            <w:rFonts w:ascii="Symbol" w:hAnsi="Symbol"/>
            <w:noProof/>
            <w:lang w:val="it-IT"/>
          </w:rPr>
          <w:sym w:font="Symbol" w:char="F0B7"/>
        </w:r>
        <w:r>
          <w:rPr>
            <w:noProof/>
            <w:lang w:val="it-IT"/>
          </w:rPr>
          <w:tab/>
          <w:delText>Rischio di epatotossicità</w:delText>
        </w:r>
      </w:del>
    </w:p>
    <w:p>
      <w:pPr>
        <w:autoSpaceDE w:val="0"/>
        <w:autoSpaceDN w:val="0"/>
        <w:adjustRightInd w:val="0"/>
        <w:ind w:left="1418" w:hanging="357"/>
        <w:rPr>
          <w:del w:id="9789" w:author="Author"/>
          <w:noProof/>
          <w:lang w:val="it-IT"/>
        </w:rPr>
      </w:pPr>
      <w:del w:id="9790" w:author="Author">
        <w:r>
          <w:rPr>
            <w:rFonts w:ascii="Symbol" w:hAnsi="Symbol"/>
            <w:noProof/>
            <w:lang w:val="it-IT"/>
          </w:rPr>
          <w:sym w:font="Symbol" w:char="F0B7"/>
        </w:r>
        <w:r>
          <w:rPr>
            <w:noProof/>
            <w:lang w:val="it-IT"/>
          </w:rPr>
          <w:tab/>
          <w:delText>Occorre cautela nel considerare l’avvio del trattamento con tocilizumab in pazienti che presentano livelli elevati delle transaminasi ALT o AST &gt; 1,5 volte ULN. Nei pazienti con livelli elevati di ALT o AST &gt; 5 volte ULN il trattamento non è raccomandato.</w:delText>
        </w:r>
      </w:del>
    </w:p>
    <w:p>
      <w:pPr>
        <w:autoSpaceDE w:val="0"/>
        <w:autoSpaceDN w:val="0"/>
        <w:adjustRightInd w:val="0"/>
        <w:ind w:left="1418" w:hanging="357"/>
        <w:rPr>
          <w:del w:id="9791" w:author="Author"/>
          <w:noProof/>
          <w:lang w:val="it-IT"/>
        </w:rPr>
      </w:pPr>
      <w:del w:id="9792" w:author="Author">
        <w:r>
          <w:rPr>
            <w:rFonts w:ascii="Symbol" w:hAnsi="Symbol"/>
            <w:noProof/>
            <w:lang w:val="it-IT"/>
          </w:rPr>
          <w:sym w:font="Symbol" w:char="F0B7"/>
        </w:r>
        <w:r>
          <w:rPr>
            <w:noProof/>
            <w:lang w:val="it-IT"/>
          </w:rPr>
          <w:tab/>
          <w:delText>Nei pazienti affetti da AR, ACG, AIGp e AIGs i valori di ALT/AST devono essere monitorati ogni 4-8 settimane per i primi 6 mesi di trattamento e in seguito ogni 12 settimane. Le modifiche posologiche raccomandate in base ai livelli delle transaminasi, ivi inclusa la sospensione del trattamento con tocilizumab, sono in linea con il paragrafo 4.2 dell’RCP.</w:delText>
        </w:r>
      </w:del>
    </w:p>
    <w:p>
      <w:pPr>
        <w:tabs>
          <w:tab w:val="left" w:pos="180"/>
        </w:tabs>
        <w:autoSpaceDE w:val="0"/>
        <w:autoSpaceDN w:val="0"/>
        <w:adjustRightInd w:val="0"/>
        <w:ind w:left="720" w:hanging="360"/>
        <w:rPr>
          <w:del w:id="9793" w:author="Author"/>
          <w:noProof/>
          <w:szCs w:val="22"/>
          <w:lang w:val="it-IT"/>
        </w:rPr>
      </w:pPr>
      <w:del w:id="9794" w:author="Author">
        <w:r>
          <w:rPr>
            <w:noProof/>
            <w:lang w:val="it-IT"/>
          </w:rPr>
          <w:sym w:font="Symbol" w:char="F0B7"/>
        </w:r>
        <w:r>
          <w:rPr>
            <w:noProof/>
            <w:lang w:val="it-IT"/>
          </w:rPr>
          <w:tab/>
        </w:r>
        <w:r>
          <w:rPr>
            <w:noProof/>
            <w:szCs w:val="22"/>
            <w:lang w:val="it-IT"/>
          </w:rPr>
          <w:delText>Rischio di perforazioni gastrointestinali, specialmente in pazienti con storia di diverticolite o ulcere intestinali</w:delText>
        </w:r>
      </w:del>
    </w:p>
    <w:p>
      <w:pPr>
        <w:tabs>
          <w:tab w:val="left" w:pos="180"/>
        </w:tabs>
        <w:autoSpaceDE w:val="0"/>
        <w:autoSpaceDN w:val="0"/>
        <w:adjustRightInd w:val="0"/>
        <w:ind w:left="720" w:hanging="360"/>
        <w:rPr>
          <w:del w:id="9795" w:author="Author"/>
          <w:noProof/>
          <w:szCs w:val="22"/>
          <w:lang w:val="it-IT"/>
        </w:rPr>
      </w:pPr>
      <w:del w:id="9796" w:author="Author">
        <w:r>
          <w:rPr>
            <w:noProof/>
            <w:lang w:val="it-IT"/>
          </w:rPr>
          <w:sym w:font="Symbol" w:char="F0B7"/>
        </w:r>
        <w:r>
          <w:rPr>
            <w:noProof/>
            <w:lang w:val="it-IT"/>
          </w:rPr>
          <w:tab/>
        </w:r>
        <w:r>
          <w:rPr>
            <w:noProof/>
            <w:szCs w:val="22"/>
            <w:lang w:val="it-IT"/>
          </w:rPr>
          <w:delText>Dettagli su come segnalare le reazioni avverse gravi al farmaco</w:delText>
        </w:r>
      </w:del>
    </w:p>
    <w:p>
      <w:pPr>
        <w:tabs>
          <w:tab w:val="left" w:pos="180"/>
        </w:tabs>
        <w:autoSpaceDE w:val="0"/>
        <w:autoSpaceDN w:val="0"/>
        <w:adjustRightInd w:val="0"/>
        <w:ind w:left="720" w:hanging="360"/>
        <w:rPr>
          <w:del w:id="9797" w:author="Author"/>
          <w:noProof/>
          <w:szCs w:val="22"/>
          <w:lang w:val="it-IT"/>
        </w:rPr>
      </w:pPr>
      <w:del w:id="9798" w:author="Author">
        <w:r>
          <w:rPr>
            <w:noProof/>
            <w:lang w:val="it-IT"/>
          </w:rPr>
          <w:sym w:font="Symbol" w:char="F0B7"/>
        </w:r>
        <w:r>
          <w:rPr>
            <w:noProof/>
            <w:lang w:val="it-IT"/>
          </w:rPr>
          <w:tab/>
        </w:r>
        <w:r>
          <w:rPr>
            <w:noProof/>
            <w:szCs w:val="22"/>
            <w:lang w:val="it-IT"/>
          </w:rPr>
          <w:delText>Il pacchetto informativo per il paziente (che deve essere dato ai pazienti dal medico)</w:delText>
        </w:r>
      </w:del>
    </w:p>
    <w:p>
      <w:pPr>
        <w:tabs>
          <w:tab w:val="left" w:pos="180"/>
        </w:tabs>
        <w:autoSpaceDE w:val="0"/>
        <w:autoSpaceDN w:val="0"/>
        <w:adjustRightInd w:val="0"/>
        <w:ind w:left="720" w:hanging="360"/>
        <w:rPr>
          <w:del w:id="9799" w:author="Author"/>
          <w:noProof/>
          <w:szCs w:val="22"/>
          <w:lang w:val="it-IT"/>
        </w:rPr>
      </w:pPr>
      <w:del w:id="9800" w:author="Author">
        <w:r>
          <w:rPr>
            <w:noProof/>
            <w:lang w:val="it-IT"/>
          </w:rPr>
          <w:sym w:font="Symbol" w:char="F0B7"/>
        </w:r>
        <w:r>
          <w:rPr>
            <w:noProof/>
            <w:szCs w:val="22"/>
            <w:lang w:val="it-IT"/>
          </w:rPr>
          <w:tab/>
        </w:r>
        <w:r>
          <w:rPr>
            <w:rFonts w:eastAsia="SimSun"/>
            <w:noProof/>
            <w:lang w:val="it-IT" w:eastAsia="zh-CN"/>
          </w:rPr>
          <w:delText>Linee guida su come diagnosticare la sindrome da attivazione macrofagica nei pazienti affetti da AIGs</w:delText>
        </w:r>
      </w:del>
    </w:p>
    <w:p>
      <w:pPr>
        <w:tabs>
          <w:tab w:val="left" w:pos="180"/>
        </w:tabs>
        <w:autoSpaceDE w:val="0"/>
        <w:autoSpaceDN w:val="0"/>
        <w:adjustRightInd w:val="0"/>
        <w:ind w:left="720" w:hanging="360"/>
        <w:rPr>
          <w:del w:id="9801" w:author="Author"/>
          <w:noProof/>
          <w:szCs w:val="22"/>
          <w:lang w:val="it-IT"/>
        </w:rPr>
      </w:pPr>
      <w:del w:id="9802" w:author="Author">
        <w:r>
          <w:rPr>
            <w:rFonts w:eastAsia="SimSun"/>
            <w:noProof/>
            <w:lang w:val="it-IT" w:eastAsia="zh-CN"/>
          </w:rPr>
          <w:sym w:font="Symbol" w:char="F0B7"/>
        </w:r>
        <w:r>
          <w:rPr>
            <w:rFonts w:eastAsia="SimSun"/>
            <w:noProof/>
            <w:lang w:val="it-IT" w:eastAsia="zh-CN"/>
          </w:rPr>
          <w:tab/>
          <w:delText>Raccomandazioni per l’interruzione del dosaggio nei pazienti affetti da AIGs e AIGp</w:delText>
        </w:r>
      </w:del>
    </w:p>
    <w:p>
      <w:pPr>
        <w:tabs>
          <w:tab w:val="left" w:pos="180"/>
        </w:tabs>
        <w:rPr>
          <w:del w:id="9803" w:author="Author"/>
          <w:rFonts w:eastAsia="SimSun"/>
          <w:noProof/>
          <w:lang w:val="it-IT" w:eastAsia="zh-CN"/>
        </w:rPr>
      </w:pPr>
    </w:p>
    <w:p>
      <w:pPr>
        <w:keepNext/>
        <w:keepLines/>
        <w:tabs>
          <w:tab w:val="left" w:pos="180"/>
        </w:tabs>
        <w:rPr>
          <w:del w:id="9804" w:author="Author"/>
          <w:rFonts w:eastAsia="SimSun"/>
          <w:noProof/>
          <w:lang w:val="it-IT"/>
        </w:rPr>
      </w:pPr>
      <w:del w:id="9805" w:author="Author">
        <w:r>
          <w:rPr>
            <w:noProof/>
            <w:lang w:val="it-IT"/>
          </w:rPr>
          <w:delText>Il Pacchetto Informativo per l’infermiere deve contenere i seguenti elementi chiave:</w:delText>
        </w:r>
      </w:del>
    </w:p>
    <w:p>
      <w:pPr>
        <w:keepNext/>
        <w:keepLines/>
        <w:tabs>
          <w:tab w:val="left" w:pos="180"/>
        </w:tabs>
        <w:autoSpaceDE w:val="0"/>
        <w:autoSpaceDN w:val="0"/>
        <w:adjustRightInd w:val="0"/>
        <w:ind w:left="720" w:hanging="360"/>
        <w:rPr>
          <w:del w:id="9806" w:author="Author"/>
          <w:noProof/>
          <w:szCs w:val="22"/>
          <w:lang w:val="it-IT"/>
        </w:rPr>
      </w:pPr>
      <w:del w:id="9807" w:author="Author">
        <w:r>
          <w:rPr>
            <w:noProof/>
            <w:lang w:val="it-IT"/>
          </w:rPr>
          <w:sym w:font="Symbol" w:char="F0B7"/>
        </w:r>
        <w:r>
          <w:rPr>
            <w:noProof/>
            <w:lang w:val="it-IT"/>
          </w:rPr>
          <w:tab/>
        </w:r>
        <w:r>
          <w:rPr>
            <w:noProof/>
            <w:szCs w:val="22"/>
            <w:lang w:val="it-IT"/>
          </w:rPr>
          <w:delText xml:space="preserve">Prevenzione degli errori medici e delle reazioni da iniezione/correlate all’infusione </w:delText>
        </w:r>
      </w:del>
    </w:p>
    <w:p>
      <w:pPr>
        <w:keepNext/>
        <w:keepLines/>
        <w:tabs>
          <w:tab w:val="left" w:pos="180"/>
        </w:tabs>
        <w:autoSpaceDE w:val="0"/>
        <w:autoSpaceDN w:val="0"/>
        <w:adjustRightInd w:val="0"/>
        <w:ind w:left="720" w:hanging="360"/>
        <w:rPr>
          <w:del w:id="9808" w:author="Author"/>
          <w:noProof/>
          <w:szCs w:val="22"/>
          <w:lang w:val="it-IT"/>
        </w:rPr>
      </w:pPr>
      <w:del w:id="9809" w:author="Author">
        <w:r>
          <w:rPr>
            <w:noProof/>
            <w:lang w:val="it-IT"/>
          </w:rPr>
          <w:sym w:font="Symbol" w:char="F0B7"/>
        </w:r>
        <w:r>
          <w:rPr>
            <w:noProof/>
            <w:lang w:val="it-IT"/>
          </w:rPr>
          <w:tab/>
        </w:r>
        <w:r>
          <w:rPr>
            <w:noProof/>
            <w:szCs w:val="22"/>
            <w:lang w:val="it-IT"/>
          </w:rPr>
          <w:delText xml:space="preserve">Preparazione dell'iniezione/ infusione </w:delText>
        </w:r>
      </w:del>
    </w:p>
    <w:p>
      <w:pPr>
        <w:keepNext/>
        <w:keepLines/>
        <w:tabs>
          <w:tab w:val="left" w:pos="180"/>
        </w:tabs>
        <w:autoSpaceDE w:val="0"/>
        <w:autoSpaceDN w:val="0"/>
        <w:adjustRightInd w:val="0"/>
        <w:ind w:left="720" w:hanging="360"/>
        <w:rPr>
          <w:del w:id="9810" w:author="Author"/>
          <w:noProof/>
          <w:szCs w:val="22"/>
          <w:lang w:val="it-IT"/>
        </w:rPr>
      </w:pPr>
      <w:del w:id="9811" w:author="Author">
        <w:r>
          <w:rPr>
            <w:noProof/>
            <w:lang w:val="it-IT"/>
          </w:rPr>
          <w:sym w:font="Symbol" w:char="F0B7"/>
        </w:r>
        <w:r>
          <w:rPr>
            <w:noProof/>
            <w:lang w:val="it-IT"/>
          </w:rPr>
          <w:tab/>
        </w:r>
        <w:r>
          <w:rPr>
            <w:rFonts w:eastAsia="SimSun"/>
            <w:noProof/>
            <w:szCs w:val="22"/>
            <w:lang w:val="it-IT" w:eastAsia="zh-CN"/>
          </w:rPr>
          <w:delText>Velocità dell’infusione</w:delText>
        </w:r>
      </w:del>
    </w:p>
    <w:p>
      <w:pPr>
        <w:keepNext/>
        <w:keepLines/>
        <w:tabs>
          <w:tab w:val="left" w:pos="180"/>
        </w:tabs>
        <w:autoSpaceDE w:val="0"/>
        <w:autoSpaceDN w:val="0"/>
        <w:adjustRightInd w:val="0"/>
        <w:ind w:left="720" w:hanging="360"/>
        <w:rPr>
          <w:del w:id="9812" w:author="Author"/>
          <w:noProof/>
          <w:szCs w:val="22"/>
          <w:lang w:val="it-IT"/>
        </w:rPr>
      </w:pPr>
      <w:del w:id="9813" w:author="Author">
        <w:r>
          <w:rPr>
            <w:noProof/>
            <w:lang w:val="it-IT"/>
          </w:rPr>
          <w:sym w:font="Symbol" w:char="F0B7"/>
        </w:r>
        <w:r>
          <w:rPr>
            <w:noProof/>
            <w:lang w:val="it-IT"/>
          </w:rPr>
          <w:tab/>
        </w:r>
        <w:r>
          <w:rPr>
            <w:noProof/>
            <w:szCs w:val="22"/>
            <w:lang w:val="it-IT"/>
          </w:rPr>
          <w:delText xml:space="preserve">Monitoraggio del paziente per le reazioni da iniezione/correlate all’infusione </w:delText>
        </w:r>
      </w:del>
    </w:p>
    <w:p>
      <w:pPr>
        <w:keepNext/>
        <w:keepLines/>
        <w:tabs>
          <w:tab w:val="left" w:pos="180"/>
        </w:tabs>
        <w:autoSpaceDE w:val="0"/>
        <w:autoSpaceDN w:val="0"/>
        <w:adjustRightInd w:val="0"/>
        <w:ind w:left="720" w:hanging="360"/>
        <w:rPr>
          <w:del w:id="9814" w:author="Author"/>
          <w:noProof/>
          <w:szCs w:val="22"/>
          <w:lang w:val="it-IT"/>
        </w:rPr>
      </w:pPr>
      <w:del w:id="9815" w:author="Author">
        <w:r>
          <w:rPr>
            <w:noProof/>
            <w:lang w:val="it-IT"/>
          </w:rPr>
          <w:sym w:font="Symbol" w:char="F0B7"/>
        </w:r>
        <w:r>
          <w:rPr>
            <w:noProof/>
            <w:lang w:val="it-IT"/>
          </w:rPr>
          <w:tab/>
          <w:delText>Dettagli su come segnalare le</w:delText>
        </w:r>
        <w:r>
          <w:rPr>
            <w:noProof/>
            <w:szCs w:val="22"/>
            <w:lang w:val="it-IT"/>
          </w:rPr>
          <w:delText xml:space="preserve"> reazioni avverse gravi</w:delText>
        </w:r>
      </w:del>
    </w:p>
    <w:p>
      <w:pPr>
        <w:keepNext/>
        <w:keepLines/>
        <w:tabs>
          <w:tab w:val="left" w:pos="180"/>
        </w:tabs>
        <w:rPr>
          <w:del w:id="9816" w:author="Author"/>
          <w:rFonts w:eastAsia="SimSun"/>
          <w:noProof/>
          <w:lang w:val="it-IT" w:eastAsia="zh-CN"/>
        </w:rPr>
      </w:pPr>
    </w:p>
    <w:p>
      <w:pPr>
        <w:keepNext/>
        <w:keepLines/>
        <w:tabs>
          <w:tab w:val="left" w:pos="180"/>
        </w:tabs>
        <w:rPr>
          <w:rFonts w:eastAsia="SimSun"/>
          <w:noProof/>
          <w:lang w:val="it-IT"/>
        </w:rPr>
      </w:pPr>
      <w:r>
        <w:rPr>
          <w:noProof/>
          <w:lang w:val="it-IT"/>
        </w:rPr>
        <w:t>Il Pacchetto Informativo per il paziente deve contenere i seguenti elementi chiave:</w:t>
      </w:r>
    </w:p>
    <w:p>
      <w:pPr>
        <w:keepNext/>
        <w:keepLines/>
        <w:tabs>
          <w:tab w:val="left" w:pos="180"/>
        </w:tabs>
        <w:ind w:left="720" w:hanging="360"/>
        <w:rPr>
          <w:rFonts w:eastAsia="SimSun"/>
          <w:noProof/>
          <w:lang w:val="it-IT"/>
        </w:rPr>
      </w:pPr>
      <w:r>
        <w:rPr>
          <w:noProof/>
          <w:lang w:val="it-IT"/>
        </w:rPr>
        <w:sym w:font="Symbol" w:char="F0B7"/>
      </w:r>
      <w:r>
        <w:rPr>
          <w:noProof/>
          <w:lang w:val="it-IT"/>
        </w:rPr>
        <w:tab/>
        <w:t>Foglio illustrativo (con le istruzioni per l'uso sottocutaneo)</w:t>
      </w:r>
      <w:r>
        <w:rPr>
          <w:rFonts w:eastAsia="SimSun"/>
          <w:noProof/>
          <w:lang w:val="it-IT"/>
        </w:rPr>
        <w:t xml:space="preserve"> (ad esempio, link al sito EMA)</w:t>
      </w:r>
    </w:p>
    <w:p>
      <w:pPr>
        <w:tabs>
          <w:tab w:val="left" w:pos="180"/>
        </w:tabs>
        <w:ind w:left="720" w:hanging="360"/>
        <w:rPr>
          <w:noProof/>
          <w:lang w:val="it-IT"/>
        </w:rPr>
      </w:pPr>
      <w:r>
        <w:rPr>
          <w:noProof/>
          <w:lang w:val="it-IT"/>
        </w:rPr>
        <w:sym w:font="Symbol" w:char="F0B7"/>
      </w:r>
      <w:r>
        <w:rPr>
          <w:noProof/>
          <w:lang w:val="it-IT"/>
        </w:rPr>
        <w:tab/>
        <w:t>Scheda per il Paziente</w:t>
      </w:r>
    </w:p>
    <w:p>
      <w:pPr>
        <w:tabs>
          <w:tab w:val="left" w:pos="180"/>
        </w:tabs>
        <w:ind w:left="720" w:hanging="360"/>
        <w:rPr>
          <w:rFonts w:eastAsia="SimSun"/>
          <w:noProof/>
          <w:lang w:val="it-IT"/>
        </w:rPr>
      </w:pPr>
    </w:p>
    <w:p>
      <w:pPr>
        <w:pStyle w:val="ListParagraph"/>
        <w:numPr>
          <w:ilvl w:val="0"/>
          <w:numId w:val="47"/>
        </w:numPr>
        <w:tabs>
          <w:tab w:val="left" w:pos="180"/>
          <w:tab w:val="left" w:pos="567"/>
          <w:tab w:val="left" w:pos="709"/>
        </w:tabs>
        <w:ind w:hanging="502"/>
        <w:rPr>
          <w:noProof/>
          <w:sz w:val="22"/>
          <w:szCs w:val="22"/>
        </w:rPr>
      </w:pPr>
      <w:ins w:id="9817" w:author="Author">
        <w:del w:id="9818" w:author="Author">
          <w:r>
            <w:rPr>
              <w:noProof/>
              <w:sz w:val="22"/>
              <w:szCs w:val="22"/>
            </w:rPr>
            <w:delText xml:space="preserve">Con </w:delText>
          </w:r>
        </w:del>
      </w:ins>
      <w:del w:id="9819" w:author="Author">
        <w:r>
          <w:rPr>
            <w:noProof/>
            <w:sz w:val="22"/>
            <w:szCs w:val="22"/>
          </w:rPr>
          <w:delText>r</w:delText>
        </w:r>
      </w:del>
      <w:ins w:id="9820" w:author="Author">
        <w:r>
          <w:rPr>
            <w:noProof/>
            <w:sz w:val="22"/>
            <w:szCs w:val="22"/>
          </w:rPr>
          <w:t>R</w:t>
        </w:r>
      </w:ins>
      <w:r>
        <w:rPr>
          <w:noProof/>
          <w:sz w:val="22"/>
          <w:szCs w:val="22"/>
        </w:rPr>
        <w:t xml:space="preserve">iferimento al rischio di sviluppare infezioni che possono divenire gravi se non trattate. </w:t>
      </w:r>
    </w:p>
    <w:p>
      <w:pPr>
        <w:tabs>
          <w:tab w:val="left" w:pos="180"/>
          <w:tab w:val="left" w:pos="567"/>
          <w:tab w:val="left" w:pos="709"/>
        </w:tabs>
        <w:ind w:left="567"/>
        <w:rPr>
          <w:noProof/>
          <w:szCs w:val="22"/>
          <w:lang w:val="it-IT"/>
        </w:rPr>
        <w:pPrChange w:id="9821" w:author="Author">
          <w:pPr>
            <w:tabs>
              <w:tab w:val="left" w:pos="180"/>
              <w:tab w:val="left" w:pos="567"/>
              <w:tab w:val="left" w:pos="709"/>
            </w:tabs>
          </w:pPr>
        </w:pPrChange>
      </w:pPr>
      <w:r>
        <w:rPr>
          <w:noProof/>
          <w:szCs w:val="22"/>
          <w:lang w:val="it-IT"/>
        </w:rPr>
        <w:t xml:space="preserve">Inoltre, alcune infezioni precedenti possono ricomparire. </w:t>
      </w:r>
      <w:ins w:id="9822" w:author="Author">
        <w:r>
          <w:rPr>
            <w:noProof/>
            <w:szCs w:val="22"/>
            <w:lang w:val="it-IT"/>
          </w:rPr>
          <w:t xml:space="preserve">I pazienti devono consultare il </w:t>
        </w:r>
        <w:del w:id="9823" w:author="Author">
          <w:r>
            <w:rPr>
              <w:noProof/>
              <w:szCs w:val="22"/>
              <w:lang w:val="it-IT"/>
            </w:rPr>
            <w:delText xml:space="preserve">proprio </w:delText>
          </w:r>
        </w:del>
        <w:r>
          <w:rPr>
            <w:noProof/>
            <w:szCs w:val="22"/>
            <w:lang w:val="it-IT"/>
          </w:rPr>
          <w:t>medico nel caso in cui sviluppino un'infezione di qualsiasi tipo (anche un raffreddore) al momento del trattamento programmato con RoActemra.</w:t>
        </w:r>
      </w:ins>
    </w:p>
    <w:p>
      <w:pPr>
        <w:tabs>
          <w:tab w:val="left" w:pos="180"/>
          <w:tab w:val="left" w:pos="567"/>
          <w:tab w:val="left" w:pos="709"/>
        </w:tabs>
        <w:ind w:left="567" w:hanging="567"/>
        <w:rPr>
          <w:noProof/>
          <w:lang w:val="it-IT"/>
        </w:rPr>
      </w:pPr>
      <w:r>
        <w:rPr>
          <w:noProof/>
          <w:lang w:val="it-IT"/>
        </w:rPr>
        <w:tab/>
        <w:t xml:space="preserve">- </w:t>
      </w:r>
      <w:r>
        <w:rPr>
          <w:noProof/>
          <w:lang w:val="it-IT"/>
        </w:rPr>
        <w:tab/>
      </w:r>
      <w:ins w:id="9824" w:author="Author">
        <w:del w:id="9825" w:author="Author">
          <w:r>
            <w:rPr>
              <w:noProof/>
              <w:lang w:val="it-IT"/>
            </w:rPr>
            <w:delText xml:space="preserve">Con </w:delText>
          </w:r>
        </w:del>
      </w:ins>
      <w:del w:id="9826" w:author="Author">
        <w:r>
          <w:rPr>
            <w:noProof/>
            <w:lang w:val="it-IT"/>
          </w:rPr>
          <w:delText>r</w:delText>
        </w:r>
      </w:del>
      <w:ins w:id="9827" w:author="Author">
        <w:r>
          <w:rPr>
            <w:noProof/>
            <w:lang w:val="it-IT"/>
          </w:rPr>
          <w:t>R</w:t>
        </w:r>
      </w:ins>
      <w:r>
        <w:rPr>
          <w:noProof/>
          <w:lang w:val="it-IT"/>
        </w:rPr>
        <w:t>iferimento al rischio che i pazienti che assumono RoActemra possono sviluppare complicanze della diverticolite che possono divenire gravi se non trattate.</w:t>
      </w:r>
      <w:ins w:id="9828" w:author="Author">
        <w:r>
          <w:rPr>
            <w:noProof/>
            <w:lang w:val="it-IT"/>
          </w:rPr>
          <w:t xml:space="preserve"> I pazienti devono informare immediatamente il </w:t>
        </w:r>
        <w:del w:id="9829" w:author="Author">
          <w:r>
            <w:rPr>
              <w:noProof/>
              <w:lang w:val="it-IT"/>
            </w:rPr>
            <w:delText xml:space="preserve">proprio </w:delText>
          </w:r>
        </w:del>
        <w:r>
          <w:rPr>
            <w:noProof/>
            <w:lang w:val="it-IT"/>
          </w:rPr>
          <w:t>medico se manifestano segni e sintomi di dolore allo stomaco o coliche, con un cambiamento delle abitudini intestinali, o se notano sangue nelle feci. Il paziente deve informare il medico se soffre o ha sofferto di ulcerazione intestinale o diverticolite (infiammazione di alcune parti dell’intestino crasso).</w:t>
        </w:r>
      </w:ins>
    </w:p>
    <w:p>
      <w:pPr>
        <w:tabs>
          <w:tab w:val="left" w:pos="180"/>
          <w:tab w:val="left" w:pos="567"/>
          <w:tab w:val="left" w:pos="709"/>
        </w:tabs>
        <w:ind w:left="567" w:hanging="567"/>
        <w:rPr>
          <w:noProof/>
          <w:lang w:val="it-IT"/>
        </w:rPr>
      </w:pPr>
      <w:r>
        <w:rPr>
          <w:noProof/>
          <w:lang w:val="it-IT"/>
        </w:rPr>
        <w:t xml:space="preserve"> </w:t>
      </w:r>
      <w:r>
        <w:rPr>
          <w:noProof/>
          <w:lang w:val="it-IT"/>
        </w:rPr>
        <w:tab/>
        <w:t xml:space="preserve">- </w:t>
      </w:r>
      <w:r>
        <w:rPr>
          <w:noProof/>
          <w:lang w:val="it-IT"/>
        </w:rPr>
        <w:tab/>
      </w:r>
      <w:ins w:id="9830" w:author="Author">
        <w:del w:id="9831" w:author="Author">
          <w:r>
            <w:rPr>
              <w:noProof/>
              <w:lang w:val="it-IT"/>
            </w:rPr>
            <w:delText xml:space="preserve">Con </w:delText>
          </w:r>
        </w:del>
      </w:ins>
      <w:del w:id="9832" w:author="Author">
        <w:r>
          <w:rPr>
            <w:noProof/>
            <w:lang w:val="it-IT"/>
          </w:rPr>
          <w:delText>r</w:delText>
        </w:r>
      </w:del>
      <w:ins w:id="9833" w:author="Author">
        <w:r>
          <w:rPr>
            <w:noProof/>
            <w:lang w:val="it-IT"/>
          </w:rPr>
          <w:t>R</w:t>
        </w:r>
      </w:ins>
      <w:r>
        <w:rPr>
          <w:noProof/>
          <w:lang w:val="it-IT"/>
        </w:rPr>
        <w:t xml:space="preserve">iferimento al rischio che i pazienti che assumono RoActemra possono sviluppare </w:t>
      </w:r>
      <w:del w:id="9834" w:author="Author">
        <w:r>
          <w:rPr>
            <w:noProof/>
            <w:lang w:val="it-IT"/>
          </w:rPr>
          <w:delText xml:space="preserve">severo </w:delText>
        </w:r>
      </w:del>
      <w:r>
        <w:rPr>
          <w:noProof/>
          <w:lang w:val="it-IT"/>
        </w:rPr>
        <w:t>danno epatico</w:t>
      </w:r>
      <w:ins w:id="9835" w:author="Author">
        <w:r>
          <w:rPr>
            <w:noProof/>
            <w:lang w:val="it-IT"/>
          </w:rPr>
          <w:t xml:space="preserve"> grave</w:t>
        </w:r>
      </w:ins>
      <w:r>
        <w:rPr>
          <w:noProof/>
          <w:lang w:val="it-IT"/>
        </w:rPr>
        <w:t xml:space="preserve">. </w:t>
      </w:r>
      <w:ins w:id="9836" w:author="Author">
        <w:r>
          <w:rPr>
            <w:noProof/>
            <w:lang w:val="it-IT"/>
            <w:rPrChange w:id="9837" w:author="Author">
              <w:rPr>
                <w:noProof/>
                <w:highlight w:val="yellow"/>
                <w:lang w:val="it-IT"/>
              </w:rPr>
            </w:rPrChange>
          </w:rPr>
          <w:t xml:space="preserve">Durante il trattamento con RoActemra </w:t>
        </w:r>
        <w:del w:id="9838" w:author="Author">
          <w:r>
            <w:rPr>
              <w:noProof/>
              <w:lang w:val="it-IT"/>
            </w:rPr>
            <w:delText>L</w:delText>
          </w:r>
        </w:del>
        <w:r>
          <w:rPr>
            <w:noProof/>
            <w:lang w:val="it-IT"/>
            <w:rPrChange w:id="9839" w:author="Author">
              <w:rPr>
                <w:noProof/>
                <w:highlight w:val="yellow"/>
                <w:lang w:val="it-IT"/>
              </w:rPr>
            </w:rPrChange>
          </w:rPr>
          <w:t>l</w:t>
        </w:r>
        <w:r>
          <w:rPr>
            <w:noProof/>
            <w:lang w:val="it-IT"/>
          </w:rPr>
          <w:t>a funzionalità epatica dei</w:t>
        </w:r>
      </w:ins>
      <w:r>
        <w:rPr>
          <w:noProof/>
          <w:lang w:val="it-IT"/>
        </w:rPr>
        <w:t xml:space="preserve"> pazienti </w:t>
      </w:r>
      <w:del w:id="9840" w:author="Author">
        <w:r>
          <w:rPr>
            <w:noProof/>
            <w:lang w:val="it-IT"/>
          </w:rPr>
          <w:delText>saranno</w:delText>
        </w:r>
      </w:del>
      <w:ins w:id="9841" w:author="Author">
        <w:r>
          <w:rPr>
            <w:noProof/>
            <w:lang w:val="it-IT"/>
          </w:rPr>
          <w:t xml:space="preserve"> </w:t>
        </w:r>
        <w:del w:id="9842" w:author="Author">
          <w:r>
            <w:rPr>
              <w:noProof/>
              <w:lang w:val="it-IT"/>
            </w:rPr>
            <w:delText>sarà</w:delText>
          </w:r>
        </w:del>
        <w:r>
          <w:rPr>
            <w:noProof/>
            <w:lang w:val="it-IT"/>
            <w:rPrChange w:id="9843" w:author="Author">
              <w:rPr>
                <w:noProof/>
                <w:highlight w:val="yellow"/>
                <w:lang w:val="it-IT"/>
              </w:rPr>
            </w:rPrChange>
          </w:rPr>
          <w:t>va</w:t>
        </w:r>
      </w:ins>
      <w:r>
        <w:rPr>
          <w:noProof/>
          <w:lang w:val="it-IT"/>
        </w:rPr>
        <w:t xml:space="preserve"> monitorat</w:t>
      </w:r>
      <w:ins w:id="9844" w:author="Author">
        <w:r>
          <w:rPr>
            <w:noProof/>
            <w:lang w:val="it-IT"/>
          </w:rPr>
          <w:t>a</w:t>
        </w:r>
      </w:ins>
      <w:del w:id="9845" w:author="Author">
        <w:r>
          <w:rPr>
            <w:noProof/>
            <w:lang w:val="it-IT"/>
          </w:rPr>
          <w:delText>i</w:delText>
        </w:r>
      </w:del>
      <w:r>
        <w:rPr>
          <w:noProof/>
          <w:lang w:val="it-IT"/>
        </w:rPr>
        <w:t xml:space="preserve"> per</w:t>
      </w:r>
      <w:ins w:id="9846" w:author="Author">
        <w:r>
          <w:rPr>
            <w:noProof/>
            <w:lang w:val="it-IT"/>
          </w:rPr>
          <w:t xml:space="preserve"> rilevare eventuali cambiamenti nel</w:t>
        </w:r>
        <w:r>
          <w:rPr>
            <w:noProof/>
            <w:lang w:val="it-IT"/>
            <w:rPrChange w:id="9847" w:author="Author">
              <w:rPr>
                <w:noProof/>
                <w:highlight w:val="yellow"/>
                <w:lang w:val="it-IT"/>
              </w:rPr>
            </w:rPrChange>
          </w:rPr>
          <w:t>i</w:t>
        </w:r>
        <w:del w:id="9848" w:author="Author">
          <w:r>
            <w:rPr>
              <w:noProof/>
              <w:lang w:val="it-IT"/>
            </w:rPr>
            <w:delText>i cambiamenti nel</w:delText>
          </w:r>
        </w:del>
        <w:r>
          <w:rPr>
            <w:noProof/>
            <w:lang w:val="it-IT"/>
          </w:rPr>
          <w:t xml:space="preserve"> livello degli enzimi epatici </w:t>
        </w:r>
        <w:r>
          <w:rPr>
            <w:noProof/>
            <w:lang w:val="it-IT"/>
            <w:rPrChange w:id="9849" w:author="Author">
              <w:rPr>
                <w:noProof/>
                <w:highlight w:val="yellow"/>
                <w:lang w:val="it-IT"/>
              </w:rPr>
            </w:rPrChange>
          </w:rPr>
          <w:t xml:space="preserve">mediate test di funzionalità epatica. </w:t>
        </w:r>
        <w:del w:id="9850" w:author="Author">
          <w:r>
            <w:rPr>
              <w:noProof/>
              <w:lang w:val="it-IT"/>
            </w:rPr>
            <w:delText xml:space="preserve">attraverso apposite analisi </w:delText>
          </w:r>
        </w:del>
      </w:ins>
      <w:del w:id="9851" w:author="Author">
        <w:r>
          <w:rPr>
            <w:noProof/>
            <w:lang w:val="it-IT"/>
          </w:rPr>
          <w:delText xml:space="preserve">la funzionalità epatica </w:delText>
        </w:r>
      </w:del>
      <w:ins w:id="9852" w:author="Author">
        <w:del w:id="9853" w:author="Author">
          <w:r>
            <w:rPr>
              <w:noProof/>
              <w:lang w:val="it-IT"/>
            </w:rPr>
            <w:delText>durante il trattamento con RoActemra</w:delText>
          </w:r>
        </w:del>
      </w:ins>
      <w:del w:id="9854" w:author="Author">
        <w:r>
          <w:rPr>
            <w:noProof/>
            <w:lang w:val="it-IT"/>
          </w:rPr>
          <w:delText xml:space="preserve"> attraverso apposite analisi</w:delText>
        </w:r>
      </w:del>
      <w:r>
        <w:rPr>
          <w:noProof/>
          <w:lang w:val="it-IT"/>
        </w:rPr>
        <w:t xml:space="preserve">. I pazienti devono informare immediatamente il medico </w:t>
      </w:r>
      <w:ins w:id="9855" w:author="Author">
        <w:r>
          <w:rPr>
            <w:noProof/>
            <w:lang w:val="it-IT"/>
          </w:rPr>
          <w:t>se</w:t>
        </w:r>
      </w:ins>
      <w:del w:id="9856" w:author="Author">
        <w:r>
          <w:rPr>
            <w:noProof/>
            <w:lang w:val="it-IT"/>
          </w:rPr>
          <w:delText>in caso di</w:delText>
        </w:r>
      </w:del>
      <w:r>
        <w:rPr>
          <w:noProof/>
          <w:lang w:val="it-IT"/>
        </w:rPr>
        <w:t xml:space="preserve"> manifesta</w:t>
      </w:r>
      <w:ins w:id="9857" w:author="Author">
        <w:r>
          <w:rPr>
            <w:noProof/>
            <w:lang w:val="it-IT"/>
          </w:rPr>
          <w:t>no</w:t>
        </w:r>
      </w:ins>
      <w:del w:id="9858" w:author="Author">
        <w:r>
          <w:rPr>
            <w:noProof/>
            <w:lang w:val="it-IT"/>
          </w:rPr>
          <w:delText>zione di</w:delText>
        </w:r>
      </w:del>
      <w:r>
        <w:rPr>
          <w:noProof/>
          <w:lang w:val="it-IT"/>
        </w:rPr>
        <w:t xml:space="preserve"> segni e sintomi di tossicità epatica, tra cui stanchezza, </w:t>
      </w:r>
      <w:ins w:id="9859" w:author="Author">
        <w:r>
          <w:rPr>
            <w:noProof/>
            <w:lang w:val="it-IT"/>
          </w:rPr>
          <w:t xml:space="preserve">confusione, </w:t>
        </w:r>
      </w:ins>
      <w:r>
        <w:rPr>
          <w:noProof/>
          <w:lang w:val="it-IT"/>
        </w:rPr>
        <w:t>dolore addominale</w:t>
      </w:r>
      <w:ins w:id="9860" w:author="Author">
        <w:r>
          <w:rPr>
            <w:noProof/>
            <w:lang w:val="it-IT"/>
          </w:rPr>
          <w:t>, do</w:t>
        </w:r>
        <w:del w:id="9861" w:author="Author">
          <w:r>
            <w:rPr>
              <w:noProof/>
              <w:lang w:val="it-IT"/>
            </w:rPr>
            <w:delText>o</w:delText>
          </w:r>
        </w:del>
        <w:r>
          <w:rPr>
            <w:noProof/>
            <w:lang w:val="it-IT"/>
          </w:rPr>
          <w:t>lore o gonfiore nella parte superiore destra dello stomaco</w:t>
        </w:r>
      </w:ins>
      <w:r>
        <w:rPr>
          <w:noProof/>
          <w:lang w:val="it-IT"/>
        </w:rPr>
        <w:t xml:space="preserve"> e ittero</w:t>
      </w:r>
      <w:ins w:id="9862" w:author="Author">
        <w:r>
          <w:rPr>
            <w:noProof/>
            <w:lang w:val="it-IT"/>
          </w:rPr>
          <w:t xml:space="preserve"> </w:t>
        </w:r>
        <w:r>
          <w:rPr>
            <w:noProof/>
            <w:lang w:val="it-IT"/>
            <w:rPrChange w:id="9863" w:author="Author">
              <w:rPr>
                <w:noProof/>
              </w:rPr>
            </w:rPrChange>
          </w:rPr>
          <w:t>(ingiallimento della pelle e degli occhi e urine di colore marrone scuro)</w:t>
        </w:r>
      </w:ins>
      <w:r>
        <w:rPr>
          <w:noProof/>
          <w:lang w:val="it-IT"/>
        </w:rPr>
        <w:t>.</w:t>
      </w:r>
    </w:p>
    <w:p>
      <w:pPr>
        <w:tabs>
          <w:tab w:val="left" w:pos="180"/>
          <w:tab w:val="left" w:pos="567"/>
          <w:tab w:val="left" w:pos="709"/>
        </w:tabs>
        <w:ind w:left="567" w:hanging="567"/>
        <w:rPr>
          <w:noProof/>
          <w:lang w:val="it-IT"/>
        </w:rPr>
      </w:pPr>
    </w:p>
    <w:p>
      <w:pPr>
        <w:tabs>
          <w:tab w:val="left" w:pos="180"/>
        </w:tabs>
        <w:rPr>
          <w:noProof/>
          <w:lang w:val="it-IT"/>
        </w:rPr>
      </w:pPr>
      <w:r>
        <w:rPr>
          <w:noProof/>
          <w:lang w:val="it-IT"/>
        </w:rPr>
        <w:br w:type="page"/>
      </w: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jc w:val="center"/>
        <w:outlineLvl w:val="0"/>
        <w:rPr>
          <w:b/>
          <w:noProof/>
          <w:lang w:val="it-IT"/>
        </w:rPr>
      </w:pPr>
    </w:p>
    <w:p>
      <w:pPr>
        <w:tabs>
          <w:tab w:val="left" w:pos="180"/>
        </w:tabs>
        <w:jc w:val="center"/>
        <w:outlineLvl w:val="0"/>
        <w:rPr>
          <w:b/>
          <w:noProof/>
          <w:lang w:val="it-IT"/>
        </w:rPr>
      </w:pPr>
    </w:p>
    <w:p>
      <w:pPr>
        <w:tabs>
          <w:tab w:val="left" w:pos="180"/>
        </w:tabs>
        <w:jc w:val="center"/>
        <w:outlineLvl w:val="0"/>
        <w:rPr>
          <w:b/>
          <w:noProof/>
          <w:lang w:val="it-IT"/>
        </w:rPr>
      </w:pPr>
    </w:p>
    <w:p>
      <w:pPr>
        <w:tabs>
          <w:tab w:val="left" w:pos="180"/>
        </w:tabs>
        <w:jc w:val="center"/>
        <w:outlineLvl w:val="0"/>
        <w:rPr>
          <w:b/>
          <w:noProof/>
          <w:lang w:val="it-IT"/>
        </w:rPr>
      </w:pPr>
    </w:p>
    <w:p>
      <w:pPr>
        <w:tabs>
          <w:tab w:val="left" w:pos="180"/>
        </w:tabs>
        <w:jc w:val="center"/>
        <w:outlineLvl w:val="0"/>
        <w:rPr>
          <w:b/>
          <w:noProof/>
          <w:lang w:val="it-IT"/>
        </w:rPr>
      </w:pPr>
    </w:p>
    <w:p>
      <w:pPr>
        <w:tabs>
          <w:tab w:val="left" w:pos="180"/>
        </w:tabs>
        <w:jc w:val="center"/>
        <w:outlineLvl w:val="0"/>
        <w:rPr>
          <w:b/>
          <w:noProof/>
          <w:lang w:val="it-IT"/>
        </w:rPr>
      </w:pPr>
    </w:p>
    <w:p>
      <w:pPr>
        <w:tabs>
          <w:tab w:val="left" w:pos="180"/>
        </w:tabs>
        <w:jc w:val="center"/>
        <w:outlineLvl w:val="0"/>
        <w:rPr>
          <w:b/>
          <w:noProof/>
          <w:lang w:val="it-IT"/>
        </w:rPr>
      </w:pPr>
      <w:r>
        <w:rPr>
          <w:b/>
          <w:noProof/>
          <w:lang w:val="it-IT"/>
        </w:rPr>
        <w:t>ALLEGATO III</w:t>
      </w:r>
    </w:p>
    <w:p>
      <w:pPr>
        <w:tabs>
          <w:tab w:val="left" w:pos="180"/>
        </w:tabs>
        <w:jc w:val="center"/>
        <w:rPr>
          <w:b/>
          <w:noProof/>
          <w:lang w:val="it-IT"/>
        </w:rPr>
      </w:pPr>
    </w:p>
    <w:p>
      <w:pPr>
        <w:tabs>
          <w:tab w:val="left" w:pos="180"/>
        </w:tabs>
        <w:jc w:val="center"/>
        <w:outlineLvl w:val="0"/>
        <w:rPr>
          <w:b/>
          <w:noProof/>
          <w:lang w:val="it-IT"/>
        </w:rPr>
      </w:pPr>
      <w:r>
        <w:rPr>
          <w:b/>
          <w:noProof/>
          <w:lang w:val="it-IT"/>
        </w:rPr>
        <w:t>ETICHETTATURA E FOGLIO ILLUSTRATIVO</w:t>
      </w:r>
    </w:p>
    <w:p>
      <w:pPr>
        <w:tabs>
          <w:tab w:val="left" w:pos="180"/>
        </w:tabs>
        <w:rPr>
          <w:noProof/>
          <w:lang w:val="it-IT"/>
        </w:rPr>
      </w:pPr>
      <w:r>
        <w:rPr>
          <w:noProof/>
          <w:lang w:val="it-IT"/>
        </w:rPr>
        <w:br w:type="page"/>
      </w: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tabs>
          <w:tab w:val="left" w:pos="180"/>
        </w:tabs>
        <w:rPr>
          <w:noProof/>
          <w:lang w:val="it-IT"/>
        </w:rPr>
      </w:pPr>
    </w:p>
    <w:p>
      <w:pPr>
        <w:pStyle w:val="Annex"/>
        <w:tabs>
          <w:tab w:val="left" w:pos="180"/>
        </w:tabs>
        <w:rPr>
          <w:noProof/>
          <w:lang w:val="it-IT"/>
        </w:rPr>
      </w:pPr>
      <w:r>
        <w:rPr>
          <w:noProof/>
          <w:lang w:val="it-IT"/>
        </w:rPr>
        <w:t>A. ETICHETTATURA</w:t>
      </w:r>
    </w:p>
    <w:p>
      <w:pPr>
        <w:tabs>
          <w:tab w:val="left" w:pos="180"/>
        </w:tabs>
        <w:jc w:val="center"/>
        <w:outlineLvl w:val="0"/>
        <w:rPr>
          <w:noProof/>
          <w:lang w:val="it-IT"/>
        </w:rPr>
      </w:pPr>
    </w:p>
    <w:p>
      <w:pPr>
        <w:tabs>
          <w:tab w:val="left" w:pos="180"/>
        </w:tabs>
        <w:rPr>
          <w:noProof/>
          <w:szCs w:val="22"/>
          <w:lang w:val="it-IT"/>
        </w:rPr>
      </w:pPr>
      <w:r>
        <w:rPr>
          <w:noProof/>
          <w:lang w:val="it-IT"/>
        </w:rPr>
        <w:br w:type="page"/>
      </w:r>
    </w:p>
    <w:p>
      <w:pPr>
        <w:pBdr>
          <w:top w:val="single" w:sz="4" w:space="1" w:color="auto"/>
          <w:left w:val="single" w:sz="4" w:space="4" w:color="auto"/>
          <w:bottom w:val="single" w:sz="4" w:space="1" w:color="auto"/>
          <w:right w:val="single" w:sz="4" w:space="4" w:color="auto"/>
        </w:pBdr>
        <w:tabs>
          <w:tab w:val="left" w:pos="180"/>
        </w:tabs>
        <w:rPr>
          <w:b/>
          <w:noProof/>
          <w:szCs w:val="22"/>
          <w:lang w:val="it-IT"/>
        </w:rPr>
      </w:pPr>
      <w:r>
        <w:rPr>
          <w:b/>
          <w:noProof/>
          <w:szCs w:val="22"/>
          <w:lang w:val="it-IT"/>
        </w:rPr>
        <w:lastRenderedPageBreak/>
        <w:t>INFORMAZIONI DA APPORRE SUL CONFEZIONAMENTO SECONDARIO</w:t>
      </w:r>
    </w:p>
    <w:p>
      <w:pPr>
        <w:pBdr>
          <w:top w:val="single" w:sz="4" w:space="1" w:color="auto"/>
          <w:left w:val="single" w:sz="4" w:space="4" w:color="auto"/>
          <w:bottom w:val="single" w:sz="4" w:space="1" w:color="auto"/>
          <w:right w:val="single" w:sz="4" w:space="4" w:color="auto"/>
        </w:pBdr>
        <w:tabs>
          <w:tab w:val="left" w:pos="180"/>
        </w:tabs>
        <w:ind w:left="567" w:hanging="567"/>
        <w:rPr>
          <w:b/>
          <w:noProof/>
          <w:szCs w:val="22"/>
          <w:lang w:val="it-IT"/>
        </w:rPr>
      </w:pPr>
    </w:p>
    <w:p>
      <w:pPr>
        <w:pBdr>
          <w:top w:val="single" w:sz="4" w:space="1" w:color="auto"/>
          <w:left w:val="single" w:sz="4" w:space="4" w:color="auto"/>
          <w:bottom w:val="single" w:sz="4" w:space="1" w:color="auto"/>
          <w:right w:val="single" w:sz="4" w:space="4" w:color="auto"/>
        </w:pBdr>
        <w:tabs>
          <w:tab w:val="left" w:pos="180"/>
        </w:tabs>
        <w:rPr>
          <w:b/>
          <w:noProof/>
          <w:szCs w:val="22"/>
          <w:lang w:val="it-IT"/>
        </w:rPr>
      </w:pPr>
      <w:r>
        <w:rPr>
          <w:b/>
          <w:noProof/>
          <w:szCs w:val="22"/>
          <w:lang w:val="it-IT"/>
        </w:rPr>
        <w:t>CARTONE</w:t>
      </w:r>
    </w:p>
    <w:p>
      <w:pPr>
        <w:tabs>
          <w:tab w:val="left" w:pos="180"/>
        </w:tabs>
        <w:rPr>
          <w:noProof/>
          <w:szCs w:val="22"/>
          <w:lang w:val="it-IT"/>
        </w:rPr>
      </w:pPr>
    </w:p>
    <w:p>
      <w:pPr>
        <w:tabs>
          <w:tab w:val="left" w:pos="180"/>
        </w:tabs>
        <w:rPr>
          <w:noProof/>
          <w:szCs w:val="22"/>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szCs w:val="22"/>
          <w:lang w:val="it-IT"/>
        </w:rPr>
      </w:pPr>
      <w:r>
        <w:rPr>
          <w:b/>
          <w:noProof/>
          <w:szCs w:val="22"/>
          <w:lang w:val="it-IT"/>
        </w:rPr>
        <w:t>1.</w:t>
      </w:r>
      <w:r>
        <w:rPr>
          <w:b/>
          <w:noProof/>
          <w:szCs w:val="22"/>
          <w:lang w:val="it-IT"/>
        </w:rPr>
        <w:tab/>
      </w:r>
      <w:r>
        <w:rPr>
          <w:b/>
          <w:noProof/>
          <w:szCs w:val="22"/>
          <w:lang w:val="it-IT"/>
        </w:rPr>
        <w:tab/>
        <w:t>DENOMINAZIONE DEL MEDICINALE</w:t>
      </w:r>
    </w:p>
    <w:p>
      <w:pPr>
        <w:tabs>
          <w:tab w:val="left" w:pos="180"/>
        </w:tabs>
        <w:rPr>
          <w:noProof/>
          <w:szCs w:val="22"/>
          <w:lang w:val="it-IT"/>
        </w:rPr>
      </w:pPr>
    </w:p>
    <w:p>
      <w:pPr>
        <w:tabs>
          <w:tab w:val="left" w:pos="180"/>
        </w:tabs>
        <w:rPr>
          <w:noProof/>
          <w:szCs w:val="22"/>
          <w:lang w:val="it-IT"/>
        </w:rPr>
      </w:pPr>
      <w:r>
        <w:rPr>
          <w:noProof/>
          <w:szCs w:val="22"/>
          <w:lang w:val="it-IT"/>
        </w:rPr>
        <w:t>RoActemra 20 mg/mL concentrato per soluzione per infusione</w:t>
      </w:r>
    </w:p>
    <w:p>
      <w:pPr>
        <w:tabs>
          <w:tab w:val="left" w:pos="180"/>
        </w:tabs>
        <w:rPr>
          <w:noProof/>
          <w:szCs w:val="22"/>
          <w:lang w:val="it-IT"/>
        </w:rPr>
      </w:pPr>
      <w:r>
        <w:rPr>
          <w:noProof/>
          <w:szCs w:val="22"/>
          <w:lang w:val="it-IT"/>
        </w:rPr>
        <w:t>tocilizumab</w:t>
      </w:r>
    </w:p>
    <w:p>
      <w:pPr>
        <w:tabs>
          <w:tab w:val="left" w:pos="180"/>
        </w:tabs>
        <w:rPr>
          <w:noProof/>
          <w:szCs w:val="22"/>
          <w:lang w:val="it-IT"/>
        </w:rPr>
      </w:pPr>
    </w:p>
    <w:p>
      <w:pPr>
        <w:tabs>
          <w:tab w:val="left" w:pos="180"/>
        </w:tabs>
        <w:rPr>
          <w:noProof/>
          <w:szCs w:val="22"/>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szCs w:val="22"/>
          <w:lang w:val="it-IT"/>
        </w:rPr>
      </w:pPr>
      <w:r>
        <w:rPr>
          <w:b/>
          <w:noProof/>
          <w:szCs w:val="22"/>
          <w:lang w:val="it-IT"/>
        </w:rPr>
        <w:t>2.</w:t>
      </w:r>
      <w:r>
        <w:rPr>
          <w:b/>
          <w:noProof/>
          <w:szCs w:val="22"/>
          <w:lang w:val="it-IT"/>
        </w:rPr>
        <w:tab/>
      </w:r>
      <w:r>
        <w:rPr>
          <w:b/>
          <w:noProof/>
          <w:szCs w:val="22"/>
          <w:lang w:val="it-IT"/>
        </w:rPr>
        <w:tab/>
        <w:t>COMPOSIZIONE QUALITATIVA E QUANTITATIVA IN TERMINI DI PRINCIPIO</w:t>
      </w:r>
      <w:del w:id="9864" w:author="Author">
        <w:r>
          <w:rPr>
            <w:b/>
            <w:noProof/>
            <w:szCs w:val="22"/>
            <w:lang w:val="it-IT"/>
          </w:rPr>
          <w:delText>(I)</w:delText>
        </w:r>
      </w:del>
      <w:r>
        <w:rPr>
          <w:b/>
          <w:noProof/>
          <w:szCs w:val="22"/>
          <w:lang w:val="it-IT"/>
        </w:rPr>
        <w:t xml:space="preserve"> ATTIVO</w:t>
      </w:r>
      <w:del w:id="9865" w:author="Author">
        <w:r>
          <w:rPr>
            <w:b/>
            <w:noProof/>
            <w:szCs w:val="22"/>
            <w:lang w:val="it-IT"/>
          </w:rPr>
          <w:delText>(I)</w:delText>
        </w:r>
      </w:del>
    </w:p>
    <w:p>
      <w:pPr>
        <w:tabs>
          <w:tab w:val="left" w:pos="180"/>
        </w:tabs>
        <w:rPr>
          <w:noProof/>
          <w:szCs w:val="22"/>
          <w:lang w:val="it-IT"/>
        </w:rPr>
      </w:pPr>
    </w:p>
    <w:p>
      <w:pPr>
        <w:tabs>
          <w:tab w:val="left" w:pos="180"/>
        </w:tabs>
        <w:rPr>
          <w:noProof/>
          <w:szCs w:val="22"/>
          <w:lang w:val="it-IT"/>
        </w:rPr>
      </w:pPr>
      <w:r>
        <w:rPr>
          <w:noProof/>
          <w:szCs w:val="22"/>
          <w:lang w:val="it-IT"/>
        </w:rPr>
        <w:t>1 flaconcino contiene 80 mg di tocilizumab.</w:t>
      </w:r>
    </w:p>
    <w:p>
      <w:pPr>
        <w:tabs>
          <w:tab w:val="left" w:pos="180"/>
        </w:tabs>
        <w:rPr>
          <w:noProof/>
          <w:szCs w:val="22"/>
          <w:highlight w:val="lightGray"/>
          <w:lang w:val="it-IT"/>
        </w:rPr>
      </w:pPr>
      <w:r>
        <w:rPr>
          <w:noProof/>
          <w:szCs w:val="22"/>
          <w:highlight w:val="lightGray"/>
          <w:lang w:val="it-IT"/>
        </w:rPr>
        <w:t>1 flaconcino contiene 200 mg di tocilizumab.</w:t>
      </w:r>
    </w:p>
    <w:p>
      <w:pPr>
        <w:tabs>
          <w:tab w:val="left" w:pos="180"/>
        </w:tabs>
        <w:rPr>
          <w:noProof/>
          <w:szCs w:val="22"/>
          <w:lang w:val="it-IT"/>
        </w:rPr>
      </w:pPr>
      <w:r>
        <w:rPr>
          <w:noProof/>
          <w:szCs w:val="22"/>
          <w:highlight w:val="lightGray"/>
          <w:lang w:val="it-IT"/>
        </w:rPr>
        <w:t>1 flaconcino contiene 400 mg di tocilizumab</w:t>
      </w:r>
    </w:p>
    <w:p>
      <w:pPr>
        <w:tabs>
          <w:tab w:val="left" w:pos="180"/>
        </w:tabs>
        <w:rPr>
          <w:noProof/>
          <w:szCs w:val="22"/>
          <w:lang w:val="it-IT"/>
        </w:rPr>
      </w:pPr>
    </w:p>
    <w:p>
      <w:pPr>
        <w:tabs>
          <w:tab w:val="left" w:pos="180"/>
        </w:tabs>
        <w:rPr>
          <w:noProof/>
          <w:szCs w:val="22"/>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szCs w:val="22"/>
          <w:lang w:val="it-IT"/>
        </w:rPr>
      </w:pPr>
      <w:r>
        <w:rPr>
          <w:b/>
          <w:noProof/>
          <w:szCs w:val="22"/>
          <w:lang w:val="it-IT"/>
        </w:rPr>
        <w:t>3.</w:t>
      </w:r>
      <w:r>
        <w:rPr>
          <w:b/>
          <w:noProof/>
          <w:szCs w:val="22"/>
          <w:lang w:val="it-IT"/>
        </w:rPr>
        <w:tab/>
      </w:r>
      <w:r>
        <w:rPr>
          <w:b/>
          <w:noProof/>
          <w:szCs w:val="22"/>
          <w:lang w:val="it-IT"/>
        </w:rPr>
        <w:tab/>
        <w:t>ELENCO DEGLI ECCIPIENTI</w:t>
      </w:r>
    </w:p>
    <w:p>
      <w:pPr>
        <w:tabs>
          <w:tab w:val="left" w:pos="180"/>
        </w:tabs>
        <w:rPr>
          <w:noProof/>
          <w:szCs w:val="22"/>
          <w:lang w:val="it-IT"/>
        </w:rPr>
      </w:pPr>
    </w:p>
    <w:p>
      <w:pPr>
        <w:tabs>
          <w:tab w:val="left" w:pos="180"/>
        </w:tabs>
        <w:autoSpaceDE w:val="0"/>
        <w:autoSpaceDN w:val="0"/>
        <w:adjustRightInd w:val="0"/>
        <w:rPr>
          <w:noProof/>
          <w:szCs w:val="22"/>
          <w:lang w:val="it-IT"/>
        </w:rPr>
      </w:pPr>
      <w:r>
        <w:rPr>
          <w:noProof/>
          <w:szCs w:val="22"/>
          <w:lang w:val="it-IT"/>
        </w:rPr>
        <w:t>Contiene anche polisorbato 80</w:t>
      </w:r>
      <w:ins w:id="9866" w:author="Author">
        <w:r>
          <w:rPr>
            <w:noProof/>
            <w:szCs w:val="22"/>
            <w:lang w:val="it-IT"/>
          </w:rPr>
          <w:t xml:space="preserve"> (E 433)</w:t>
        </w:r>
      </w:ins>
      <w:r>
        <w:rPr>
          <w:noProof/>
          <w:szCs w:val="22"/>
          <w:lang w:val="it-IT"/>
        </w:rPr>
        <w:t xml:space="preserve">, saccarosio, </w:t>
      </w:r>
      <w:ins w:id="9867" w:author="Author">
        <w:r>
          <w:rPr>
            <w:noProof/>
            <w:szCs w:val="22"/>
            <w:lang w:val="it-IT"/>
          </w:rPr>
          <w:t xml:space="preserve">sodio </w:t>
        </w:r>
      </w:ins>
      <w:r>
        <w:rPr>
          <w:noProof/>
          <w:szCs w:val="22"/>
          <w:lang w:val="it-IT"/>
        </w:rPr>
        <w:t xml:space="preserve">fosfato </w:t>
      </w:r>
      <w:del w:id="9868" w:author="Author">
        <w:r>
          <w:rPr>
            <w:noProof/>
            <w:szCs w:val="22"/>
            <w:lang w:val="it-IT"/>
          </w:rPr>
          <w:delText xml:space="preserve">disodico </w:delText>
        </w:r>
      </w:del>
      <w:ins w:id="9869" w:author="Author">
        <w:r>
          <w:rPr>
            <w:noProof/>
            <w:szCs w:val="22"/>
            <w:lang w:val="it-IT"/>
          </w:rPr>
          <w:t xml:space="preserve">dibasico </w:t>
        </w:r>
      </w:ins>
      <w:r>
        <w:rPr>
          <w:noProof/>
          <w:szCs w:val="22"/>
          <w:lang w:val="it-IT"/>
        </w:rPr>
        <w:t xml:space="preserve">dodecaidrato, sodio </w:t>
      </w:r>
      <w:del w:id="9870" w:author="Author">
        <w:r>
          <w:rPr>
            <w:noProof/>
            <w:szCs w:val="22"/>
            <w:lang w:val="it-IT"/>
          </w:rPr>
          <w:delText xml:space="preserve">diidrogeno </w:delText>
        </w:r>
      </w:del>
      <w:r>
        <w:rPr>
          <w:noProof/>
          <w:szCs w:val="22"/>
          <w:lang w:val="it-IT"/>
        </w:rPr>
        <w:t xml:space="preserve">fosfato </w:t>
      </w:r>
      <w:ins w:id="9871" w:author="Author">
        <w:r>
          <w:rPr>
            <w:noProof/>
            <w:szCs w:val="22"/>
            <w:lang w:val="it-IT"/>
          </w:rPr>
          <w:t xml:space="preserve">monobasico </w:t>
        </w:r>
      </w:ins>
      <w:r>
        <w:rPr>
          <w:noProof/>
          <w:szCs w:val="22"/>
          <w:lang w:val="it-IT"/>
        </w:rPr>
        <w:t>diidrato e acqua per preparazioni iniettabili. Vedere il foglio illustrativo per ulteriori informazioni.</w:t>
      </w:r>
    </w:p>
    <w:p>
      <w:pPr>
        <w:tabs>
          <w:tab w:val="left" w:pos="180"/>
        </w:tabs>
        <w:rPr>
          <w:noProof/>
          <w:szCs w:val="22"/>
          <w:lang w:val="it-IT"/>
        </w:rPr>
      </w:pPr>
    </w:p>
    <w:p>
      <w:pPr>
        <w:tabs>
          <w:tab w:val="left" w:pos="180"/>
        </w:tabs>
        <w:rPr>
          <w:noProof/>
          <w:szCs w:val="22"/>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szCs w:val="22"/>
          <w:lang w:val="it-IT"/>
        </w:rPr>
      </w:pPr>
      <w:r>
        <w:rPr>
          <w:b/>
          <w:noProof/>
          <w:szCs w:val="22"/>
          <w:lang w:val="it-IT"/>
        </w:rPr>
        <w:t>4.</w:t>
      </w:r>
      <w:r>
        <w:rPr>
          <w:b/>
          <w:noProof/>
          <w:szCs w:val="22"/>
          <w:lang w:val="it-IT"/>
        </w:rPr>
        <w:tab/>
      </w:r>
      <w:r>
        <w:rPr>
          <w:b/>
          <w:noProof/>
          <w:szCs w:val="22"/>
          <w:lang w:val="it-IT"/>
        </w:rPr>
        <w:tab/>
        <w:t>FORMA FARMACEUTICA E CONTENUTO</w:t>
      </w:r>
    </w:p>
    <w:p>
      <w:pPr>
        <w:tabs>
          <w:tab w:val="left" w:pos="180"/>
        </w:tabs>
        <w:rPr>
          <w:noProof/>
          <w:szCs w:val="22"/>
          <w:lang w:val="it-IT"/>
        </w:rPr>
      </w:pPr>
    </w:p>
    <w:p>
      <w:pPr>
        <w:tabs>
          <w:tab w:val="left" w:pos="180"/>
        </w:tabs>
        <w:rPr>
          <w:noProof/>
          <w:szCs w:val="22"/>
          <w:lang w:val="it-IT"/>
        </w:rPr>
      </w:pPr>
      <w:r>
        <w:rPr>
          <w:noProof/>
          <w:szCs w:val="22"/>
          <w:highlight w:val="lightGray"/>
          <w:lang w:val="it-IT"/>
        </w:rPr>
        <w:t>Concentrato per soluzione per infusione</w:t>
      </w:r>
    </w:p>
    <w:p>
      <w:pPr>
        <w:tabs>
          <w:tab w:val="left" w:pos="180"/>
        </w:tabs>
        <w:rPr>
          <w:noProof/>
          <w:szCs w:val="22"/>
          <w:lang w:val="it-IT"/>
        </w:rPr>
      </w:pPr>
      <w:r>
        <w:rPr>
          <w:noProof/>
          <w:szCs w:val="22"/>
          <w:lang w:val="it-IT"/>
        </w:rPr>
        <w:t>80 mg/4 mL</w:t>
      </w:r>
    </w:p>
    <w:p>
      <w:pPr>
        <w:tabs>
          <w:tab w:val="left" w:pos="180"/>
          <w:tab w:val="left" w:pos="284"/>
          <w:tab w:val="left" w:pos="567"/>
        </w:tabs>
        <w:rPr>
          <w:noProof/>
          <w:szCs w:val="22"/>
          <w:lang w:val="it-IT"/>
        </w:rPr>
      </w:pPr>
      <w:r>
        <w:rPr>
          <w:noProof/>
          <w:szCs w:val="22"/>
          <w:lang w:val="it-IT"/>
        </w:rPr>
        <w:t>1 flaconcino da 4 mL</w:t>
      </w:r>
    </w:p>
    <w:p>
      <w:pPr>
        <w:tabs>
          <w:tab w:val="left" w:pos="180"/>
        </w:tabs>
        <w:rPr>
          <w:noProof/>
          <w:szCs w:val="22"/>
          <w:lang w:val="it-IT"/>
        </w:rPr>
      </w:pPr>
      <w:r>
        <w:rPr>
          <w:noProof/>
          <w:szCs w:val="22"/>
          <w:highlight w:val="lightGray"/>
          <w:lang w:val="it-IT"/>
        </w:rPr>
        <w:t>4 flaconcini da 4 mL</w:t>
      </w:r>
    </w:p>
    <w:p>
      <w:pPr>
        <w:tabs>
          <w:tab w:val="left" w:pos="180"/>
        </w:tabs>
        <w:rPr>
          <w:noProof/>
          <w:szCs w:val="22"/>
          <w:lang w:val="it-IT"/>
        </w:rPr>
      </w:pPr>
    </w:p>
    <w:p>
      <w:pPr>
        <w:pStyle w:val="Standard1"/>
        <w:rPr>
          <w:rFonts w:ascii="Times New Roman" w:hAnsi="Times New Roman"/>
          <w:noProof/>
          <w:sz w:val="22"/>
          <w:szCs w:val="22"/>
          <w:highlight w:val="lightGray"/>
          <w:rPrChange w:id="9872" w:author="Author">
            <w:rPr>
              <w:rFonts w:ascii="Times New Roman" w:hAnsi="Times New Roman"/>
              <w:szCs w:val="22"/>
              <w:highlight w:val="lightGray"/>
            </w:rPr>
          </w:rPrChange>
        </w:rPr>
      </w:pPr>
      <w:r>
        <w:rPr>
          <w:rFonts w:ascii="Times New Roman" w:hAnsi="Times New Roman"/>
          <w:noProof/>
          <w:sz w:val="22"/>
          <w:szCs w:val="22"/>
          <w:highlight w:val="lightGray"/>
          <w:rPrChange w:id="9873" w:author="Author">
            <w:rPr>
              <w:rFonts w:ascii="Times New Roman" w:hAnsi="Times New Roman"/>
              <w:szCs w:val="22"/>
              <w:highlight w:val="lightGray"/>
            </w:rPr>
          </w:rPrChange>
        </w:rPr>
        <w:t>200 mg/10 mL</w:t>
      </w:r>
    </w:p>
    <w:p>
      <w:pPr>
        <w:pStyle w:val="Standard1"/>
        <w:tabs>
          <w:tab w:val="left" w:pos="284"/>
          <w:tab w:val="left" w:pos="567"/>
        </w:tabs>
        <w:rPr>
          <w:rFonts w:ascii="Times New Roman" w:hAnsi="Times New Roman"/>
          <w:noProof/>
          <w:sz w:val="22"/>
          <w:szCs w:val="22"/>
          <w:highlight w:val="lightGray"/>
          <w:rPrChange w:id="9874" w:author="Author">
            <w:rPr>
              <w:rFonts w:ascii="Times New Roman" w:hAnsi="Times New Roman"/>
              <w:szCs w:val="22"/>
              <w:highlight w:val="lightGray"/>
            </w:rPr>
          </w:rPrChange>
        </w:rPr>
      </w:pPr>
      <w:r>
        <w:rPr>
          <w:rFonts w:ascii="Times New Roman" w:hAnsi="Times New Roman"/>
          <w:noProof/>
          <w:sz w:val="22"/>
          <w:szCs w:val="22"/>
          <w:highlight w:val="lightGray"/>
          <w:rPrChange w:id="9875" w:author="Author">
            <w:rPr>
              <w:rFonts w:ascii="Times New Roman" w:hAnsi="Times New Roman"/>
              <w:szCs w:val="22"/>
              <w:highlight w:val="lightGray"/>
            </w:rPr>
          </w:rPrChange>
        </w:rPr>
        <w:t>1 flaconcino da 10 mL</w:t>
      </w:r>
    </w:p>
    <w:p>
      <w:pPr>
        <w:pStyle w:val="Standard1"/>
        <w:tabs>
          <w:tab w:val="left" w:pos="284"/>
          <w:tab w:val="left" w:pos="567"/>
        </w:tabs>
        <w:rPr>
          <w:rFonts w:ascii="Times New Roman" w:hAnsi="Times New Roman"/>
          <w:noProof/>
          <w:sz w:val="22"/>
          <w:szCs w:val="22"/>
          <w:highlight w:val="lightGray"/>
          <w:rPrChange w:id="9876" w:author="Author">
            <w:rPr>
              <w:rFonts w:ascii="Times New Roman" w:hAnsi="Times New Roman"/>
              <w:szCs w:val="22"/>
              <w:highlight w:val="lightGray"/>
            </w:rPr>
          </w:rPrChange>
        </w:rPr>
      </w:pPr>
      <w:r>
        <w:rPr>
          <w:rFonts w:ascii="Times New Roman" w:hAnsi="Times New Roman"/>
          <w:noProof/>
          <w:sz w:val="22"/>
          <w:szCs w:val="22"/>
          <w:highlight w:val="lightGray"/>
          <w:rPrChange w:id="9877" w:author="Author">
            <w:rPr>
              <w:rFonts w:ascii="Times New Roman" w:hAnsi="Times New Roman"/>
              <w:szCs w:val="22"/>
              <w:highlight w:val="lightGray"/>
            </w:rPr>
          </w:rPrChange>
        </w:rPr>
        <w:t>4 flaconcino da 10 mL</w:t>
      </w:r>
    </w:p>
    <w:p>
      <w:pPr>
        <w:pStyle w:val="Standard1"/>
        <w:rPr>
          <w:rFonts w:ascii="Times New Roman" w:hAnsi="Times New Roman"/>
          <w:noProof/>
          <w:sz w:val="22"/>
          <w:szCs w:val="22"/>
          <w:highlight w:val="lightGray"/>
          <w:rPrChange w:id="9878" w:author="Author">
            <w:rPr>
              <w:rFonts w:ascii="Times New Roman" w:hAnsi="Times New Roman"/>
              <w:szCs w:val="22"/>
              <w:highlight w:val="lightGray"/>
            </w:rPr>
          </w:rPrChange>
        </w:rPr>
      </w:pPr>
    </w:p>
    <w:p>
      <w:pPr>
        <w:pStyle w:val="Standard1"/>
        <w:rPr>
          <w:rFonts w:ascii="Times New Roman" w:hAnsi="Times New Roman"/>
          <w:noProof/>
          <w:sz w:val="22"/>
          <w:szCs w:val="22"/>
          <w:highlight w:val="lightGray"/>
          <w:rPrChange w:id="9879" w:author="Author">
            <w:rPr>
              <w:rFonts w:ascii="Times New Roman" w:hAnsi="Times New Roman"/>
              <w:szCs w:val="22"/>
              <w:highlight w:val="lightGray"/>
            </w:rPr>
          </w:rPrChange>
        </w:rPr>
      </w:pPr>
      <w:r>
        <w:rPr>
          <w:rFonts w:ascii="Times New Roman" w:hAnsi="Times New Roman"/>
          <w:noProof/>
          <w:sz w:val="22"/>
          <w:szCs w:val="22"/>
          <w:highlight w:val="lightGray"/>
          <w:rPrChange w:id="9880" w:author="Author">
            <w:rPr>
              <w:rFonts w:ascii="Times New Roman" w:hAnsi="Times New Roman"/>
              <w:szCs w:val="22"/>
              <w:highlight w:val="lightGray"/>
            </w:rPr>
          </w:rPrChange>
        </w:rPr>
        <w:t>400 mg/20 mL</w:t>
      </w:r>
    </w:p>
    <w:p>
      <w:pPr>
        <w:pStyle w:val="Standard1"/>
        <w:tabs>
          <w:tab w:val="left" w:pos="284"/>
          <w:tab w:val="left" w:pos="567"/>
        </w:tabs>
        <w:rPr>
          <w:rFonts w:ascii="Times New Roman" w:hAnsi="Times New Roman"/>
          <w:noProof/>
          <w:sz w:val="22"/>
          <w:szCs w:val="22"/>
          <w:highlight w:val="lightGray"/>
          <w:rPrChange w:id="9881" w:author="Author">
            <w:rPr>
              <w:rFonts w:ascii="Times New Roman" w:hAnsi="Times New Roman"/>
              <w:szCs w:val="22"/>
              <w:highlight w:val="lightGray"/>
            </w:rPr>
          </w:rPrChange>
        </w:rPr>
      </w:pPr>
      <w:r>
        <w:rPr>
          <w:rFonts w:ascii="Times New Roman" w:hAnsi="Times New Roman"/>
          <w:noProof/>
          <w:sz w:val="22"/>
          <w:szCs w:val="22"/>
          <w:highlight w:val="lightGray"/>
          <w:rPrChange w:id="9882" w:author="Author">
            <w:rPr>
              <w:rFonts w:ascii="Times New Roman" w:hAnsi="Times New Roman"/>
              <w:szCs w:val="22"/>
              <w:highlight w:val="lightGray"/>
            </w:rPr>
          </w:rPrChange>
        </w:rPr>
        <w:t>1 flaconcino da 20 mL</w:t>
      </w:r>
    </w:p>
    <w:p>
      <w:pPr>
        <w:pStyle w:val="Standard1"/>
        <w:tabs>
          <w:tab w:val="left" w:pos="284"/>
          <w:tab w:val="left" w:pos="567"/>
        </w:tabs>
        <w:rPr>
          <w:rFonts w:ascii="Times New Roman" w:hAnsi="Times New Roman"/>
          <w:noProof/>
          <w:sz w:val="22"/>
          <w:szCs w:val="22"/>
          <w:rPrChange w:id="9883" w:author="Author">
            <w:rPr/>
          </w:rPrChange>
        </w:rPr>
      </w:pPr>
      <w:r>
        <w:rPr>
          <w:rFonts w:ascii="Times New Roman" w:hAnsi="Times New Roman"/>
          <w:noProof/>
          <w:sz w:val="22"/>
          <w:szCs w:val="22"/>
          <w:highlight w:val="lightGray"/>
          <w:rPrChange w:id="9884" w:author="Author">
            <w:rPr>
              <w:rFonts w:ascii="Times New Roman" w:hAnsi="Times New Roman"/>
              <w:szCs w:val="22"/>
              <w:highlight w:val="lightGray"/>
            </w:rPr>
          </w:rPrChange>
        </w:rPr>
        <w:t xml:space="preserve">4 </w:t>
      </w:r>
      <w:r>
        <w:rPr>
          <w:rFonts w:ascii="Times New Roman" w:hAnsi="Times New Roman"/>
          <w:noProof/>
          <w:sz w:val="22"/>
          <w:szCs w:val="22"/>
          <w:highlight w:val="lightGray"/>
          <w:rPrChange w:id="9885" w:author="Author">
            <w:rPr>
              <w:szCs w:val="22"/>
              <w:highlight w:val="lightGray"/>
            </w:rPr>
          </w:rPrChange>
        </w:rPr>
        <w:t>flaconcini da</w:t>
      </w:r>
      <w:r>
        <w:rPr>
          <w:rFonts w:ascii="Times New Roman" w:hAnsi="Times New Roman"/>
          <w:noProof/>
          <w:sz w:val="22"/>
          <w:szCs w:val="22"/>
          <w:highlight w:val="lightGray"/>
          <w:rPrChange w:id="9886" w:author="Author">
            <w:rPr>
              <w:rFonts w:ascii="Times New Roman" w:hAnsi="Times New Roman"/>
              <w:szCs w:val="22"/>
              <w:highlight w:val="lightGray"/>
            </w:rPr>
          </w:rPrChange>
        </w:rPr>
        <w:t xml:space="preserve"> 20 mL</w:t>
      </w:r>
    </w:p>
    <w:p>
      <w:pPr>
        <w:tabs>
          <w:tab w:val="left" w:pos="180"/>
        </w:tabs>
        <w:rPr>
          <w:noProof/>
          <w:szCs w:val="22"/>
          <w:lang w:val="it-IT"/>
        </w:rPr>
      </w:pPr>
    </w:p>
    <w:p>
      <w:pPr>
        <w:tabs>
          <w:tab w:val="left" w:pos="180"/>
        </w:tabs>
        <w:rPr>
          <w:noProof/>
          <w:szCs w:val="22"/>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szCs w:val="22"/>
          <w:lang w:val="it-IT"/>
        </w:rPr>
      </w:pPr>
      <w:r>
        <w:rPr>
          <w:b/>
          <w:noProof/>
          <w:szCs w:val="22"/>
          <w:lang w:val="it-IT"/>
        </w:rPr>
        <w:t>5.</w:t>
      </w:r>
      <w:r>
        <w:rPr>
          <w:b/>
          <w:noProof/>
          <w:szCs w:val="22"/>
          <w:lang w:val="it-IT"/>
        </w:rPr>
        <w:tab/>
      </w:r>
      <w:r>
        <w:rPr>
          <w:b/>
          <w:noProof/>
          <w:szCs w:val="22"/>
          <w:lang w:val="it-IT"/>
        </w:rPr>
        <w:tab/>
        <w:t>MODO E VIA</w:t>
      </w:r>
      <w:del w:id="9887" w:author="Author">
        <w:r>
          <w:rPr>
            <w:b/>
            <w:noProof/>
            <w:szCs w:val="22"/>
            <w:lang w:val="it-IT"/>
          </w:rPr>
          <w:delText>(E)</w:delText>
        </w:r>
      </w:del>
      <w:r>
        <w:rPr>
          <w:b/>
          <w:noProof/>
          <w:szCs w:val="22"/>
          <w:lang w:val="it-IT"/>
        </w:rPr>
        <w:t xml:space="preserve"> DI SOMMINISTRAZIONE</w:t>
      </w:r>
    </w:p>
    <w:p>
      <w:pPr>
        <w:tabs>
          <w:tab w:val="left" w:pos="180"/>
        </w:tabs>
        <w:rPr>
          <w:i/>
          <w:noProof/>
          <w:szCs w:val="22"/>
          <w:lang w:val="it-IT"/>
        </w:rPr>
      </w:pPr>
    </w:p>
    <w:p>
      <w:pPr>
        <w:tabs>
          <w:tab w:val="left" w:pos="180"/>
          <w:tab w:val="left" w:pos="284"/>
          <w:tab w:val="left" w:pos="567"/>
        </w:tabs>
        <w:outlineLvl w:val="0"/>
        <w:rPr>
          <w:noProof/>
          <w:szCs w:val="22"/>
          <w:lang w:val="it-IT"/>
        </w:rPr>
      </w:pPr>
      <w:r>
        <w:rPr>
          <w:noProof/>
          <w:szCs w:val="22"/>
          <w:lang w:val="it-IT"/>
        </w:rPr>
        <w:t>Infusione endovenosa dopo diluizione</w:t>
      </w:r>
    </w:p>
    <w:p>
      <w:pPr>
        <w:tabs>
          <w:tab w:val="left" w:pos="180"/>
        </w:tabs>
        <w:rPr>
          <w:noProof/>
          <w:szCs w:val="22"/>
          <w:lang w:val="it-IT"/>
        </w:rPr>
      </w:pPr>
      <w:r>
        <w:rPr>
          <w:noProof/>
          <w:szCs w:val="22"/>
          <w:lang w:val="it-IT"/>
        </w:rPr>
        <w:t>Il prodotto diluito deve essere usato immediatamente</w:t>
      </w:r>
    </w:p>
    <w:p>
      <w:pPr>
        <w:tabs>
          <w:tab w:val="left" w:pos="180"/>
        </w:tabs>
        <w:rPr>
          <w:noProof/>
          <w:szCs w:val="22"/>
          <w:lang w:val="it-IT"/>
        </w:rPr>
      </w:pPr>
      <w:r>
        <w:rPr>
          <w:noProof/>
          <w:szCs w:val="22"/>
          <w:lang w:val="it-IT"/>
        </w:rPr>
        <w:t>Leggere il foglio illustrativo prima dell’uso</w:t>
      </w:r>
    </w:p>
    <w:p>
      <w:pPr>
        <w:tabs>
          <w:tab w:val="left" w:pos="180"/>
        </w:tabs>
        <w:rPr>
          <w:noProof/>
          <w:szCs w:val="22"/>
          <w:lang w:val="it-IT"/>
        </w:rPr>
      </w:pPr>
    </w:p>
    <w:p>
      <w:pPr>
        <w:tabs>
          <w:tab w:val="left" w:pos="180"/>
        </w:tabs>
        <w:rPr>
          <w:noProof/>
          <w:szCs w:val="22"/>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szCs w:val="22"/>
          <w:lang w:val="it-IT"/>
        </w:rPr>
      </w:pPr>
      <w:r>
        <w:rPr>
          <w:b/>
          <w:noProof/>
          <w:szCs w:val="22"/>
          <w:lang w:val="it-IT"/>
        </w:rPr>
        <w:t>6.</w:t>
      </w:r>
      <w:r>
        <w:rPr>
          <w:b/>
          <w:noProof/>
          <w:szCs w:val="22"/>
          <w:lang w:val="it-IT"/>
        </w:rPr>
        <w:tab/>
      </w:r>
      <w:r>
        <w:rPr>
          <w:b/>
          <w:noProof/>
          <w:szCs w:val="22"/>
          <w:lang w:val="it-IT"/>
        </w:rPr>
        <w:tab/>
        <w:t>AVVERTENZA PARTICOLARE CHE PRESCRIVA DI TENERE IL MEDICINALE FUORI DALLA PORTATA E DALLA VISTA DEI BAMBINI</w:t>
      </w:r>
    </w:p>
    <w:p>
      <w:pPr>
        <w:tabs>
          <w:tab w:val="left" w:pos="180"/>
        </w:tabs>
        <w:rPr>
          <w:noProof/>
          <w:szCs w:val="22"/>
          <w:lang w:val="it-IT"/>
        </w:rPr>
      </w:pPr>
    </w:p>
    <w:p>
      <w:pPr>
        <w:tabs>
          <w:tab w:val="left" w:pos="180"/>
        </w:tabs>
        <w:outlineLvl w:val="0"/>
        <w:rPr>
          <w:noProof/>
          <w:szCs w:val="22"/>
          <w:lang w:val="it-IT"/>
        </w:rPr>
      </w:pPr>
      <w:r>
        <w:rPr>
          <w:noProof/>
          <w:szCs w:val="22"/>
          <w:lang w:val="it-IT"/>
        </w:rPr>
        <w:t>Tenere fuori dalla vista e dalla portata dei bambini</w:t>
      </w:r>
    </w:p>
    <w:p>
      <w:pPr>
        <w:tabs>
          <w:tab w:val="left" w:pos="180"/>
        </w:tabs>
        <w:rPr>
          <w:noProof/>
          <w:szCs w:val="22"/>
          <w:lang w:val="it-IT"/>
        </w:rPr>
      </w:pPr>
    </w:p>
    <w:p>
      <w:pPr>
        <w:tabs>
          <w:tab w:val="left" w:pos="180"/>
        </w:tabs>
        <w:rPr>
          <w:noProof/>
          <w:szCs w:val="22"/>
          <w:lang w:val="it-IT"/>
        </w:rPr>
      </w:pPr>
    </w:p>
    <w:p>
      <w:pPr>
        <w:keepNext/>
        <w:keepLines/>
        <w:pBdr>
          <w:top w:val="single" w:sz="4" w:space="1" w:color="auto"/>
          <w:left w:val="single" w:sz="4" w:space="4" w:color="auto"/>
          <w:bottom w:val="single" w:sz="4" w:space="1" w:color="auto"/>
          <w:right w:val="single" w:sz="4" w:space="4" w:color="auto"/>
        </w:pBdr>
        <w:tabs>
          <w:tab w:val="left" w:pos="180"/>
        </w:tabs>
        <w:ind w:left="567" w:hanging="567"/>
        <w:outlineLvl w:val="0"/>
        <w:rPr>
          <w:noProof/>
          <w:szCs w:val="22"/>
          <w:lang w:val="it-IT"/>
        </w:rPr>
        <w:pPrChange w:id="9888" w:author="Author">
          <w:pPr>
            <w:pBdr>
              <w:top w:val="single" w:sz="4" w:space="1" w:color="auto"/>
              <w:left w:val="single" w:sz="4" w:space="4" w:color="auto"/>
              <w:bottom w:val="single" w:sz="4" w:space="1" w:color="auto"/>
              <w:right w:val="single" w:sz="4" w:space="4" w:color="auto"/>
            </w:pBdr>
            <w:tabs>
              <w:tab w:val="left" w:pos="180"/>
            </w:tabs>
            <w:ind w:left="567" w:hanging="567"/>
            <w:outlineLvl w:val="0"/>
          </w:pPr>
        </w:pPrChange>
      </w:pPr>
      <w:r>
        <w:rPr>
          <w:b/>
          <w:noProof/>
          <w:szCs w:val="22"/>
          <w:lang w:val="it-IT"/>
        </w:rPr>
        <w:lastRenderedPageBreak/>
        <w:t>7.</w:t>
      </w:r>
      <w:r>
        <w:rPr>
          <w:b/>
          <w:noProof/>
          <w:szCs w:val="22"/>
          <w:lang w:val="it-IT"/>
        </w:rPr>
        <w:tab/>
      </w:r>
      <w:r>
        <w:rPr>
          <w:b/>
          <w:noProof/>
          <w:szCs w:val="22"/>
          <w:lang w:val="it-IT"/>
        </w:rPr>
        <w:tab/>
        <w:t>ALTRA(E) AVVERTENZA(E) PARTICOLARE(I), SE NECESSARIO</w:t>
      </w:r>
    </w:p>
    <w:p>
      <w:pPr>
        <w:tabs>
          <w:tab w:val="left" w:pos="180"/>
        </w:tabs>
        <w:rPr>
          <w:noProof/>
          <w:szCs w:val="22"/>
          <w:lang w:val="it-IT"/>
        </w:rPr>
      </w:pPr>
    </w:p>
    <w:p>
      <w:pPr>
        <w:tabs>
          <w:tab w:val="left" w:pos="180"/>
        </w:tabs>
        <w:rPr>
          <w:noProof/>
          <w:szCs w:val="22"/>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szCs w:val="22"/>
          <w:lang w:val="it-IT"/>
        </w:rPr>
      </w:pPr>
      <w:r>
        <w:rPr>
          <w:b/>
          <w:noProof/>
          <w:szCs w:val="22"/>
          <w:lang w:val="it-IT"/>
        </w:rPr>
        <w:t>8.</w:t>
      </w:r>
      <w:r>
        <w:rPr>
          <w:b/>
          <w:noProof/>
          <w:szCs w:val="22"/>
          <w:lang w:val="it-IT"/>
        </w:rPr>
        <w:tab/>
      </w:r>
      <w:r>
        <w:rPr>
          <w:b/>
          <w:noProof/>
          <w:szCs w:val="22"/>
          <w:lang w:val="it-IT"/>
        </w:rPr>
        <w:tab/>
        <w:t>DATA DI SCADENZA</w:t>
      </w:r>
    </w:p>
    <w:p>
      <w:pPr>
        <w:tabs>
          <w:tab w:val="left" w:pos="180"/>
        </w:tabs>
        <w:rPr>
          <w:noProof/>
          <w:szCs w:val="22"/>
          <w:lang w:val="it-IT"/>
        </w:rPr>
      </w:pPr>
    </w:p>
    <w:p>
      <w:pPr>
        <w:tabs>
          <w:tab w:val="left" w:pos="180"/>
        </w:tabs>
        <w:rPr>
          <w:noProof/>
          <w:szCs w:val="22"/>
          <w:lang w:val="it-IT"/>
        </w:rPr>
      </w:pPr>
      <w:r>
        <w:rPr>
          <w:noProof/>
          <w:szCs w:val="22"/>
          <w:lang w:val="it-IT"/>
        </w:rPr>
        <w:t>Scad.</w:t>
      </w:r>
    </w:p>
    <w:p>
      <w:pPr>
        <w:tabs>
          <w:tab w:val="left" w:pos="180"/>
        </w:tabs>
        <w:rPr>
          <w:noProof/>
          <w:szCs w:val="22"/>
          <w:lang w:val="it-IT"/>
        </w:rPr>
      </w:pPr>
    </w:p>
    <w:p>
      <w:pPr>
        <w:tabs>
          <w:tab w:val="left" w:pos="180"/>
        </w:tabs>
        <w:rPr>
          <w:noProof/>
          <w:szCs w:val="22"/>
          <w:lang w:val="it-IT"/>
        </w:rPr>
      </w:pPr>
    </w:p>
    <w:p>
      <w:pPr>
        <w:keepNext/>
        <w:pBdr>
          <w:top w:val="single" w:sz="4" w:space="1" w:color="auto"/>
          <w:left w:val="single" w:sz="4" w:space="4" w:color="auto"/>
          <w:bottom w:val="single" w:sz="4" w:space="1" w:color="auto"/>
          <w:right w:val="single" w:sz="4" w:space="4" w:color="auto"/>
        </w:pBdr>
        <w:tabs>
          <w:tab w:val="left" w:pos="180"/>
        </w:tabs>
        <w:ind w:left="567" w:hanging="567"/>
        <w:outlineLvl w:val="0"/>
        <w:rPr>
          <w:noProof/>
          <w:szCs w:val="22"/>
          <w:lang w:val="it-IT"/>
        </w:rPr>
      </w:pPr>
      <w:r>
        <w:rPr>
          <w:b/>
          <w:noProof/>
          <w:szCs w:val="22"/>
          <w:lang w:val="it-IT"/>
        </w:rPr>
        <w:t>9.</w:t>
      </w:r>
      <w:r>
        <w:rPr>
          <w:b/>
          <w:noProof/>
          <w:szCs w:val="22"/>
          <w:lang w:val="it-IT"/>
        </w:rPr>
        <w:tab/>
      </w:r>
      <w:r>
        <w:rPr>
          <w:b/>
          <w:noProof/>
          <w:szCs w:val="22"/>
          <w:lang w:val="it-IT"/>
        </w:rPr>
        <w:tab/>
        <w:t>PRECAUZIONI PARTICOLARI PER LA CONSERVAZIONE</w:t>
      </w:r>
    </w:p>
    <w:p>
      <w:pPr>
        <w:keepNext/>
        <w:tabs>
          <w:tab w:val="left" w:pos="180"/>
        </w:tabs>
        <w:ind w:left="567" w:hanging="567"/>
        <w:rPr>
          <w:noProof/>
          <w:szCs w:val="22"/>
          <w:lang w:val="it-IT"/>
        </w:rPr>
      </w:pPr>
    </w:p>
    <w:p>
      <w:pPr>
        <w:keepNext/>
        <w:tabs>
          <w:tab w:val="left" w:pos="180"/>
        </w:tabs>
        <w:rPr>
          <w:noProof/>
          <w:szCs w:val="22"/>
          <w:lang w:val="it-IT"/>
        </w:rPr>
      </w:pPr>
      <w:r>
        <w:rPr>
          <w:noProof/>
          <w:szCs w:val="22"/>
          <w:lang w:val="it-IT"/>
        </w:rPr>
        <w:t>Conservare in frigorifero</w:t>
      </w:r>
    </w:p>
    <w:p>
      <w:pPr>
        <w:keepNext/>
        <w:tabs>
          <w:tab w:val="left" w:pos="180"/>
        </w:tabs>
        <w:rPr>
          <w:noProof/>
          <w:szCs w:val="22"/>
          <w:lang w:val="it-IT"/>
        </w:rPr>
      </w:pPr>
      <w:r>
        <w:rPr>
          <w:noProof/>
          <w:szCs w:val="22"/>
          <w:lang w:val="it-IT"/>
        </w:rPr>
        <w:t>Non congelare</w:t>
      </w:r>
    </w:p>
    <w:p>
      <w:pPr>
        <w:keepNext/>
        <w:tabs>
          <w:tab w:val="left" w:pos="180"/>
        </w:tabs>
        <w:rPr>
          <w:noProof/>
          <w:szCs w:val="22"/>
          <w:lang w:val="it-IT"/>
        </w:rPr>
      </w:pPr>
      <w:r>
        <w:rPr>
          <w:noProof/>
          <w:szCs w:val="22"/>
          <w:lang w:val="it-IT"/>
        </w:rPr>
        <w:t>Tenere il flaconcino nell’imballaggio esterno per proteggere il medicinale dalla luce</w:t>
      </w:r>
    </w:p>
    <w:p>
      <w:pPr>
        <w:tabs>
          <w:tab w:val="left" w:pos="180"/>
        </w:tabs>
        <w:ind w:left="567" w:hanging="567"/>
        <w:rPr>
          <w:noProof/>
          <w:szCs w:val="22"/>
          <w:lang w:val="it-IT"/>
        </w:rPr>
      </w:pPr>
    </w:p>
    <w:p>
      <w:pPr>
        <w:tabs>
          <w:tab w:val="left" w:pos="180"/>
        </w:tabs>
        <w:ind w:left="567" w:hanging="567"/>
        <w:rPr>
          <w:noProof/>
          <w:szCs w:val="22"/>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szCs w:val="22"/>
          <w:lang w:val="it-IT"/>
        </w:rPr>
      </w:pPr>
      <w:r>
        <w:rPr>
          <w:b/>
          <w:noProof/>
          <w:szCs w:val="22"/>
          <w:lang w:val="it-IT"/>
        </w:rPr>
        <w:t>10.</w:t>
      </w:r>
      <w:r>
        <w:rPr>
          <w:b/>
          <w:noProof/>
          <w:szCs w:val="22"/>
          <w:lang w:val="it-IT"/>
        </w:rPr>
        <w:tab/>
        <w:t>PRECAUZIONI PARTICOLARI PER LO SMALTIMENTO DEL MEDICINALE NON UTILIZZATO O DEI RIFIUTI DERIVATI DA TALE MEDICINALE, SE NECESSARIO</w:t>
      </w:r>
    </w:p>
    <w:p>
      <w:pPr>
        <w:tabs>
          <w:tab w:val="left" w:pos="180"/>
        </w:tabs>
        <w:rPr>
          <w:noProof/>
          <w:szCs w:val="22"/>
          <w:lang w:val="it-IT"/>
        </w:rPr>
      </w:pPr>
    </w:p>
    <w:p>
      <w:pPr>
        <w:tabs>
          <w:tab w:val="left" w:pos="180"/>
        </w:tabs>
        <w:rPr>
          <w:noProof/>
          <w:szCs w:val="22"/>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szCs w:val="22"/>
          <w:lang w:val="it-IT"/>
        </w:rPr>
      </w:pPr>
      <w:r>
        <w:rPr>
          <w:b/>
          <w:noProof/>
          <w:szCs w:val="22"/>
          <w:lang w:val="it-IT"/>
        </w:rPr>
        <w:t>11.</w:t>
      </w:r>
      <w:r>
        <w:rPr>
          <w:b/>
          <w:noProof/>
          <w:szCs w:val="22"/>
          <w:lang w:val="it-IT"/>
        </w:rPr>
        <w:tab/>
        <w:t>NOME E INDIRIZZO DEL TITOLARE DELL’AUTORIZZAZIONE ALL’IMMISSIONE IN COMMERCIO</w:t>
      </w:r>
    </w:p>
    <w:p>
      <w:pPr>
        <w:tabs>
          <w:tab w:val="left" w:pos="180"/>
        </w:tabs>
        <w:rPr>
          <w:noProof/>
          <w:szCs w:val="22"/>
          <w:lang w:val="it-IT"/>
        </w:rPr>
      </w:pPr>
    </w:p>
    <w:p>
      <w:pPr>
        <w:rPr>
          <w:noProof/>
          <w:lang w:val="de-DE"/>
          <w:rPrChange w:id="9889" w:author="Author">
            <w:rPr>
              <w:noProof/>
              <w:lang w:val="it-IT"/>
            </w:rPr>
          </w:rPrChange>
        </w:rPr>
      </w:pPr>
      <w:r>
        <w:rPr>
          <w:noProof/>
          <w:lang w:val="de-DE"/>
          <w:rPrChange w:id="9890" w:author="Author">
            <w:rPr>
              <w:noProof/>
              <w:lang w:val="it-IT"/>
            </w:rPr>
          </w:rPrChange>
        </w:rPr>
        <w:t xml:space="preserve">Roche Registration GmbH </w:t>
      </w:r>
    </w:p>
    <w:p>
      <w:pPr>
        <w:rPr>
          <w:noProof/>
          <w:lang w:val="de-DE"/>
          <w:rPrChange w:id="9891" w:author="Author">
            <w:rPr>
              <w:noProof/>
              <w:lang w:val="it-IT"/>
            </w:rPr>
          </w:rPrChange>
        </w:rPr>
      </w:pPr>
      <w:r>
        <w:rPr>
          <w:noProof/>
          <w:lang w:val="de-DE"/>
          <w:rPrChange w:id="9892" w:author="Author">
            <w:rPr>
              <w:noProof/>
              <w:lang w:val="it-IT"/>
            </w:rPr>
          </w:rPrChange>
        </w:rPr>
        <w:t>Emil-Barell-Strasse 1</w:t>
      </w:r>
    </w:p>
    <w:p>
      <w:pPr>
        <w:rPr>
          <w:noProof/>
          <w:lang w:val="de-DE"/>
          <w:rPrChange w:id="9893" w:author="Author">
            <w:rPr>
              <w:noProof/>
              <w:lang w:val="it-IT"/>
            </w:rPr>
          </w:rPrChange>
        </w:rPr>
      </w:pPr>
      <w:r>
        <w:rPr>
          <w:noProof/>
          <w:lang w:val="de-DE"/>
          <w:rPrChange w:id="9894" w:author="Author">
            <w:rPr>
              <w:noProof/>
              <w:lang w:val="it-IT"/>
            </w:rPr>
          </w:rPrChange>
        </w:rPr>
        <w:t>79639 Grenzach-Wyhlen</w:t>
      </w:r>
    </w:p>
    <w:p>
      <w:pPr>
        <w:rPr>
          <w:noProof/>
          <w:lang w:val="it-IT"/>
        </w:rPr>
      </w:pPr>
      <w:r>
        <w:rPr>
          <w:noProof/>
          <w:lang w:val="it-IT"/>
        </w:rPr>
        <w:t>Germania</w:t>
      </w:r>
    </w:p>
    <w:p>
      <w:pPr>
        <w:tabs>
          <w:tab w:val="left" w:pos="180"/>
        </w:tabs>
        <w:rPr>
          <w:noProof/>
          <w:szCs w:val="22"/>
          <w:lang w:val="it-IT"/>
        </w:rPr>
      </w:pPr>
    </w:p>
    <w:p>
      <w:pPr>
        <w:tabs>
          <w:tab w:val="left" w:pos="180"/>
        </w:tabs>
        <w:rPr>
          <w:noProof/>
          <w:szCs w:val="22"/>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szCs w:val="22"/>
          <w:lang w:val="it-IT"/>
        </w:rPr>
      </w:pPr>
      <w:r>
        <w:rPr>
          <w:b/>
          <w:noProof/>
          <w:szCs w:val="22"/>
          <w:lang w:val="it-IT"/>
        </w:rPr>
        <w:t>12.</w:t>
      </w:r>
      <w:r>
        <w:rPr>
          <w:b/>
          <w:noProof/>
          <w:szCs w:val="22"/>
          <w:lang w:val="it-IT"/>
        </w:rPr>
        <w:tab/>
        <w:t>NUMERO(I) DELL’AUTORIZZAZIONE ALL’IMMISSIONE IN COMMERCIO</w:t>
      </w:r>
    </w:p>
    <w:p>
      <w:pPr>
        <w:tabs>
          <w:tab w:val="left" w:pos="180"/>
        </w:tabs>
        <w:rPr>
          <w:noProof/>
          <w:lang w:val="it-IT"/>
        </w:rPr>
      </w:pPr>
    </w:p>
    <w:p>
      <w:pPr>
        <w:tabs>
          <w:tab w:val="left" w:pos="180"/>
        </w:tabs>
        <w:rPr>
          <w:noProof/>
          <w:highlight w:val="lightGray"/>
          <w:lang w:val="pt-BR"/>
          <w:rPrChange w:id="9895" w:author="Author">
            <w:rPr>
              <w:noProof/>
              <w:highlight w:val="lightGray"/>
              <w:lang w:val="it-IT"/>
            </w:rPr>
          </w:rPrChange>
        </w:rPr>
      </w:pPr>
      <w:r>
        <w:rPr>
          <w:noProof/>
          <w:lang w:val="pt-BR"/>
          <w:rPrChange w:id="9896" w:author="Author">
            <w:rPr>
              <w:noProof/>
              <w:lang w:val="it-IT"/>
            </w:rPr>
          </w:rPrChange>
        </w:rPr>
        <w:t xml:space="preserve">EU/1/08/492/001 </w:t>
      </w:r>
      <w:r>
        <w:rPr>
          <w:noProof/>
          <w:highlight w:val="lightGray"/>
          <w:lang w:val="pt-BR"/>
          <w:rPrChange w:id="9897" w:author="Author">
            <w:rPr>
              <w:noProof/>
              <w:highlight w:val="lightGray"/>
              <w:lang w:val="it-IT"/>
            </w:rPr>
          </w:rPrChange>
        </w:rPr>
        <w:t>1 flaconcino da 4 mL</w:t>
      </w:r>
    </w:p>
    <w:p>
      <w:pPr>
        <w:tabs>
          <w:tab w:val="left" w:pos="180"/>
        </w:tabs>
        <w:rPr>
          <w:noProof/>
          <w:lang w:val="pt-BR"/>
          <w:rPrChange w:id="9898" w:author="Author">
            <w:rPr>
              <w:noProof/>
              <w:lang w:val="it-IT"/>
            </w:rPr>
          </w:rPrChange>
        </w:rPr>
      </w:pPr>
      <w:r>
        <w:rPr>
          <w:noProof/>
          <w:highlight w:val="lightGray"/>
          <w:lang w:val="pt-BR"/>
          <w:rPrChange w:id="9899" w:author="Author">
            <w:rPr>
              <w:noProof/>
              <w:highlight w:val="lightGray"/>
              <w:lang w:val="it-IT"/>
            </w:rPr>
          </w:rPrChange>
        </w:rPr>
        <w:t xml:space="preserve">EU/1/08/492/002 </w:t>
      </w:r>
      <w:r>
        <w:rPr>
          <w:noProof/>
          <w:szCs w:val="22"/>
          <w:highlight w:val="lightGray"/>
          <w:lang w:val="pt-BR"/>
          <w:rPrChange w:id="9900" w:author="Author">
            <w:rPr>
              <w:noProof/>
              <w:szCs w:val="22"/>
              <w:highlight w:val="lightGray"/>
              <w:lang w:val="it-IT"/>
            </w:rPr>
          </w:rPrChange>
        </w:rPr>
        <w:t>4 flaconcini da 4 mL</w:t>
      </w:r>
    </w:p>
    <w:p>
      <w:pPr>
        <w:pStyle w:val="Standard1"/>
        <w:tabs>
          <w:tab w:val="left" w:pos="284"/>
          <w:tab w:val="left" w:pos="567"/>
        </w:tabs>
        <w:rPr>
          <w:rFonts w:ascii="Times New Roman" w:hAnsi="Times New Roman"/>
          <w:noProof/>
          <w:sz w:val="22"/>
          <w:szCs w:val="22"/>
          <w:highlight w:val="lightGray"/>
          <w:lang w:val="pt-BR"/>
          <w:rPrChange w:id="9901" w:author="Author">
            <w:rPr>
              <w:rFonts w:ascii="Times New Roman" w:hAnsi="Times New Roman"/>
              <w:noProof/>
              <w:sz w:val="22"/>
              <w:szCs w:val="22"/>
              <w:highlight w:val="lightGray"/>
            </w:rPr>
          </w:rPrChange>
        </w:rPr>
      </w:pPr>
      <w:r>
        <w:rPr>
          <w:rFonts w:ascii="Times New Roman" w:hAnsi="Times New Roman"/>
          <w:noProof/>
          <w:sz w:val="22"/>
          <w:szCs w:val="22"/>
          <w:highlight w:val="lightGray"/>
          <w:lang w:val="pt-BR"/>
          <w:rPrChange w:id="9902" w:author="Author">
            <w:rPr>
              <w:rFonts w:ascii="Times New Roman" w:hAnsi="Times New Roman"/>
              <w:noProof/>
              <w:sz w:val="22"/>
              <w:szCs w:val="22"/>
              <w:highlight w:val="lightGray"/>
            </w:rPr>
          </w:rPrChange>
        </w:rPr>
        <w:t>EU/1/08/492/003 1 flaconcino da 10 mL</w:t>
      </w:r>
    </w:p>
    <w:p>
      <w:pPr>
        <w:pStyle w:val="Standard1"/>
        <w:tabs>
          <w:tab w:val="left" w:pos="284"/>
          <w:tab w:val="left" w:pos="567"/>
        </w:tabs>
        <w:rPr>
          <w:rFonts w:ascii="Times New Roman" w:hAnsi="Times New Roman"/>
          <w:noProof/>
          <w:sz w:val="22"/>
          <w:szCs w:val="22"/>
          <w:lang w:val="pt-BR"/>
          <w:rPrChange w:id="9903" w:author="Author">
            <w:rPr>
              <w:rFonts w:ascii="Times New Roman" w:hAnsi="Times New Roman"/>
              <w:noProof/>
              <w:sz w:val="22"/>
              <w:szCs w:val="22"/>
            </w:rPr>
          </w:rPrChange>
        </w:rPr>
      </w:pPr>
      <w:r>
        <w:rPr>
          <w:rFonts w:ascii="Times New Roman" w:hAnsi="Times New Roman"/>
          <w:noProof/>
          <w:sz w:val="22"/>
          <w:szCs w:val="22"/>
          <w:highlight w:val="lightGray"/>
          <w:lang w:val="pt-BR"/>
          <w:rPrChange w:id="9904" w:author="Author">
            <w:rPr>
              <w:rFonts w:ascii="Times New Roman" w:hAnsi="Times New Roman"/>
              <w:noProof/>
              <w:sz w:val="22"/>
              <w:szCs w:val="22"/>
              <w:highlight w:val="lightGray"/>
            </w:rPr>
          </w:rPrChange>
        </w:rPr>
        <w:t>EU/1/08/492/004 4 flaconcini da 10 mL</w:t>
      </w:r>
    </w:p>
    <w:p>
      <w:pPr>
        <w:pStyle w:val="Standard1"/>
        <w:rPr>
          <w:rFonts w:ascii="Times New Roman" w:hAnsi="Times New Roman"/>
          <w:noProof/>
          <w:sz w:val="22"/>
          <w:szCs w:val="22"/>
          <w:highlight w:val="lightGray"/>
          <w:lang w:val="pt-BR"/>
          <w:rPrChange w:id="9905" w:author="Author">
            <w:rPr>
              <w:rFonts w:ascii="Times New Roman" w:hAnsi="Times New Roman"/>
              <w:noProof/>
              <w:sz w:val="22"/>
              <w:szCs w:val="22"/>
              <w:highlight w:val="lightGray"/>
            </w:rPr>
          </w:rPrChange>
        </w:rPr>
      </w:pPr>
      <w:r>
        <w:rPr>
          <w:rFonts w:ascii="Times New Roman" w:hAnsi="Times New Roman"/>
          <w:noProof/>
          <w:sz w:val="22"/>
          <w:szCs w:val="22"/>
          <w:highlight w:val="lightGray"/>
          <w:lang w:val="pt-BR"/>
          <w:rPrChange w:id="9906" w:author="Author">
            <w:rPr>
              <w:rFonts w:ascii="Times New Roman" w:hAnsi="Times New Roman"/>
              <w:noProof/>
              <w:sz w:val="22"/>
              <w:szCs w:val="22"/>
              <w:highlight w:val="lightGray"/>
            </w:rPr>
          </w:rPrChange>
        </w:rPr>
        <w:t>EU/1/08/492/005 1 flaconcino da 20 mL</w:t>
      </w:r>
    </w:p>
    <w:p>
      <w:pPr>
        <w:tabs>
          <w:tab w:val="left" w:pos="180"/>
        </w:tabs>
        <w:rPr>
          <w:noProof/>
          <w:szCs w:val="22"/>
          <w:lang w:val="pt-BR"/>
          <w:rPrChange w:id="9907" w:author="Author">
            <w:rPr>
              <w:noProof/>
              <w:szCs w:val="22"/>
              <w:lang w:val="it-IT"/>
            </w:rPr>
          </w:rPrChange>
        </w:rPr>
      </w:pPr>
      <w:r>
        <w:rPr>
          <w:noProof/>
          <w:szCs w:val="22"/>
          <w:highlight w:val="lightGray"/>
          <w:lang w:val="pt-BR"/>
          <w:rPrChange w:id="9908" w:author="Author">
            <w:rPr>
              <w:noProof/>
              <w:szCs w:val="22"/>
              <w:highlight w:val="lightGray"/>
              <w:lang w:val="it-IT"/>
            </w:rPr>
          </w:rPrChange>
        </w:rPr>
        <w:t>EU/1/08/492/006 4 falconcini da 20 mL</w:t>
      </w:r>
    </w:p>
    <w:p>
      <w:pPr>
        <w:tabs>
          <w:tab w:val="left" w:pos="180"/>
        </w:tabs>
        <w:outlineLvl w:val="0"/>
        <w:rPr>
          <w:noProof/>
          <w:szCs w:val="22"/>
          <w:lang w:val="pt-BR"/>
          <w:rPrChange w:id="9909" w:author="Author">
            <w:rPr>
              <w:noProof/>
              <w:szCs w:val="22"/>
              <w:lang w:val="it-IT"/>
            </w:rPr>
          </w:rPrChange>
        </w:rPr>
      </w:pPr>
    </w:p>
    <w:p>
      <w:pPr>
        <w:tabs>
          <w:tab w:val="left" w:pos="180"/>
        </w:tabs>
        <w:rPr>
          <w:noProof/>
          <w:szCs w:val="22"/>
          <w:lang w:val="pt-BR"/>
          <w:rPrChange w:id="9910" w:author="Author">
            <w:rPr>
              <w:noProof/>
              <w:szCs w:val="22"/>
              <w:lang w:val="it-IT"/>
            </w:rPr>
          </w:rPrChange>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szCs w:val="22"/>
          <w:lang w:val="it-IT"/>
        </w:rPr>
      </w:pPr>
      <w:r>
        <w:rPr>
          <w:b/>
          <w:noProof/>
          <w:szCs w:val="22"/>
          <w:lang w:val="it-IT"/>
        </w:rPr>
        <w:t>13.</w:t>
      </w:r>
      <w:r>
        <w:rPr>
          <w:b/>
          <w:noProof/>
          <w:szCs w:val="22"/>
          <w:lang w:val="it-IT"/>
        </w:rPr>
        <w:tab/>
        <w:t>NUMERO DI LOTTO</w:t>
      </w:r>
    </w:p>
    <w:p>
      <w:pPr>
        <w:tabs>
          <w:tab w:val="left" w:pos="180"/>
        </w:tabs>
        <w:rPr>
          <w:noProof/>
          <w:szCs w:val="22"/>
          <w:lang w:val="it-IT"/>
        </w:rPr>
      </w:pPr>
    </w:p>
    <w:p>
      <w:pPr>
        <w:tabs>
          <w:tab w:val="left" w:pos="180"/>
        </w:tabs>
        <w:rPr>
          <w:noProof/>
          <w:szCs w:val="22"/>
          <w:lang w:val="it-IT"/>
        </w:rPr>
      </w:pPr>
      <w:r>
        <w:rPr>
          <w:noProof/>
          <w:szCs w:val="22"/>
          <w:lang w:val="it-IT"/>
        </w:rPr>
        <w:t>Lotto</w:t>
      </w:r>
    </w:p>
    <w:p>
      <w:pPr>
        <w:tabs>
          <w:tab w:val="left" w:pos="180"/>
        </w:tabs>
        <w:rPr>
          <w:noProof/>
          <w:szCs w:val="22"/>
          <w:lang w:val="it-IT"/>
        </w:rPr>
      </w:pPr>
    </w:p>
    <w:p>
      <w:pPr>
        <w:tabs>
          <w:tab w:val="left" w:pos="180"/>
        </w:tabs>
        <w:rPr>
          <w:noProof/>
          <w:szCs w:val="22"/>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szCs w:val="22"/>
          <w:lang w:val="it-IT"/>
        </w:rPr>
      </w:pPr>
      <w:r>
        <w:rPr>
          <w:b/>
          <w:noProof/>
          <w:szCs w:val="22"/>
          <w:lang w:val="it-IT"/>
        </w:rPr>
        <w:t>14.</w:t>
      </w:r>
      <w:r>
        <w:rPr>
          <w:b/>
          <w:noProof/>
          <w:szCs w:val="22"/>
          <w:lang w:val="it-IT"/>
        </w:rPr>
        <w:tab/>
        <w:t>CONDIZIONE GENERALE DI FORNITURA</w:t>
      </w:r>
    </w:p>
    <w:p>
      <w:pPr>
        <w:tabs>
          <w:tab w:val="left" w:pos="180"/>
        </w:tabs>
        <w:rPr>
          <w:noProof/>
          <w:szCs w:val="22"/>
          <w:lang w:val="it-IT"/>
        </w:rPr>
      </w:pPr>
    </w:p>
    <w:p>
      <w:pPr>
        <w:tabs>
          <w:tab w:val="left" w:pos="180"/>
        </w:tabs>
        <w:rPr>
          <w:noProof/>
          <w:szCs w:val="22"/>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szCs w:val="22"/>
          <w:lang w:val="it-IT"/>
        </w:rPr>
      </w:pPr>
      <w:r>
        <w:rPr>
          <w:b/>
          <w:noProof/>
          <w:szCs w:val="22"/>
          <w:lang w:val="it-IT"/>
        </w:rPr>
        <w:t>15.</w:t>
      </w:r>
      <w:r>
        <w:rPr>
          <w:b/>
          <w:noProof/>
          <w:szCs w:val="22"/>
          <w:lang w:val="it-IT"/>
        </w:rPr>
        <w:tab/>
        <w:t>ISTRUZIONI PER L’USO</w:t>
      </w:r>
    </w:p>
    <w:p>
      <w:pPr>
        <w:tabs>
          <w:tab w:val="left" w:pos="180"/>
        </w:tabs>
        <w:rPr>
          <w:noProof/>
          <w:szCs w:val="22"/>
          <w:lang w:val="it-IT"/>
        </w:rPr>
      </w:pPr>
    </w:p>
    <w:p>
      <w:pPr>
        <w:tabs>
          <w:tab w:val="left" w:pos="180"/>
        </w:tabs>
        <w:rPr>
          <w:noProof/>
          <w:szCs w:val="22"/>
          <w:lang w:val="it-IT"/>
        </w:rPr>
      </w:pPr>
    </w:p>
    <w:p>
      <w:pPr>
        <w:keepNext/>
        <w:pBdr>
          <w:top w:val="single" w:sz="4" w:space="1" w:color="auto"/>
          <w:left w:val="single" w:sz="4" w:space="4" w:color="auto"/>
          <w:bottom w:val="single" w:sz="4" w:space="1" w:color="auto"/>
          <w:right w:val="single" w:sz="4" w:space="4" w:color="auto"/>
        </w:pBdr>
        <w:tabs>
          <w:tab w:val="left" w:pos="180"/>
        </w:tabs>
        <w:ind w:left="567" w:hanging="567"/>
        <w:outlineLvl w:val="0"/>
        <w:rPr>
          <w:noProof/>
          <w:szCs w:val="22"/>
          <w:lang w:val="it-IT"/>
        </w:rPr>
        <w:pPrChange w:id="9911" w:author="Author">
          <w:pPr>
            <w:pBdr>
              <w:top w:val="single" w:sz="4" w:space="1" w:color="auto"/>
              <w:left w:val="single" w:sz="4" w:space="4" w:color="auto"/>
              <w:bottom w:val="single" w:sz="4" w:space="1" w:color="auto"/>
              <w:right w:val="single" w:sz="4" w:space="4" w:color="auto"/>
            </w:pBdr>
            <w:tabs>
              <w:tab w:val="left" w:pos="180"/>
            </w:tabs>
            <w:ind w:left="567" w:hanging="567"/>
            <w:outlineLvl w:val="0"/>
          </w:pPr>
        </w:pPrChange>
      </w:pPr>
      <w:r>
        <w:rPr>
          <w:b/>
          <w:noProof/>
          <w:szCs w:val="22"/>
          <w:lang w:val="it-IT"/>
        </w:rPr>
        <w:t>16.</w:t>
      </w:r>
      <w:r>
        <w:rPr>
          <w:b/>
          <w:noProof/>
          <w:szCs w:val="22"/>
          <w:lang w:val="it-IT"/>
        </w:rPr>
        <w:tab/>
        <w:t>INFORMAZIONI IN BRAILLE</w:t>
      </w:r>
    </w:p>
    <w:p>
      <w:pPr>
        <w:keepNext/>
        <w:tabs>
          <w:tab w:val="left" w:pos="180"/>
        </w:tabs>
        <w:rPr>
          <w:noProof/>
          <w:szCs w:val="22"/>
          <w:lang w:val="it-IT"/>
        </w:rPr>
        <w:pPrChange w:id="9912" w:author="Author">
          <w:pPr>
            <w:tabs>
              <w:tab w:val="left" w:pos="180"/>
            </w:tabs>
          </w:pPr>
        </w:pPrChange>
      </w:pPr>
    </w:p>
    <w:p>
      <w:pPr>
        <w:keepNext/>
        <w:tabs>
          <w:tab w:val="left" w:pos="180"/>
        </w:tabs>
        <w:rPr>
          <w:noProof/>
          <w:szCs w:val="22"/>
          <w:lang w:val="it-IT"/>
        </w:rPr>
        <w:pPrChange w:id="9913" w:author="Author">
          <w:pPr>
            <w:tabs>
              <w:tab w:val="left" w:pos="180"/>
            </w:tabs>
          </w:pPr>
        </w:pPrChange>
      </w:pPr>
      <w:r>
        <w:rPr>
          <w:noProof/>
          <w:szCs w:val="22"/>
          <w:highlight w:val="lightGray"/>
          <w:lang w:val="it-IT"/>
        </w:rPr>
        <w:t>Giustificazione per non apporre il Braille accettata</w:t>
      </w:r>
    </w:p>
    <w:p>
      <w:pPr>
        <w:keepNext/>
        <w:rPr>
          <w:noProof/>
          <w:szCs w:val="22"/>
          <w:shd w:val="clear" w:color="auto" w:fill="CCCCCC"/>
          <w:lang w:val="it-IT"/>
        </w:rPr>
        <w:pPrChange w:id="9914" w:author="Author">
          <w:pPr/>
        </w:pPrChange>
      </w:pPr>
    </w:p>
    <w:p>
      <w:pPr>
        <w:rPr>
          <w:noProof/>
          <w:szCs w:val="22"/>
          <w:shd w:val="clear" w:color="auto" w:fill="CCCCCC"/>
          <w:lang w:val="it-IT"/>
        </w:rPr>
      </w:pPr>
    </w:p>
    <w:p>
      <w:pPr>
        <w:keepNext/>
        <w:pBdr>
          <w:top w:val="single" w:sz="4" w:space="1" w:color="auto"/>
          <w:left w:val="single" w:sz="4" w:space="4" w:color="auto"/>
          <w:bottom w:val="single" w:sz="4" w:space="1" w:color="auto"/>
          <w:right w:val="single" w:sz="4" w:space="4" w:color="auto"/>
        </w:pBdr>
        <w:tabs>
          <w:tab w:val="left" w:pos="567"/>
        </w:tabs>
        <w:outlineLvl w:val="0"/>
        <w:rPr>
          <w:i/>
          <w:noProof/>
          <w:lang w:val="it-IT"/>
        </w:rPr>
      </w:pPr>
      <w:r>
        <w:rPr>
          <w:b/>
          <w:noProof/>
          <w:lang w:val="it-IT"/>
        </w:rPr>
        <w:lastRenderedPageBreak/>
        <w:t>17.</w:t>
      </w:r>
      <w:r>
        <w:rPr>
          <w:b/>
          <w:noProof/>
          <w:lang w:val="it-IT"/>
        </w:rPr>
        <w:tab/>
        <w:t>IDENTIFICATIVO UNICO – CODICE A BARRE BIDIMENSIONALE</w:t>
      </w:r>
    </w:p>
    <w:p>
      <w:pPr>
        <w:tabs>
          <w:tab w:val="left" w:pos="708"/>
        </w:tabs>
        <w:rPr>
          <w:noProof/>
          <w:lang w:val="it-IT"/>
        </w:rPr>
      </w:pPr>
    </w:p>
    <w:p>
      <w:pPr>
        <w:rPr>
          <w:noProof/>
          <w:szCs w:val="22"/>
          <w:shd w:val="clear" w:color="auto" w:fill="CCCCCC"/>
          <w:lang w:val="it-IT"/>
        </w:rPr>
      </w:pPr>
      <w:r>
        <w:rPr>
          <w:noProof/>
          <w:highlight w:val="lightGray"/>
          <w:lang w:val="it-IT"/>
        </w:rPr>
        <w:t>Codice a barre bidimensionale con identificativo unico incluso.</w:t>
      </w:r>
    </w:p>
    <w:p>
      <w:pPr>
        <w:tabs>
          <w:tab w:val="left" w:pos="708"/>
        </w:tabs>
        <w:rPr>
          <w:noProof/>
          <w:szCs w:val="22"/>
          <w:shd w:val="clear" w:color="auto" w:fill="CCCCCC"/>
          <w:lang w:val="it-IT"/>
        </w:rPr>
      </w:pPr>
    </w:p>
    <w:p>
      <w:pPr>
        <w:tabs>
          <w:tab w:val="left" w:pos="708"/>
        </w:tabs>
        <w:rPr>
          <w:noProof/>
          <w:lang w:val="it-IT"/>
        </w:rPr>
      </w:pPr>
    </w:p>
    <w:p>
      <w:pPr>
        <w:keepNext/>
        <w:keepLines/>
        <w:pBdr>
          <w:top w:val="single" w:sz="4" w:space="1" w:color="auto"/>
          <w:left w:val="single" w:sz="4" w:space="4" w:color="auto"/>
          <w:bottom w:val="single" w:sz="4" w:space="1" w:color="auto"/>
          <w:right w:val="single" w:sz="4" w:space="4" w:color="auto"/>
        </w:pBdr>
        <w:tabs>
          <w:tab w:val="left" w:pos="567"/>
        </w:tabs>
        <w:ind w:left="-3"/>
        <w:outlineLvl w:val="0"/>
        <w:rPr>
          <w:i/>
          <w:noProof/>
          <w:lang w:val="it-IT"/>
        </w:rPr>
      </w:pPr>
      <w:r>
        <w:rPr>
          <w:b/>
          <w:noProof/>
          <w:lang w:val="it-IT"/>
        </w:rPr>
        <w:t>18.</w:t>
      </w:r>
      <w:r>
        <w:rPr>
          <w:b/>
          <w:noProof/>
          <w:lang w:val="it-IT"/>
        </w:rPr>
        <w:tab/>
        <w:t xml:space="preserve">IDENTIFICATIVO UNICO - DATI LEGGIBILI </w:t>
      </w:r>
    </w:p>
    <w:p>
      <w:pPr>
        <w:keepNext/>
        <w:keepLines/>
        <w:tabs>
          <w:tab w:val="left" w:pos="708"/>
        </w:tabs>
        <w:rPr>
          <w:noProof/>
          <w:lang w:val="it-IT"/>
        </w:rPr>
      </w:pPr>
    </w:p>
    <w:p>
      <w:pPr>
        <w:keepNext/>
        <w:keepLines/>
        <w:rPr>
          <w:noProof/>
          <w:lang w:val="it-IT"/>
        </w:rPr>
      </w:pPr>
      <w:r>
        <w:rPr>
          <w:noProof/>
          <w:lang w:val="it-IT"/>
        </w:rPr>
        <w:t xml:space="preserve">PC </w:t>
      </w:r>
    </w:p>
    <w:p>
      <w:pPr>
        <w:keepNext/>
        <w:keepLines/>
        <w:rPr>
          <w:noProof/>
          <w:lang w:val="it-IT"/>
        </w:rPr>
      </w:pPr>
      <w:r>
        <w:rPr>
          <w:noProof/>
          <w:lang w:val="it-IT"/>
        </w:rPr>
        <w:t xml:space="preserve">SN </w:t>
      </w:r>
    </w:p>
    <w:p>
      <w:pPr>
        <w:keepNext/>
        <w:keepLines/>
        <w:rPr>
          <w:noProof/>
          <w:szCs w:val="22"/>
          <w:lang w:val="it-IT"/>
        </w:rPr>
      </w:pPr>
      <w:r>
        <w:rPr>
          <w:noProof/>
          <w:lang w:val="it-IT"/>
        </w:rPr>
        <w:t xml:space="preserve">NN </w:t>
      </w:r>
    </w:p>
    <w:p>
      <w:pPr>
        <w:keepNext/>
        <w:keepLines/>
        <w:tabs>
          <w:tab w:val="left" w:pos="180"/>
        </w:tabs>
        <w:rPr>
          <w:noProof/>
          <w:szCs w:val="22"/>
          <w:lang w:val="it-IT"/>
        </w:rPr>
      </w:pPr>
      <w:r>
        <w:rPr>
          <w:noProof/>
          <w:szCs w:val="22"/>
          <w:lang w:val="it-IT"/>
        </w:rPr>
        <w:br w:type="page"/>
      </w:r>
    </w:p>
    <w:p>
      <w:pPr>
        <w:keepNext/>
        <w:keepLines/>
        <w:tabs>
          <w:tab w:val="left" w:pos="180"/>
        </w:tabs>
        <w:rPr>
          <w:del w:id="9915" w:author="Author"/>
          <w:noProof/>
          <w:szCs w:val="22"/>
          <w:lang w:val="it-IT"/>
        </w:rPr>
      </w:pPr>
    </w:p>
    <w:p>
      <w:pPr>
        <w:pBdr>
          <w:top w:val="single" w:sz="4" w:space="1" w:color="auto"/>
          <w:left w:val="single" w:sz="4" w:space="4" w:color="auto"/>
          <w:bottom w:val="single" w:sz="4" w:space="1" w:color="auto"/>
          <w:right w:val="single" w:sz="4" w:space="4" w:color="auto"/>
        </w:pBdr>
        <w:tabs>
          <w:tab w:val="left" w:pos="180"/>
        </w:tabs>
        <w:rPr>
          <w:b/>
          <w:noProof/>
          <w:szCs w:val="22"/>
          <w:lang w:val="it-IT"/>
        </w:rPr>
      </w:pPr>
      <w:r>
        <w:rPr>
          <w:b/>
          <w:noProof/>
          <w:szCs w:val="22"/>
          <w:lang w:val="it-IT"/>
        </w:rPr>
        <w:t>INFORMAZIONI MINIME DA APPORRE SUI CONFEZIONAMENTI PRIMARI DI PICCOLE DIMENSIONI</w:t>
      </w:r>
    </w:p>
    <w:p>
      <w:pPr>
        <w:pBdr>
          <w:top w:val="single" w:sz="4" w:space="1" w:color="auto"/>
          <w:left w:val="single" w:sz="4" w:space="4" w:color="auto"/>
          <w:bottom w:val="single" w:sz="4" w:space="1" w:color="auto"/>
          <w:right w:val="single" w:sz="4" w:space="4" w:color="auto"/>
        </w:pBdr>
        <w:tabs>
          <w:tab w:val="left" w:pos="180"/>
        </w:tabs>
        <w:rPr>
          <w:b/>
          <w:noProof/>
          <w:szCs w:val="22"/>
          <w:lang w:val="it-IT"/>
        </w:rPr>
      </w:pPr>
    </w:p>
    <w:p>
      <w:pPr>
        <w:pBdr>
          <w:top w:val="single" w:sz="4" w:space="1" w:color="auto"/>
          <w:left w:val="single" w:sz="4" w:space="4" w:color="auto"/>
          <w:bottom w:val="single" w:sz="4" w:space="1" w:color="auto"/>
          <w:right w:val="single" w:sz="4" w:space="4" w:color="auto"/>
        </w:pBdr>
        <w:tabs>
          <w:tab w:val="left" w:pos="180"/>
        </w:tabs>
        <w:rPr>
          <w:noProof/>
          <w:szCs w:val="22"/>
          <w:lang w:val="it-IT"/>
        </w:rPr>
      </w:pPr>
      <w:r>
        <w:rPr>
          <w:b/>
          <w:noProof/>
          <w:szCs w:val="22"/>
          <w:lang w:val="it-IT"/>
        </w:rPr>
        <w:t>FLACONCINO</w:t>
      </w:r>
    </w:p>
    <w:p>
      <w:pPr>
        <w:tabs>
          <w:tab w:val="left" w:pos="180"/>
        </w:tabs>
        <w:rPr>
          <w:noProof/>
          <w:szCs w:val="22"/>
          <w:lang w:val="it-IT"/>
        </w:rPr>
      </w:pPr>
    </w:p>
    <w:p>
      <w:pPr>
        <w:tabs>
          <w:tab w:val="left" w:pos="180"/>
        </w:tabs>
        <w:rPr>
          <w:noProof/>
          <w:szCs w:val="22"/>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szCs w:val="22"/>
          <w:lang w:val="it-IT"/>
        </w:rPr>
      </w:pPr>
      <w:r>
        <w:rPr>
          <w:b/>
          <w:noProof/>
          <w:szCs w:val="22"/>
          <w:lang w:val="it-IT"/>
        </w:rPr>
        <w:t>1.</w:t>
      </w:r>
      <w:r>
        <w:rPr>
          <w:b/>
          <w:noProof/>
          <w:szCs w:val="22"/>
          <w:lang w:val="it-IT"/>
        </w:rPr>
        <w:tab/>
      </w:r>
      <w:r>
        <w:rPr>
          <w:b/>
          <w:noProof/>
          <w:szCs w:val="22"/>
          <w:lang w:val="it-IT"/>
        </w:rPr>
        <w:tab/>
        <w:t>DENOMINAZIONE DEL MEDICINALE E VIA</w:t>
      </w:r>
      <w:del w:id="9916" w:author="Author">
        <w:r>
          <w:rPr>
            <w:b/>
            <w:noProof/>
            <w:szCs w:val="22"/>
            <w:lang w:val="it-IT"/>
          </w:rPr>
          <w:delText>(E)</w:delText>
        </w:r>
      </w:del>
      <w:r>
        <w:rPr>
          <w:b/>
          <w:noProof/>
          <w:szCs w:val="22"/>
          <w:lang w:val="it-IT"/>
        </w:rPr>
        <w:t xml:space="preserve"> DI SOMMINISTRAZIONE</w:t>
      </w:r>
    </w:p>
    <w:p>
      <w:pPr>
        <w:tabs>
          <w:tab w:val="left" w:pos="180"/>
        </w:tabs>
        <w:ind w:left="567" w:hanging="567"/>
        <w:rPr>
          <w:noProof/>
          <w:szCs w:val="22"/>
          <w:lang w:val="it-IT"/>
        </w:rPr>
      </w:pPr>
    </w:p>
    <w:p>
      <w:pPr>
        <w:tabs>
          <w:tab w:val="left" w:pos="180"/>
        </w:tabs>
        <w:rPr>
          <w:noProof/>
          <w:szCs w:val="22"/>
          <w:lang w:val="it-IT"/>
        </w:rPr>
      </w:pPr>
      <w:r>
        <w:rPr>
          <w:noProof/>
          <w:szCs w:val="22"/>
          <w:lang w:val="it-IT"/>
        </w:rPr>
        <w:t>RoActemra 20 mg/mL concentrato sterile</w:t>
      </w:r>
    </w:p>
    <w:p>
      <w:pPr>
        <w:tabs>
          <w:tab w:val="left" w:pos="180"/>
        </w:tabs>
        <w:rPr>
          <w:noProof/>
          <w:szCs w:val="22"/>
          <w:lang w:val="it-IT"/>
        </w:rPr>
      </w:pPr>
      <w:r>
        <w:rPr>
          <w:noProof/>
          <w:szCs w:val="22"/>
          <w:lang w:val="it-IT"/>
        </w:rPr>
        <w:t>tocilizumab</w:t>
      </w:r>
    </w:p>
    <w:p>
      <w:pPr>
        <w:tabs>
          <w:tab w:val="left" w:pos="180"/>
        </w:tabs>
        <w:rPr>
          <w:noProof/>
          <w:szCs w:val="22"/>
          <w:lang w:val="it-IT"/>
        </w:rPr>
      </w:pPr>
      <w:r>
        <w:rPr>
          <w:noProof/>
          <w:szCs w:val="22"/>
          <w:lang w:val="it-IT"/>
        </w:rPr>
        <w:t>e.v.</w:t>
      </w:r>
    </w:p>
    <w:p>
      <w:pPr>
        <w:tabs>
          <w:tab w:val="left" w:pos="180"/>
        </w:tabs>
        <w:rPr>
          <w:noProof/>
          <w:szCs w:val="22"/>
          <w:lang w:val="it-IT"/>
        </w:rPr>
      </w:pPr>
    </w:p>
    <w:p>
      <w:pPr>
        <w:tabs>
          <w:tab w:val="left" w:pos="180"/>
        </w:tabs>
        <w:rPr>
          <w:noProof/>
          <w:szCs w:val="22"/>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szCs w:val="22"/>
          <w:lang w:val="it-IT"/>
        </w:rPr>
      </w:pPr>
      <w:r>
        <w:rPr>
          <w:b/>
          <w:noProof/>
          <w:szCs w:val="22"/>
          <w:lang w:val="it-IT"/>
        </w:rPr>
        <w:t>2.</w:t>
      </w:r>
      <w:r>
        <w:rPr>
          <w:b/>
          <w:noProof/>
          <w:szCs w:val="22"/>
          <w:lang w:val="it-IT"/>
        </w:rPr>
        <w:tab/>
      </w:r>
      <w:r>
        <w:rPr>
          <w:b/>
          <w:noProof/>
          <w:szCs w:val="22"/>
          <w:lang w:val="it-IT"/>
        </w:rPr>
        <w:tab/>
        <w:t>MODO DI SOMMINISTRAZIONE</w:t>
      </w:r>
    </w:p>
    <w:p>
      <w:pPr>
        <w:tabs>
          <w:tab w:val="left" w:pos="180"/>
        </w:tabs>
        <w:rPr>
          <w:noProof/>
          <w:szCs w:val="22"/>
          <w:lang w:val="it-IT"/>
        </w:rPr>
      </w:pPr>
    </w:p>
    <w:p>
      <w:pPr>
        <w:tabs>
          <w:tab w:val="left" w:pos="180"/>
        </w:tabs>
        <w:rPr>
          <w:noProof/>
          <w:szCs w:val="22"/>
          <w:lang w:val="it-IT"/>
        </w:rPr>
      </w:pPr>
      <w:r>
        <w:rPr>
          <w:noProof/>
          <w:szCs w:val="22"/>
          <w:lang w:val="it-IT"/>
        </w:rPr>
        <w:t>Infusione e.v.</w:t>
      </w:r>
    </w:p>
    <w:p>
      <w:pPr>
        <w:tabs>
          <w:tab w:val="left" w:pos="180"/>
        </w:tabs>
        <w:rPr>
          <w:noProof/>
          <w:szCs w:val="22"/>
          <w:lang w:val="it-IT"/>
        </w:rPr>
      </w:pPr>
    </w:p>
    <w:p>
      <w:pPr>
        <w:tabs>
          <w:tab w:val="left" w:pos="180"/>
        </w:tabs>
        <w:rPr>
          <w:noProof/>
          <w:szCs w:val="22"/>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szCs w:val="22"/>
          <w:lang w:val="it-IT"/>
        </w:rPr>
      </w:pPr>
      <w:r>
        <w:rPr>
          <w:b/>
          <w:noProof/>
          <w:szCs w:val="22"/>
          <w:lang w:val="it-IT"/>
        </w:rPr>
        <w:t>3.</w:t>
      </w:r>
      <w:r>
        <w:rPr>
          <w:b/>
          <w:noProof/>
          <w:szCs w:val="22"/>
          <w:lang w:val="it-IT"/>
        </w:rPr>
        <w:tab/>
      </w:r>
      <w:r>
        <w:rPr>
          <w:b/>
          <w:noProof/>
          <w:szCs w:val="22"/>
          <w:lang w:val="it-IT"/>
        </w:rPr>
        <w:tab/>
        <w:t>DATA DI SCADENZA</w:t>
      </w:r>
    </w:p>
    <w:p>
      <w:pPr>
        <w:tabs>
          <w:tab w:val="left" w:pos="180"/>
        </w:tabs>
        <w:rPr>
          <w:noProof/>
          <w:szCs w:val="22"/>
          <w:lang w:val="it-IT"/>
        </w:rPr>
      </w:pPr>
    </w:p>
    <w:p>
      <w:pPr>
        <w:tabs>
          <w:tab w:val="left" w:pos="180"/>
        </w:tabs>
        <w:rPr>
          <w:noProof/>
          <w:szCs w:val="22"/>
          <w:lang w:val="it-IT"/>
        </w:rPr>
      </w:pPr>
      <w:r>
        <w:rPr>
          <w:noProof/>
          <w:szCs w:val="22"/>
          <w:lang w:val="it-IT"/>
        </w:rPr>
        <w:t>EXP</w:t>
      </w:r>
    </w:p>
    <w:p>
      <w:pPr>
        <w:tabs>
          <w:tab w:val="left" w:pos="180"/>
        </w:tabs>
        <w:rPr>
          <w:noProof/>
          <w:szCs w:val="22"/>
          <w:lang w:val="it-IT"/>
        </w:rPr>
      </w:pPr>
    </w:p>
    <w:p>
      <w:pPr>
        <w:tabs>
          <w:tab w:val="left" w:pos="180"/>
        </w:tabs>
        <w:rPr>
          <w:noProof/>
          <w:szCs w:val="22"/>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szCs w:val="22"/>
          <w:lang w:val="it-IT"/>
        </w:rPr>
      </w:pPr>
      <w:r>
        <w:rPr>
          <w:b/>
          <w:noProof/>
          <w:szCs w:val="22"/>
          <w:lang w:val="it-IT"/>
        </w:rPr>
        <w:t>4.</w:t>
      </w:r>
      <w:r>
        <w:rPr>
          <w:b/>
          <w:noProof/>
          <w:szCs w:val="22"/>
          <w:lang w:val="it-IT"/>
        </w:rPr>
        <w:tab/>
      </w:r>
      <w:r>
        <w:rPr>
          <w:b/>
          <w:noProof/>
          <w:szCs w:val="22"/>
          <w:lang w:val="it-IT"/>
        </w:rPr>
        <w:tab/>
        <w:t>NUMERO DI LOTTO</w:t>
      </w:r>
    </w:p>
    <w:p>
      <w:pPr>
        <w:tabs>
          <w:tab w:val="left" w:pos="180"/>
        </w:tabs>
        <w:rPr>
          <w:noProof/>
          <w:szCs w:val="22"/>
          <w:lang w:val="it-IT"/>
        </w:rPr>
      </w:pPr>
    </w:p>
    <w:p>
      <w:pPr>
        <w:tabs>
          <w:tab w:val="left" w:pos="180"/>
        </w:tabs>
        <w:rPr>
          <w:noProof/>
          <w:szCs w:val="22"/>
          <w:lang w:val="it-IT"/>
        </w:rPr>
      </w:pPr>
      <w:r>
        <w:rPr>
          <w:noProof/>
          <w:szCs w:val="22"/>
          <w:lang w:val="it-IT"/>
        </w:rPr>
        <w:t>Lot</w:t>
      </w:r>
    </w:p>
    <w:p>
      <w:pPr>
        <w:tabs>
          <w:tab w:val="left" w:pos="180"/>
        </w:tabs>
        <w:rPr>
          <w:noProof/>
          <w:szCs w:val="22"/>
          <w:lang w:val="it-IT"/>
        </w:rPr>
      </w:pPr>
    </w:p>
    <w:p>
      <w:pPr>
        <w:tabs>
          <w:tab w:val="left" w:pos="180"/>
        </w:tabs>
        <w:rPr>
          <w:noProof/>
          <w:szCs w:val="22"/>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szCs w:val="22"/>
          <w:lang w:val="it-IT"/>
        </w:rPr>
      </w:pPr>
      <w:r>
        <w:rPr>
          <w:b/>
          <w:noProof/>
          <w:szCs w:val="22"/>
          <w:lang w:val="it-IT"/>
        </w:rPr>
        <w:t>5.</w:t>
      </w:r>
      <w:r>
        <w:rPr>
          <w:b/>
          <w:noProof/>
          <w:szCs w:val="22"/>
          <w:lang w:val="it-IT"/>
        </w:rPr>
        <w:tab/>
      </w:r>
      <w:r>
        <w:rPr>
          <w:b/>
          <w:noProof/>
          <w:szCs w:val="22"/>
          <w:lang w:val="it-IT"/>
        </w:rPr>
        <w:tab/>
        <w:t>CONTENUTO IN PESO, VOLUME O UNITA’</w:t>
      </w:r>
    </w:p>
    <w:p>
      <w:pPr>
        <w:tabs>
          <w:tab w:val="left" w:pos="180"/>
        </w:tabs>
        <w:ind w:right="113"/>
        <w:rPr>
          <w:noProof/>
          <w:szCs w:val="22"/>
          <w:lang w:val="it-IT"/>
        </w:rPr>
      </w:pPr>
    </w:p>
    <w:p>
      <w:pPr>
        <w:tabs>
          <w:tab w:val="left" w:pos="180"/>
        </w:tabs>
        <w:rPr>
          <w:noProof/>
          <w:szCs w:val="22"/>
          <w:lang w:val="es-ES"/>
          <w:rPrChange w:id="9917" w:author="TCS" w:date="2026-03-20T12:48:00Z">
            <w:rPr>
              <w:szCs w:val="22"/>
            </w:rPr>
          </w:rPrChange>
        </w:rPr>
        <w:pPrChange w:id="9918" w:author="Author">
          <w:pPr>
            <w:tabs>
              <w:tab w:val="left" w:pos="180"/>
            </w:tabs>
            <w:ind w:right="113"/>
          </w:pPr>
        </w:pPrChange>
      </w:pPr>
      <w:r>
        <w:rPr>
          <w:noProof/>
          <w:szCs w:val="22"/>
          <w:lang w:val="es-ES"/>
          <w:rPrChange w:id="9919" w:author="TCS" w:date="2026-03-20T12:48:00Z">
            <w:rPr>
              <w:szCs w:val="22"/>
            </w:rPr>
          </w:rPrChange>
        </w:rPr>
        <w:t>80 mg/4 mL</w:t>
      </w:r>
    </w:p>
    <w:p>
      <w:pPr>
        <w:pStyle w:val="Standard1"/>
        <w:rPr>
          <w:rFonts w:ascii="Times New Roman" w:hAnsi="Times New Roman"/>
          <w:noProof/>
          <w:sz w:val="22"/>
          <w:szCs w:val="22"/>
          <w:highlight w:val="lightGray"/>
          <w:lang w:val="es-ES" w:eastAsia="ja-JP" w:bidi="ar-SA"/>
          <w:rPrChange w:id="9920" w:author="TCS" w:date="2026-03-20T12:48:00Z">
            <w:rPr>
              <w:rFonts w:ascii="Times New Roman" w:hAnsi="Times New Roman"/>
              <w:sz w:val="22"/>
              <w:szCs w:val="22"/>
              <w:highlight w:val="lightGray"/>
              <w:lang w:val="en-US" w:eastAsia="ja-JP" w:bidi="ar-SA"/>
            </w:rPr>
          </w:rPrChange>
        </w:rPr>
        <w:pPrChange w:id="9921" w:author="Author">
          <w:pPr>
            <w:pStyle w:val="Standard1"/>
            <w:ind w:right="113"/>
          </w:pPr>
        </w:pPrChange>
      </w:pPr>
      <w:r>
        <w:rPr>
          <w:rFonts w:ascii="Times New Roman" w:hAnsi="Times New Roman"/>
          <w:noProof/>
          <w:sz w:val="22"/>
          <w:szCs w:val="22"/>
          <w:highlight w:val="lightGray"/>
          <w:lang w:val="es-ES" w:eastAsia="ja-JP" w:bidi="ar-SA"/>
          <w:rPrChange w:id="9922" w:author="TCS" w:date="2026-03-20T12:48:00Z">
            <w:rPr>
              <w:rFonts w:ascii="Times New Roman" w:hAnsi="Times New Roman"/>
              <w:sz w:val="22"/>
              <w:szCs w:val="22"/>
              <w:highlight w:val="lightGray"/>
              <w:lang w:val="en-US" w:eastAsia="ja-JP" w:bidi="ar-SA"/>
            </w:rPr>
          </w:rPrChange>
        </w:rPr>
        <w:t>200 mg/10 mL</w:t>
      </w:r>
    </w:p>
    <w:p>
      <w:pPr>
        <w:pStyle w:val="Standard1"/>
        <w:rPr>
          <w:rFonts w:ascii="Times New Roman" w:hAnsi="Times New Roman"/>
          <w:noProof/>
          <w:sz w:val="22"/>
          <w:szCs w:val="22"/>
          <w:lang w:val="es-ES" w:eastAsia="ja-JP" w:bidi="ar-SA"/>
          <w:rPrChange w:id="9923" w:author="TCS" w:date="2026-03-20T12:48:00Z">
            <w:rPr>
              <w:rFonts w:ascii="Times New Roman" w:hAnsi="Times New Roman"/>
              <w:sz w:val="22"/>
              <w:szCs w:val="22"/>
              <w:lang w:val="en-US" w:eastAsia="ja-JP" w:bidi="ar-SA"/>
            </w:rPr>
          </w:rPrChange>
        </w:rPr>
        <w:pPrChange w:id="9924" w:author="Author">
          <w:pPr>
            <w:pStyle w:val="Standard1"/>
            <w:ind w:right="113"/>
          </w:pPr>
        </w:pPrChange>
      </w:pPr>
      <w:r>
        <w:rPr>
          <w:rFonts w:ascii="Times New Roman" w:hAnsi="Times New Roman"/>
          <w:noProof/>
          <w:sz w:val="22"/>
          <w:szCs w:val="22"/>
          <w:highlight w:val="lightGray"/>
          <w:lang w:val="es-ES" w:eastAsia="ja-JP" w:bidi="ar-SA"/>
          <w:rPrChange w:id="9925" w:author="TCS" w:date="2026-03-20T12:48:00Z">
            <w:rPr>
              <w:rFonts w:ascii="Times New Roman" w:hAnsi="Times New Roman"/>
              <w:sz w:val="22"/>
              <w:szCs w:val="22"/>
              <w:highlight w:val="lightGray"/>
              <w:lang w:val="en-US" w:eastAsia="ja-JP" w:bidi="ar-SA"/>
            </w:rPr>
          </w:rPrChange>
        </w:rPr>
        <w:t>400 mg/20 mL</w:t>
      </w:r>
    </w:p>
    <w:p>
      <w:pPr>
        <w:tabs>
          <w:tab w:val="left" w:pos="180"/>
        </w:tabs>
        <w:rPr>
          <w:noProof/>
          <w:szCs w:val="22"/>
          <w:lang w:val="es-ES"/>
          <w:rPrChange w:id="9926" w:author="TCS" w:date="2026-03-20T12:48:00Z">
            <w:rPr>
              <w:szCs w:val="22"/>
            </w:rPr>
          </w:rPrChange>
        </w:rPr>
        <w:pPrChange w:id="9927" w:author="Author">
          <w:pPr>
            <w:tabs>
              <w:tab w:val="left" w:pos="180"/>
            </w:tabs>
            <w:ind w:right="113"/>
          </w:pPr>
        </w:pPrChange>
      </w:pPr>
    </w:p>
    <w:p>
      <w:pPr>
        <w:tabs>
          <w:tab w:val="left" w:pos="180"/>
        </w:tabs>
        <w:rPr>
          <w:noProof/>
          <w:szCs w:val="22"/>
          <w:lang w:val="es-ES"/>
          <w:rPrChange w:id="9928" w:author="TCS" w:date="2026-03-20T12:48:00Z">
            <w:rPr>
              <w:szCs w:val="22"/>
            </w:rPr>
          </w:rPrChange>
        </w:rPr>
        <w:pPrChange w:id="9929" w:author="Author">
          <w:pPr>
            <w:tabs>
              <w:tab w:val="left" w:pos="180"/>
            </w:tabs>
            <w:ind w:right="113"/>
          </w:pPr>
        </w:pPrChange>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szCs w:val="22"/>
          <w:lang w:val="it-IT"/>
        </w:rPr>
      </w:pPr>
      <w:r>
        <w:rPr>
          <w:b/>
          <w:noProof/>
          <w:szCs w:val="22"/>
          <w:lang w:val="it-IT"/>
        </w:rPr>
        <w:t>6.</w:t>
      </w:r>
      <w:r>
        <w:rPr>
          <w:b/>
          <w:noProof/>
          <w:szCs w:val="22"/>
          <w:lang w:val="it-IT"/>
        </w:rPr>
        <w:tab/>
      </w:r>
      <w:r>
        <w:rPr>
          <w:b/>
          <w:noProof/>
          <w:szCs w:val="22"/>
          <w:lang w:val="it-IT"/>
        </w:rPr>
        <w:tab/>
        <w:t>ALTRO</w:t>
      </w:r>
    </w:p>
    <w:p>
      <w:pPr>
        <w:keepNext/>
        <w:keepLines/>
        <w:tabs>
          <w:tab w:val="left" w:pos="180"/>
        </w:tabs>
        <w:rPr>
          <w:noProof/>
          <w:szCs w:val="22"/>
          <w:lang w:val="it-IT"/>
        </w:rPr>
      </w:pPr>
    </w:p>
    <w:p>
      <w:pPr>
        <w:rPr>
          <w:noProof/>
          <w:szCs w:val="22"/>
          <w:lang w:val="it-IT"/>
        </w:rPr>
      </w:pPr>
      <w:r>
        <w:rPr>
          <w:noProof/>
          <w:szCs w:val="22"/>
          <w:lang w:val="it-IT"/>
        </w:rPr>
        <w:br w:type="page"/>
      </w:r>
    </w:p>
    <w:p>
      <w:pPr>
        <w:pBdr>
          <w:top w:val="single" w:sz="4" w:space="1" w:color="auto"/>
          <w:left w:val="single" w:sz="4" w:space="1" w:color="auto"/>
          <w:bottom w:val="single" w:sz="4" w:space="1" w:color="auto"/>
          <w:right w:val="single" w:sz="4" w:space="1" w:color="auto"/>
        </w:pBdr>
        <w:tabs>
          <w:tab w:val="left" w:pos="180"/>
        </w:tabs>
        <w:rPr>
          <w:b/>
          <w:noProof/>
          <w:lang w:val="it-IT"/>
        </w:rPr>
      </w:pPr>
      <w:r>
        <w:rPr>
          <w:b/>
          <w:noProof/>
          <w:lang w:val="it-IT"/>
        </w:rPr>
        <w:lastRenderedPageBreak/>
        <w:t>INFORMAZIONI DA APPORRE SUL CONFEZIONAMENTO SECONDARIO</w:t>
      </w:r>
    </w:p>
    <w:p>
      <w:pPr>
        <w:pBdr>
          <w:top w:val="single" w:sz="4" w:space="1" w:color="auto"/>
          <w:left w:val="single" w:sz="4" w:space="1" w:color="auto"/>
          <w:bottom w:val="single" w:sz="4" w:space="1" w:color="auto"/>
          <w:right w:val="single" w:sz="4" w:space="1" w:color="auto"/>
        </w:pBdr>
        <w:tabs>
          <w:tab w:val="left" w:pos="180"/>
        </w:tabs>
        <w:ind w:left="567" w:hanging="567"/>
        <w:rPr>
          <w:bCs/>
          <w:noProof/>
          <w:lang w:val="it-IT"/>
        </w:rPr>
      </w:pPr>
    </w:p>
    <w:p>
      <w:pPr>
        <w:pBdr>
          <w:top w:val="single" w:sz="4" w:space="1" w:color="auto"/>
          <w:left w:val="single" w:sz="4" w:space="1" w:color="auto"/>
          <w:bottom w:val="single" w:sz="4" w:space="1" w:color="auto"/>
          <w:right w:val="single" w:sz="4" w:space="1" w:color="auto"/>
        </w:pBdr>
        <w:tabs>
          <w:tab w:val="left" w:pos="180"/>
        </w:tabs>
        <w:rPr>
          <w:bCs/>
          <w:noProof/>
          <w:lang w:val="it-IT"/>
        </w:rPr>
      </w:pPr>
      <w:r>
        <w:rPr>
          <w:b/>
          <w:noProof/>
          <w:lang w:val="it-IT"/>
        </w:rPr>
        <w:t>CARTONE</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1.</w:t>
      </w:r>
      <w:r>
        <w:rPr>
          <w:noProof/>
          <w:lang w:val="it-IT"/>
        </w:rPr>
        <w:tab/>
      </w:r>
      <w:r>
        <w:rPr>
          <w:noProof/>
          <w:lang w:val="it-IT"/>
        </w:rPr>
        <w:tab/>
      </w:r>
      <w:r>
        <w:rPr>
          <w:b/>
          <w:noProof/>
          <w:lang w:val="it-IT"/>
        </w:rPr>
        <w:t>DENOMINAZIONE DEL MEDICINALE</w:t>
      </w:r>
    </w:p>
    <w:p>
      <w:pPr>
        <w:tabs>
          <w:tab w:val="left" w:pos="180"/>
        </w:tabs>
        <w:rPr>
          <w:noProof/>
          <w:lang w:val="it-IT"/>
        </w:rPr>
      </w:pPr>
    </w:p>
    <w:p>
      <w:pPr>
        <w:tabs>
          <w:tab w:val="left" w:pos="180"/>
        </w:tabs>
        <w:rPr>
          <w:iCs/>
          <w:noProof/>
          <w:lang w:val="it-IT"/>
        </w:rPr>
      </w:pPr>
      <w:r>
        <w:rPr>
          <w:noProof/>
          <w:lang w:val="it-IT"/>
        </w:rPr>
        <w:t xml:space="preserve">RoActemra </w:t>
      </w:r>
      <w:r>
        <w:rPr>
          <w:iCs/>
          <w:noProof/>
          <w:lang w:val="it-IT"/>
        </w:rPr>
        <w:t>162 mg soluzione iniettabile in siringa preriempita</w:t>
      </w:r>
    </w:p>
    <w:p>
      <w:pPr>
        <w:tabs>
          <w:tab w:val="left" w:pos="180"/>
        </w:tabs>
        <w:rPr>
          <w:del w:id="9930" w:author="Author"/>
          <w:noProof/>
          <w:lang w:val="it-IT"/>
        </w:rPr>
      </w:pPr>
    </w:p>
    <w:p>
      <w:pPr>
        <w:tabs>
          <w:tab w:val="left" w:pos="180"/>
        </w:tabs>
        <w:rPr>
          <w:noProof/>
          <w:lang w:val="it-IT"/>
        </w:rPr>
      </w:pPr>
      <w:r>
        <w:rPr>
          <w:noProof/>
          <w:lang w:val="it-IT"/>
        </w:rPr>
        <w:t>tocilizumab</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lang w:val="it-IT"/>
        </w:rPr>
      </w:pPr>
      <w:r>
        <w:rPr>
          <w:b/>
          <w:noProof/>
          <w:lang w:val="it-IT"/>
        </w:rPr>
        <w:t>2.</w:t>
      </w:r>
      <w:r>
        <w:rPr>
          <w:noProof/>
          <w:lang w:val="it-IT"/>
        </w:rPr>
        <w:tab/>
      </w:r>
      <w:r>
        <w:rPr>
          <w:noProof/>
          <w:lang w:val="it-IT"/>
        </w:rPr>
        <w:tab/>
      </w:r>
      <w:r>
        <w:rPr>
          <w:b/>
          <w:noProof/>
          <w:lang w:val="it-IT"/>
        </w:rPr>
        <w:t>COMPOSIZIONE QUALITATIVA E QUANTITATIVA IN TERMINI DI PRINCIPIO</w:t>
      </w:r>
      <w:del w:id="9931" w:author="Author">
        <w:r>
          <w:rPr>
            <w:b/>
            <w:noProof/>
            <w:lang w:val="it-IT"/>
          </w:rPr>
          <w:delText>(I)</w:delText>
        </w:r>
      </w:del>
      <w:r>
        <w:rPr>
          <w:b/>
          <w:noProof/>
          <w:lang w:val="it-IT"/>
        </w:rPr>
        <w:t xml:space="preserve"> ATTIVO</w:t>
      </w:r>
      <w:del w:id="9932" w:author="Author">
        <w:r>
          <w:rPr>
            <w:b/>
            <w:noProof/>
            <w:lang w:val="it-IT"/>
          </w:rPr>
          <w:delText>(I)</w:delText>
        </w:r>
      </w:del>
    </w:p>
    <w:p>
      <w:pPr>
        <w:tabs>
          <w:tab w:val="left" w:pos="180"/>
        </w:tabs>
        <w:rPr>
          <w:noProof/>
          <w:lang w:val="it-IT"/>
        </w:rPr>
      </w:pPr>
    </w:p>
    <w:p>
      <w:pPr>
        <w:tabs>
          <w:tab w:val="left" w:pos="180"/>
        </w:tabs>
        <w:rPr>
          <w:noProof/>
          <w:lang w:val="it-IT"/>
        </w:rPr>
      </w:pPr>
      <w:r>
        <w:rPr>
          <w:noProof/>
          <w:lang w:val="it-IT"/>
        </w:rPr>
        <w:t>1 siringa preriempita contiene 162 mg di tocilizumab</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3.</w:t>
      </w:r>
      <w:r>
        <w:rPr>
          <w:noProof/>
          <w:lang w:val="it-IT"/>
        </w:rPr>
        <w:tab/>
      </w:r>
      <w:r>
        <w:rPr>
          <w:noProof/>
          <w:lang w:val="it-IT"/>
        </w:rPr>
        <w:tab/>
      </w:r>
      <w:r>
        <w:rPr>
          <w:b/>
          <w:noProof/>
          <w:lang w:val="it-IT"/>
        </w:rPr>
        <w:t>ELENCO DEGLI ECCIPIENTI</w:t>
      </w:r>
    </w:p>
    <w:p>
      <w:pPr>
        <w:tabs>
          <w:tab w:val="left" w:pos="180"/>
        </w:tabs>
        <w:rPr>
          <w:noProof/>
          <w:lang w:val="it-IT"/>
        </w:rPr>
      </w:pPr>
    </w:p>
    <w:p>
      <w:pPr>
        <w:tabs>
          <w:tab w:val="left" w:pos="180"/>
        </w:tabs>
        <w:autoSpaceDE w:val="0"/>
        <w:autoSpaceDN w:val="0"/>
        <w:adjustRightInd w:val="0"/>
        <w:rPr>
          <w:noProof/>
          <w:highlight w:val="lightGray"/>
          <w:lang w:val="it-IT"/>
        </w:rPr>
      </w:pPr>
      <w:r>
        <w:rPr>
          <w:noProof/>
          <w:szCs w:val="22"/>
          <w:lang w:val="it-IT"/>
        </w:rPr>
        <w:t xml:space="preserve">Contiene anche </w:t>
      </w:r>
      <w:r>
        <w:rPr>
          <w:bCs/>
          <w:noProof/>
          <w:szCs w:val="22"/>
          <w:lang w:val="it-IT"/>
        </w:rPr>
        <w:t xml:space="preserve">L-istidina, L-istidina monocloridrato monoidrato, </w:t>
      </w:r>
      <w:r>
        <w:rPr>
          <w:bCs/>
          <w:noProof/>
          <w:szCs w:val="22"/>
          <w:highlight w:val="lightGray"/>
          <w:lang w:val="it-IT" w:eastAsia="en-US"/>
        </w:rPr>
        <w:t>L-arginina</w:t>
      </w:r>
      <w:r>
        <w:rPr>
          <w:bCs/>
          <w:noProof/>
          <w:szCs w:val="22"/>
          <w:highlight w:val="lightGray"/>
          <w:lang w:val="it-IT"/>
        </w:rPr>
        <w:t>/</w:t>
      </w:r>
      <w:r>
        <w:rPr>
          <w:bCs/>
          <w:noProof/>
          <w:szCs w:val="22"/>
          <w:lang w:val="it-IT"/>
        </w:rPr>
        <w:t xml:space="preserve">L-arginina cloridrato, L-metionina, polisorbato 80, acqua per preparazioni iniettabili. </w:t>
      </w:r>
      <w:r>
        <w:rPr>
          <w:noProof/>
          <w:highlight w:val="lightGray"/>
          <w:lang w:val="it-IT"/>
        </w:rPr>
        <w:t>Vedere il foglio illustrativo per ulteriori informazioni.</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4.</w:t>
      </w:r>
      <w:r>
        <w:rPr>
          <w:b/>
          <w:noProof/>
          <w:lang w:val="it-IT"/>
        </w:rPr>
        <w:tab/>
      </w:r>
      <w:r>
        <w:rPr>
          <w:noProof/>
          <w:lang w:val="it-IT"/>
        </w:rPr>
        <w:tab/>
      </w:r>
      <w:r>
        <w:rPr>
          <w:b/>
          <w:noProof/>
          <w:lang w:val="it-IT"/>
        </w:rPr>
        <w:t>FORMA FARMACEUTICA E CONTENUTO</w:t>
      </w:r>
    </w:p>
    <w:p>
      <w:pPr>
        <w:tabs>
          <w:tab w:val="left" w:pos="180"/>
        </w:tabs>
        <w:rPr>
          <w:noProof/>
          <w:lang w:val="it-IT"/>
        </w:rPr>
      </w:pPr>
    </w:p>
    <w:p>
      <w:pPr>
        <w:tabs>
          <w:tab w:val="left" w:pos="180"/>
        </w:tabs>
        <w:rPr>
          <w:noProof/>
          <w:lang w:val="it-IT"/>
        </w:rPr>
      </w:pPr>
      <w:r>
        <w:rPr>
          <w:noProof/>
          <w:highlight w:val="lightGray"/>
          <w:lang w:val="it-IT"/>
        </w:rPr>
        <w:t>Soluzione iniettabile</w:t>
      </w:r>
    </w:p>
    <w:p>
      <w:pPr>
        <w:tabs>
          <w:tab w:val="left" w:pos="180"/>
          <w:tab w:val="left" w:pos="284"/>
          <w:tab w:val="left" w:pos="567"/>
        </w:tabs>
        <w:rPr>
          <w:noProof/>
          <w:lang w:val="it-IT"/>
        </w:rPr>
      </w:pPr>
      <w:r>
        <w:rPr>
          <w:noProof/>
          <w:lang w:val="it-IT"/>
        </w:rPr>
        <w:t xml:space="preserve">4 siringhe preriempite </w:t>
      </w:r>
    </w:p>
    <w:p>
      <w:pPr>
        <w:tabs>
          <w:tab w:val="left" w:pos="180"/>
          <w:tab w:val="left" w:pos="284"/>
          <w:tab w:val="left" w:pos="567"/>
        </w:tabs>
        <w:rPr>
          <w:noProof/>
          <w:highlight w:val="lightGray"/>
          <w:lang w:val="it-IT"/>
        </w:rPr>
      </w:pPr>
      <w:r>
        <w:rPr>
          <w:noProof/>
          <w:highlight w:val="lightGray"/>
          <w:lang w:val="it-IT"/>
        </w:rPr>
        <w:t>Confezione multipla: 12 (3 confezioni da 4) siringhe preriempite</w:t>
      </w:r>
    </w:p>
    <w:p>
      <w:pPr>
        <w:tabs>
          <w:tab w:val="left" w:pos="180"/>
        </w:tabs>
        <w:rPr>
          <w:noProof/>
          <w:lang w:val="it-IT"/>
        </w:rPr>
      </w:pPr>
      <w:r>
        <w:rPr>
          <w:iCs/>
          <w:noProof/>
          <w:lang w:val="it-IT"/>
        </w:rPr>
        <w:t>162 mg/0,9 mL</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5.</w:t>
      </w:r>
      <w:r>
        <w:rPr>
          <w:noProof/>
          <w:lang w:val="it-IT"/>
        </w:rPr>
        <w:tab/>
      </w:r>
      <w:r>
        <w:rPr>
          <w:noProof/>
          <w:lang w:val="it-IT"/>
        </w:rPr>
        <w:tab/>
      </w:r>
      <w:r>
        <w:rPr>
          <w:b/>
          <w:noProof/>
          <w:lang w:val="it-IT"/>
        </w:rPr>
        <w:t>MODO E VIA</w:t>
      </w:r>
      <w:del w:id="9933" w:author="Author">
        <w:r>
          <w:rPr>
            <w:b/>
            <w:noProof/>
            <w:lang w:val="it-IT"/>
          </w:rPr>
          <w:delText>(E)</w:delText>
        </w:r>
      </w:del>
      <w:r>
        <w:rPr>
          <w:b/>
          <w:noProof/>
          <w:lang w:val="it-IT"/>
        </w:rPr>
        <w:t xml:space="preserve"> DI SOMMINISTRAZIONE</w:t>
      </w:r>
    </w:p>
    <w:p>
      <w:pPr>
        <w:tabs>
          <w:tab w:val="left" w:pos="180"/>
        </w:tabs>
        <w:rPr>
          <w:i/>
          <w:noProof/>
          <w:lang w:val="it-IT"/>
        </w:rPr>
      </w:pPr>
    </w:p>
    <w:p>
      <w:pPr>
        <w:tabs>
          <w:tab w:val="left" w:pos="180"/>
          <w:tab w:val="left" w:pos="284"/>
          <w:tab w:val="left" w:pos="567"/>
        </w:tabs>
        <w:outlineLvl w:val="0"/>
        <w:rPr>
          <w:noProof/>
          <w:lang w:val="it-IT"/>
        </w:rPr>
      </w:pPr>
      <w:r>
        <w:rPr>
          <w:noProof/>
          <w:lang w:val="it-IT"/>
        </w:rPr>
        <w:t xml:space="preserve">Uso sottocutaneo </w:t>
      </w:r>
    </w:p>
    <w:p>
      <w:pPr>
        <w:tabs>
          <w:tab w:val="left" w:pos="180"/>
        </w:tabs>
        <w:rPr>
          <w:noProof/>
          <w:lang w:val="it-IT"/>
        </w:rPr>
      </w:pPr>
      <w:r>
        <w:rPr>
          <w:noProof/>
          <w:lang w:val="it-IT"/>
        </w:rPr>
        <w:t>Leggere il foglio illustrativo prima dell’uso</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6.</w:t>
      </w:r>
      <w:r>
        <w:rPr>
          <w:noProof/>
          <w:lang w:val="it-IT"/>
        </w:rPr>
        <w:tab/>
      </w:r>
      <w:r>
        <w:rPr>
          <w:noProof/>
          <w:lang w:val="it-IT"/>
        </w:rPr>
        <w:tab/>
      </w:r>
      <w:r>
        <w:rPr>
          <w:b/>
          <w:noProof/>
          <w:lang w:val="it-IT"/>
        </w:rPr>
        <w:t>AVVERTENZA PARTICOLARE CHE PRESCRIVA DI TENERE IL MEDICINALE FUORI DALLA VISTA E DALLA PORTATA DEI BAMBINI</w:t>
      </w:r>
    </w:p>
    <w:p>
      <w:pPr>
        <w:tabs>
          <w:tab w:val="left" w:pos="180"/>
        </w:tabs>
        <w:rPr>
          <w:noProof/>
          <w:lang w:val="it-IT"/>
        </w:rPr>
      </w:pPr>
    </w:p>
    <w:p>
      <w:pPr>
        <w:tabs>
          <w:tab w:val="left" w:pos="180"/>
        </w:tabs>
        <w:outlineLvl w:val="0"/>
        <w:rPr>
          <w:noProof/>
          <w:lang w:val="it-IT"/>
        </w:rPr>
      </w:pPr>
      <w:r>
        <w:rPr>
          <w:noProof/>
          <w:lang w:val="it-IT"/>
        </w:rPr>
        <w:t>Tenere fuori dalla vista e dalla portata dei bambini</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7.</w:t>
      </w:r>
      <w:r>
        <w:rPr>
          <w:b/>
          <w:noProof/>
          <w:lang w:val="it-IT"/>
        </w:rPr>
        <w:tab/>
      </w:r>
      <w:r>
        <w:rPr>
          <w:noProof/>
          <w:lang w:val="it-IT"/>
        </w:rPr>
        <w:tab/>
      </w:r>
      <w:r>
        <w:rPr>
          <w:b/>
          <w:noProof/>
          <w:lang w:val="it-IT"/>
        </w:rPr>
        <w:t>ALTRA(E) AVVERTENZA(E) PARTICOLARE(I), SE NECESSARIO</w:t>
      </w:r>
    </w:p>
    <w:p>
      <w:pPr>
        <w:tabs>
          <w:tab w:val="left" w:pos="180"/>
        </w:tabs>
        <w:rPr>
          <w:noProof/>
          <w:lang w:val="it-IT"/>
        </w:rPr>
      </w:pPr>
    </w:p>
    <w:p>
      <w:pPr>
        <w:tabs>
          <w:tab w:val="left" w:pos="180"/>
        </w:tabs>
        <w:rPr>
          <w:noProof/>
          <w:lang w:val="it-IT"/>
        </w:rPr>
      </w:pPr>
      <w:r>
        <w:rPr>
          <w:noProof/>
          <w:lang w:val="it-IT"/>
        </w:rPr>
        <w:t>Lasciare la siringa a temperatura ambiente fuori dalla confezione per 25-30 minuti prima dell’uso</w:t>
      </w:r>
    </w:p>
    <w:p>
      <w:pPr>
        <w:tabs>
          <w:tab w:val="left" w:pos="180"/>
        </w:tabs>
        <w:rPr>
          <w:noProof/>
          <w:lang w:val="it-IT"/>
        </w:rPr>
      </w:pPr>
    </w:p>
    <w:p>
      <w:pPr>
        <w:tabs>
          <w:tab w:val="left" w:pos="180"/>
        </w:tabs>
        <w:rPr>
          <w:noProof/>
          <w:lang w:val="it-IT"/>
        </w:rPr>
      </w:pPr>
    </w:p>
    <w:p>
      <w:pPr>
        <w:keepNext/>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Change w:id="9934" w:author="Author">
          <w:pPr>
            <w:pBdr>
              <w:top w:val="single" w:sz="4" w:space="1" w:color="auto"/>
              <w:left w:val="single" w:sz="4" w:space="4" w:color="auto"/>
              <w:bottom w:val="single" w:sz="4" w:space="1" w:color="auto"/>
              <w:right w:val="single" w:sz="4" w:space="4" w:color="auto"/>
            </w:pBdr>
            <w:tabs>
              <w:tab w:val="left" w:pos="180"/>
            </w:tabs>
            <w:ind w:left="567" w:hanging="567"/>
            <w:outlineLvl w:val="0"/>
          </w:pPr>
        </w:pPrChange>
      </w:pPr>
      <w:r>
        <w:rPr>
          <w:b/>
          <w:noProof/>
          <w:lang w:val="it-IT"/>
        </w:rPr>
        <w:t>8.</w:t>
      </w:r>
      <w:r>
        <w:rPr>
          <w:noProof/>
          <w:lang w:val="it-IT"/>
        </w:rPr>
        <w:tab/>
      </w:r>
      <w:r>
        <w:rPr>
          <w:noProof/>
          <w:lang w:val="it-IT"/>
        </w:rPr>
        <w:tab/>
      </w:r>
      <w:r>
        <w:rPr>
          <w:b/>
          <w:noProof/>
          <w:lang w:val="it-IT"/>
        </w:rPr>
        <w:t>DATA DI SCADENZA</w:t>
      </w:r>
    </w:p>
    <w:p>
      <w:pPr>
        <w:keepNext/>
        <w:tabs>
          <w:tab w:val="left" w:pos="180"/>
        </w:tabs>
        <w:rPr>
          <w:noProof/>
          <w:lang w:val="it-IT"/>
        </w:rPr>
        <w:pPrChange w:id="9935" w:author="Author">
          <w:pPr>
            <w:tabs>
              <w:tab w:val="left" w:pos="180"/>
            </w:tabs>
          </w:pPr>
        </w:pPrChange>
      </w:pPr>
    </w:p>
    <w:p>
      <w:pPr>
        <w:keepNext/>
        <w:tabs>
          <w:tab w:val="left" w:pos="180"/>
        </w:tabs>
        <w:rPr>
          <w:noProof/>
          <w:lang w:val="it-IT"/>
        </w:rPr>
        <w:pPrChange w:id="9936" w:author="Author">
          <w:pPr>
            <w:tabs>
              <w:tab w:val="left" w:pos="180"/>
            </w:tabs>
          </w:pPr>
        </w:pPrChange>
      </w:pPr>
      <w:r>
        <w:rPr>
          <w:noProof/>
          <w:lang w:val="it-IT"/>
        </w:rPr>
        <w:t xml:space="preserve">Scad. </w:t>
      </w:r>
    </w:p>
    <w:p>
      <w:pPr>
        <w:keepNext/>
        <w:tabs>
          <w:tab w:val="left" w:pos="180"/>
        </w:tabs>
        <w:rPr>
          <w:noProof/>
          <w:lang w:val="it-IT"/>
        </w:rPr>
        <w:pPrChange w:id="9937" w:author="Author">
          <w:pPr>
            <w:tabs>
              <w:tab w:val="left" w:pos="180"/>
            </w:tabs>
          </w:pPr>
        </w:pPrChange>
      </w:pPr>
    </w:p>
    <w:p>
      <w:pPr>
        <w:tabs>
          <w:tab w:val="left" w:pos="180"/>
        </w:tabs>
        <w:rPr>
          <w:noProof/>
          <w:lang w:val="it-IT"/>
        </w:rPr>
      </w:pPr>
    </w:p>
    <w:p>
      <w:pPr>
        <w:keepNext/>
        <w:keepLines/>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lastRenderedPageBreak/>
        <w:t>9.</w:t>
      </w:r>
      <w:r>
        <w:rPr>
          <w:noProof/>
          <w:lang w:val="it-IT"/>
        </w:rPr>
        <w:tab/>
      </w:r>
      <w:r>
        <w:rPr>
          <w:noProof/>
          <w:lang w:val="it-IT"/>
        </w:rPr>
        <w:tab/>
      </w:r>
      <w:r>
        <w:rPr>
          <w:b/>
          <w:noProof/>
          <w:lang w:val="it-IT"/>
        </w:rPr>
        <w:t>PRECAUZIONI PARTICOLARI PER LA CONSERVAZIONE</w:t>
      </w:r>
    </w:p>
    <w:p>
      <w:pPr>
        <w:keepNext/>
        <w:keepLines/>
        <w:tabs>
          <w:tab w:val="left" w:pos="180"/>
        </w:tabs>
        <w:ind w:left="567" w:hanging="567"/>
        <w:rPr>
          <w:noProof/>
          <w:lang w:val="it-IT"/>
        </w:rPr>
      </w:pPr>
    </w:p>
    <w:p>
      <w:pPr>
        <w:keepNext/>
        <w:keepLines/>
        <w:tabs>
          <w:tab w:val="left" w:pos="180"/>
        </w:tabs>
        <w:rPr>
          <w:noProof/>
          <w:lang w:val="it-IT"/>
        </w:rPr>
      </w:pPr>
      <w:r>
        <w:rPr>
          <w:noProof/>
          <w:lang w:val="it-IT"/>
        </w:rPr>
        <w:t xml:space="preserve">Conservare in frigorifero </w:t>
      </w:r>
    </w:p>
    <w:p>
      <w:pPr>
        <w:tabs>
          <w:tab w:val="left" w:pos="180"/>
        </w:tabs>
        <w:rPr>
          <w:noProof/>
          <w:lang w:val="it-IT"/>
        </w:rPr>
      </w:pPr>
      <w:r>
        <w:rPr>
          <w:noProof/>
          <w:lang w:val="it-IT"/>
        </w:rPr>
        <w:t>Non congelare</w:t>
      </w:r>
    </w:p>
    <w:p>
      <w:pPr>
        <w:tabs>
          <w:tab w:val="left" w:pos="180"/>
        </w:tabs>
        <w:rPr>
          <w:noProof/>
          <w:szCs w:val="22"/>
          <w:lang w:val="it-IT"/>
        </w:rPr>
      </w:pPr>
      <w:r>
        <w:rPr>
          <w:noProof/>
          <w:szCs w:val="22"/>
          <w:lang w:val="it-IT"/>
        </w:rPr>
        <w:t>Una volta tolta dal frigorifero, la siringa preriempita può essere conservata per un massimo di 2 settimane a temperatura pari o inferiore a 30°C</w:t>
      </w:r>
    </w:p>
    <w:p>
      <w:pPr>
        <w:tabs>
          <w:tab w:val="left" w:pos="180"/>
        </w:tabs>
        <w:rPr>
          <w:b/>
          <w:bCs/>
          <w:noProof/>
          <w:szCs w:val="22"/>
          <w:lang w:val="it-IT"/>
        </w:rPr>
      </w:pPr>
      <w:r>
        <w:rPr>
          <w:noProof/>
          <w:lang w:val="it-IT"/>
        </w:rPr>
        <w:t>Tenere la siringa preriempita nell’imballaggio esterno per proteggere il medicinale dalla luce e dall’umidità</w:t>
      </w:r>
    </w:p>
    <w:p>
      <w:pPr>
        <w:tabs>
          <w:tab w:val="left" w:pos="180"/>
        </w:tabs>
        <w:ind w:left="567" w:hanging="567"/>
        <w:rPr>
          <w:noProof/>
          <w:lang w:val="it-IT"/>
        </w:rPr>
      </w:pPr>
    </w:p>
    <w:p>
      <w:pPr>
        <w:tabs>
          <w:tab w:val="left" w:pos="180"/>
        </w:tabs>
        <w:ind w:left="567" w:hanging="567"/>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lang w:val="it-IT"/>
        </w:rPr>
      </w:pPr>
      <w:r>
        <w:rPr>
          <w:b/>
          <w:noProof/>
          <w:lang w:val="it-IT"/>
        </w:rPr>
        <w:t>10.</w:t>
      </w:r>
      <w:r>
        <w:rPr>
          <w:noProof/>
          <w:lang w:val="it-IT"/>
        </w:rPr>
        <w:tab/>
      </w:r>
      <w:r>
        <w:rPr>
          <w:b/>
          <w:noProof/>
          <w:lang w:val="it-IT"/>
        </w:rPr>
        <w:t>PRECAUZIONI PARTICOLARI PER LO SMALTIMENTO DEL MEDICINALE NON UTILIZZATO O DEI RIFIUTI DERIVATI DA TALE MEDICINALE, SE NECESSARIO</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lang w:val="it-IT"/>
        </w:rPr>
      </w:pPr>
      <w:r>
        <w:rPr>
          <w:b/>
          <w:noProof/>
          <w:lang w:val="it-IT"/>
        </w:rPr>
        <w:t>11.</w:t>
      </w:r>
      <w:r>
        <w:rPr>
          <w:noProof/>
          <w:lang w:val="it-IT"/>
        </w:rPr>
        <w:tab/>
      </w:r>
      <w:r>
        <w:rPr>
          <w:b/>
          <w:noProof/>
          <w:lang w:val="it-IT"/>
        </w:rPr>
        <w:t>NOME E INDIRIZZO DEL TITOLARE DELL’AUTORIZZAZIONE ALL’IMMISSIONE IN COMMERCIO</w:t>
      </w:r>
    </w:p>
    <w:p>
      <w:pPr>
        <w:tabs>
          <w:tab w:val="left" w:pos="180"/>
        </w:tabs>
        <w:rPr>
          <w:noProof/>
          <w:lang w:val="it-IT"/>
        </w:rPr>
      </w:pPr>
    </w:p>
    <w:p>
      <w:pPr>
        <w:tabs>
          <w:tab w:val="left" w:pos="180"/>
        </w:tabs>
        <w:rPr>
          <w:noProof/>
          <w:lang w:val="de-DE"/>
          <w:rPrChange w:id="9938" w:author="Author">
            <w:rPr>
              <w:noProof/>
              <w:lang w:val="it-IT"/>
            </w:rPr>
          </w:rPrChange>
        </w:rPr>
      </w:pPr>
      <w:r>
        <w:rPr>
          <w:noProof/>
          <w:lang w:val="de-DE"/>
          <w:rPrChange w:id="9939" w:author="Author">
            <w:rPr>
              <w:noProof/>
              <w:lang w:val="it-IT"/>
            </w:rPr>
          </w:rPrChange>
        </w:rPr>
        <w:t xml:space="preserve">Roche Registration GmbH </w:t>
      </w:r>
    </w:p>
    <w:p>
      <w:pPr>
        <w:tabs>
          <w:tab w:val="left" w:pos="180"/>
        </w:tabs>
        <w:rPr>
          <w:noProof/>
          <w:lang w:val="de-DE"/>
          <w:rPrChange w:id="9940" w:author="Author">
            <w:rPr>
              <w:noProof/>
              <w:lang w:val="it-IT"/>
            </w:rPr>
          </w:rPrChange>
        </w:rPr>
      </w:pPr>
      <w:r>
        <w:rPr>
          <w:noProof/>
          <w:lang w:val="de-DE"/>
          <w:rPrChange w:id="9941" w:author="Author">
            <w:rPr>
              <w:noProof/>
              <w:lang w:val="it-IT"/>
            </w:rPr>
          </w:rPrChange>
        </w:rPr>
        <w:t>Emil-Barell-Strasse 1</w:t>
      </w:r>
    </w:p>
    <w:p>
      <w:pPr>
        <w:tabs>
          <w:tab w:val="left" w:pos="180"/>
        </w:tabs>
        <w:rPr>
          <w:noProof/>
          <w:lang w:val="de-DE"/>
          <w:rPrChange w:id="9942" w:author="Author">
            <w:rPr>
              <w:noProof/>
              <w:lang w:val="it-IT"/>
            </w:rPr>
          </w:rPrChange>
        </w:rPr>
      </w:pPr>
      <w:r>
        <w:rPr>
          <w:noProof/>
          <w:lang w:val="de-DE"/>
          <w:rPrChange w:id="9943" w:author="Author">
            <w:rPr>
              <w:noProof/>
              <w:lang w:val="it-IT"/>
            </w:rPr>
          </w:rPrChange>
        </w:rPr>
        <w:t>79639 Grenzach-Wyhlen</w:t>
      </w:r>
    </w:p>
    <w:p>
      <w:pPr>
        <w:tabs>
          <w:tab w:val="left" w:pos="180"/>
        </w:tabs>
        <w:rPr>
          <w:noProof/>
          <w:lang w:val="it-IT"/>
        </w:rPr>
      </w:pPr>
      <w:r>
        <w:rPr>
          <w:noProof/>
          <w:lang w:val="it-IT"/>
        </w:rPr>
        <w:t>Germania</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12.</w:t>
      </w:r>
      <w:r>
        <w:rPr>
          <w:noProof/>
          <w:lang w:val="it-IT"/>
        </w:rPr>
        <w:tab/>
      </w:r>
      <w:r>
        <w:rPr>
          <w:b/>
          <w:noProof/>
          <w:lang w:val="it-IT"/>
        </w:rPr>
        <w:t xml:space="preserve">NUMERO(I) DELL’AUTORIZZAZIONE ALL’IMMISSIONE IN COMMERCIO </w:t>
      </w:r>
    </w:p>
    <w:p>
      <w:pPr>
        <w:tabs>
          <w:tab w:val="left" w:pos="180"/>
        </w:tabs>
        <w:rPr>
          <w:noProof/>
          <w:lang w:val="it-IT"/>
        </w:rPr>
      </w:pPr>
    </w:p>
    <w:p>
      <w:pPr>
        <w:tabs>
          <w:tab w:val="left" w:pos="180"/>
          <w:tab w:val="left" w:pos="284"/>
          <w:tab w:val="left" w:pos="567"/>
        </w:tabs>
        <w:rPr>
          <w:noProof/>
          <w:highlight w:val="lightGray"/>
          <w:lang w:val="it-IT"/>
        </w:rPr>
      </w:pPr>
      <w:r>
        <w:rPr>
          <w:noProof/>
          <w:lang w:val="it-IT"/>
        </w:rPr>
        <w:t xml:space="preserve">EU/1/08/492/007 </w:t>
      </w:r>
      <w:r>
        <w:rPr>
          <w:noProof/>
          <w:highlight w:val="lightGray"/>
          <w:lang w:val="it-IT"/>
        </w:rPr>
        <w:t xml:space="preserve">4 siringhe preriempite </w:t>
      </w:r>
    </w:p>
    <w:p>
      <w:pPr>
        <w:tabs>
          <w:tab w:val="left" w:pos="180"/>
          <w:tab w:val="left" w:pos="284"/>
          <w:tab w:val="left" w:pos="567"/>
        </w:tabs>
        <w:rPr>
          <w:noProof/>
          <w:lang w:val="it-IT"/>
        </w:rPr>
      </w:pPr>
      <w:r>
        <w:rPr>
          <w:noProof/>
          <w:highlight w:val="lightGray"/>
          <w:lang w:val="it-IT"/>
        </w:rPr>
        <w:t>EU/1/08/492/008 Confezione multipla: 12 (3 confezioni da 4) siringhe preriempite</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13.</w:t>
      </w:r>
      <w:r>
        <w:rPr>
          <w:noProof/>
          <w:lang w:val="it-IT"/>
        </w:rPr>
        <w:tab/>
      </w:r>
      <w:r>
        <w:rPr>
          <w:b/>
          <w:noProof/>
          <w:lang w:val="it-IT"/>
        </w:rPr>
        <w:t>NUMERO DI LOTTO</w:t>
      </w:r>
    </w:p>
    <w:p>
      <w:pPr>
        <w:tabs>
          <w:tab w:val="left" w:pos="180"/>
        </w:tabs>
        <w:rPr>
          <w:noProof/>
          <w:lang w:val="it-IT"/>
        </w:rPr>
      </w:pPr>
    </w:p>
    <w:p>
      <w:pPr>
        <w:tabs>
          <w:tab w:val="left" w:pos="180"/>
        </w:tabs>
        <w:rPr>
          <w:noProof/>
          <w:lang w:val="it-IT"/>
        </w:rPr>
      </w:pPr>
      <w:r>
        <w:rPr>
          <w:noProof/>
          <w:lang w:val="it-IT"/>
        </w:rPr>
        <w:t xml:space="preserve">Lotto </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14.</w:t>
      </w:r>
      <w:r>
        <w:rPr>
          <w:noProof/>
          <w:lang w:val="it-IT"/>
        </w:rPr>
        <w:tab/>
      </w:r>
      <w:r>
        <w:rPr>
          <w:b/>
          <w:noProof/>
          <w:lang w:val="it-IT"/>
        </w:rPr>
        <w:t>CONDIZIONE GENERALE DI FORNITURA</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15.</w:t>
      </w:r>
      <w:r>
        <w:rPr>
          <w:noProof/>
          <w:lang w:val="it-IT"/>
        </w:rPr>
        <w:tab/>
      </w:r>
      <w:r>
        <w:rPr>
          <w:b/>
          <w:noProof/>
          <w:lang w:val="it-IT"/>
        </w:rPr>
        <w:t>ISTRUZIONI PER L’USO</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16.</w:t>
      </w:r>
      <w:r>
        <w:rPr>
          <w:noProof/>
          <w:lang w:val="it-IT"/>
        </w:rPr>
        <w:tab/>
      </w:r>
      <w:r>
        <w:rPr>
          <w:b/>
          <w:noProof/>
          <w:lang w:val="it-IT"/>
        </w:rPr>
        <w:t>INFORMAZIONI IN BRAILLE</w:t>
      </w:r>
    </w:p>
    <w:p>
      <w:pPr>
        <w:tabs>
          <w:tab w:val="left" w:pos="180"/>
        </w:tabs>
        <w:rPr>
          <w:noProof/>
          <w:lang w:val="it-IT"/>
        </w:rPr>
      </w:pPr>
    </w:p>
    <w:p>
      <w:pPr>
        <w:tabs>
          <w:tab w:val="left" w:pos="180"/>
        </w:tabs>
        <w:rPr>
          <w:noProof/>
          <w:lang w:val="it-IT"/>
        </w:rPr>
      </w:pPr>
      <w:r>
        <w:rPr>
          <w:noProof/>
          <w:lang w:val="it-IT"/>
        </w:rPr>
        <w:t>roactemra 162 mg siringa</w:t>
      </w:r>
    </w:p>
    <w:p>
      <w:pPr>
        <w:tabs>
          <w:tab w:val="left" w:pos="180"/>
        </w:tabs>
        <w:rPr>
          <w:noProof/>
          <w:lang w:val="it-IT"/>
        </w:rPr>
      </w:pPr>
    </w:p>
    <w:p>
      <w:pPr>
        <w:rPr>
          <w:noProof/>
          <w:szCs w:val="22"/>
          <w:shd w:val="clear" w:color="auto" w:fill="CCCCCC"/>
          <w:lang w:val="it-IT"/>
        </w:rPr>
      </w:pPr>
    </w:p>
    <w:p>
      <w:pPr>
        <w:keepNext/>
        <w:pBdr>
          <w:top w:val="single" w:sz="4" w:space="1" w:color="auto"/>
          <w:left w:val="single" w:sz="4" w:space="4" w:color="auto"/>
          <w:bottom w:val="single" w:sz="4" w:space="1" w:color="auto"/>
          <w:right w:val="single" w:sz="4" w:space="4" w:color="auto"/>
        </w:pBdr>
        <w:tabs>
          <w:tab w:val="left" w:pos="567"/>
        </w:tabs>
        <w:outlineLvl w:val="0"/>
        <w:rPr>
          <w:i/>
          <w:noProof/>
          <w:lang w:val="it-IT"/>
        </w:rPr>
      </w:pPr>
      <w:r>
        <w:rPr>
          <w:b/>
          <w:noProof/>
          <w:lang w:val="it-IT"/>
        </w:rPr>
        <w:t>17.</w:t>
      </w:r>
      <w:r>
        <w:rPr>
          <w:b/>
          <w:noProof/>
          <w:lang w:val="it-IT"/>
        </w:rPr>
        <w:tab/>
        <w:t>IDENTIFICATIVO UNICO – CODICE A BARRE BIDIMENSIONALE</w:t>
      </w:r>
    </w:p>
    <w:p>
      <w:pPr>
        <w:keepNext/>
        <w:tabs>
          <w:tab w:val="left" w:pos="708"/>
        </w:tabs>
        <w:rPr>
          <w:noProof/>
          <w:lang w:val="it-IT"/>
        </w:rPr>
        <w:pPrChange w:id="9944" w:author="Author">
          <w:pPr>
            <w:tabs>
              <w:tab w:val="left" w:pos="708"/>
            </w:tabs>
          </w:pPr>
        </w:pPrChange>
      </w:pPr>
    </w:p>
    <w:p>
      <w:pPr>
        <w:keepNext/>
        <w:rPr>
          <w:noProof/>
          <w:szCs w:val="22"/>
          <w:shd w:val="clear" w:color="auto" w:fill="CCCCCC"/>
          <w:lang w:val="it-IT"/>
        </w:rPr>
        <w:pPrChange w:id="9945" w:author="Author">
          <w:pPr/>
        </w:pPrChange>
      </w:pPr>
      <w:r>
        <w:rPr>
          <w:noProof/>
          <w:highlight w:val="lightGray"/>
          <w:lang w:val="it-IT"/>
        </w:rPr>
        <w:t>Codice a barre bidimensionale con identificativo unico incluso.</w:t>
      </w:r>
    </w:p>
    <w:p>
      <w:pPr>
        <w:keepNext/>
        <w:tabs>
          <w:tab w:val="left" w:pos="708"/>
        </w:tabs>
        <w:rPr>
          <w:noProof/>
          <w:szCs w:val="22"/>
          <w:shd w:val="clear" w:color="auto" w:fill="CCCCCC"/>
          <w:lang w:val="it-IT"/>
        </w:rPr>
        <w:pPrChange w:id="9946" w:author="Author">
          <w:pPr>
            <w:tabs>
              <w:tab w:val="left" w:pos="708"/>
            </w:tabs>
          </w:pPr>
        </w:pPrChange>
      </w:pPr>
    </w:p>
    <w:p>
      <w:pPr>
        <w:tabs>
          <w:tab w:val="left" w:pos="708"/>
        </w:tabs>
        <w:rPr>
          <w:noProof/>
          <w:lang w:val="it-IT"/>
        </w:rPr>
      </w:pPr>
    </w:p>
    <w:p>
      <w:pPr>
        <w:keepNext/>
        <w:keepLines/>
        <w:pBdr>
          <w:top w:val="single" w:sz="4" w:space="1" w:color="auto"/>
          <w:left w:val="single" w:sz="4" w:space="4" w:color="auto"/>
          <w:bottom w:val="single" w:sz="4" w:space="1" w:color="auto"/>
          <w:right w:val="single" w:sz="4" w:space="4" w:color="auto"/>
        </w:pBdr>
        <w:tabs>
          <w:tab w:val="left" w:pos="567"/>
        </w:tabs>
        <w:outlineLvl w:val="0"/>
        <w:rPr>
          <w:i/>
          <w:noProof/>
          <w:lang w:val="it-IT"/>
        </w:rPr>
      </w:pPr>
      <w:r>
        <w:rPr>
          <w:b/>
          <w:noProof/>
          <w:lang w:val="it-IT"/>
        </w:rPr>
        <w:lastRenderedPageBreak/>
        <w:t>18.</w:t>
      </w:r>
      <w:r>
        <w:rPr>
          <w:b/>
          <w:noProof/>
          <w:lang w:val="it-IT"/>
        </w:rPr>
        <w:tab/>
        <w:t xml:space="preserve">IDENTIFICATIVO UNICO - DATI LEGGIBILI </w:t>
      </w:r>
    </w:p>
    <w:p>
      <w:pPr>
        <w:keepNext/>
        <w:keepLines/>
        <w:tabs>
          <w:tab w:val="left" w:pos="708"/>
        </w:tabs>
        <w:rPr>
          <w:noProof/>
          <w:lang w:val="it-IT"/>
        </w:rPr>
      </w:pPr>
    </w:p>
    <w:p>
      <w:pPr>
        <w:keepNext/>
        <w:keepLines/>
        <w:rPr>
          <w:noProof/>
          <w:lang w:val="it-IT"/>
        </w:rPr>
      </w:pPr>
      <w:r>
        <w:rPr>
          <w:noProof/>
          <w:lang w:val="it-IT"/>
        </w:rPr>
        <w:t xml:space="preserve">PC </w:t>
      </w:r>
    </w:p>
    <w:p>
      <w:pPr>
        <w:keepNext/>
        <w:keepLines/>
        <w:rPr>
          <w:noProof/>
          <w:lang w:val="it-IT"/>
        </w:rPr>
      </w:pPr>
      <w:r>
        <w:rPr>
          <w:noProof/>
          <w:lang w:val="it-IT"/>
        </w:rPr>
        <w:t xml:space="preserve">SN </w:t>
      </w:r>
    </w:p>
    <w:p>
      <w:pPr>
        <w:keepNext/>
        <w:keepLines/>
        <w:rPr>
          <w:noProof/>
          <w:szCs w:val="22"/>
          <w:lang w:val="it-IT"/>
        </w:rPr>
      </w:pPr>
      <w:r>
        <w:rPr>
          <w:noProof/>
          <w:lang w:val="it-IT"/>
        </w:rPr>
        <w:t xml:space="preserve">NN </w:t>
      </w:r>
    </w:p>
    <w:p>
      <w:pPr>
        <w:keepNext/>
        <w:keepLines/>
        <w:tabs>
          <w:tab w:val="left" w:pos="180"/>
        </w:tabs>
        <w:rPr>
          <w:b/>
          <w:noProof/>
          <w:lang w:val="it-IT"/>
        </w:rPr>
      </w:pPr>
      <w:r>
        <w:rPr>
          <w:noProof/>
          <w:lang w:val="it-IT"/>
        </w:rPr>
        <w:br w:type="page"/>
      </w:r>
    </w:p>
    <w:p>
      <w:pPr>
        <w:pBdr>
          <w:top w:val="single" w:sz="4" w:space="1" w:color="auto"/>
          <w:left w:val="single" w:sz="4" w:space="1" w:color="auto"/>
          <w:bottom w:val="single" w:sz="4" w:space="1" w:color="auto"/>
          <w:right w:val="single" w:sz="4" w:space="1" w:color="auto"/>
        </w:pBdr>
        <w:tabs>
          <w:tab w:val="left" w:pos="180"/>
        </w:tabs>
        <w:ind w:left="567" w:hanging="567"/>
        <w:rPr>
          <w:bCs/>
          <w:noProof/>
          <w:lang w:val="it-IT"/>
        </w:rPr>
      </w:pPr>
      <w:r>
        <w:rPr>
          <w:b/>
          <w:noProof/>
          <w:lang w:val="it-IT"/>
        </w:rPr>
        <w:lastRenderedPageBreak/>
        <w:t>INFORMAZIONI DA APPORRE SUL CONFEZIONAMENTO SECONDARIO</w:t>
      </w:r>
    </w:p>
    <w:p>
      <w:pPr>
        <w:pBdr>
          <w:top w:val="single" w:sz="4" w:space="1" w:color="auto"/>
          <w:left w:val="single" w:sz="4" w:space="1" w:color="auto"/>
          <w:bottom w:val="single" w:sz="4" w:space="1" w:color="auto"/>
          <w:right w:val="single" w:sz="4" w:space="1" w:color="auto"/>
        </w:pBdr>
        <w:tabs>
          <w:tab w:val="left" w:pos="180"/>
        </w:tabs>
        <w:ind w:left="567" w:hanging="567"/>
        <w:rPr>
          <w:bCs/>
          <w:noProof/>
          <w:lang w:val="it-IT"/>
        </w:rPr>
      </w:pPr>
    </w:p>
    <w:p>
      <w:pPr>
        <w:pBdr>
          <w:top w:val="single" w:sz="4" w:space="1" w:color="auto"/>
          <w:left w:val="single" w:sz="4" w:space="1" w:color="auto"/>
          <w:bottom w:val="single" w:sz="4" w:space="1" w:color="auto"/>
          <w:right w:val="single" w:sz="4" w:space="1" w:color="auto"/>
        </w:pBdr>
        <w:tabs>
          <w:tab w:val="left" w:pos="180"/>
        </w:tabs>
        <w:rPr>
          <w:bCs/>
          <w:noProof/>
          <w:lang w:val="it-IT"/>
        </w:rPr>
      </w:pPr>
      <w:r>
        <w:rPr>
          <w:b/>
          <w:noProof/>
          <w:lang w:val="it-IT"/>
        </w:rPr>
        <w:t>ASTUCCIO DELLA SIRINGA PRERIEMPITA (senza blue-box) – Confezione multipla</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1.</w:t>
      </w:r>
      <w:r>
        <w:rPr>
          <w:noProof/>
          <w:lang w:val="it-IT"/>
        </w:rPr>
        <w:tab/>
      </w:r>
      <w:r>
        <w:rPr>
          <w:noProof/>
          <w:lang w:val="it-IT"/>
        </w:rPr>
        <w:tab/>
      </w:r>
      <w:r>
        <w:rPr>
          <w:b/>
          <w:noProof/>
          <w:lang w:val="it-IT"/>
        </w:rPr>
        <w:t>DENOMINAZIONE DEL MEDICINALE</w:t>
      </w:r>
    </w:p>
    <w:p>
      <w:pPr>
        <w:tabs>
          <w:tab w:val="left" w:pos="180"/>
        </w:tabs>
        <w:rPr>
          <w:noProof/>
          <w:lang w:val="it-IT"/>
        </w:rPr>
      </w:pPr>
    </w:p>
    <w:p>
      <w:pPr>
        <w:tabs>
          <w:tab w:val="left" w:pos="180"/>
        </w:tabs>
        <w:rPr>
          <w:iCs/>
          <w:noProof/>
          <w:lang w:val="it-IT"/>
        </w:rPr>
      </w:pPr>
      <w:r>
        <w:rPr>
          <w:noProof/>
          <w:lang w:val="it-IT"/>
        </w:rPr>
        <w:t xml:space="preserve">RoActemra </w:t>
      </w:r>
      <w:r>
        <w:rPr>
          <w:iCs/>
          <w:noProof/>
          <w:lang w:val="it-IT"/>
        </w:rPr>
        <w:t>162 mg soluzione iniettabile in siringa preriempita</w:t>
      </w:r>
    </w:p>
    <w:p>
      <w:pPr>
        <w:tabs>
          <w:tab w:val="left" w:pos="180"/>
        </w:tabs>
        <w:rPr>
          <w:del w:id="9947" w:author="Author"/>
          <w:noProof/>
          <w:lang w:val="it-IT"/>
        </w:rPr>
      </w:pPr>
    </w:p>
    <w:p>
      <w:pPr>
        <w:tabs>
          <w:tab w:val="left" w:pos="180"/>
        </w:tabs>
        <w:rPr>
          <w:noProof/>
          <w:lang w:val="it-IT"/>
        </w:rPr>
      </w:pPr>
      <w:r>
        <w:rPr>
          <w:noProof/>
          <w:lang w:val="it-IT"/>
        </w:rPr>
        <w:t>tocilizumab</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lang w:val="it-IT"/>
        </w:rPr>
      </w:pPr>
      <w:r>
        <w:rPr>
          <w:b/>
          <w:noProof/>
          <w:lang w:val="it-IT"/>
        </w:rPr>
        <w:t>2.</w:t>
      </w:r>
      <w:r>
        <w:rPr>
          <w:noProof/>
          <w:lang w:val="it-IT"/>
        </w:rPr>
        <w:tab/>
      </w:r>
      <w:r>
        <w:rPr>
          <w:noProof/>
          <w:lang w:val="it-IT"/>
        </w:rPr>
        <w:tab/>
      </w:r>
      <w:r>
        <w:rPr>
          <w:b/>
          <w:noProof/>
          <w:lang w:val="it-IT"/>
        </w:rPr>
        <w:t>COMPOSIZIONE QUALITATIVA E QUANTITATIVA IN TERMINI DI PRINCIPIO</w:t>
      </w:r>
      <w:del w:id="9948" w:author="Author">
        <w:r>
          <w:rPr>
            <w:b/>
            <w:noProof/>
            <w:lang w:val="it-IT"/>
          </w:rPr>
          <w:delText>(I)</w:delText>
        </w:r>
      </w:del>
      <w:r>
        <w:rPr>
          <w:b/>
          <w:noProof/>
          <w:lang w:val="it-IT"/>
        </w:rPr>
        <w:t xml:space="preserve"> ATTIVO</w:t>
      </w:r>
      <w:del w:id="9949" w:author="Author">
        <w:r>
          <w:rPr>
            <w:b/>
            <w:noProof/>
            <w:lang w:val="it-IT"/>
          </w:rPr>
          <w:delText>(I)</w:delText>
        </w:r>
      </w:del>
    </w:p>
    <w:p>
      <w:pPr>
        <w:tabs>
          <w:tab w:val="left" w:pos="180"/>
        </w:tabs>
        <w:rPr>
          <w:noProof/>
          <w:lang w:val="it-IT"/>
        </w:rPr>
      </w:pPr>
    </w:p>
    <w:p>
      <w:pPr>
        <w:tabs>
          <w:tab w:val="left" w:pos="180"/>
        </w:tabs>
        <w:rPr>
          <w:noProof/>
          <w:lang w:val="it-IT"/>
        </w:rPr>
      </w:pPr>
      <w:r>
        <w:rPr>
          <w:noProof/>
          <w:lang w:val="it-IT"/>
        </w:rPr>
        <w:t>1 siringa preriempita contiene 162 mg di tocilizumab</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3.</w:t>
      </w:r>
      <w:r>
        <w:rPr>
          <w:b/>
          <w:noProof/>
          <w:lang w:val="it-IT"/>
        </w:rPr>
        <w:tab/>
      </w:r>
      <w:r>
        <w:rPr>
          <w:noProof/>
          <w:lang w:val="it-IT"/>
        </w:rPr>
        <w:tab/>
      </w:r>
      <w:r>
        <w:rPr>
          <w:b/>
          <w:noProof/>
          <w:lang w:val="it-IT"/>
        </w:rPr>
        <w:t>ELENCO DEGLI ECCIPIENTI</w:t>
      </w:r>
    </w:p>
    <w:p>
      <w:pPr>
        <w:tabs>
          <w:tab w:val="left" w:pos="180"/>
        </w:tabs>
        <w:rPr>
          <w:noProof/>
          <w:lang w:val="it-IT"/>
        </w:rPr>
      </w:pPr>
    </w:p>
    <w:p>
      <w:pPr>
        <w:tabs>
          <w:tab w:val="left" w:pos="180"/>
        </w:tabs>
        <w:rPr>
          <w:noProof/>
          <w:highlight w:val="lightGray"/>
          <w:lang w:val="it-IT"/>
        </w:rPr>
      </w:pPr>
      <w:r>
        <w:rPr>
          <w:bCs/>
          <w:noProof/>
          <w:szCs w:val="22"/>
          <w:lang w:val="it-IT"/>
        </w:rPr>
        <w:t xml:space="preserve">Contiene anche L-istidina, L-istidina monocloridrato monoidrato, </w:t>
      </w:r>
      <w:r>
        <w:rPr>
          <w:bCs/>
          <w:noProof/>
          <w:szCs w:val="22"/>
          <w:highlight w:val="lightGray"/>
          <w:lang w:val="it-IT" w:eastAsia="en-US"/>
        </w:rPr>
        <w:t>L-arginina</w:t>
      </w:r>
      <w:r>
        <w:rPr>
          <w:bCs/>
          <w:noProof/>
          <w:szCs w:val="22"/>
          <w:highlight w:val="lightGray"/>
          <w:lang w:val="it-IT"/>
        </w:rPr>
        <w:t>/</w:t>
      </w:r>
      <w:r>
        <w:rPr>
          <w:bCs/>
          <w:noProof/>
          <w:szCs w:val="22"/>
          <w:lang w:val="it-IT"/>
        </w:rPr>
        <w:t xml:space="preserve">L-arginina cloridrato, L-metionina, polisorbato 80, acqua per preparazioni iniettabili. </w:t>
      </w:r>
      <w:r>
        <w:rPr>
          <w:noProof/>
          <w:highlight w:val="lightGray"/>
          <w:lang w:val="it-IT"/>
        </w:rPr>
        <w:t>Vedere il foglio illustrativo per ulteriori informazioni.</w:t>
      </w:r>
    </w:p>
    <w:p>
      <w:pPr>
        <w:tabs>
          <w:tab w:val="left" w:pos="180"/>
        </w:tabs>
        <w:autoSpaceDE w:val="0"/>
        <w:autoSpaceDN w:val="0"/>
        <w:adjustRightInd w:val="0"/>
        <w:rPr>
          <w:noProof/>
          <w:szCs w:val="22"/>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4.</w:t>
      </w:r>
      <w:r>
        <w:rPr>
          <w:noProof/>
          <w:lang w:val="it-IT"/>
        </w:rPr>
        <w:tab/>
      </w:r>
      <w:r>
        <w:rPr>
          <w:noProof/>
          <w:lang w:val="it-IT"/>
        </w:rPr>
        <w:tab/>
      </w:r>
      <w:r>
        <w:rPr>
          <w:b/>
          <w:noProof/>
          <w:lang w:val="it-IT"/>
        </w:rPr>
        <w:t>FORMA FARMACEUTICA E CONTENUTO</w:t>
      </w:r>
    </w:p>
    <w:p>
      <w:pPr>
        <w:tabs>
          <w:tab w:val="left" w:pos="180"/>
        </w:tabs>
        <w:rPr>
          <w:noProof/>
          <w:lang w:val="it-IT"/>
        </w:rPr>
      </w:pPr>
    </w:p>
    <w:p>
      <w:pPr>
        <w:tabs>
          <w:tab w:val="left" w:pos="180"/>
        </w:tabs>
        <w:rPr>
          <w:bCs/>
          <w:noProof/>
          <w:szCs w:val="22"/>
          <w:highlight w:val="lightGray"/>
          <w:lang w:val="it-IT" w:eastAsia="en-US"/>
        </w:rPr>
      </w:pPr>
      <w:r>
        <w:rPr>
          <w:bCs/>
          <w:noProof/>
          <w:szCs w:val="22"/>
          <w:highlight w:val="lightGray"/>
          <w:lang w:val="it-IT" w:eastAsia="en-US"/>
        </w:rPr>
        <w:t>Soluzione iniettabile</w:t>
      </w:r>
    </w:p>
    <w:p>
      <w:pPr>
        <w:tabs>
          <w:tab w:val="left" w:pos="180"/>
          <w:tab w:val="left" w:pos="284"/>
          <w:tab w:val="left" w:pos="567"/>
        </w:tabs>
        <w:rPr>
          <w:noProof/>
          <w:lang w:val="it-IT"/>
        </w:rPr>
      </w:pPr>
      <w:r>
        <w:rPr>
          <w:noProof/>
          <w:lang w:val="it-IT"/>
        </w:rPr>
        <w:t>4 siringhe preriempite. I componenti di una confezione multipla non possono essere venduti separatamente.</w:t>
      </w:r>
    </w:p>
    <w:p>
      <w:pPr>
        <w:tabs>
          <w:tab w:val="left" w:pos="180"/>
        </w:tabs>
        <w:rPr>
          <w:iCs/>
          <w:noProof/>
          <w:lang w:val="it-IT"/>
        </w:rPr>
      </w:pPr>
      <w:r>
        <w:rPr>
          <w:iCs/>
          <w:noProof/>
          <w:lang w:val="it-IT"/>
        </w:rPr>
        <w:t>162 mg/0,9 mL</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5.</w:t>
      </w:r>
      <w:r>
        <w:rPr>
          <w:b/>
          <w:noProof/>
          <w:lang w:val="it-IT"/>
        </w:rPr>
        <w:tab/>
      </w:r>
      <w:r>
        <w:rPr>
          <w:b/>
          <w:noProof/>
          <w:lang w:val="it-IT"/>
        </w:rPr>
        <w:tab/>
        <w:t>MODO E VIA</w:t>
      </w:r>
      <w:del w:id="9950" w:author="Author">
        <w:r>
          <w:rPr>
            <w:b/>
            <w:noProof/>
            <w:lang w:val="it-IT"/>
          </w:rPr>
          <w:delText>(E)</w:delText>
        </w:r>
      </w:del>
      <w:r>
        <w:rPr>
          <w:b/>
          <w:noProof/>
          <w:lang w:val="it-IT"/>
        </w:rPr>
        <w:t xml:space="preserve"> DI SOMMINISTRAZIONE</w:t>
      </w:r>
    </w:p>
    <w:p>
      <w:pPr>
        <w:tabs>
          <w:tab w:val="left" w:pos="180"/>
        </w:tabs>
        <w:rPr>
          <w:i/>
          <w:noProof/>
          <w:lang w:val="it-IT"/>
        </w:rPr>
      </w:pPr>
    </w:p>
    <w:p>
      <w:pPr>
        <w:tabs>
          <w:tab w:val="left" w:pos="180"/>
          <w:tab w:val="left" w:pos="284"/>
          <w:tab w:val="left" w:pos="567"/>
        </w:tabs>
        <w:outlineLvl w:val="0"/>
        <w:rPr>
          <w:noProof/>
          <w:lang w:val="it-IT"/>
        </w:rPr>
      </w:pPr>
      <w:r>
        <w:rPr>
          <w:noProof/>
          <w:lang w:val="it-IT"/>
        </w:rPr>
        <w:t xml:space="preserve">Uso sottocutaneo </w:t>
      </w:r>
    </w:p>
    <w:p>
      <w:pPr>
        <w:tabs>
          <w:tab w:val="left" w:pos="180"/>
        </w:tabs>
        <w:rPr>
          <w:noProof/>
          <w:lang w:val="it-IT"/>
        </w:rPr>
      </w:pPr>
      <w:r>
        <w:rPr>
          <w:noProof/>
          <w:lang w:val="it-IT"/>
        </w:rPr>
        <w:t>Leggere il foglio illustrativo prima dell’uso</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6.</w:t>
      </w:r>
      <w:r>
        <w:rPr>
          <w:noProof/>
          <w:lang w:val="it-IT"/>
        </w:rPr>
        <w:tab/>
      </w:r>
      <w:r>
        <w:rPr>
          <w:noProof/>
          <w:lang w:val="it-IT"/>
        </w:rPr>
        <w:tab/>
      </w:r>
      <w:r>
        <w:rPr>
          <w:b/>
          <w:noProof/>
          <w:lang w:val="it-IT"/>
        </w:rPr>
        <w:t>AVVERTENZA PARTICOLARE CHE PRESCRIVA DI TENERE IL MEDICINALE FUORI DALLA VISTA E DALLA PORTATA DEI BAMBINI</w:t>
      </w:r>
    </w:p>
    <w:p>
      <w:pPr>
        <w:tabs>
          <w:tab w:val="left" w:pos="180"/>
        </w:tabs>
        <w:rPr>
          <w:noProof/>
          <w:lang w:val="it-IT"/>
        </w:rPr>
      </w:pPr>
    </w:p>
    <w:p>
      <w:pPr>
        <w:tabs>
          <w:tab w:val="left" w:pos="180"/>
        </w:tabs>
        <w:outlineLvl w:val="0"/>
        <w:rPr>
          <w:noProof/>
          <w:lang w:val="it-IT"/>
        </w:rPr>
      </w:pPr>
      <w:r>
        <w:rPr>
          <w:noProof/>
          <w:lang w:val="it-IT"/>
        </w:rPr>
        <w:t>Tenere fuori dalla vista e dalla portata dei bambini</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7.</w:t>
      </w:r>
      <w:r>
        <w:rPr>
          <w:noProof/>
          <w:lang w:val="it-IT"/>
        </w:rPr>
        <w:tab/>
      </w:r>
      <w:r>
        <w:rPr>
          <w:noProof/>
          <w:lang w:val="it-IT"/>
        </w:rPr>
        <w:tab/>
      </w:r>
      <w:r>
        <w:rPr>
          <w:b/>
          <w:noProof/>
          <w:lang w:val="it-IT"/>
        </w:rPr>
        <w:t>ALTRA(E) AVVERTENZA(E) PARTICOLARE(I), SE NECESSARIO</w:t>
      </w:r>
    </w:p>
    <w:p>
      <w:pPr>
        <w:tabs>
          <w:tab w:val="left" w:pos="180"/>
        </w:tabs>
        <w:rPr>
          <w:noProof/>
          <w:lang w:val="it-IT"/>
        </w:rPr>
      </w:pPr>
    </w:p>
    <w:p>
      <w:pPr>
        <w:tabs>
          <w:tab w:val="left" w:pos="180"/>
        </w:tabs>
        <w:rPr>
          <w:noProof/>
          <w:lang w:val="it-IT"/>
        </w:rPr>
      </w:pPr>
      <w:r>
        <w:rPr>
          <w:noProof/>
          <w:lang w:val="it-IT"/>
        </w:rPr>
        <w:t>Lasciare la siringa a temperatura ambiente fuori dalla confezione per 25-30 minuti prima dell’uso</w:t>
      </w:r>
    </w:p>
    <w:p>
      <w:pPr>
        <w:tabs>
          <w:tab w:val="left" w:pos="180"/>
        </w:tabs>
        <w:rPr>
          <w:noProof/>
          <w:lang w:val="it-IT"/>
        </w:rPr>
      </w:pPr>
    </w:p>
    <w:p>
      <w:pPr>
        <w:tabs>
          <w:tab w:val="left" w:pos="180"/>
        </w:tabs>
        <w:rPr>
          <w:noProof/>
          <w:lang w:val="it-IT"/>
        </w:rPr>
      </w:pPr>
    </w:p>
    <w:p>
      <w:pPr>
        <w:keepNext/>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Change w:id="9951" w:author="Author">
          <w:pPr>
            <w:pBdr>
              <w:top w:val="single" w:sz="4" w:space="1" w:color="auto"/>
              <w:left w:val="single" w:sz="4" w:space="4" w:color="auto"/>
              <w:bottom w:val="single" w:sz="4" w:space="1" w:color="auto"/>
              <w:right w:val="single" w:sz="4" w:space="4" w:color="auto"/>
            </w:pBdr>
            <w:tabs>
              <w:tab w:val="left" w:pos="180"/>
            </w:tabs>
            <w:ind w:left="567" w:hanging="567"/>
            <w:outlineLvl w:val="0"/>
          </w:pPr>
        </w:pPrChange>
      </w:pPr>
      <w:r>
        <w:rPr>
          <w:b/>
          <w:noProof/>
          <w:lang w:val="it-IT"/>
        </w:rPr>
        <w:t>8.</w:t>
      </w:r>
      <w:r>
        <w:rPr>
          <w:noProof/>
          <w:lang w:val="it-IT"/>
        </w:rPr>
        <w:tab/>
      </w:r>
      <w:r>
        <w:rPr>
          <w:noProof/>
          <w:lang w:val="it-IT"/>
        </w:rPr>
        <w:tab/>
      </w:r>
      <w:r>
        <w:rPr>
          <w:b/>
          <w:noProof/>
          <w:lang w:val="it-IT"/>
        </w:rPr>
        <w:t>DATA DI SCADENZA</w:t>
      </w:r>
    </w:p>
    <w:p>
      <w:pPr>
        <w:keepNext/>
        <w:tabs>
          <w:tab w:val="left" w:pos="180"/>
        </w:tabs>
        <w:rPr>
          <w:noProof/>
          <w:lang w:val="it-IT"/>
        </w:rPr>
        <w:pPrChange w:id="9952" w:author="Author">
          <w:pPr>
            <w:tabs>
              <w:tab w:val="left" w:pos="180"/>
            </w:tabs>
          </w:pPr>
        </w:pPrChange>
      </w:pPr>
    </w:p>
    <w:p>
      <w:pPr>
        <w:keepNext/>
        <w:tabs>
          <w:tab w:val="left" w:pos="180"/>
        </w:tabs>
        <w:rPr>
          <w:noProof/>
          <w:lang w:val="it-IT"/>
        </w:rPr>
        <w:pPrChange w:id="9953" w:author="Author">
          <w:pPr>
            <w:tabs>
              <w:tab w:val="left" w:pos="180"/>
            </w:tabs>
          </w:pPr>
        </w:pPrChange>
      </w:pPr>
      <w:r>
        <w:rPr>
          <w:noProof/>
          <w:lang w:val="it-IT"/>
        </w:rPr>
        <w:t xml:space="preserve">Scad. </w:t>
      </w:r>
    </w:p>
    <w:p>
      <w:pPr>
        <w:keepNext/>
        <w:tabs>
          <w:tab w:val="left" w:pos="180"/>
        </w:tabs>
        <w:rPr>
          <w:noProof/>
          <w:lang w:val="it-IT"/>
        </w:rPr>
        <w:pPrChange w:id="9954" w:author="Author">
          <w:pPr>
            <w:tabs>
              <w:tab w:val="left" w:pos="180"/>
            </w:tabs>
          </w:pPr>
        </w:pPrChange>
      </w:pPr>
    </w:p>
    <w:p>
      <w:pPr>
        <w:tabs>
          <w:tab w:val="left" w:pos="180"/>
        </w:tabs>
        <w:rPr>
          <w:noProof/>
          <w:lang w:val="it-IT"/>
        </w:rPr>
      </w:pPr>
    </w:p>
    <w:p>
      <w:pPr>
        <w:keepNext/>
        <w:keepLines/>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lastRenderedPageBreak/>
        <w:t>9.</w:t>
      </w:r>
      <w:r>
        <w:rPr>
          <w:noProof/>
          <w:lang w:val="it-IT"/>
        </w:rPr>
        <w:tab/>
      </w:r>
      <w:r>
        <w:rPr>
          <w:noProof/>
          <w:lang w:val="it-IT"/>
        </w:rPr>
        <w:tab/>
      </w:r>
      <w:r>
        <w:rPr>
          <w:b/>
          <w:noProof/>
          <w:lang w:val="it-IT"/>
        </w:rPr>
        <w:t>PRECAUZIONI PARTICOLARI PER LA CONSERVAZIONE</w:t>
      </w:r>
    </w:p>
    <w:p>
      <w:pPr>
        <w:keepNext/>
        <w:keepLines/>
        <w:tabs>
          <w:tab w:val="left" w:pos="180"/>
        </w:tabs>
        <w:ind w:left="567" w:hanging="567"/>
        <w:rPr>
          <w:noProof/>
          <w:lang w:val="it-IT"/>
        </w:rPr>
      </w:pPr>
    </w:p>
    <w:p>
      <w:pPr>
        <w:keepNext/>
        <w:keepLines/>
        <w:tabs>
          <w:tab w:val="left" w:pos="180"/>
        </w:tabs>
        <w:rPr>
          <w:noProof/>
          <w:lang w:val="it-IT"/>
        </w:rPr>
      </w:pPr>
      <w:r>
        <w:rPr>
          <w:noProof/>
          <w:lang w:val="it-IT"/>
        </w:rPr>
        <w:t xml:space="preserve">Conservare in frigorifero </w:t>
      </w:r>
    </w:p>
    <w:p>
      <w:pPr>
        <w:tabs>
          <w:tab w:val="left" w:pos="180"/>
        </w:tabs>
        <w:rPr>
          <w:noProof/>
          <w:lang w:val="it-IT"/>
        </w:rPr>
      </w:pPr>
      <w:r>
        <w:rPr>
          <w:noProof/>
          <w:lang w:val="it-IT"/>
        </w:rPr>
        <w:t>Non congelare</w:t>
      </w:r>
    </w:p>
    <w:p>
      <w:pPr>
        <w:tabs>
          <w:tab w:val="left" w:pos="180"/>
        </w:tabs>
        <w:rPr>
          <w:noProof/>
          <w:szCs w:val="22"/>
          <w:lang w:val="it-IT"/>
        </w:rPr>
      </w:pPr>
      <w:r>
        <w:rPr>
          <w:noProof/>
          <w:szCs w:val="22"/>
          <w:lang w:val="it-IT"/>
        </w:rPr>
        <w:t>Una volta tolta dal frigorifero, la siringa preriempita può essere conservata per un massimo di 2 settimane a temperatura pari o inferiore a 30°C</w:t>
      </w:r>
    </w:p>
    <w:p>
      <w:pPr>
        <w:tabs>
          <w:tab w:val="left" w:pos="180"/>
        </w:tabs>
        <w:rPr>
          <w:b/>
          <w:bCs/>
          <w:noProof/>
          <w:szCs w:val="22"/>
          <w:lang w:val="it-IT"/>
        </w:rPr>
      </w:pPr>
      <w:r>
        <w:rPr>
          <w:noProof/>
          <w:lang w:val="it-IT"/>
        </w:rPr>
        <w:t>Tenere la siringa preriempita nell’imballaggio esterno per proteggere il medicinale dalla luce e dall’umidità</w:t>
      </w:r>
    </w:p>
    <w:p>
      <w:pPr>
        <w:tabs>
          <w:tab w:val="left" w:pos="180"/>
        </w:tabs>
        <w:ind w:left="567" w:hanging="567"/>
        <w:rPr>
          <w:noProof/>
          <w:lang w:val="it-IT"/>
        </w:rPr>
      </w:pPr>
    </w:p>
    <w:p>
      <w:pPr>
        <w:tabs>
          <w:tab w:val="left" w:pos="180"/>
        </w:tabs>
        <w:ind w:left="567" w:hanging="567"/>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lang w:val="it-IT"/>
        </w:rPr>
      </w:pPr>
      <w:r>
        <w:rPr>
          <w:b/>
          <w:noProof/>
          <w:lang w:val="it-IT"/>
        </w:rPr>
        <w:t>10.</w:t>
      </w:r>
      <w:r>
        <w:rPr>
          <w:noProof/>
          <w:lang w:val="it-IT"/>
        </w:rPr>
        <w:tab/>
      </w:r>
      <w:r>
        <w:rPr>
          <w:b/>
          <w:noProof/>
          <w:lang w:val="it-IT"/>
        </w:rPr>
        <w:t>PRECAUZIONI PARTICOLARI PER LO SMALTIMENTO DEL MEDICINALE NON UTILIZZATO O DEI RIFIUTI DERIVATI DA TALE MEDICINALE, SE NECESSARIO</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lang w:val="it-IT"/>
        </w:rPr>
      </w:pPr>
      <w:r>
        <w:rPr>
          <w:b/>
          <w:noProof/>
          <w:lang w:val="it-IT"/>
        </w:rPr>
        <w:t>11.</w:t>
      </w:r>
      <w:r>
        <w:rPr>
          <w:noProof/>
          <w:lang w:val="it-IT"/>
        </w:rPr>
        <w:tab/>
      </w:r>
      <w:r>
        <w:rPr>
          <w:b/>
          <w:noProof/>
          <w:lang w:val="it-IT"/>
        </w:rPr>
        <w:t>NOME E INDIRIZZO DEL TITOLARE DELL’AUTORIZZAZIONE ALL’IMMISSIONE IN COMMERCIO</w:t>
      </w:r>
    </w:p>
    <w:p>
      <w:pPr>
        <w:tabs>
          <w:tab w:val="left" w:pos="180"/>
        </w:tabs>
        <w:rPr>
          <w:noProof/>
          <w:lang w:val="it-IT"/>
        </w:rPr>
      </w:pPr>
    </w:p>
    <w:p>
      <w:pPr>
        <w:tabs>
          <w:tab w:val="left" w:pos="180"/>
        </w:tabs>
        <w:rPr>
          <w:noProof/>
          <w:lang w:val="de-DE"/>
          <w:rPrChange w:id="9955" w:author="Author">
            <w:rPr>
              <w:noProof/>
              <w:lang w:val="it-IT"/>
            </w:rPr>
          </w:rPrChange>
        </w:rPr>
      </w:pPr>
      <w:r>
        <w:rPr>
          <w:noProof/>
          <w:lang w:val="de-DE"/>
          <w:rPrChange w:id="9956" w:author="Author">
            <w:rPr>
              <w:noProof/>
              <w:lang w:val="it-IT"/>
            </w:rPr>
          </w:rPrChange>
        </w:rPr>
        <w:t xml:space="preserve">Roche Registration GmbH </w:t>
      </w:r>
    </w:p>
    <w:p>
      <w:pPr>
        <w:tabs>
          <w:tab w:val="left" w:pos="180"/>
        </w:tabs>
        <w:rPr>
          <w:noProof/>
          <w:lang w:val="de-DE"/>
          <w:rPrChange w:id="9957" w:author="Author">
            <w:rPr>
              <w:noProof/>
              <w:lang w:val="it-IT"/>
            </w:rPr>
          </w:rPrChange>
        </w:rPr>
      </w:pPr>
      <w:r>
        <w:rPr>
          <w:noProof/>
          <w:lang w:val="de-DE"/>
          <w:rPrChange w:id="9958" w:author="Author">
            <w:rPr>
              <w:noProof/>
              <w:lang w:val="it-IT"/>
            </w:rPr>
          </w:rPrChange>
        </w:rPr>
        <w:t>Emil-Barell-Strasse 1</w:t>
      </w:r>
    </w:p>
    <w:p>
      <w:pPr>
        <w:tabs>
          <w:tab w:val="left" w:pos="180"/>
        </w:tabs>
        <w:rPr>
          <w:noProof/>
          <w:lang w:val="de-DE"/>
          <w:rPrChange w:id="9959" w:author="Author">
            <w:rPr>
              <w:noProof/>
              <w:lang w:val="it-IT"/>
            </w:rPr>
          </w:rPrChange>
        </w:rPr>
      </w:pPr>
      <w:r>
        <w:rPr>
          <w:noProof/>
          <w:lang w:val="de-DE"/>
          <w:rPrChange w:id="9960" w:author="Author">
            <w:rPr>
              <w:noProof/>
              <w:lang w:val="it-IT"/>
            </w:rPr>
          </w:rPrChange>
        </w:rPr>
        <w:t>79639 Grenzach-Wyhlen</w:t>
      </w:r>
    </w:p>
    <w:p>
      <w:pPr>
        <w:tabs>
          <w:tab w:val="left" w:pos="180"/>
        </w:tabs>
        <w:rPr>
          <w:noProof/>
          <w:lang w:val="it-IT"/>
        </w:rPr>
      </w:pPr>
      <w:r>
        <w:rPr>
          <w:noProof/>
          <w:lang w:val="it-IT"/>
        </w:rPr>
        <w:t>Germania</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12.</w:t>
      </w:r>
      <w:r>
        <w:rPr>
          <w:noProof/>
          <w:lang w:val="it-IT"/>
        </w:rPr>
        <w:tab/>
      </w:r>
      <w:r>
        <w:rPr>
          <w:b/>
          <w:noProof/>
          <w:lang w:val="it-IT"/>
        </w:rPr>
        <w:t xml:space="preserve">NUMERO(I) DELL’AUTORIZZAZIONE ALL’IMMISSIONE IN COMMERCIO </w:t>
      </w:r>
    </w:p>
    <w:p>
      <w:pPr>
        <w:tabs>
          <w:tab w:val="left" w:pos="180"/>
        </w:tabs>
        <w:rPr>
          <w:noProof/>
          <w:lang w:val="it-IT"/>
        </w:rPr>
      </w:pPr>
    </w:p>
    <w:p>
      <w:pPr>
        <w:tabs>
          <w:tab w:val="left" w:pos="180"/>
        </w:tabs>
        <w:rPr>
          <w:noProof/>
          <w:lang w:val="it-IT"/>
        </w:rPr>
      </w:pPr>
      <w:r>
        <w:rPr>
          <w:noProof/>
          <w:lang w:val="it-IT"/>
        </w:rPr>
        <w:t>EU/1/08/492/008</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13.</w:t>
      </w:r>
      <w:r>
        <w:rPr>
          <w:noProof/>
          <w:lang w:val="it-IT"/>
        </w:rPr>
        <w:tab/>
      </w:r>
      <w:r>
        <w:rPr>
          <w:b/>
          <w:noProof/>
          <w:lang w:val="it-IT"/>
        </w:rPr>
        <w:t>NUMERO DI LOTTO</w:t>
      </w:r>
    </w:p>
    <w:p>
      <w:pPr>
        <w:tabs>
          <w:tab w:val="left" w:pos="180"/>
        </w:tabs>
        <w:rPr>
          <w:noProof/>
          <w:lang w:val="it-IT"/>
        </w:rPr>
      </w:pPr>
    </w:p>
    <w:p>
      <w:pPr>
        <w:tabs>
          <w:tab w:val="left" w:pos="180"/>
        </w:tabs>
        <w:rPr>
          <w:noProof/>
          <w:lang w:val="it-IT"/>
        </w:rPr>
      </w:pPr>
      <w:r>
        <w:rPr>
          <w:noProof/>
          <w:lang w:val="it-IT"/>
        </w:rPr>
        <w:t xml:space="preserve">Lotto </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14.</w:t>
      </w:r>
      <w:r>
        <w:rPr>
          <w:noProof/>
          <w:lang w:val="it-IT"/>
        </w:rPr>
        <w:tab/>
      </w:r>
      <w:r>
        <w:rPr>
          <w:b/>
          <w:noProof/>
          <w:lang w:val="it-IT"/>
        </w:rPr>
        <w:t>CONDIZIONE GENERALE DI FORNITURA</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15.</w:t>
      </w:r>
      <w:r>
        <w:rPr>
          <w:noProof/>
          <w:lang w:val="it-IT"/>
        </w:rPr>
        <w:tab/>
      </w:r>
      <w:r>
        <w:rPr>
          <w:b/>
          <w:noProof/>
          <w:lang w:val="it-IT"/>
        </w:rPr>
        <w:t>ISTRUZIONI PER L’USO</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16.</w:t>
      </w:r>
      <w:r>
        <w:rPr>
          <w:noProof/>
          <w:lang w:val="it-IT"/>
        </w:rPr>
        <w:tab/>
      </w:r>
      <w:r>
        <w:rPr>
          <w:b/>
          <w:noProof/>
          <w:lang w:val="it-IT"/>
        </w:rPr>
        <w:t>INFORMAZIONI IN BRAILLE</w:t>
      </w:r>
    </w:p>
    <w:p>
      <w:pPr>
        <w:tabs>
          <w:tab w:val="left" w:pos="180"/>
        </w:tabs>
        <w:rPr>
          <w:noProof/>
          <w:lang w:val="it-IT"/>
        </w:rPr>
      </w:pPr>
    </w:p>
    <w:p>
      <w:pPr>
        <w:tabs>
          <w:tab w:val="left" w:pos="180"/>
        </w:tabs>
        <w:rPr>
          <w:noProof/>
          <w:lang w:val="it-IT"/>
        </w:rPr>
      </w:pPr>
      <w:r>
        <w:rPr>
          <w:noProof/>
          <w:lang w:val="it-IT"/>
        </w:rPr>
        <w:t>roactemra 162 mg siringa</w:t>
      </w:r>
    </w:p>
    <w:p>
      <w:pPr>
        <w:rPr>
          <w:noProof/>
          <w:szCs w:val="22"/>
          <w:shd w:val="clear" w:color="auto" w:fill="CCCCCC"/>
          <w:lang w:val="it-IT"/>
        </w:rPr>
      </w:pPr>
    </w:p>
    <w:p>
      <w:pPr>
        <w:rPr>
          <w:noProof/>
          <w:szCs w:val="22"/>
          <w:shd w:val="clear" w:color="auto" w:fill="CCCCCC"/>
          <w:lang w:val="it-IT"/>
        </w:rPr>
      </w:pPr>
    </w:p>
    <w:p>
      <w:pPr>
        <w:keepNext/>
        <w:pBdr>
          <w:top w:val="single" w:sz="4" w:space="1" w:color="auto"/>
          <w:left w:val="single" w:sz="4" w:space="4" w:color="auto"/>
          <w:bottom w:val="single" w:sz="4" w:space="1" w:color="auto"/>
          <w:right w:val="single" w:sz="4" w:space="4" w:color="auto"/>
        </w:pBdr>
        <w:tabs>
          <w:tab w:val="left" w:pos="567"/>
        </w:tabs>
        <w:outlineLvl w:val="0"/>
        <w:rPr>
          <w:i/>
          <w:noProof/>
          <w:lang w:val="it-IT"/>
        </w:rPr>
      </w:pPr>
      <w:r>
        <w:rPr>
          <w:b/>
          <w:noProof/>
          <w:lang w:val="it-IT"/>
        </w:rPr>
        <w:t>17.</w:t>
      </w:r>
      <w:r>
        <w:rPr>
          <w:b/>
          <w:noProof/>
          <w:lang w:val="it-IT"/>
        </w:rPr>
        <w:tab/>
        <w:t>IDENTIFICATIVO UNICO – CODICE A BARRE BIDIMENSIONALE</w:t>
      </w:r>
    </w:p>
    <w:p>
      <w:pPr>
        <w:keepNext/>
        <w:tabs>
          <w:tab w:val="left" w:pos="708"/>
        </w:tabs>
        <w:rPr>
          <w:noProof/>
          <w:szCs w:val="22"/>
          <w:shd w:val="clear" w:color="auto" w:fill="CCCCCC"/>
          <w:lang w:val="it-IT"/>
        </w:rPr>
        <w:pPrChange w:id="9961" w:author="Author">
          <w:pPr>
            <w:tabs>
              <w:tab w:val="left" w:pos="708"/>
            </w:tabs>
          </w:pPr>
        </w:pPrChange>
      </w:pPr>
    </w:p>
    <w:p>
      <w:pPr>
        <w:keepNext/>
        <w:tabs>
          <w:tab w:val="left" w:pos="708"/>
        </w:tabs>
        <w:rPr>
          <w:noProof/>
          <w:lang w:val="it-IT"/>
        </w:rPr>
        <w:pPrChange w:id="9962" w:author="Author">
          <w:pPr>
            <w:tabs>
              <w:tab w:val="left" w:pos="708"/>
            </w:tabs>
          </w:pPr>
        </w:pPrChange>
      </w:pPr>
    </w:p>
    <w:p>
      <w:pPr>
        <w:keepNext/>
        <w:keepLines/>
        <w:pBdr>
          <w:top w:val="single" w:sz="4" w:space="1" w:color="auto"/>
          <w:left w:val="single" w:sz="4" w:space="4" w:color="auto"/>
          <w:bottom w:val="single" w:sz="4" w:space="1" w:color="auto"/>
          <w:right w:val="single" w:sz="4" w:space="4" w:color="auto"/>
        </w:pBdr>
        <w:tabs>
          <w:tab w:val="left" w:pos="567"/>
        </w:tabs>
        <w:outlineLvl w:val="0"/>
        <w:rPr>
          <w:i/>
          <w:noProof/>
          <w:lang w:val="it-IT"/>
        </w:rPr>
      </w:pPr>
      <w:r>
        <w:rPr>
          <w:b/>
          <w:noProof/>
          <w:lang w:val="it-IT"/>
        </w:rPr>
        <w:t>18.</w:t>
      </w:r>
      <w:r>
        <w:rPr>
          <w:b/>
          <w:noProof/>
          <w:lang w:val="it-IT"/>
        </w:rPr>
        <w:tab/>
        <w:t xml:space="preserve">IDENTIFICATIVO UNICO - DATI LEGGIBILI </w:t>
      </w:r>
    </w:p>
    <w:p>
      <w:pPr>
        <w:keepNext/>
        <w:keepLines/>
        <w:tabs>
          <w:tab w:val="left" w:pos="708"/>
        </w:tabs>
        <w:rPr>
          <w:noProof/>
          <w:lang w:val="it-IT"/>
        </w:rPr>
      </w:pPr>
    </w:p>
    <w:p>
      <w:pPr>
        <w:rPr>
          <w:noProof/>
          <w:lang w:val="it-IT"/>
        </w:rPr>
      </w:pPr>
      <w:r>
        <w:rPr>
          <w:noProof/>
          <w:lang w:val="it-IT"/>
        </w:rPr>
        <w:br w:type="page"/>
      </w:r>
    </w:p>
    <w:p>
      <w:pPr>
        <w:rPr>
          <w:noProof/>
          <w:lang w:val="it-IT"/>
        </w:rPr>
      </w:pPr>
    </w:p>
    <w:p>
      <w:pPr>
        <w:pBdr>
          <w:top w:val="single" w:sz="4" w:space="0" w:color="auto"/>
          <w:left w:val="single" w:sz="4" w:space="4" w:color="auto"/>
          <w:bottom w:val="single" w:sz="4" w:space="1" w:color="auto"/>
          <w:right w:val="single" w:sz="4" w:space="4" w:color="auto"/>
        </w:pBdr>
        <w:tabs>
          <w:tab w:val="left" w:pos="180"/>
        </w:tabs>
        <w:rPr>
          <w:b/>
          <w:noProof/>
          <w:lang w:val="it-IT"/>
        </w:rPr>
      </w:pPr>
      <w:r>
        <w:rPr>
          <w:b/>
          <w:noProof/>
          <w:lang w:val="it-IT"/>
        </w:rPr>
        <w:t>INFORMAZIONI MINIME DA APPORRE SUI CONFEZIONAMENTI PRIMARI DI PICCOLE DIMENSIONI</w:t>
      </w:r>
    </w:p>
    <w:p>
      <w:pPr>
        <w:pBdr>
          <w:top w:val="single" w:sz="4" w:space="0" w:color="auto"/>
          <w:left w:val="single" w:sz="4" w:space="4" w:color="auto"/>
          <w:bottom w:val="single" w:sz="4" w:space="1" w:color="auto"/>
          <w:right w:val="single" w:sz="4" w:space="4" w:color="auto"/>
        </w:pBdr>
        <w:tabs>
          <w:tab w:val="left" w:pos="180"/>
        </w:tabs>
        <w:rPr>
          <w:b/>
          <w:noProof/>
          <w:lang w:val="it-IT"/>
        </w:rPr>
      </w:pPr>
    </w:p>
    <w:p>
      <w:pPr>
        <w:pBdr>
          <w:top w:val="single" w:sz="4" w:space="0" w:color="auto"/>
          <w:left w:val="single" w:sz="4" w:space="4" w:color="auto"/>
          <w:bottom w:val="single" w:sz="4" w:space="1" w:color="auto"/>
          <w:right w:val="single" w:sz="4" w:space="4" w:color="auto"/>
        </w:pBdr>
        <w:tabs>
          <w:tab w:val="left" w:pos="180"/>
        </w:tabs>
        <w:rPr>
          <w:b/>
          <w:noProof/>
          <w:lang w:val="it-IT"/>
        </w:rPr>
      </w:pPr>
      <w:r>
        <w:rPr>
          <w:b/>
          <w:noProof/>
          <w:lang w:val="it-IT"/>
        </w:rPr>
        <w:t>ETICHETTA DELLA SIRINGA PRERIEMPITA</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lang w:val="it-IT"/>
        </w:rPr>
      </w:pPr>
      <w:r>
        <w:rPr>
          <w:b/>
          <w:noProof/>
          <w:lang w:val="it-IT"/>
        </w:rPr>
        <w:t>1.</w:t>
      </w:r>
      <w:r>
        <w:rPr>
          <w:noProof/>
          <w:lang w:val="it-IT"/>
        </w:rPr>
        <w:tab/>
      </w:r>
      <w:r>
        <w:rPr>
          <w:noProof/>
          <w:lang w:val="it-IT"/>
        </w:rPr>
        <w:tab/>
      </w:r>
      <w:r>
        <w:rPr>
          <w:b/>
          <w:noProof/>
          <w:lang w:val="it-IT"/>
        </w:rPr>
        <w:t>DENOMINAZIONE DEL MEDICINALE E VIA(E) DI SOMMINISTRAZIONE</w:t>
      </w:r>
    </w:p>
    <w:p>
      <w:pPr>
        <w:tabs>
          <w:tab w:val="left" w:pos="180"/>
        </w:tabs>
        <w:ind w:left="567" w:hanging="567"/>
        <w:rPr>
          <w:noProof/>
          <w:lang w:val="it-IT"/>
        </w:rPr>
      </w:pPr>
    </w:p>
    <w:p>
      <w:pPr>
        <w:widowControl w:val="0"/>
        <w:tabs>
          <w:tab w:val="left" w:pos="180"/>
          <w:tab w:val="left" w:pos="3969"/>
        </w:tabs>
        <w:autoSpaceDE w:val="0"/>
        <w:autoSpaceDN w:val="0"/>
        <w:adjustRightInd w:val="0"/>
        <w:spacing w:before="31"/>
        <w:ind w:right="4687"/>
        <w:rPr>
          <w:noProof/>
          <w:spacing w:val="-8"/>
          <w:lang w:val="it-IT"/>
        </w:rPr>
      </w:pPr>
      <w:r>
        <w:rPr>
          <w:noProof/>
          <w:lang w:val="it-IT"/>
        </w:rPr>
        <w:t>RoActemra 162 mg soluzione iniettabile</w:t>
      </w:r>
    </w:p>
    <w:p>
      <w:pPr>
        <w:tabs>
          <w:tab w:val="left" w:pos="180"/>
        </w:tabs>
        <w:rPr>
          <w:noProof/>
          <w:lang w:val="it-IT"/>
        </w:rPr>
      </w:pPr>
      <w:r>
        <w:rPr>
          <w:noProof/>
          <w:lang w:val="it-IT"/>
        </w:rPr>
        <w:t>tocilizumab</w:t>
      </w:r>
    </w:p>
    <w:p>
      <w:pPr>
        <w:tabs>
          <w:tab w:val="left" w:pos="180"/>
        </w:tabs>
        <w:rPr>
          <w:noProof/>
          <w:lang w:val="it-IT"/>
        </w:rPr>
      </w:pPr>
      <w:ins w:id="9963" w:author="Author">
        <w:r>
          <w:rPr>
            <w:noProof/>
            <w:lang w:val="it-IT"/>
          </w:rPr>
          <w:t xml:space="preserve">s.c. </w:t>
        </w:r>
      </w:ins>
      <w:del w:id="9964" w:author="Author">
        <w:r>
          <w:rPr>
            <w:noProof/>
            <w:lang w:val="it-IT"/>
          </w:rPr>
          <w:delText>Solo per uso</w:delText>
        </w:r>
        <w:r>
          <w:rPr>
            <w:noProof/>
            <w:spacing w:val="-4"/>
            <w:lang w:val="it-IT"/>
          </w:rPr>
          <w:delText xml:space="preserve"> </w:delText>
        </w:r>
        <w:r>
          <w:rPr>
            <w:noProof/>
            <w:lang w:val="it-IT"/>
          </w:rPr>
          <w:delText xml:space="preserve">sottocutaneo </w:delText>
        </w:r>
      </w:del>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lang w:val="it-IT"/>
        </w:rPr>
      </w:pPr>
      <w:r>
        <w:rPr>
          <w:b/>
          <w:noProof/>
          <w:lang w:val="it-IT"/>
        </w:rPr>
        <w:t>2.</w:t>
      </w:r>
      <w:r>
        <w:rPr>
          <w:noProof/>
          <w:lang w:val="it-IT"/>
        </w:rPr>
        <w:tab/>
      </w:r>
      <w:r>
        <w:rPr>
          <w:noProof/>
          <w:lang w:val="it-IT"/>
        </w:rPr>
        <w:tab/>
      </w:r>
      <w:r>
        <w:rPr>
          <w:b/>
          <w:noProof/>
          <w:lang w:val="it-IT"/>
        </w:rPr>
        <w:t>MODO DI SOMMINISTRAZIONE</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lang w:val="it-IT"/>
        </w:rPr>
      </w:pPr>
      <w:r>
        <w:rPr>
          <w:b/>
          <w:noProof/>
          <w:lang w:val="it-IT"/>
        </w:rPr>
        <w:t>3.</w:t>
      </w:r>
      <w:r>
        <w:rPr>
          <w:b/>
          <w:noProof/>
          <w:lang w:val="it-IT"/>
        </w:rPr>
        <w:tab/>
      </w:r>
      <w:r>
        <w:rPr>
          <w:noProof/>
          <w:lang w:val="it-IT"/>
        </w:rPr>
        <w:tab/>
      </w:r>
      <w:r>
        <w:rPr>
          <w:b/>
          <w:noProof/>
          <w:lang w:val="it-IT"/>
        </w:rPr>
        <w:t>DATA DI SCADENZA</w:t>
      </w:r>
    </w:p>
    <w:p>
      <w:pPr>
        <w:tabs>
          <w:tab w:val="left" w:pos="180"/>
        </w:tabs>
        <w:rPr>
          <w:noProof/>
          <w:lang w:val="it-IT"/>
        </w:rPr>
      </w:pPr>
    </w:p>
    <w:p>
      <w:pPr>
        <w:tabs>
          <w:tab w:val="left" w:pos="180"/>
        </w:tabs>
        <w:rPr>
          <w:noProof/>
          <w:lang w:val="it-IT"/>
        </w:rPr>
      </w:pPr>
      <w:r>
        <w:rPr>
          <w:noProof/>
          <w:lang w:val="it-IT"/>
        </w:rPr>
        <w:t xml:space="preserve">EXP </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lang w:val="it-IT"/>
        </w:rPr>
      </w:pPr>
      <w:r>
        <w:rPr>
          <w:b/>
          <w:noProof/>
          <w:lang w:val="it-IT"/>
        </w:rPr>
        <w:t>4.</w:t>
      </w:r>
      <w:r>
        <w:rPr>
          <w:noProof/>
          <w:lang w:val="it-IT"/>
        </w:rPr>
        <w:tab/>
      </w:r>
      <w:r>
        <w:rPr>
          <w:noProof/>
          <w:lang w:val="it-IT"/>
        </w:rPr>
        <w:tab/>
      </w:r>
      <w:r>
        <w:rPr>
          <w:b/>
          <w:noProof/>
          <w:lang w:val="it-IT"/>
        </w:rPr>
        <w:t>NUMERO DI LOTTO</w:t>
      </w:r>
    </w:p>
    <w:p>
      <w:pPr>
        <w:tabs>
          <w:tab w:val="left" w:pos="180"/>
        </w:tabs>
        <w:rPr>
          <w:noProof/>
          <w:lang w:val="it-IT"/>
        </w:rPr>
      </w:pPr>
    </w:p>
    <w:p>
      <w:pPr>
        <w:tabs>
          <w:tab w:val="left" w:pos="180"/>
        </w:tabs>
        <w:rPr>
          <w:noProof/>
          <w:lang w:val="it-IT"/>
        </w:rPr>
      </w:pPr>
      <w:r>
        <w:rPr>
          <w:noProof/>
          <w:lang w:val="it-IT"/>
        </w:rPr>
        <w:t>Lot</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lang w:val="it-IT"/>
        </w:rPr>
      </w:pPr>
      <w:r>
        <w:rPr>
          <w:b/>
          <w:noProof/>
          <w:lang w:val="it-IT"/>
        </w:rPr>
        <w:t>5.</w:t>
      </w:r>
      <w:r>
        <w:rPr>
          <w:noProof/>
          <w:lang w:val="it-IT"/>
        </w:rPr>
        <w:tab/>
      </w:r>
      <w:r>
        <w:rPr>
          <w:noProof/>
          <w:lang w:val="it-IT"/>
        </w:rPr>
        <w:tab/>
      </w:r>
      <w:r>
        <w:rPr>
          <w:b/>
          <w:noProof/>
          <w:lang w:val="it-IT"/>
        </w:rPr>
        <w:t>CONTENUTO IN PESO, VOLUME O UNITÀ</w:t>
      </w:r>
    </w:p>
    <w:p>
      <w:pPr>
        <w:tabs>
          <w:tab w:val="left" w:pos="180"/>
        </w:tabs>
        <w:ind w:right="113"/>
        <w:rPr>
          <w:noProof/>
          <w:lang w:val="it-IT"/>
        </w:rPr>
      </w:pPr>
    </w:p>
    <w:p>
      <w:pPr>
        <w:tabs>
          <w:tab w:val="left" w:pos="180"/>
        </w:tabs>
        <w:ind w:right="113"/>
        <w:rPr>
          <w:noProof/>
          <w:lang w:val="it-IT"/>
        </w:rPr>
      </w:pPr>
      <w:r>
        <w:rPr>
          <w:noProof/>
          <w:szCs w:val="22"/>
          <w:lang w:val="it-IT"/>
        </w:rPr>
        <w:t xml:space="preserve">162 mg/0,9 mL </w:t>
      </w:r>
    </w:p>
    <w:p>
      <w:pPr>
        <w:tabs>
          <w:tab w:val="left" w:pos="180"/>
        </w:tabs>
        <w:ind w:right="113"/>
        <w:rPr>
          <w:noProof/>
          <w:lang w:val="it-IT"/>
        </w:rPr>
      </w:pPr>
    </w:p>
    <w:p>
      <w:pPr>
        <w:tabs>
          <w:tab w:val="left" w:pos="180"/>
        </w:tabs>
        <w:ind w:right="113"/>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b/>
          <w:noProof/>
          <w:lang w:val="it-IT"/>
        </w:rPr>
      </w:pPr>
      <w:r>
        <w:rPr>
          <w:b/>
          <w:noProof/>
          <w:lang w:val="it-IT"/>
        </w:rPr>
        <w:t>6.</w:t>
      </w:r>
      <w:r>
        <w:rPr>
          <w:noProof/>
          <w:lang w:val="it-IT"/>
        </w:rPr>
        <w:tab/>
      </w:r>
      <w:r>
        <w:rPr>
          <w:noProof/>
          <w:lang w:val="it-IT"/>
        </w:rPr>
        <w:tab/>
      </w:r>
      <w:r>
        <w:rPr>
          <w:b/>
          <w:noProof/>
          <w:lang w:val="it-IT"/>
        </w:rPr>
        <w:t>ALTRO</w:t>
      </w:r>
    </w:p>
    <w:p>
      <w:pPr>
        <w:rPr>
          <w:noProof/>
          <w:szCs w:val="22"/>
          <w:lang w:val="it-IT"/>
        </w:rPr>
      </w:pPr>
      <w:r>
        <w:rPr>
          <w:noProof/>
          <w:szCs w:val="22"/>
          <w:lang w:val="it-IT"/>
        </w:rPr>
        <w:br w:type="page"/>
      </w:r>
    </w:p>
    <w:p>
      <w:pPr>
        <w:rPr>
          <w:del w:id="9965" w:author="Author"/>
          <w:noProof/>
          <w:szCs w:val="22"/>
          <w:lang w:val="it-IT"/>
        </w:rPr>
      </w:pPr>
    </w:p>
    <w:p>
      <w:pPr>
        <w:pBdr>
          <w:top w:val="single" w:sz="4" w:space="1" w:color="auto"/>
          <w:left w:val="single" w:sz="4" w:space="1" w:color="auto"/>
          <w:bottom w:val="single" w:sz="4" w:space="1" w:color="auto"/>
          <w:right w:val="single" w:sz="4" w:space="1" w:color="auto"/>
        </w:pBdr>
        <w:tabs>
          <w:tab w:val="left" w:pos="180"/>
        </w:tabs>
        <w:rPr>
          <w:b/>
          <w:noProof/>
          <w:lang w:val="it-IT"/>
        </w:rPr>
      </w:pPr>
      <w:r>
        <w:rPr>
          <w:b/>
          <w:noProof/>
          <w:lang w:val="it-IT"/>
        </w:rPr>
        <w:t>INFORMAZIONI DA APPORRE SUL CONFEZIONAMENTO SECONDARIO</w:t>
      </w:r>
    </w:p>
    <w:p>
      <w:pPr>
        <w:pBdr>
          <w:top w:val="single" w:sz="4" w:space="1" w:color="auto"/>
          <w:left w:val="single" w:sz="4" w:space="1" w:color="auto"/>
          <w:bottom w:val="single" w:sz="4" w:space="1" w:color="auto"/>
          <w:right w:val="single" w:sz="4" w:space="1" w:color="auto"/>
        </w:pBdr>
        <w:tabs>
          <w:tab w:val="left" w:pos="180"/>
        </w:tabs>
        <w:ind w:left="567" w:hanging="567"/>
        <w:rPr>
          <w:bCs/>
          <w:noProof/>
          <w:lang w:val="it-IT"/>
        </w:rPr>
      </w:pPr>
    </w:p>
    <w:p>
      <w:pPr>
        <w:pBdr>
          <w:top w:val="single" w:sz="4" w:space="1" w:color="auto"/>
          <w:left w:val="single" w:sz="4" w:space="1" w:color="auto"/>
          <w:bottom w:val="single" w:sz="4" w:space="1" w:color="auto"/>
          <w:right w:val="single" w:sz="4" w:space="1" w:color="auto"/>
        </w:pBdr>
        <w:tabs>
          <w:tab w:val="left" w:pos="180"/>
        </w:tabs>
        <w:rPr>
          <w:bCs/>
          <w:noProof/>
          <w:lang w:val="it-IT"/>
        </w:rPr>
      </w:pPr>
      <w:r>
        <w:rPr>
          <w:b/>
          <w:noProof/>
          <w:lang w:val="it-IT"/>
        </w:rPr>
        <w:t>ASTUCCIO DELLA PENNA PRERIEMPITA</w:t>
      </w:r>
    </w:p>
    <w:p>
      <w:pPr>
        <w:tabs>
          <w:tab w:val="left" w:pos="180"/>
        </w:tabs>
        <w:rPr>
          <w:noProof/>
          <w:lang w:val="it-IT"/>
        </w:rPr>
      </w:pPr>
    </w:p>
    <w:p>
      <w:pPr>
        <w:tabs>
          <w:tab w:val="left" w:pos="180"/>
        </w:tabs>
        <w:rPr>
          <w:noProof/>
          <w:lang w:val="it-IT"/>
        </w:rPr>
      </w:pPr>
    </w:p>
    <w:p>
      <w:pPr>
        <w:pBdr>
          <w:top w:val="single" w:sz="4" w:space="1" w:color="auto"/>
          <w:left w:val="single" w:sz="4" w:space="4" w:color="auto"/>
          <w:bottom w:val="single" w:sz="4" w:space="1" w:color="auto"/>
          <w:right w:val="single" w:sz="4" w:space="4" w:color="auto"/>
        </w:pBdr>
        <w:tabs>
          <w:tab w:val="left" w:pos="180"/>
        </w:tabs>
        <w:ind w:left="567" w:hanging="567"/>
        <w:outlineLvl w:val="0"/>
        <w:rPr>
          <w:noProof/>
          <w:lang w:val="it-IT"/>
        </w:rPr>
      </w:pPr>
      <w:r>
        <w:rPr>
          <w:b/>
          <w:noProof/>
          <w:lang w:val="it-IT"/>
        </w:rPr>
        <w:t>1.</w:t>
      </w:r>
      <w:r>
        <w:rPr>
          <w:noProof/>
          <w:lang w:val="it-IT"/>
        </w:rPr>
        <w:tab/>
      </w:r>
      <w:r>
        <w:rPr>
          <w:noProof/>
          <w:lang w:val="it-IT"/>
        </w:rPr>
        <w:tab/>
      </w:r>
      <w:r>
        <w:rPr>
          <w:b/>
          <w:noProof/>
          <w:lang w:val="it-IT"/>
        </w:rPr>
        <w:t>DENOMINAZIONE DEL MEDICINALE</w:t>
      </w:r>
    </w:p>
    <w:p>
      <w:pPr>
        <w:rPr>
          <w:rFonts w:eastAsia="Calibri"/>
          <w:noProof/>
          <w:szCs w:val="22"/>
          <w:lang w:val="it-IT" w:eastAsia="en-US"/>
        </w:rPr>
      </w:pPr>
    </w:p>
    <w:p>
      <w:pPr>
        <w:rPr>
          <w:iCs/>
          <w:noProof/>
          <w:szCs w:val="22"/>
          <w:lang w:val="it-IT" w:eastAsia="en-US"/>
        </w:rPr>
      </w:pPr>
      <w:r>
        <w:rPr>
          <w:rFonts w:eastAsia="Calibri"/>
          <w:noProof/>
          <w:szCs w:val="22"/>
          <w:lang w:val="it-IT" w:eastAsia="en-US"/>
        </w:rPr>
        <w:t>RoActemra 162 mg soluzione iniettabile in penna preriempita</w:t>
      </w:r>
    </w:p>
    <w:p>
      <w:pPr>
        <w:rPr>
          <w:rFonts w:eastAsia="Calibri"/>
          <w:noProof/>
          <w:szCs w:val="22"/>
          <w:lang w:val="it-IT" w:eastAsia="en-US"/>
        </w:rPr>
      </w:pPr>
      <w:r>
        <w:rPr>
          <w:rFonts w:eastAsia="Calibri"/>
          <w:noProof/>
          <w:szCs w:val="22"/>
          <w:lang w:val="it-IT" w:eastAsia="en-US"/>
        </w:rPr>
        <w:t>tocilizumab</w:t>
      </w:r>
    </w:p>
    <w:p>
      <w:pPr>
        <w:rPr>
          <w:noProof/>
          <w:szCs w:val="22"/>
          <w:lang w:val="it-IT" w:eastAsia="en-US"/>
        </w:rPr>
      </w:pPr>
    </w:p>
    <w:p>
      <w:pPr>
        <w:rPr>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b/>
          <w:noProof/>
          <w:szCs w:val="22"/>
          <w:lang w:val="it-IT" w:eastAsia="en-US"/>
        </w:rPr>
      </w:pPr>
      <w:r>
        <w:rPr>
          <w:rFonts w:eastAsia="Calibri"/>
          <w:b/>
          <w:noProof/>
          <w:szCs w:val="22"/>
          <w:lang w:val="it-IT" w:eastAsia="en-US"/>
        </w:rPr>
        <w:t>2.</w:t>
      </w:r>
      <w:r>
        <w:rPr>
          <w:rFonts w:eastAsia="Calibri"/>
          <w:b/>
          <w:noProof/>
          <w:szCs w:val="22"/>
          <w:lang w:val="it-IT" w:eastAsia="en-US"/>
        </w:rPr>
        <w:tab/>
        <w:t>COMPOSIZIONE QUALITATIVA E QUANTITATIVA IN TERMINI DI PRINCIPIO</w:t>
      </w:r>
      <w:del w:id="9966" w:author="Author">
        <w:r>
          <w:rPr>
            <w:rFonts w:eastAsia="Calibri"/>
            <w:b/>
            <w:noProof/>
            <w:szCs w:val="22"/>
            <w:lang w:val="it-IT" w:eastAsia="en-US"/>
          </w:rPr>
          <w:delText>(I)</w:delText>
        </w:r>
      </w:del>
      <w:r>
        <w:rPr>
          <w:rFonts w:eastAsia="Calibri"/>
          <w:b/>
          <w:noProof/>
          <w:szCs w:val="22"/>
          <w:lang w:val="it-IT" w:eastAsia="en-US"/>
        </w:rPr>
        <w:t xml:space="preserve"> ATTIVO</w:t>
      </w:r>
      <w:del w:id="9967" w:author="Author">
        <w:r>
          <w:rPr>
            <w:rFonts w:eastAsia="Calibri"/>
            <w:b/>
            <w:noProof/>
            <w:szCs w:val="22"/>
            <w:lang w:val="it-IT" w:eastAsia="en-US"/>
          </w:rPr>
          <w:delText>(I)</w:delText>
        </w:r>
      </w:del>
    </w:p>
    <w:p>
      <w:pPr>
        <w:rPr>
          <w:rFonts w:eastAsia="Calibri"/>
          <w:noProof/>
          <w:szCs w:val="22"/>
          <w:lang w:val="it-IT" w:eastAsia="en-US"/>
        </w:rPr>
      </w:pPr>
    </w:p>
    <w:p>
      <w:pPr>
        <w:rPr>
          <w:rFonts w:eastAsia="Calibri"/>
          <w:noProof/>
          <w:szCs w:val="22"/>
          <w:lang w:val="it-IT" w:eastAsia="en-US"/>
        </w:rPr>
      </w:pPr>
      <w:r>
        <w:rPr>
          <w:rFonts w:eastAsia="Calibri"/>
          <w:noProof/>
          <w:szCs w:val="22"/>
          <w:lang w:val="it-IT" w:eastAsia="en-US"/>
        </w:rPr>
        <w:t>1 penna preriempita contiene 162 mg di tocilizumab</w:t>
      </w:r>
    </w:p>
    <w:p>
      <w:pPr>
        <w:rPr>
          <w:noProof/>
          <w:szCs w:val="22"/>
          <w:lang w:val="it-IT" w:eastAsia="en-US"/>
        </w:rPr>
      </w:pPr>
    </w:p>
    <w:p>
      <w:pPr>
        <w:rPr>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3.</w:t>
      </w:r>
      <w:r>
        <w:rPr>
          <w:rFonts w:eastAsia="Calibri"/>
          <w:b/>
          <w:noProof/>
          <w:szCs w:val="22"/>
          <w:lang w:val="it-IT" w:eastAsia="en-US"/>
        </w:rPr>
        <w:tab/>
        <w:t>ELENCO DEGLI ECCIPIENTI</w:t>
      </w:r>
    </w:p>
    <w:p>
      <w:pPr>
        <w:outlineLvl w:val="0"/>
        <w:rPr>
          <w:rFonts w:eastAsia="Calibri"/>
          <w:bCs/>
          <w:noProof/>
          <w:szCs w:val="22"/>
          <w:lang w:val="it-IT" w:eastAsia="en-US"/>
        </w:rPr>
      </w:pPr>
    </w:p>
    <w:p>
      <w:pPr>
        <w:tabs>
          <w:tab w:val="left" w:pos="180"/>
        </w:tabs>
        <w:autoSpaceDE w:val="0"/>
        <w:autoSpaceDN w:val="0"/>
        <w:adjustRightInd w:val="0"/>
        <w:rPr>
          <w:bCs/>
          <w:noProof/>
          <w:szCs w:val="22"/>
          <w:highlight w:val="lightGray"/>
          <w:lang w:val="it-IT"/>
        </w:rPr>
      </w:pPr>
      <w:r>
        <w:rPr>
          <w:rFonts w:eastAsia="Calibri"/>
          <w:bCs/>
          <w:noProof/>
          <w:szCs w:val="22"/>
          <w:lang w:val="it-IT" w:eastAsia="en-US"/>
        </w:rPr>
        <w:t xml:space="preserve">Contiene anche L-istidina, L-istidina monocloridrato monoidrato, </w:t>
      </w:r>
      <w:r>
        <w:rPr>
          <w:bCs/>
          <w:noProof/>
          <w:szCs w:val="22"/>
          <w:highlight w:val="lightGray"/>
          <w:lang w:val="it-IT"/>
        </w:rPr>
        <w:t>L-arginina</w:t>
      </w:r>
      <w:r>
        <w:rPr>
          <w:rFonts w:eastAsia="Calibri"/>
          <w:bCs/>
          <w:noProof/>
          <w:szCs w:val="22"/>
          <w:highlight w:val="lightGray"/>
          <w:lang w:val="it-IT" w:eastAsia="en-US"/>
        </w:rPr>
        <w:t>/</w:t>
      </w:r>
      <w:r>
        <w:rPr>
          <w:rFonts w:eastAsia="Calibri"/>
          <w:bCs/>
          <w:noProof/>
          <w:szCs w:val="22"/>
          <w:lang w:val="it-IT" w:eastAsia="en-US"/>
        </w:rPr>
        <w:t xml:space="preserve">L-arginina cloridrato, L-metionina, polisorbato 80, acqua per preparazioni iniettabili. </w:t>
      </w:r>
      <w:r>
        <w:rPr>
          <w:bCs/>
          <w:noProof/>
          <w:szCs w:val="22"/>
          <w:highlight w:val="lightGray"/>
          <w:lang w:val="it-IT"/>
        </w:rPr>
        <w:t>Vedere il foglio illustrativo per ulteriori informazioni.</w:t>
      </w:r>
    </w:p>
    <w:p>
      <w:pPr>
        <w:outlineLvl w:val="0"/>
        <w:rPr>
          <w:rFonts w:eastAsia="Calibri"/>
          <w:bCs/>
          <w:noProof/>
          <w:szCs w:val="22"/>
          <w:lang w:val="it-IT" w:eastAsia="en-US"/>
        </w:rPr>
      </w:pPr>
    </w:p>
    <w:p>
      <w:pPr>
        <w:ind w:left="567" w:hanging="567"/>
        <w:outlineLvl w:val="0"/>
        <w:rPr>
          <w:bCs/>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4.</w:t>
      </w:r>
      <w:r>
        <w:rPr>
          <w:rFonts w:eastAsia="Calibri"/>
          <w:b/>
          <w:noProof/>
          <w:szCs w:val="22"/>
          <w:lang w:val="it-IT" w:eastAsia="en-US"/>
        </w:rPr>
        <w:tab/>
        <w:t>FORMA FARMACEUTICA E CONTENUTO</w:t>
      </w:r>
    </w:p>
    <w:p>
      <w:pPr>
        <w:rPr>
          <w:rFonts w:eastAsia="Calibri"/>
          <w:noProof/>
          <w:szCs w:val="22"/>
          <w:lang w:val="it-IT" w:eastAsia="en-US"/>
        </w:rPr>
      </w:pPr>
    </w:p>
    <w:p>
      <w:pPr>
        <w:rPr>
          <w:noProof/>
          <w:szCs w:val="22"/>
          <w:lang w:val="it-IT" w:eastAsia="en-US"/>
        </w:rPr>
      </w:pPr>
      <w:r>
        <w:rPr>
          <w:rFonts w:eastAsia="Calibri"/>
          <w:noProof/>
          <w:szCs w:val="22"/>
          <w:highlight w:val="lightGray"/>
          <w:lang w:val="it-IT" w:eastAsia="en-US"/>
        </w:rPr>
        <w:t>Soluzione iniettabile</w:t>
      </w:r>
    </w:p>
    <w:p>
      <w:pPr>
        <w:tabs>
          <w:tab w:val="left" w:pos="284"/>
          <w:tab w:val="left" w:pos="567"/>
        </w:tabs>
        <w:rPr>
          <w:rFonts w:eastAsia="Calibri"/>
          <w:noProof/>
          <w:szCs w:val="22"/>
          <w:lang w:val="it-IT" w:eastAsia="en-US"/>
        </w:rPr>
      </w:pPr>
      <w:r>
        <w:rPr>
          <w:rFonts w:eastAsia="Calibri"/>
          <w:noProof/>
          <w:szCs w:val="22"/>
          <w:lang w:val="it-IT" w:eastAsia="en-US"/>
        </w:rPr>
        <w:t>4 penne preriempite ACTPen</w:t>
      </w:r>
    </w:p>
    <w:p>
      <w:pPr>
        <w:rPr>
          <w:bCs/>
          <w:noProof/>
          <w:szCs w:val="22"/>
          <w:highlight w:val="lightGray"/>
          <w:lang w:val="it-IT"/>
        </w:rPr>
      </w:pPr>
      <w:r>
        <w:rPr>
          <w:bCs/>
          <w:noProof/>
          <w:szCs w:val="22"/>
          <w:highlight w:val="lightGray"/>
          <w:lang w:val="it-IT"/>
        </w:rPr>
        <w:t>Confezione multipla: 12 (3 confezioni da 4) penne preriempite ACTPen</w:t>
      </w:r>
    </w:p>
    <w:p>
      <w:pPr>
        <w:tabs>
          <w:tab w:val="left" w:pos="284"/>
          <w:tab w:val="left" w:pos="567"/>
        </w:tabs>
        <w:rPr>
          <w:rFonts w:eastAsia="Calibri"/>
          <w:noProof/>
          <w:szCs w:val="22"/>
          <w:lang w:val="it-IT" w:eastAsia="en-US"/>
        </w:rPr>
      </w:pPr>
      <w:r>
        <w:rPr>
          <w:rFonts w:eastAsia="Calibri"/>
          <w:noProof/>
          <w:szCs w:val="22"/>
          <w:lang w:val="it-IT" w:eastAsia="en-US"/>
        </w:rPr>
        <w:t>162 mg/0,9 mL</w:t>
      </w:r>
    </w:p>
    <w:p>
      <w:pPr>
        <w:tabs>
          <w:tab w:val="left" w:pos="284"/>
          <w:tab w:val="left" w:pos="567"/>
        </w:tabs>
        <w:rPr>
          <w:noProof/>
          <w:szCs w:val="22"/>
          <w:lang w:val="it-IT" w:eastAsia="en-US"/>
        </w:rPr>
      </w:pPr>
    </w:p>
    <w:p>
      <w:pPr>
        <w:tabs>
          <w:tab w:val="left" w:pos="284"/>
          <w:tab w:val="left" w:pos="567"/>
        </w:tabs>
        <w:rPr>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5.</w:t>
      </w:r>
      <w:r>
        <w:rPr>
          <w:rFonts w:eastAsia="Calibri"/>
          <w:b/>
          <w:noProof/>
          <w:szCs w:val="22"/>
          <w:lang w:val="it-IT" w:eastAsia="en-US"/>
        </w:rPr>
        <w:tab/>
        <w:t>MODO E VIA</w:t>
      </w:r>
      <w:del w:id="9968" w:author="Author">
        <w:r>
          <w:rPr>
            <w:rFonts w:eastAsia="Calibri"/>
            <w:b/>
            <w:noProof/>
            <w:szCs w:val="22"/>
            <w:lang w:val="it-IT" w:eastAsia="en-US"/>
          </w:rPr>
          <w:delText>(E)</w:delText>
        </w:r>
      </w:del>
      <w:r>
        <w:rPr>
          <w:rFonts w:eastAsia="Calibri"/>
          <w:b/>
          <w:noProof/>
          <w:szCs w:val="22"/>
          <w:lang w:val="it-IT" w:eastAsia="en-US"/>
        </w:rPr>
        <w:t xml:space="preserve"> DI SOMMINISTRAZIONE</w:t>
      </w:r>
    </w:p>
    <w:p>
      <w:pPr>
        <w:tabs>
          <w:tab w:val="left" w:pos="284"/>
          <w:tab w:val="left" w:pos="567"/>
        </w:tabs>
        <w:outlineLvl w:val="0"/>
        <w:rPr>
          <w:rFonts w:eastAsia="Calibri"/>
          <w:noProof/>
          <w:szCs w:val="22"/>
          <w:lang w:val="it-IT" w:eastAsia="en-US"/>
        </w:rPr>
      </w:pPr>
    </w:p>
    <w:p>
      <w:pPr>
        <w:tabs>
          <w:tab w:val="left" w:pos="284"/>
          <w:tab w:val="left" w:pos="567"/>
        </w:tabs>
        <w:outlineLvl w:val="0"/>
        <w:rPr>
          <w:noProof/>
          <w:szCs w:val="22"/>
          <w:lang w:val="it-IT" w:eastAsia="en-US"/>
        </w:rPr>
      </w:pPr>
      <w:r>
        <w:rPr>
          <w:rFonts w:eastAsia="Calibri"/>
          <w:noProof/>
          <w:szCs w:val="22"/>
          <w:lang w:val="it-IT" w:eastAsia="en-US"/>
        </w:rPr>
        <w:t xml:space="preserve">Uso sottocutaneo </w:t>
      </w:r>
    </w:p>
    <w:p>
      <w:pPr>
        <w:rPr>
          <w:rFonts w:eastAsia="Calibri"/>
          <w:noProof/>
          <w:szCs w:val="22"/>
          <w:lang w:val="it-IT" w:eastAsia="en-US"/>
        </w:rPr>
      </w:pPr>
      <w:r>
        <w:rPr>
          <w:rFonts w:eastAsia="Calibri"/>
          <w:noProof/>
          <w:szCs w:val="22"/>
          <w:lang w:val="it-IT" w:eastAsia="en-US"/>
        </w:rPr>
        <w:t>Leggere il foglio illustrativo prima dell’uso</w:t>
      </w:r>
    </w:p>
    <w:p>
      <w:pPr>
        <w:rPr>
          <w:noProof/>
          <w:szCs w:val="22"/>
          <w:lang w:val="it-IT" w:eastAsia="en-US"/>
        </w:rPr>
      </w:pPr>
    </w:p>
    <w:p>
      <w:pPr>
        <w:rPr>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6.</w:t>
      </w:r>
      <w:r>
        <w:rPr>
          <w:rFonts w:eastAsia="Calibri"/>
          <w:b/>
          <w:noProof/>
          <w:szCs w:val="22"/>
          <w:lang w:val="it-IT" w:eastAsia="en-US"/>
        </w:rPr>
        <w:tab/>
        <w:t>AVVERTENZA PARTICOLARE CHE PRESCRIVA DI TENERE IL MEDICINALE FUORI DALLA PORTATA E DALLA VISTA DEI BAMBINI</w:t>
      </w:r>
    </w:p>
    <w:p>
      <w:pPr>
        <w:outlineLvl w:val="0"/>
        <w:rPr>
          <w:rFonts w:eastAsia="Calibri"/>
          <w:noProof/>
          <w:szCs w:val="22"/>
          <w:lang w:val="it-IT" w:eastAsia="en-US"/>
        </w:rPr>
      </w:pPr>
    </w:p>
    <w:p>
      <w:pPr>
        <w:outlineLvl w:val="0"/>
        <w:rPr>
          <w:rFonts w:eastAsia="Calibri"/>
          <w:noProof/>
          <w:szCs w:val="22"/>
          <w:lang w:val="it-IT" w:eastAsia="en-US"/>
        </w:rPr>
      </w:pPr>
      <w:r>
        <w:rPr>
          <w:rFonts w:eastAsia="Calibri"/>
          <w:noProof/>
          <w:szCs w:val="22"/>
          <w:lang w:val="it-IT" w:eastAsia="en-US"/>
        </w:rPr>
        <w:t>Tenere fuori dalla vista e dalla portata dei bambini</w:t>
      </w:r>
    </w:p>
    <w:p>
      <w:pPr>
        <w:outlineLvl w:val="0"/>
        <w:rPr>
          <w:noProof/>
          <w:szCs w:val="22"/>
          <w:lang w:val="it-IT" w:eastAsia="en-US"/>
        </w:rPr>
      </w:pPr>
    </w:p>
    <w:p>
      <w:pPr>
        <w:outlineLvl w:val="0"/>
        <w:rPr>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7.</w:t>
      </w:r>
      <w:r>
        <w:rPr>
          <w:rFonts w:eastAsia="Calibri"/>
          <w:b/>
          <w:noProof/>
          <w:szCs w:val="22"/>
          <w:lang w:val="it-IT" w:eastAsia="en-US"/>
        </w:rPr>
        <w:tab/>
        <w:t>ALTRA(E) AVVERTENZA(E) PARTICOLARE(I), SE NECESSARIO</w:t>
      </w:r>
    </w:p>
    <w:p>
      <w:pPr>
        <w:rPr>
          <w:rFonts w:eastAsia="Calibri"/>
          <w:noProof/>
          <w:szCs w:val="22"/>
          <w:lang w:val="it-IT" w:eastAsia="en-US"/>
        </w:rPr>
      </w:pPr>
    </w:p>
    <w:p>
      <w:pPr>
        <w:rPr>
          <w:rFonts w:eastAsia="Calibri"/>
          <w:noProof/>
          <w:szCs w:val="22"/>
          <w:lang w:val="it-IT" w:eastAsia="en-US"/>
        </w:rPr>
      </w:pPr>
      <w:r>
        <w:rPr>
          <w:rFonts w:eastAsia="Calibri"/>
          <w:noProof/>
          <w:szCs w:val="22"/>
          <w:lang w:val="it-IT" w:eastAsia="en-US"/>
        </w:rPr>
        <w:t>Lasciare la penna preriempita a temperatura ambiente fuori dalla confezione per 45 minuti prima dell’uso</w:t>
      </w:r>
    </w:p>
    <w:p>
      <w:pPr>
        <w:rPr>
          <w:noProof/>
          <w:szCs w:val="22"/>
          <w:lang w:val="it-IT" w:eastAsia="en-US"/>
        </w:rPr>
      </w:pPr>
    </w:p>
    <w:p>
      <w:pPr>
        <w:rPr>
          <w:noProof/>
          <w:szCs w:val="22"/>
          <w:lang w:val="it-IT" w:eastAsia="en-US"/>
        </w:rPr>
      </w:pPr>
    </w:p>
    <w:p>
      <w:pPr>
        <w:keepNext/>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Change w:id="9969" w:author="Author">
          <w:pPr>
            <w:pBdr>
              <w:top w:val="single" w:sz="4" w:space="1" w:color="auto"/>
              <w:left w:val="single" w:sz="4" w:space="4" w:color="auto"/>
              <w:bottom w:val="single" w:sz="4" w:space="1" w:color="auto"/>
              <w:right w:val="single" w:sz="4" w:space="4" w:color="auto"/>
            </w:pBdr>
            <w:ind w:left="567" w:hanging="567"/>
            <w:outlineLvl w:val="0"/>
          </w:pPr>
        </w:pPrChange>
      </w:pPr>
      <w:r>
        <w:rPr>
          <w:rFonts w:eastAsia="Calibri"/>
          <w:b/>
          <w:noProof/>
          <w:szCs w:val="22"/>
          <w:lang w:val="it-IT" w:eastAsia="en-US"/>
        </w:rPr>
        <w:t>8.</w:t>
      </w:r>
      <w:r>
        <w:rPr>
          <w:rFonts w:eastAsia="Calibri"/>
          <w:b/>
          <w:noProof/>
          <w:szCs w:val="22"/>
          <w:lang w:val="it-IT" w:eastAsia="en-US"/>
        </w:rPr>
        <w:tab/>
        <w:t>DATA DI SCADENZA</w:t>
      </w:r>
    </w:p>
    <w:p>
      <w:pPr>
        <w:keepNext/>
        <w:rPr>
          <w:rFonts w:eastAsia="Calibri"/>
          <w:noProof/>
          <w:szCs w:val="22"/>
          <w:lang w:val="it-IT" w:eastAsia="en-US"/>
        </w:rPr>
        <w:pPrChange w:id="9970" w:author="Author">
          <w:pPr/>
        </w:pPrChange>
      </w:pPr>
    </w:p>
    <w:p>
      <w:pPr>
        <w:keepNext/>
        <w:rPr>
          <w:rFonts w:eastAsia="Calibri"/>
          <w:noProof/>
          <w:szCs w:val="22"/>
          <w:lang w:val="it-IT" w:eastAsia="en-US"/>
        </w:rPr>
        <w:pPrChange w:id="9971" w:author="Author">
          <w:pPr/>
        </w:pPrChange>
      </w:pPr>
      <w:r>
        <w:rPr>
          <w:rFonts w:eastAsia="Calibri"/>
          <w:noProof/>
          <w:szCs w:val="22"/>
          <w:lang w:val="it-IT" w:eastAsia="en-US"/>
        </w:rPr>
        <w:t>Scad.</w:t>
      </w:r>
    </w:p>
    <w:p>
      <w:pPr>
        <w:keepNext/>
        <w:rPr>
          <w:noProof/>
          <w:szCs w:val="22"/>
          <w:lang w:val="it-IT" w:eastAsia="en-US"/>
        </w:rPr>
        <w:pPrChange w:id="9972" w:author="Author">
          <w:pPr/>
        </w:pPrChange>
      </w:pPr>
    </w:p>
    <w:p>
      <w:pPr>
        <w:rPr>
          <w:noProof/>
          <w:szCs w:val="22"/>
          <w:lang w:val="it-IT" w:eastAsia="en-US"/>
        </w:rPr>
      </w:pPr>
    </w:p>
    <w:p>
      <w:pPr>
        <w:keepNext/>
        <w:keepLines/>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lastRenderedPageBreak/>
        <w:t>9.</w:t>
      </w:r>
      <w:r>
        <w:rPr>
          <w:rFonts w:eastAsia="Calibri"/>
          <w:b/>
          <w:noProof/>
          <w:szCs w:val="22"/>
          <w:lang w:val="it-IT" w:eastAsia="en-US"/>
        </w:rPr>
        <w:tab/>
        <w:t>PRECAUZIONI PARTICOLARI PER LA CONSERVAZIONE</w:t>
      </w:r>
    </w:p>
    <w:p>
      <w:pPr>
        <w:keepNext/>
        <w:keepLines/>
        <w:rPr>
          <w:rFonts w:eastAsia="Calibri"/>
          <w:noProof/>
          <w:szCs w:val="22"/>
          <w:lang w:val="it-IT" w:eastAsia="en-US"/>
        </w:rPr>
      </w:pPr>
    </w:p>
    <w:p>
      <w:pPr>
        <w:keepNext/>
        <w:keepLines/>
        <w:rPr>
          <w:noProof/>
          <w:szCs w:val="22"/>
          <w:lang w:val="it-IT" w:eastAsia="en-US"/>
        </w:rPr>
      </w:pPr>
      <w:r>
        <w:rPr>
          <w:rFonts w:eastAsia="Calibri"/>
          <w:noProof/>
          <w:szCs w:val="22"/>
          <w:lang w:val="it-IT" w:eastAsia="en-US"/>
        </w:rPr>
        <w:t xml:space="preserve">Conservare in frigorifero </w:t>
      </w:r>
    </w:p>
    <w:p>
      <w:pPr>
        <w:rPr>
          <w:rFonts w:eastAsia="Calibri"/>
          <w:noProof/>
          <w:szCs w:val="22"/>
          <w:lang w:val="it-IT" w:eastAsia="en-US"/>
        </w:rPr>
      </w:pPr>
      <w:r>
        <w:rPr>
          <w:rFonts w:eastAsia="Calibri"/>
          <w:noProof/>
          <w:szCs w:val="22"/>
          <w:lang w:val="it-IT" w:eastAsia="en-US"/>
        </w:rPr>
        <w:t>Non congelare</w:t>
      </w:r>
    </w:p>
    <w:p>
      <w:pPr>
        <w:tabs>
          <w:tab w:val="left" w:pos="180"/>
        </w:tabs>
        <w:rPr>
          <w:noProof/>
          <w:szCs w:val="22"/>
          <w:lang w:val="it-IT"/>
        </w:rPr>
      </w:pPr>
      <w:r>
        <w:rPr>
          <w:noProof/>
          <w:szCs w:val="22"/>
          <w:lang w:val="it-IT"/>
        </w:rPr>
        <w:t>Una volta tolta dal frigorifero, la penna preriempita può essere conservata per un massimo di 2 settimane a temperatura pari o inferiore a 30°C</w:t>
      </w:r>
    </w:p>
    <w:p>
      <w:pPr>
        <w:rPr>
          <w:rFonts w:eastAsia="Calibri"/>
          <w:noProof/>
          <w:szCs w:val="22"/>
          <w:lang w:val="it-IT" w:eastAsia="en-US"/>
        </w:rPr>
      </w:pPr>
      <w:r>
        <w:rPr>
          <w:rFonts w:eastAsia="Calibri"/>
          <w:noProof/>
          <w:szCs w:val="22"/>
          <w:lang w:val="it-IT" w:eastAsia="en-US"/>
        </w:rPr>
        <w:t>Tenere la penna preriempita nell’imballaggio esterno per proteggere il medicinale dalla luce e dall’umidità</w:t>
      </w:r>
    </w:p>
    <w:p>
      <w:pPr>
        <w:rPr>
          <w:b/>
          <w:bCs/>
          <w:noProof/>
          <w:szCs w:val="22"/>
          <w:lang w:val="it-IT" w:eastAsia="en-US"/>
        </w:rPr>
      </w:pPr>
    </w:p>
    <w:p>
      <w:pPr>
        <w:rPr>
          <w:b/>
          <w:bCs/>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b/>
          <w:noProof/>
          <w:szCs w:val="22"/>
          <w:lang w:val="it-IT" w:eastAsia="en-US"/>
        </w:rPr>
      </w:pPr>
      <w:r>
        <w:rPr>
          <w:rFonts w:eastAsia="Calibri"/>
          <w:b/>
          <w:noProof/>
          <w:szCs w:val="22"/>
          <w:lang w:val="it-IT" w:eastAsia="en-US"/>
        </w:rPr>
        <w:t>10.</w:t>
      </w:r>
      <w:r>
        <w:rPr>
          <w:rFonts w:eastAsia="Calibri"/>
          <w:b/>
          <w:noProof/>
          <w:szCs w:val="22"/>
          <w:lang w:val="it-IT" w:eastAsia="en-US"/>
        </w:rPr>
        <w:tab/>
        <w:t>PRECAUZIONI PARTICOLARI PER LO SMALTIMENTO DEL MEDICINALE NON UTILIZZATO O DEI RIFIUTI DERIVATI DA TALE MEDICINALE, SE NECESSARIO</w:t>
      </w:r>
    </w:p>
    <w:p>
      <w:pPr>
        <w:rPr>
          <w:rFonts w:eastAsia="Calibri"/>
          <w:noProof/>
          <w:szCs w:val="22"/>
          <w:lang w:val="it-IT" w:eastAsia="en-US"/>
        </w:rPr>
      </w:pPr>
    </w:p>
    <w:p>
      <w:pPr>
        <w:rPr>
          <w:rFonts w:eastAsia="Calibri"/>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b/>
          <w:noProof/>
          <w:szCs w:val="22"/>
          <w:lang w:val="it-IT" w:eastAsia="en-US"/>
        </w:rPr>
      </w:pPr>
      <w:r>
        <w:rPr>
          <w:rFonts w:eastAsia="Calibri"/>
          <w:b/>
          <w:noProof/>
          <w:szCs w:val="22"/>
          <w:lang w:val="it-IT" w:eastAsia="en-US"/>
        </w:rPr>
        <w:t>11.</w:t>
      </w:r>
      <w:r>
        <w:rPr>
          <w:rFonts w:eastAsia="Calibri"/>
          <w:b/>
          <w:noProof/>
          <w:szCs w:val="22"/>
          <w:lang w:val="it-IT" w:eastAsia="en-US"/>
        </w:rPr>
        <w:tab/>
        <w:t>NOME E INDIRIZZO DEL TITOLARE DELL’AUTORIZZAZIONE ALL’IMMISSIONE IN COMMERCIO</w:t>
      </w:r>
    </w:p>
    <w:p>
      <w:pPr>
        <w:rPr>
          <w:rFonts w:eastAsia="Calibri"/>
          <w:noProof/>
          <w:szCs w:val="22"/>
          <w:lang w:val="it-IT" w:eastAsia="en-US"/>
        </w:rPr>
      </w:pPr>
    </w:p>
    <w:p>
      <w:pPr>
        <w:rPr>
          <w:noProof/>
          <w:lang w:val="de-DE"/>
          <w:rPrChange w:id="9973" w:author="Author">
            <w:rPr>
              <w:noProof/>
              <w:lang w:val="it-IT"/>
            </w:rPr>
          </w:rPrChange>
        </w:rPr>
      </w:pPr>
      <w:r>
        <w:rPr>
          <w:noProof/>
          <w:lang w:val="de-DE"/>
          <w:rPrChange w:id="9974" w:author="Author">
            <w:rPr>
              <w:noProof/>
              <w:lang w:val="it-IT"/>
            </w:rPr>
          </w:rPrChange>
        </w:rPr>
        <w:t xml:space="preserve">Roche Registration GmbH </w:t>
      </w:r>
    </w:p>
    <w:p>
      <w:pPr>
        <w:rPr>
          <w:noProof/>
          <w:lang w:val="de-DE"/>
          <w:rPrChange w:id="9975" w:author="Author">
            <w:rPr>
              <w:noProof/>
              <w:lang w:val="it-IT"/>
            </w:rPr>
          </w:rPrChange>
        </w:rPr>
      </w:pPr>
      <w:r>
        <w:rPr>
          <w:noProof/>
          <w:lang w:val="de-DE"/>
          <w:rPrChange w:id="9976" w:author="Author">
            <w:rPr>
              <w:noProof/>
              <w:lang w:val="it-IT"/>
            </w:rPr>
          </w:rPrChange>
        </w:rPr>
        <w:t>Emil-Barell-Strasse 1</w:t>
      </w:r>
    </w:p>
    <w:p>
      <w:pPr>
        <w:rPr>
          <w:noProof/>
          <w:lang w:val="de-DE"/>
          <w:rPrChange w:id="9977" w:author="Author">
            <w:rPr>
              <w:noProof/>
              <w:lang w:val="it-IT"/>
            </w:rPr>
          </w:rPrChange>
        </w:rPr>
      </w:pPr>
      <w:r>
        <w:rPr>
          <w:noProof/>
          <w:lang w:val="de-DE"/>
          <w:rPrChange w:id="9978" w:author="Author">
            <w:rPr>
              <w:noProof/>
              <w:lang w:val="it-IT"/>
            </w:rPr>
          </w:rPrChange>
        </w:rPr>
        <w:t>79639 Grenzach-Wyhlen</w:t>
      </w:r>
    </w:p>
    <w:p>
      <w:pPr>
        <w:rPr>
          <w:noProof/>
          <w:lang w:val="it-IT"/>
        </w:rPr>
      </w:pPr>
      <w:r>
        <w:rPr>
          <w:noProof/>
          <w:lang w:val="it-IT"/>
        </w:rPr>
        <w:t>Germania</w:t>
      </w:r>
    </w:p>
    <w:p>
      <w:pPr>
        <w:rPr>
          <w:noProof/>
          <w:szCs w:val="22"/>
          <w:lang w:val="it-IT" w:eastAsia="en-US"/>
        </w:rPr>
      </w:pPr>
    </w:p>
    <w:p>
      <w:pPr>
        <w:rPr>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12.</w:t>
      </w:r>
      <w:r>
        <w:rPr>
          <w:rFonts w:eastAsia="Calibri"/>
          <w:b/>
          <w:noProof/>
          <w:szCs w:val="22"/>
          <w:lang w:val="it-IT" w:eastAsia="en-US"/>
        </w:rPr>
        <w:tab/>
        <w:t xml:space="preserve">NUMERO(I) DELL’AUTORIZZAZIONE ALL’IMMISSIONE IN COMMERCIO </w:t>
      </w:r>
    </w:p>
    <w:p>
      <w:pPr>
        <w:rPr>
          <w:rFonts w:eastAsia="Calibri"/>
          <w:noProof/>
          <w:szCs w:val="22"/>
          <w:lang w:val="it-IT" w:eastAsia="en-US"/>
        </w:rPr>
      </w:pPr>
    </w:p>
    <w:p>
      <w:pPr>
        <w:rPr>
          <w:rFonts w:eastAsia="Calibri"/>
          <w:noProof/>
          <w:szCs w:val="22"/>
          <w:highlight w:val="lightGray"/>
          <w:lang w:val="it-IT" w:eastAsia="en-US"/>
        </w:rPr>
      </w:pPr>
      <w:r>
        <w:rPr>
          <w:rFonts w:eastAsia="Calibri"/>
          <w:noProof/>
          <w:szCs w:val="22"/>
          <w:lang w:val="it-IT" w:eastAsia="en-US"/>
        </w:rPr>
        <w:t xml:space="preserve">EU/1/08/492/009 </w:t>
      </w:r>
      <w:r>
        <w:rPr>
          <w:rFonts w:eastAsia="Calibri"/>
          <w:noProof/>
          <w:szCs w:val="22"/>
          <w:highlight w:val="lightGray"/>
          <w:lang w:val="it-IT" w:eastAsia="en-US"/>
        </w:rPr>
        <w:t>4 penne preriempite</w:t>
      </w:r>
    </w:p>
    <w:p>
      <w:pPr>
        <w:rPr>
          <w:rFonts w:eastAsia="Calibri"/>
          <w:noProof/>
          <w:szCs w:val="22"/>
          <w:lang w:val="it-IT" w:eastAsia="en-US"/>
        </w:rPr>
      </w:pPr>
      <w:r>
        <w:rPr>
          <w:rFonts w:eastAsia="Calibri"/>
          <w:noProof/>
          <w:szCs w:val="22"/>
          <w:highlight w:val="lightGray"/>
          <w:lang w:val="it-IT" w:eastAsia="en-US"/>
        </w:rPr>
        <w:t>EU/1/08/492/010 12 (3 confezioni da 4) penne preriempite</w:t>
      </w:r>
    </w:p>
    <w:p>
      <w:pPr>
        <w:rPr>
          <w:noProof/>
          <w:szCs w:val="22"/>
          <w:lang w:val="it-IT" w:eastAsia="en-US"/>
        </w:rPr>
      </w:pPr>
    </w:p>
    <w:p>
      <w:pPr>
        <w:rPr>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13.</w:t>
      </w:r>
      <w:r>
        <w:rPr>
          <w:rFonts w:eastAsia="Calibri"/>
          <w:b/>
          <w:noProof/>
          <w:szCs w:val="22"/>
          <w:lang w:val="it-IT" w:eastAsia="en-US"/>
        </w:rPr>
        <w:tab/>
        <w:t>NUMERO DI LOTTO</w:t>
      </w:r>
    </w:p>
    <w:p>
      <w:pPr>
        <w:rPr>
          <w:rFonts w:eastAsia="Calibri"/>
          <w:noProof/>
          <w:szCs w:val="22"/>
          <w:lang w:val="it-IT" w:eastAsia="en-US"/>
        </w:rPr>
      </w:pPr>
    </w:p>
    <w:p>
      <w:pPr>
        <w:rPr>
          <w:rFonts w:eastAsia="Calibri"/>
          <w:noProof/>
          <w:szCs w:val="22"/>
          <w:lang w:val="it-IT" w:eastAsia="en-US"/>
        </w:rPr>
      </w:pPr>
      <w:r>
        <w:rPr>
          <w:rFonts w:eastAsia="Calibri"/>
          <w:noProof/>
          <w:szCs w:val="22"/>
          <w:lang w:val="it-IT" w:eastAsia="en-US"/>
        </w:rPr>
        <w:t>Lotto</w:t>
      </w:r>
    </w:p>
    <w:p>
      <w:pPr>
        <w:rPr>
          <w:noProof/>
          <w:szCs w:val="22"/>
          <w:lang w:val="it-IT" w:eastAsia="en-US"/>
        </w:rPr>
      </w:pPr>
    </w:p>
    <w:p>
      <w:pPr>
        <w:rPr>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14.</w:t>
      </w:r>
      <w:r>
        <w:rPr>
          <w:rFonts w:eastAsia="Calibri"/>
          <w:b/>
          <w:noProof/>
          <w:szCs w:val="22"/>
          <w:lang w:val="it-IT" w:eastAsia="en-US"/>
        </w:rPr>
        <w:tab/>
        <w:t>CONDIZIONE GENERALE DI FORNITURA</w:t>
      </w:r>
    </w:p>
    <w:p>
      <w:pPr>
        <w:rPr>
          <w:rFonts w:eastAsia="Calibri"/>
          <w:noProof/>
          <w:szCs w:val="22"/>
          <w:lang w:val="it-IT" w:eastAsia="en-US"/>
        </w:rPr>
      </w:pPr>
    </w:p>
    <w:p>
      <w:pPr>
        <w:rPr>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15.</w:t>
      </w:r>
      <w:r>
        <w:rPr>
          <w:rFonts w:eastAsia="Calibri"/>
          <w:b/>
          <w:noProof/>
          <w:szCs w:val="22"/>
          <w:lang w:val="it-IT" w:eastAsia="en-US"/>
        </w:rPr>
        <w:tab/>
        <w:t>ISTRUZIONI PER L’USO</w:t>
      </w:r>
    </w:p>
    <w:p>
      <w:pPr>
        <w:rPr>
          <w:rFonts w:eastAsia="Calibri"/>
          <w:noProof/>
          <w:szCs w:val="22"/>
          <w:lang w:val="it-IT" w:eastAsia="en-US"/>
        </w:rPr>
      </w:pPr>
    </w:p>
    <w:p>
      <w:pPr>
        <w:rPr>
          <w:rFonts w:eastAsia="Calibri"/>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16.</w:t>
      </w:r>
      <w:r>
        <w:rPr>
          <w:rFonts w:eastAsia="Calibri"/>
          <w:b/>
          <w:noProof/>
          <w:szCs w:val="22"/>
          <w:lang w:val="it-IT" w:eastAsia="en-US"/>
        </w:rPr>
        <w:tab/>
        <w:t>INFORMAZIONI IN BRAILLE</w:t>
      </w:r>
    </w:p>
    <w:p>
      <w:pPr>
        <w:rPr>
          <w:rFonts w:eastAsia="Calibri"/>
          <w:noProof/>
          <w:szCs w:val="22"/>
          <w:lang w:val="it-IT" w:eastAsia="en-US"/>
        </w:rPr>
      </w:pPr>
    </w:p>
    <w:p>
      <w:pPr>
        <w:rPr>
          <w:rFonts w:eastAsia="Calibri"/>
          <w:noProof/>
          <w:szCs w:val="22"/>
          <w:lang w:val="it-IT" w:eastAsia="en-US"/>
        </w:rPr>
      </w:pPr>
      <w:r>
        <w:rPr>
          <w:rFonts w:eastAsia="Calibri"/>
          <w:noProof/>
          <w:szCs w:val="22"/>
          <w:lang w:val="it-IT" w:eastAsia="en-US"/>
        </w:rPr>
        <w:t>roactemra 162 mg penna</w:t>
      </w:r>
    </w:p>
    <w:p>
      <w:pPr>
        <w:rPr>
          <w:noProof/>
          <w:szCs w:val="22"/>
          <w:lang w:val="it-IT" w:eastAsia="en-US"/>
        </w:rPr>
      </w:pPr>
    </w:p>
    <w:p>
      <w:pPr>
        <w:rPr>
          <w:noProof/>
          <w:szCs w:val="22"/>
          <w:lang w:val="it-IT" w:eastAsia="en-US"/>
        </w:rPr>
      </w:pPr>
    </w:p>
    <w:p>
      <w:pPr>
        <w:keepNext/>
        <w:pBdr>
          <w:top w:val="single" w:sz="4" w:space="1" w:color="auto"/>
          <w:left w:val="single" w:sz="4" w:space="4" w:color="auto"/>
          <w:bottom w:val="single" w:sz="4" w:space="0" w:color="auto"/>
          <w:right w:val="single" w:sz="4" w:space="4" w:color="auto"/>
        </w:pBdr>
        <w:rPr>
          <w:i/>
          <w:noProof/>
          <w:lang w:val="it-IT" w:eastAsia="en-US"/>
        </w:rPr>
        <w:pPrChange w:id="9979" w:author="Author">
          <w:pPr>
            <w:pBdr>
              <w:top w:val="single" w:sz="4" w:space="1" w:color="auto"/>
              <w:left w:val="single" w:sz="4" w:space="4" w:color="auto"/>
              <w:bottom w:val="single" w:sz="4" w:space="0" w:color="auto"/>
              <w:right w:val="single" w:sz="4" w:space="4" w:color="auto"/>
            </w:pBdr>
          </w:pPr>
        </w:pPrChange>
      </w:pPr>
      <w:r>
        <w:rPr>
          <w:rFonts w:eastAsia="Calibri"/>
          <w:b/>
          <w:noProof/>
          <w:lang w:val="it-IT" w:eastAsia="en-US"/>
        </w:rPr>
        <w:t>17.</w:t>
      </w:r>
      <w:r>
        <w:rPr>
          <w:rFonts w:eastAsia="Calibri"/>
          <w:b/>
          <w:noProof/>
          <w:lang w:val="it-IT" w:eastAsia="en-US"/>
        </w:rPr>
        <w:tab/>
        <w:t>IDENTIFICATIVO UNICO – CODICE A BARRE BIDIMENSIONALE</w:t>
      </w:r>
    </w:p>
    <w:p>
      <w:pPr>
        <w:keepNext/>
        <w:rPr>
          <w:rFonts w:eastAsia="Calibri"/>
          <w:noProof/>
          <w:highlight w:val="lightGray"/>
          <w:lang w:val="it-IT" w:eastAsia="en-US"/>
        </w:rPr>
        <w:pPrChange w:id="9980" w:author="Author">
          <w:pPr/>
        </w:pPrChange>
      </w:pPr>
    </w:p>
    <w:p>
      <w:pPr>
        <w:keepNext/>
        <w:rPr>
          <w:rFonts w:eastAsia="Calibri"/>
          <w:noProof/>
          <w:lang w:val="it-IT" w:eastAsia="en-US"/>
        </w:rPr>
        <w:pPrChange w:id="9981" w:author="Author">
          <w:pPr/>
        </w:pPrChange>
      </w:pPr>
      <w:r>
        <w:rPr>
          <w:rFonts w:eastAsia="Calibri"/>
          <w:noProof/>
          <w:highlight w:val="lightGray"/>
          <w:lang w:val="it-IT" w:eastAsia="en-US"/>
        </w:rPr>
        <w:t>Codice a barre bidimensionale con identificativo unico incluso.</w:t>
      </w:r>
    </w:p>
    <w:p>
      <w:pPr>
        <w:keepNext/>
        <w:rPr>
          <w:noProof/>
          <w:szCs w:val="22"/>
          <w:shd w:val="clear" w:color="auto" w:fill="CCCCCC"/>
          <w:lang w:val="it-IT" w:eastAsia="en-US"/>
        </w:rPr>
        <w:pPrChange w:id="9982" w:author="Author">
          <w:pPr/>
        </w:pPrChange>
      </w:pPr>
    </w:p>
    <w:p>
      <w:pPr>
        <w:rPr>
          <w:noProof/>
          <w:szCs w:val="22"/>
          <w:shd w:val="clear" w:color="auto" w:fill="CCCCCC"/>
          <w:lang w:val="it-IT" w:eastAsia="en-US"/>
        </w:rPr>
      </w:pPr>
    </w:p>
    <w:p>
      <w:pPr>
        <w:keepNext/>
        <w:keepLines/>
        <w:pBdr>
          <w:top w:val="single" w:sz="4" w:space="1" w:color="auto"/>
          <w:left w:val="single" w:sz="4" w:space="4" w:color="auto"/>
          <w:bottom w:val="single" w:sz="4" w:space="0" w:color="auto"/>
          <w:right w:val="single" w:sz="4" w:space="4" w:color="auto"/>
        </w:pBdr>
        <w:rPr>
          <w:i/>
          <w:noProof/>
          <w:lang w:val="it-IT" w:eastAsia="en-US"/>
        </w:rPr>
      </w:pPr>
      <w:r>
        <w:rPr>
          <w:rFonts w:eastAsia="Calibri"/>
          <w:b/>
          <w:noProof/>
          <w:lang w:val="it-IT" w:eastAsia="en-US"/>
        </w:rPr>
        <w:lastRenderedPageBreak/>
        <w:t>18.</w:t>
      </w:r>
      <w:r>
        <w:rPr>
          <w:rFonts w:eastAsia="Calibri"/>
          <w:b/>
          <w:noProof/>
          <w:lang w:val="it-IT" w:eastAsia="en-US"/>
        </w:rPr>
        <w:tab/>
        <w:t>IDENTIFICATIVO UNICO – DATI LEGGIBILI</w:t>
      </w:r>
    </w:p>
    <w:p>
      <w:pPr>
        <w:keepNext/>
        <w:keepLines/>
        <w:rPr>
          <w:rFonts w:eastAsia="Calibri"/>
          <w:noProof/>
          <w:szCs w:val="22"/>
          <w:lang w:val="it-IT" w:eastAsia="en-US"/>
        </w:rPr>
      </w:pPr>
    </w:p>
    <w:p>
      <w:pPr>
        <w:keepNext/>
        <w:keepLines/>
        <w:rPr>
          <w:noProof/>
          <w:szCs w:val="22"/>
          <w:lang w:val="it-IT" w:eastAsia="en-US"/>
        </w:rPr>
      </w:pPr>
      <w:r>
        <w:rPr>
          <w:rFonts w:eastAsia="Calibri"/>
          <w:noProof/>
          <w:szCs w:val="22"/>
          <w:lang w:val="it-IT" w:eastAsia="en-US"/>
        </w:rPr>
        <w:t xml:space="preserve">PC </w:t>
      </w:r>
    </w:p>
    <w:p>
      <w:pPr>
        <w:keepNext/>
        <w:keepLines/>
        <w:rPr>
          <w:noProof/>
          <w:szCs w:val="22"/>
          <w:lang w:val="it-IT" w:eastAsia="en-US"/>
        </w:rPr>
      </w:pPr>
      <w:r>
        <w:rPr>
          <w:rFonts w:eastAsia="Calibri"/>
          <w:noProof/>
          <w:szCs w:val="22"/>
          <w:lang w:val="it-IT" w:eastAsia="en-US"/>
        </w:rPr>
        <w:t xml:space="preserve">SN </w:t>
      </w:r>
    </w:p>
    <w:p>
      <w:pPr>
        <w:keepNext/>
        <w:keepLines/>
        <w:rPr>
          <w:noProof/>
          <w:szCs w:val="22"/>
          <w:lang w:val="it-IT" w:eastAsia="en-US"/>
        </w:rPr>
      </w:pPr>
      <w:r>
        <w:rPr>
          <w:rFonts w:eastAsia="Calibri"/>
          <w:noProof/>
          <w:szCs w:val="22"/>
          <w:lang w:val="it-IT" w:eastAsia="en-US"/>
        </w:rPr>
        <w:t xml:space="preserve">NN </w:t>
      </w:r>
    </w:p>
    <w:p>
      <w:pPr>
        <w:keepNext/>
        <w:keepLines/>
        <w:rPr>
          <w:noProof/>
          <w:lang w:val="it-IT" w:eastAsia="en-US"/>
        </w:rPr>
      </w:pPr>
      <w:r>
        <w:rPr>
          <w:rFonts w:ascii="Calibri" w:eastAsia="Calibri" w:hAnsi="Calibri"/>
          <w:noProof/>
          <w:szCs w:val="22"/>
          <w:lang w:val="it-IT" w:eastAsia="en-US"/>
        </w:rPr>
        <w:br w:type="page"/>
      </w:r>
    </w:p>
    <w:p>
      <w:pPr>
        <w:keepNext/>
        <w:keepLines/>
        <w:rPr>
          <w:del w:id="9983" w:author="Author"/>
          <w:noProof/>
          <w:lang w:val="it-IT" w:eastAsia="en-US"/>
        </w:rPr>
      </w:pPr>
    </w:p>
    <w:p>
      <w:pPr>
        <w:pBdr>
          <w:top w:val="single" w:sz="4" w:space="1" w:color="auto"/>
          <w:left w:val="single" w:sz="4" w:space="4" w:color="auto"/>
          <w:bottom w:val="single" w:sz="4" w:space="1" w:color="auto"/>
          <w:right w:val="single" w:sz="4" w:space="4" w:color="auto"/>
        </w:pBdr>
        <w:rPr>
          <w:rFonts w:eastAsia="Calibri"/>
          <w:b/>
          <w:noProof/>
          <w:szCs w:val="22"/>
          <w:lang w:val="it-IT" w:eastAsia="en-US"/>
        </w:rPr>
      </w:pPr>
      <w:r>
        <w:rPr>
          <w:rFonts w:eastAsia="Calibri"/>
          <w:b/>
          <w:noProof/>
          <w:szCs w:val="22"/>
          <w:lang w:val="it-IT" w:eastAsia="en-US"/>
        </w:rPr>
        <w:t>INFORMAZIONI DA APPORRE SUL CONFEZIONAMENTO SECONDARIO</w:t>
      </w:r>
    </w:p>
    <w:p>
      <w:pPr>
        <w:pBdr>
          <w:top w:val="single" w:sz="4" w:space="1" w:color="auto"/>
          <w:left w:val="single" w:sz="4" w:space="4" w:color="auto"/>
          <w:bottom w:val="single" w:sz="4" w:space="1" w:color="auto"/>
          <w:right w:val="single" w:sz="4" w:space="4" w:color="auto"/>
        </w:pBdr>
        <w:rPr>
          <w:b/>
          <w:noProof/>
          <w:szCs w:val="22"/>
          <w:lang w:val="it-IT" w:eastAsia="en-US"/>
        </w:rPr>
      </w:pPr>
    </w:p>
    <w:p>
      <w:pPr>
        <w:pBdr>
          <w:top w:val="single" w:sz="4" w:space="1" w:color="auto"/>
          <w:left w:val="single" w:sz="4" w:space="4" w:color="auto"/>
          <w:bottom w:val="single" w:sz="4" w:space="1" w:color="auto"/>
          <w:right w:val="single" w:sz="4" w:space="4" w:color="auto"/>
        </w:pBdr>
        <w:rPr>
          <w:bCs/>
          <w:noProof/>
          <w:szCs w:val="22"/>
          <w:lang w:val="it-IT" w:eastAsia="en-US"/>
        </w:rPr>
      </w:pPr>
      <w:r>
        <w:rPr>
          <w:rFonts w:eastAsia="Calibri"/>
          <w:b/>
          <w:noProof/>
          <w:szCs w:val="22"/>
          <w:lang w:val="it-IT" w:eastAsia="en-US"/>
        </w:rPr>
        <w:t>ASTUCCIO DELLA PENNA PRERIEMPITA (SENZA BLUE BOX) - Confezione multipla</w:t>
      </w:r>
    </w:p>
    <w:p>
      <w:pPr>
        <w:rPr>
          <w:rFonts w:eastAsia="Calibri"/>
          <w:noProof/>
          <w:szCs w:val="22"/>
          <w:lang w:val="it-IT" w:eastAsia="en-US"/>
        </w:rPr>
      </w:pPr>
    </w:p>
    <w:p>
      <w:pPr>
        <w:rPr>
          <w:rFonts w:eastAsia="Calibri"/>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1.</w:t>
      </w:r>
      <w:r>
        <w:rPr>
          <w:rFonts w:eastAsia="Calibri"/>
          <w:b/>
          <w:noProof/>
          <w:szCs w:val="22"/>
          <w:lang w:val="it-IT" w:eastAsia="en-US"/>
        </w:rPr>
        <w:tab/>
        <w:t>DENOMINAZIONE DEL MEDICINALE</w:t>
      </w:r>
    </w:p>
    <w:p>
      <w:pPr>
        <w:rPr>
          <w:rFonts w:eastAsia="Calibri"/>
          <w:noProof/>
          <w:szCs w:val="22"/>
          <w:lang w:val="it-IT" w:eastAsia="en-US"/>
        </w:rPr>
      </w:pPr>
    </w:p>
    <w:p>
      <w:pPr>
        <w:rPr>
          <w:iCs/>
          <w:noProof/>
          <w:szCs w:val="22"/>
          <w:lang w:val="it-IT" w:eastAsia="en-US"/>
        </w:rPr>
      </w:pPr>
      <w:r>
        <w:rPr>
          <w:rFonts w:eastAsia="Calibri"/>
          <w:noProof/>
          <w:szCs w:val="22"/>
          <w:lang w:val="it-IT" w:eastAsia="en-US"/>
        </w:rPr>
        <w:t>RoActemra 162 mg soluzione iniettabile in penna preriempita</w:t>
      </w:r>
    </w:p>
    <w:p>
      <w:pPr>
        <w:rPr>
          <w:del w:id="9984" w:author="Author"/>
          <w:rFonts w:eastAsia="Calibri"/>
          <w:noProof/>
          <w:szCs w:val="22"/>
          <w:lang w:val="it-IT" w:eastAsia="en-US"/>
        </w:rPr>
      </w:pPr>
    </w:p>
    <w:p>
      <w:pPr>
        <w:rPr>
          <w:rFonts w:eastAsia="Calibri"/>
          <w:noProof/>
          <w:szCs w:val="22"/>
          <w:lang w:val="it-IT" w:eastAsia="en-US"/>
        </w:rPr>
      </w:pPr>
      <w:r>
        <w:rPr>
          <w:rFonts w:eastAsia="Calibri"/>
          <w:noProof/>
          <w:szCs w:val="22"/>
          <w:lang w:val="it-IT" w:eastAsia="en-US"/>
        </w:rPr>
        <w:t>tocilizumab</w:t>
      </w:r>
    </w:p>
    <w:p>
      <w:pPr>
        <w:rPr>
          <w:noProof/>
          <w:szCs w:val="22"/>
          <w:lang w:val="it-IT" w:eastAsia="en-US"/>
        </w:rPr>
      </w:pPr>
    </w:p>
    <w:p>
      <w:pPr>
        <w:rPr>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b/>
          <w:noProof/>
          <w:szCs w:val="22"/>
          <w:lang w:val="it-IT" w:eastAsia="en-US"/>
        </w:rPr>
      </w:pPr>
      <w:r>
        <w:rPr>
          <w:rFonts w:eastAsia="Calibri"/>
          <w:b/>
          <w:noProof/>
          <w:szCs w:val="22"/>
          <w:lang w:val="it-IT" w:eastAsia="en-US"/>
        </w:rPr>
        <w:t>2.</w:t>
      </w:r>
      <w:r>
        <w:rPr>
          <w:rFonts w:eastAsia="Calibri"/>
          <w:b/>
          <w:noProof/>
          <w:szCs w:val="22"/>
          <w:lang w:val="it-IT" w:eastAsia="en-US"/>
        </w:rPr>
        <w:tab/>
        <w:t>COMPOSIZIONE QUALITATIVA E QUANTITATIVA IN TERMINI DI PRINCIPIO</w:t>
      </w:r>
      <w:del w:id="9985" w:author="Author">
        <w:r>
          <w:rPr>
            <w:rFonts w:eastAsia="Calibri"/>
            <w:b/>
            <w:noProof/>
            <w:szCs w:val="22"/>
            <w:lang w:val="it-IT" w:eastAsia="en-US"/>
          </w:rPr>
          <w:delText>(I)</w:delText>
        </w:r>
      </w:del>
      <w:r>
        <w:rPr>
          <w:rFonts w:eastAsia="Calibri"/>
          <w:b/>
          <w:noProof/>
          <w:szCs w:val="22"/>
          <w:lang w:val="it-IT" w:eastAsia="en-US"/>
        </w:rPr>
        <w:t xml:space="preserve"> ATTIVO</w:t>
      </w:r>
      <w:del w:id="9986" w:author="Author">
        <w:r>
          <w:rPr>
            <w:rFonts w:eastAsia="Calibri"/>
            <w:b/>
            <w:noProof/>
            <w:szCs w:val="22"/>
            <w:lang w:val="it-IT" w:eastAsia="en-US"/>
          </w:rPr>
          <w:delText>(I)</w:delText>
        </w:r>
      </w:del>
    </w:p>
    <w:p>
      <w:pPr>
        <w:rPr>
          <w:rFonts w:eastAsia="Calibri"/>
          <w:noProof/>
          <w:szCs w:val="22"/>
          <w:lang w:val="it-IT" w:eastAsia="en-US"/>
        </w:rPr>
      </w:pPr>
    </w:p>
    <w:p>
      <w:pPr>
        <w:rPr>
          <w:rFonts w:eastAsia="Calibri"/>
          <w:noProof/>
          <w:szCs w:val="22"/>
          <w:lang w:val="it-IT" w:eastAsia="en-US"/>
        </w:rPr>
      </w:pPr>
      <w:r>
        <w:rPr>
          <w:rFonts w:eastAsia="Calibri"/>
          <w:noProof/>
          <w:szCs w:val="22"/>
          <w:lang w:val="it-IT" w:eastAsia="en-US"/>
        </w:rPr>
        <w:t>1 penna preriempita contiene 162 mg di tocilizumab</w:t>
      </w:r>
    </w:p>
    <w:p>
      <w:pPr>
        <w:rPr>
          <w:noProof/>
          <w:szCs w:val="22"/>
          <w:lang w:val="it-IT" w:eastAsia="en-US"/>
        </w:rPr>
      </w:pPr>
    </w:p>
    <w:p>
      <w:pPr>
        <w:rPr>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3.</w:t>
      </w:r>
      <w:r>
        <w:rPr>
          <w:rFonts w:eastAsia="Calibri"/>
          <w:b/>
          <w:noProof/>
          <w:szCs w:val="22"/>
          <w:lang w:val="it-IT" w:eastAsia="en-US"/>
        </w:rPr>
        <w:tab/>
        <w:t>ELENCO DEGLI ECCIPIENTI</w:t>
      </w:r>
    </w:p>
    <w:p>
      <w:pPr>
        <w:ind w:left="567" w:hanging="567"/>
        <w:outlineLvl w:val="0"/>
        <w:rPr>
          <w:rFonts w:eastAsia="Calibri"/>
          <w:bCs/>
          <w:noProof/>
          <w:szCs w:val="22"/>
          <w:lang w:val="it-IT" w:eastAsia="en-US"/>
        </w:rPr>
      </w:pPr>
    </w:p>
    <w:p>
      <w:pPr>
        <w:tabs>
          <w:tab w:val="left" w:pos="180"/>
        </w:tabs>
        <w:autoSpaceDE w:val="0"/>
        <w:autoSpaceDN w:val="0"/>
        <w:adjustRightInd w:val="0"/>
        <w:rPr>
          <w:bCs/>
          <w:noProof/>
          <w:szCs w:val="22"/>
          <w:highlight w:val="lightGray"/>
          <w:lang w:val="it-IT"/>
        </w:rPr>
      </w:pPr>
      <w:r>
        <w:rPr>
          <w:rFonts w:eastAsia="Calibri"/>
          <w:bCs/>
          <w:noProof/>
          <w:szCs w:val="22"/>
          <w:lang w:val="it-IT" w:eastAsia="en-US"/>
        </w:rPr>
        <w:t xml:space="preserve">Contiene anche L-istidina, L-istidina monocloridrato monoidrato, </w:t>
      </w:r>
      <w:r>
        <w:rPr>
          <w:bCs/>
          <w:noProof/>
          <w:szCs w:val="22"/>
          <w:highlight w:val="lightGray"/>
          <w:lang w:val="it-IT"/>
        </w:rPr>
        <w:t>L-arginina</w:t>
      </w:r>
      <w:r>
        <w:rPr>
          <w:rFonts w:eastAsia="Calibri"/>
          <w:bCs/>
          <w:noProof/>
          <w:szCs w:val="22"/>
          <w:highlight w:val="lightGray"/>
          <w:lang w:val="it-IT" w:eastAsia="en-US"/>
        </w:rPr>
        <w:t>/</w:t>
      </w:r>
      <w:r>
        <w:rPr>
          <w:rFonts w:eastAsia="Calibri"/>
          <w:bCs/>
          <w:noProof/>
          <w:szCs w:val="22"/>
          <w:lang w:val="it-IT" w:eastAsia="en-US"/>
        </w:rPr>
        <w:t xml:space="preserve">L-arginina cloridrato, L-metionina, polisorbato 80, acqua per preparazioni iniettabili. </w:t>
      </w:r>
      <w:r>
        <w:rPr>
          <w:bCs/>
          <w:noProof/>
          <w:szCs w:val="22"/>
          <w:highlight w:val="lightGray"/>
          <w:lang w:val="it-IT"/>
        </w:rPr>
        <w:t>Vedere il foglio illustrativo per ulteriori informazioni.</w:t>
      </w:r>
    </w:p>
    <w:p>
      <w:pPr>
        <w:outlineLvl w:val="0"/>
        <w:rPr>
          <w:rFonts w:eastAsia="Calibri"/>
          <w:bCs/>
          <w:noProof/>
          <w:szCs w:val="22"/>
          <w:lang w:val="it-IT" w:eastAsia="en-US"/>
        </w:rPr>
      </w:pPr>
    </w:p>
    <w:p>
      <w:pPr>
        <w:ind w:left="567" w:hanging="567"/>
        <w:outlineLvl w:val="0"/>
        <w:rPr>
          <w:bCs/>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4.</w:t>
      </w:r>
      <w:r>
        <w:rPr>
          <w:rFonts w:eastAsia="Calibri"/>
          <w:b/>
          <w:noProof/>
          <w:szCs w:val="22"/>
          <w:lang w:val="it-IT" w:eastAsia="en-US"/>
        </w:rPr>
        <w:tab/>
        <w:t>FORMA FARMACEUTICA E CONTENUTO</w:t>
      </w:r>
    </w:p>
    <w:p>
      <w:pPr>
        <w:rPr>
          <w:rFonts w:eastAsia="Calibri"/>
          <w:noProof/>
          <w:szCs w:val="22"/>
          <w:lang w:val="it-IT" w:eastAsia="en-US"/>
        </w:rPr>
      </w:pPr>
    </w:p>
    <w:p>
      <w:pPr>
        <w:rPr>
          <w:noProof/>
          <w:szCs w:val="22"/>
          <w:lang w:val="it-IT" w:eastAsia="en-US"/>
        </w:rPr>
      </w:pPr>
      <w:r>
        <w:rPr>
          <w:rFonts w:eastAsia="Calibri"/>
          <w:noProof/>
          <w:szCs w:val="22"/>
          <w:highlight w:val="lightGray"/>
          <w:lang w:val="it-IT" w:eastAsia="en-US"/>
        </w:rPr>
        <w:t>Soluzione iniettabile</w:t>
      </w:r>
    </w:p>
    <w:p>
      <w:pPr>
        <w:tabs>
          <w:tab w:val="left" w:pos="284"/>
          <w:tab w:val="left" w:pos="567"/>
        </w:tabs>
        <w:rPr>
          <w:noProof/>
          <w:szCs w:val="22"/>
          <w:lang w:val="it-IT" w:eastAsia="en-US"/>
        </w:rPr>
      </w:pPr>
      <w:r>
        <w:rPr>
          <w:rFonts w:eastAsia="Calibri"/>
          <w:noProof/>
          <w:szCs w:val="22"/>
          <w:lang w:val="it-IT" w:eastAsia="en-US"/>
        </w:rPr>
        <w:t>4 penne preriempite ACTPen</w:t>
      </w:r>
      <w:r>
        <w:rPr>
          <w:rFonts w:ascii="Calibri" w:eastAsia="Calibri" w:hAnsi="Calibri" w:cs="Arial"/>
          <w:noProof/>
          <w:szCs w:val="22"/>
          <w:lang w:val="it-IT" w:eastAsia="en-US"/>
        </w:rPr>
        <w:t xml:space="preserve">. </w:t>
      </w:r>
      <w:bookmarkStart w:id="9987" w:name="_Hlk224049926"/>
      <w:r>
        <w:rPr>
          <w:rFonts w:eastAsia="Calibri"/>
          <w:noProof/>
          <w:szCs w:val="22"/>
          <w:lang w:val="it-IT" w:eastAsia="en-US"/>
        </w:rPr>
        <w:t>Parte di una confezione multipla, non vendibile singolarmente</w:t>
      </w:r>
      <w:bookmarkEnd w:id="9987"/>
      <w:r>
        <w:rPr>
          <w:rFonts w:eastAsia="Calibri"/>
          <w:noProof/>
          <w:szCs w:val="22"/>
          <w:lang w:val="it-IT" w:eastAsia="en-US"/>
        </w:rPr>
        <w:t>.</w:t>
      </w:r>
    </w:p>
    <w:p>
      <w:pPr>
        <w:tabs>
          <w:tab w:val="left" w:pos="284"/>
          <w:tab w:val="left" w:pos="567"/>
        </w:tabs>
        <w:rPr>
          <w:rFonts w:eastAsia="Calibri"/>
          <w:noProof/>
          <w:szCs w:val="22"/>
          <w:lang w:val="it-IT" w:eastAsia="en-US"/>
        </w:rPr>
      </w:pPr>
      <w:r>
        <w:rPr>
          <w:rFonts w:eastAsia="Calibri"/>
          <w:noProof/>
          <w:szCs w:val="22"/>
          <w:lang w:val="it-IT" w:eastAsia="en-US"/>
        </w:rPr>
        <w:t>162 mg/0,9 mL</w:t>
      </w:r>
    </w:p>
    <w:p>
      <w:pPr>
        <w:tabs>
          <w:tab w:val="left" w:pos="284"/>
          <w:tab w:val="left" w:pos="567"/>
        </w:tabs>
        <w:rPr>
          <w:noProof/>
          <w:szCs w:val="22"/>
          <w:lang w:val="it-IT" w:eastAsia="en-US"/>
        </w:rPr>
      </w:pPr>
    </w:p>
    <w:p>
      <w:pPr>
        <w:tabs>
          <w:tab w:val="left" w:pos="284"/>
          <w:tab w:val="left" w:pos="567"/>
        </w:tabs>
        <w:rPr>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5.</w:t>
      </w:r>
      <w:r>
        <w:rPr>
          <w:rFonts w:eastAsia="Calibri"/>
          <w:b/>
          <w:noProof/>
          <w:szCs w:val="22"/>
          <w:lang w:val="it-IT" w:eastAsia="en-US"/>
        </w:rPr>
        <w:tab/>
        <w:t>MODO E VIA</w:t>
      </w:r>
      <w:del w:id="9988" w:author="Author">
        <w:r>
          <w:rPr>
            <w:rFonts w:eastAsia="Calibri"/>
            <w:b/>
            <w:noProof/>
            <w:szCs w:val="22"/>
            <w:lang w:val="it-IT" w:eastAsia="en-US"/>
          </w:rPr>
          <w:delText>(E)</w:delText>
        </w:r>
      </w:del>
      <w:r>
        <w:rPr>
          <w:rFonts w:eastAsia="Calibri"/>
          <w:b/>
          <w:noProof/>
          <w:szCs w:val="22"/>
          <w:lang w:val="it-IT" w:eastAsia="en-US"/>
        </w:rPr>
        <w:t xml:space="preserve"> DI SOMMINISTRAZIONE</w:t>
      </w:r>
    </w:p>
    <w:p>
      <w:pPr>
        <w:tabs>
          <w:tab w:val="left" w:pos="284"/>
          <w:tab w:val="left" w:pos="567"/>
        </w:tabs>
        <w:outlineLvl w:val="0"/>
        <w:rPr>
          <w:rFonts w:eastAsia="Calibri"/>
          <w:noProof/>
          <w:szCs w:val="22"/>
          <w:lang w:val="it-IT" w:eastAsia="en-US"/>
        </w:rPr>
      </w:pPr>
    </w:p>
    <w:p>
      <w:pPr>
        <w:tabs>
          <w:tab w:val="left" w:pos="284"/>
          <w:tab w:val="left" w:pos="567"/>
        </w:tabs>
        <w:outlineLvl w:val="0"/>
        <w:rPr>
          <w:noProof/>
          <w:szCs w:val="22"/>
          <w:lang w:val="it-IT" w:eastAsia="en-US"/>
        </w:rPr>
      </w:pPr>
      <w:r>
        <w:rPr>
          <w:rFonts w:eastAsia="Calibri"/>
          <w:noProof/>
          <w:szCs w:val="22"/>
          <w:lang w:val="it-IT" w:eastAsia="en-US"/>
        </w:rPr>
        <w:t>Uso sottocutaneo</w:t>
      </w:r>
    </w:p>
    <w:p>
      <w:pPr>
        <w:rPr>
          <w:rFonts w:eastAsia="Calibri"/>
          <w:noProof/>
          <w:szCs w:val="22"/>
          <w:lang w:val="it-IT" w:eastAsia="en-US"/>
        </w:rPr>
      </w:pPr>
      <w:r>
        <w:rPr>
          <w:rFonts w:eastAsia="Calibri"/>
          <w:noProof/>
          <w:szCs w:val="22"/>
          <w:lang w:val="it-IT" w:eastAsia="en-US"/>
        </w:rPr>
        <w:t>Leggere il foglio illustrativo prima dell’uso</w:t>
      </w:r>
    </w:p>
    <w:p>
      <w:pPr>
        <w:rPr>
          <w:noProof/>
          <w:szCs w:val="22"/>
          <w:lang w:val="it-IT" w:eastAsia="en-US"/>
        </w:rPr>
      </w:pPr>
    </w:p>
    <w:p>
      <w:pPr>
        <w:rPr>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6.</w:t>
      </w:r>
      <w:r>
        <w:rPr>
          <w:rFonts w:eastAsia="Calibri"/>
          <w:b/>
          <w:noProof/>
          <w:szCs w:val="22"/>
          <w:lang w:val="it-IT" w:eastAsia="en-US"/>
        </w:rPr>
        <w:tab/>
        <w:t>AVVERTENZA PARTICOLARE CHE PRESCRIVA DI TENERE IL MEDICINALE FUORI DALLA PORTATA E DALLA VISTA DEI BAMBINI</w:t>
      </w:r>
    </w:p>
    <w:p>
      <w:pPr>
        <w:outlineLvl w:val="0"/>
        <w:rPr>
          <w:rFonts w:eastAsia="Calibri"/>
          <w:noProof/>
          <w:szCs w:val="22"/>
          <w:lang w:val="it-IT" w:eastAsia="en-US"/>
        </w:rPr>
      </w:pPr>
    </w:p>
    <w:p>
      <w:pPr>
        <w:outlineLvl w:val="0"/>
        <w:rPr>
          <w:rFonts w:eastAsia="Calibri"/>
          <w:noProof/>
          <w:szCs w:val="22"/>
          <w:lang w:val="it-IT" w:eastAsia="en-US"/>
        </w:rPr>
      </w:pPr>
      <w:r>
        <w:rPr>
          <w:rFonts w:eastAsia="Calibri"/>
          <w:noProof/>
          <w:szCs w:val="22"/>
          <w:lang w:val="it-IT" w:eastAsia="en-US"/>
        </w:rPr>
        <w:t>Tenere fuori dalla vista e dalla portata dei bambini</w:t>
      </w:r>
    </w:p>
    <w:p>
      <w:pPr>
        <w:outlineLvl w:val="0"/>
        <w:rPr>
          <w:noProof/>
          <w:szCs w:val="22"/>
          <w:lang w:val="it-IT" w:eastAsia="en-US"/>
        </w:rPr>
      </w:pPr>
    </w:p>
    <w:p>
      <w:pPr>
        <w:outlineLvl w:val="0"/>
        <w:rPr>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7.</w:t>
      </w:r>
      <w:r>
        <w:rPr>
          <w:rFonts w:eastAsia="Calibri"/>
          <w:b/>
          <w:noProof/>
          <w:szCs w:val="22"/>
          <w:lang w:val="it-IT" w:eastAsia="en-US"/>
        </w:rPr>
        <w:tab/>
        <w:t>ALTRA(E) AVVERTENZA(E) PARTICOLARE(I), SE NECESSARIO</w:t>
      </w:r>
    </w:p>
    <w:p>
      <w:pPr>
        <w:rPr>
          <w:rFonts w:eastAsia="Calibri"/>
          <w:noProof/>
          <w:szCs w:val="22"/>
          <w:lang w:val="it-IT" w:eastAsia="en-US"/>
        </w:rPr>
      </w:pPr>
    </w:p>
    <w:p>
      <w:pPr>
        <w:rPr>
          <w:rFonts w:eastAsia="Calibri"/>
          <w:noProof/>
          <w:szCs w:val="22"/>
          <w:lang w:val="it-IT" w:eastAsia="en-US"/>
        </w:rPr>
      </w:pPr>
      <w:r>
        <w:rPr>
          <w:rFonts w:eastAsia="Calibri"/>
          <w:noProof/>
          <w:szCs w:val="22"/>
          <w:lang w:val="it-IT" w:eastAsia="en-US"/>
        </w:rPr>
        <w:t>Lasciare la penna preriempita a temperatura ambiente fuori dalla confezione per 45 minuti prima dell’uso</w:t>
      </w:r>
    </w:p>
    <w:p>
      <w:pPr>
        <w:spacing w:line="220" w:lineRule="exact"/>
        <w:rPr>
          <w:noProof/>
          <w:szCs w:val="22"/>
          <w:lang w:val="it-IT" w:eastAsia="en-US"/>
        </w:rPr>
      </w:pPr>
    </w:p>
    <w:p>
      <w:pPr>
        <w:spacing w:line="220" w:lineRule="exact"/>
        <w:rPr>
          <w:noProof/>
          <w:szCs w:val="22"/>
          <w:lang w:val="it-IT" w:eastAsia="en-US"/>
        </w:rPr>
      </w:pPr>
    </w:p>
    <w:p>
      <w:pPr>
        <w:keepNext/>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8.</w:t>
      </w:r>
      <w:r>
        <w:rPr>
          <w:rFonts w:eastAsia="Calibri"/>
          <w:b/>
          <w:noProof/>
          <w:szCs w:val="22"/>
          <w:lang w:val="it-IT" w:eastAsia="en-US"/>
        </w:rPr>
        <w:tab/>
        <w:t>DATA DI SCADENZA</w:t>
      </w:r>
    </w:p>
    <w:p>
      <w:pPr>
        <w:keepNext/>
        <w:spacing w:line="200" w:lineRule="exact"/>
        <w:rPr>
          <w:rFonts w:eastAsia="Calibri"/>
          <w:noProof/>
          <w:szCs w:val="22"/>
          <w:lang w:val="it-IT" w:eastAsia="en-US"/>
        </w:rPr>
      </w:pPr>
    </w:p>
    <w:p>
      <w:pPr>
        <w:keepNext/>
        <w:spacing w:line="200" w:lineRule="exact"/>
        <w:rPr>
          <w:rFonts w:eastAsia="Calibri"/>
          <w:noProof/>
          <w:szCs w:val="22"/>
          <w:lang w:val="it-IT" w:eastAsia="en-US"/>
        </w:rPr>
      </w:pPr>
      <w:r>
        <w:rPr>
          <w:rFonts w:eastAsia="Calibri"/>
          <w:noProof/>
          <w:szCs w:val="22"/>
          <w:lang w:val="it-IT" w:eastAsia="en-US"/>
        </w:rPr>
        <w:t>Scad.</w:t>
      </w:r>
    </w:p>
    <w:p>
      <w:pPr>
        <w:keepNext/>
        <w:spacing w:line="200" w:lineRule="exact"/>
        <w:rPr>
          <w:noProof/>
          <w:szCs w:val="22"/>
          <w:lang w:val="it-IT" w:eastAsia="en-US"/>
        </w:rPr>
      </w:pPr>
    </w:p>
    <w:p>
      <w:pPr>
        <w:spacing w:line="200" w:lineRule="exact"/>
        <w:rPr>
          <w:noProof/>
          <w:szCs w:val="22"/>
          <w:lang w:val="it-IT" w:eastAsia="en-US"/>
        </w:rPr>
      </w:pPr>
    </w:p>
    <w:p>
      <w:pPr>
        <w:keepNext/>
        <w:keepLines/>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lastRenderedPageBreak/>
        <w:t>9.</w:t>
      </w:r>
      <w:r>
        <w:rPr>
          <w:rFonts w:eastAsia="Calibri"/>
          <w:b/>
          <w:noProof/>
          <w:szCs w:val="22"/>
          <w:lang w:val="it-IT" w:eastAsia="en-US"/>
        </w:rPr>
        <w:tab/>
        <w:t>PRECAUZIONI PARTICOLARI PER LA CONSERVAZIONE</w:t>
      </w:r>
    </w:p>
    <w:p>
      <w:pPr>
        <w:keepNext/>
        <w:keepLines/>
        <w:rPr>
          <w:rFonts w:eastAsia="Calibri"/>
          <w:noProof/>
          <w:szCs w:val="22"/>
          <w:lang w:val="it-IT" w:eastAsia="en-US"/>
        </w:rPr>
      </w:pPr>
    </w:p>
    <w:p>
      <w:pPr>
        <w:keepNext/>
        <w:keepLines/>
        <w:rPr>
          <w:noProof/>
          <w:szCs w:val="22"/>
          <w:lang w:val="it-IT" w:eastAsia="en-US"/>
        </w:rPr>
      </w:pPr>
      <w:r>
        <w:rPr>
          <w:rFonts w:eastAsia="Calibri"/>
          <w:noProof/>
          <w:szCs w:val="22"/>
          <w:lang w:val="it-IT" w:eastAsia="en-US"/>
        </w:rPr>
        <w:t xml:space="preserve">Conservare in frigorifero </w:t>
      </w:r>
    </w:p>
    <w:p>
      <w:pPr>
        <w:rPr>
          <w:rFonts w:eastAsia="Calibri"/>
          <w:noProof/>
          <w:szCs w:val="22"/>
          <w:lang w:val="it-IT" w:eastAsia="en-US"/>
        </w:rPr>
      </w:pPr>
      <w:r>
        <w:rPr>
          <w:rFonts w:eastAsia="Calibri"/>
          <w:noProof/>
          <w:szCs w:val="22"/>
          <w:lang w:val="it-IT" w:eastAsia="en-US"/>
        </w:rPr>
        <w:t>Non congelare</w:t>
      </w:r>
    </w:p>
    <w:p>
      <w:pPr>
        <w:tabs>
          <w:tab w:val="left" w:pos="180"/>
        </w:tabs>
        <w:rPr>
          <w:noProof/>
          <w:szCs w:val="22"/>
          <w:lang w:val="it-IT"/>
        </w:rPr>
      </w:pPr>
      <w:r>
        <w:rPr>
          <w:noProof/>
          <w:szCs w:val="22"/>
          <w:lang w:val="it-IT"/>
        </w:rPr>
        <w:t>Una volta tolta dal frigorifero, la penna preriempita può essere conservata per un massimo di 2 settimane a temperatura pari o inferiore a 30°C</w:t>
      </w:r>
    </w:p>
    <w:p>
      <w:pPr>
        <w:spacing w:line="220" w:lineRule="exact"/>
        <w:rPr>
          <w:rFonts w:eastAsia="Calibri"/>
          <w:noProof/>
          <w:szCs w:val="22"/>
          <w:lang w:val="it-IT" w:eastAsia="en-US"/>
        </w:rPr>
      </w:pPr>
      <w:r>
        <w:rPr>
          <w:rFonts w:eastAsia="Calibri"/>
          <w:noProof/>
          <w:szCs w:val="22"/>
          <w:lang w:val="it-IT" w:eastAsia="en-US"/>
        </w:rPr>
        <w:t>Tenere la penna preriempita nell’imballaggio esterno per proteggere il medicinale dalla luce e dall’umidità</w:t>
      </w:r>
    </w:p>
    <w:p>
      <w:pPr>
        <w:spacing w:line="220" w:lineRule="exact"/>
        <w:rPr>
          <w:b/>
          <w:bCs/>
          <w:noProof/>
          <w:szCs w:val="22"/>
          <w:lang w:val="it-IT" w:eastAsia="en-US"/>
        </w:rPr>
      </w:pPr>
    </w:p>
    <w:p>
      <w:pPr>
        <w:spacing w:line="220" w:lineRule="exact"/>
        <w:rPr>
          <w:b/>
          <w:bCs/>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b/>
          <w:noProof/>
          <w:szCs w:val="22"/>
          <w:lang w:val="it-IT" w:eastAsia="en-US"/>
        </w:rPr>
      </w:pPr>
      <w:r>
        <w:rPr>
          <w:rFonts w:eastAsia="Calibri"/>
          <w:b/>
          <w:noProof/>
          <w:szCs w:val="22"/>
          <w:lang w:val="it-IT" w:eastAsia="en-US"/>
        </w:rPr>
        <w:t>10.</w:t>
      </w:r>
      <w:r>
        <w:rPr>
          <w:rFonts w:eastAsia="Calibri"/>
          <w:b/>
          <w:noProof/>
          <w:szCs w:val="22"/>
          <w:lang w:val="it-IT" w:eastAsia="en-US"/>
        </w:rPr>
        <w:tab/>
        <w:t>PRECAUZIONI PARTICOLARI PER LO SMALTIMENTO DEL MEDICINALE NON UTILIZZATO O DEI RIFIUTI DERIVATI DA TALE MEDICINALE, SE NECESSARIO</w:t>
      </w:r>
    </w:p>
    <w:p>
      <w:pPr>
        <w:rPr>
          <w:rFonts w:eastAsia="Calibri"/>
          <w:noProof/>
          <w:szCs w:val="22"/>
          <w:lang w:val="it-IT" w:eastAsia="en-US"/>
        </w:rPr>
      </w:pPr>
    </w:p>
    <w:p>
      <w:pPr>
        <w:rPr>
          <w:rFonts w:eastAsia="Calibri"/>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b/>
          <w:noProof/>
          <w:szCs w:val="22"/>
          <w:lang w:val="it-IT" w:eastAsia="en-US"/>
        </w:rPr>
      </w:pPr>
      <w:r>
        <w:rPr>
          <w:rFonts w:eastAsia="Calibri"/>
          <w:b/>
          <w:noProof/>
          <w:szCs w:val="22"/>
          <w:lang w:val="it-IT" w:eastAsia="en-US"/>
        </w:rPr>
        <w:t>11.</w:t>
      </w:r>
      <w:r>
        <w:rPr>
          <w:rFonts w:eastAsia="Calibri"/>
          <w:b/>
          <w:noProof/>
          <w:szCs w:val="22"/>
          <w:lang w:val="it-IT" w:eastAsia="en-US"/>
        </w:rPr>
        <w:tab/>
        <w:t>NOME E INDIRIZZO DEL TITOLARE DELL’AUTORIZZAZIONE ALL’IMMISSIONE IN COMMERCIO</w:t>
      </w:r>
    </w:p>
    <w:p>
      <w:pPr>
        <w:rPr>
          <w:rFonts w:eastAsia="Calibri"/>
          <w:noProof/>
          <w:szCs w:val="22"/>
          <w:lang w:val="it-IT" w:eastAsia="en-US"/>
        </w:rPr>
      </w:pPr>
    </w:p>
    <w:p>
      <w:pPr>
        <w:rPr>
          <w:noProof/>
          <w:lang w:val="de-DE"/>
          <w:rPrChange w:id="9989" w:author="Author">
            <w:rPr>
              <w:noProof/>
              <w:lang w:val="it-IT"/>
            </w:rPr>
          </w:rPrChange>
        </w:rPr>
      </w:pPr>
      <w:r>
        <w:rPr>
          <w:noProof/>
          <w:lang w:val="de-DE"/>
          <w:rPrChange w:id="9990" w:author="Author">
            <w:rPr>
              <w:noProof/>
              <w:lang w:val="it-IT"/>
            </w:rPr>
          </w:rPrChange>
        </w:rPr>
        <w:t xml:space="preserve">Roche Registration GmbH </w:t>
      </w:r>
    </w:p>
    <w:p>
      <w:pPr>
        <w:rPr>
          <w:noProof/>
          <w:lang w:val="de-DE"/>
          <w:rPrChange w:id="9991" w:author="Author">
            <w:rPr>
              <w:noProof/>
              <w:lang w:val="it-IT"/>
            </w:rPr>
          </w:rPrChange>
        </w:rPr>
      </w:pPr>
      <w:r>
        <w:rPr>
          <w:noProof/>
          <w:lang w:val="de-DE"/>
          <w:rPrChange w:id="9992" w:author="Author">
            <w:rPr>
              <w:noProof/>
              <w:lang w:val="it-IT"/>
            </w:rPr>
          </w:rPrChange>
        </w:rPr>
        <w:t>Emil-Barell-Strasse 1</w:t>
      </w:r>
    </w:p>
    <w:p>
      <w:pPr>
        <w:rPr>
          <w:noProof/>
          <w:lang w:val="de-DE"/>
          <w:rPrChange w:id="9993" w:author="Author">
            <w:rPr>
              <w:noProof/>
              <w:lang w:val="it-IT"/>
            </w:rPr>
          </w:rPrChange>
        </w:rPr>
      </w:pPr>
      <w:r>
        <w:rPr>
          <w:noProof/>
          <w:lang w:val="de-DE"/>
          <w:rPrChange w:id="9994" w:author="Author">
            <w:rPr>
              <w:noProof/>
              <w:lang w:val="it-IT"/>
            </w:rPr>
          </w:rPrChange>
        </w:rPr>
        <w:t>79639 Grenzach-Wyhlen</w:t>
      </w:r>
    </w:p>
    <w:p>
      <w:pPr>
        <w:rPr>
          <w:noProof/>
          <w:lang w:val="it-IT"/>
        </w:rPr>
      </w:pPr>
      <w:r>
        <w:rPr>
          <w:noProof/>
          <w:lang w:val="it-IT"/>
        </w:rPr>
        <w:t>Germania</w:t>
      </w:r>
    </w:p>
    <w:p>
      <w:pPr>
        <w:spacing w:line="220" w:lineRule="exact"/>
        <w:rPr>
          <w:noProof/>
          <w:szCs w:val="22"/>
          <w:lang w:val="it-IT" w:eastAsia="en-US"/>
        </w:rPr>
      </w:pPr>
    </w:p>
    <w:p>
      <w:pPr>
        <w:rPr>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12.</w:t>
      </w:r>
      <w:r>
        <w:rPr>
          <w:rFonts w:eastAsia="Calibri"/>
          <w:b/>
          <w:noProof/>
          <w:szCs w:val="22"/>
          <w:lang w:val="it-IT" w:eastAsia="en-US"/>
        </w:rPr>
        <w:tab/>
        <w:t xml:space="preserve">NUMERO(I) DELL’AUTORIZZAZIONE ALL’IMMISSIONE IN COMMERCIO </w:t>
      </w:r>
    </w:p>
    <w:p>
      <w:pPr>
        <w:rPr>
          <w:rFonts w:eastAsia="Calibri"/>
          <w:noProof/>
          <w:szCs w:val="22"/>
          <w:lang w:val="it-IT" w:eastAsia="en-US"/>
        </w:rPr>
      </w:pPr>
    </w:p>
    <w:p>
      <w:pPr>
        <w:rPr>
          <w:rFonts w:eastAsia="Calibri"/>
          <w:noProof/>
          <w:szCs w:val="22"/>
          <w:lang w:val="it-IT" w:eastAsia="en-US"/>
        </w:rPr>
      </w:pPr>
      <w:r>
        <w:rPr>
          <w:rFonts w:eastAsia="Calibri"/>
          <w:noProof/>
          <w:szCs w:val="22"/>
          <w:lang w:val="it-IT" w:eastAsia="en-US"/>
        </w:rPr>
        <w:t>EU/1/08/492/010</w:t>
      </w:r>
    </w:p>
    <w:p>
      <w:pPr>
        <w:rPr>
          <w:noProof/>
          <w:szCs w:val="22"/>
          <w:lang w:val="it-IT" w:eastAsia="en-US"/>
        </w:rPr>
      </w:pPr>
    </w:p>
    <w:p>
      <w:pPr>
        <w:rPr>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13.</w:t>
      </w:r>
      <w:r>
        <w:rPr>
          <w:rFonts w:eastAsia="Calibri"/>
          <w:b/>
          <w:noProof/>
          <w:szCs w:val="22"/>
          <w:lang w:val="it-IT" w:eastAsia="en-US"/>
        </w:rPr>
        <w:tab/>
        <w:t>NUMERO DI LOTTO</w:t>
      </w:r>
    </w:p>
    <w:p>
      <w:pPr>
        <w:spacing w:line="220" w:lineRule="exact"/>
        <w:rPr>
          <w:rFonts w:eastAsia="Calibri"/>
          <w:noProof/>
          <w:szCs w:val="22"/>
          <w:lang w:val="it-IT" w:eastAsia="en-US"/>
        </w:rPr>
      </w:pPr>
    </w:p>
    <w:p>
      <w:pPr>
        <w:spacing w:line="220" w:lineRule="exact"/>
        <w:rPr>
          <w:rFonts w:eastAsia="Calibri"/>
          <w:noProof/>
          <w:szCs w:val="22"/>
          <w:lang w:val="it-IT" w:eastAsia="en-US"/>
        </w:rPr>
      </w:pPr>
      <w:r>
        <w:rPr>
          <w:rFonts w:eastAsia="Calibri"/>
          <w:noProof/>
          <w:szCs w:val="22"/>
          <w:lang w:val="it-IT" w:eastAsia="en-US"/>
        </w:rPr>
        <w:t>Lotto</w:t>
      </w:r>
    </w:p>
    <w:p>
      <w:pPr>
        <w:spacing w:line="220" w:lineRule="exact"/>
        <w:rPr>
          <w:noProof/>
          <w:szCs w:val="22"/>
          <w:lang w:val="it-IT" w:eastAsia="en-US"/>
        </w:rPr>
      </w:pPr>
    </w:p>
    <w:p>
      <w:pPr>
        <w:rPr>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14.</w:t>
      </w:r>
      <w:r>
        <w:rPr>
          <w:rFonts w:eastAsia="Calibri"/>
          <w:b/>
          <w:noProof/>
          <w:szCs w:val="22"/>
          <w:lang w:val="it-IT" w:eastAsia="en-US"/>
        </w:rPr>
        <w:tab/>
        <w:t>CONDIZIONE GENERALE DI FORNITURA</w:t>
      </w:r>
    </w:p>
    <w:p>
      <w:pPr>
        <w:rPr>
          <w:rFonts w:eastAsia="Calibri"/>
          <w:noProof/>
          <w:szCs w:val="22"/>
          <w:lang w:val="it-IT" w:eastAsia="en-US"/>
        </w:rPr>
      </w:pPr>
    </w:p>
    <w:p>
      <w:pPr>
        <w:rPr>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15.</w:t>
      </w:r>
      <w:r>
        <w:rPr>
          <w:rFonts w:eastAsia="Calibri"/>
          <w:b/>
          <w:noProof/>
          <w:szCs w:val="22"/>
          <w:lang w:val="it-IT" w:eastAsia="en-US"/>
        </w:rPr>
        <w:tab/>
        <w:t>ISTRUZIONI PER L’USO</w:t>
      </w:r>
    </w:p>
    <w:p>
      <w:pPr>
        <w:rPr>
          <w:rFonts w:eastAsia="Calibri"/>
          <w:noProof/>
          <w:szCs w:val="22"/>
          <w:lang w:val="it-IT" w:eastAsia="en-US"/>
        </w:rPr>
      </w:pPr>
    </w:p>
    <w:p>
      <w:pPr>
        <w:rPr>
          <w:rFonts w:eastAsia="Calibri"/>
          <w:noProof/>
          <w:szCs w:val="22"/>
          <w:lang w:val="it-IT" w:eastAsia="en-US"/>
        </w:rPr>
      </w:pPr>
    </w:p>
    <w:p>
      <w:pPr>
        <w:pBdr>
          <w:top w:val="single" w:sz="4" w:space="1" w:color="auto"/>
          <w:left w:val="single" w:sz="4" w:space="4" w:color="auto"/>
          <w:bottom w:val="single" w:sz="4" w:space="1" w:color="auto"/>
          <w:right w:val="single" w:sz="4" w:space="4" w:color="auto"/>
        </w:pBdr>
        <w:ind w:left="567" w:hanging="567"/>
        <w:outlineLvl w:val="0"/>
        <w:rPr>
          <w:noProof/>
          <w:szCs w:val="22"/>
          <w:lang w:val="it-IT" w:eastAsia="en-US"/>
        </w:rPr>
      </w:pPr>
      <w:r>
        <w:rPr>
          <w:rFonts w:eastAsia="Calibri"/>
          <w:b/>
          <w:noProof/>
          <w:szCs w:val="22"/>
          <w:lang w:val="it-IT" w:eastAsia="en-US"/>
        </w:rPr>
        <w:t>16.</w:t>
      </w:r>
      <w:r>
        <w:rPr>
          <w:rFonts w:eastAsia="Calibri"/>
          <w:b/>
          <w:noProof/>
          <w:szCs w:val="22"/>
          <w:lang w:val="it-IT" w:eastAsia="en-US"/>
        </w:rPr>
        <w:tab/>
        <w:t>INFORMAZIONI IN BRAILLE</w:t>
      </w:r>
    </w:p>
    <w:p>
      <w:pPr>
        <w:rPr>
          <w:rFonts w:eastAsia="Calibri"/>
          <w:noProof/>
          <w:szCs w:val="22"/>
          <w:lang w:val="it-IT" w:eastAsia="en-US"/>
        </w:rPr>
      </w:pPr>
    </w:p>
    <w:p>
      <w:pPr>
        <w:spacing w:line="220" w:lineRule="exact"/>
        <w:rPr>
          <w:rFonts w:eastAsia="Calibri"/>
          <w:noProof/>
          <w:szCs w:val="22"/>
          <w:lang w:val="it-IT" w:eastAsia="en-US"/>
        </w:rPr>
      </w:pPr>
      <w:r>
        <w:rPr>
          <w:rFonts w:eastAsia="Calibri"/>
          <w:noProof/>
          <w:szCs w:val="22"/>
          <w:lang w:val="it-IT" w:eastAsia="en-US"/>
        </w:rPr>
        <w:t>roactemra 162 mg penna</w:t>
      </w:r>
    </w:p>
    <w:p>
      <w:pPr>
        <w:rPr>
          <w:noProof/>
          <w:szCs w:val="22"/>
          <w:lang w:val="it-IT" w:eastAsia="en-US"/>
        </w:rPr>
      </w:pPr>
    </w:p>
    <w:p>
      <w:pPr>
        <w:rPr>
          <w:noProof/>
          <w:szCs w:val="22"/>
          <w:lang w:val="it-IT" w:eastAsia="en-US"/>
        </w:rPr>
      </w:pPr>
    </w:p>
    <w:p>
      <w:pPr>
        <w:pBdr>
          <w:top w:val="single" w:sz="4" w:space="1" w:color="auto"/>
          <w:left w:val="single" w:sz="4" w:space="4" w:color="auto"/>
          <w:bottom w:val="single" w:sz="4" w:space="0" w:color="auto"/>
          <w:right w:val="single" w:sz="4" w:space="4" w:color="auto"/>
        </w:pBdr>
        <w:rPr>
          <w:i/>
          <w:noProof/>
          <w:lang w:val="it-IT" w:eastAsia="en-US"/>
        </w:rPr>
      </w:pPr>
      <w:r>
        <w:rPr>
          <w:rFonts w:eastAsia="Calibri"/>
          <w:b/>
          <w:noProof/>
          <w:lang w:val="it-IT" w:eastAsia="en-US"/>
        </w:rPr>
        <w:t>17.</w:t>
      </w:r>
      <w:r>
        <w:rPr>
          <w:rFonts w:eastAsia="Calibri"/>
          <w:b/>
          <w:noProof/>
          <w:lang w:val="it-IT" w:eastAsia="en-US"/>
        </w:rPr>
        <w:tab/>
        <w:t>IDENTIFICATIVO UNICO – CODICE A BARRE BIDIMENSIONALE</w:t>
      </w:r>
    </w:p>
    <w:p>
      <w:pPr>
        <w:rPr>
          <w:rFonts w:eastAsia="Calibri"/>
          <w:noProof/>
          <w:highlight w:val="lightGray"/>
          <w:lang w:val="it-IT" w:eastAsia="en-US"/>
        </w:rPr>
      </w:pPr>
    </w:p>
    <w:p>
      <w:pPr>
        <w:rPr>
          <w:noProof/>
          <w:szCs w:val="22"/>
          <w:shd w:val="clear" w:color="auto" w:fill="CCCCCC"/>
          <w:lang w:val="it-IT" w:eastAsia="en-US"/>
        </w:rPr>
      </w:pPr>
    </w:p>
    <w:p>
      <w:pPr>
        <w:pBdr>
          <w:top w:val="single" w:sz="4" w:space="1" w:color="auto"/>
          <w:left w:val="single" w:sz="4" w:space="4" w:color="auto"/>
          <w:bottom w:val="single" w:sz="4" w:space="0" w:color="auto"/>
          <w:right w:val="single" w:sz="4" w:space="4" w:color="auto"/>
        </w:pBdr>
        <w:rPr>
          <w:i/>
          <w:noProof/>
          <w:lang w:val="it-IT" w:eastAsia="en-US"/>
        </w:rPr>
      </w:pPr>
      <w:r>
        <w:rPr>
          <w:rFonts w:eastAsia="Calibri"/>
          <w:b/>
          <w:noProof/>
          <w:lang w:val="it-IT" w:eastAsia="en-US"/>
        </w:rPr>
        <w:t>18.</w:t>
      </w:r>
      <w:r>
        <w:rPr>
          <w:rFonts w:eastAsia="Calibri"/>
          <w:b/>
          <w:noProof/>
          <w:lang w:val="it-IT" w:eastAsia="en-US"/>
        </w:rPr>
        <w:tab/>
        <w:t>IDENTIFICATIVO UNICO – DATI LEGGIBILI</w:t>
      </w:r>
    </w:p>
    <w:p>
      <w:pPr>
        <w:rPr>
          <w:rFonts w:eastAsia="Calibri"/>
          <w:noProof/>
          <w:szCs w:val="22"/>
          <w:lang w:val="it-IT" w:eastAsia="en-US"/>
        </w:rPr>
      </w:pPr>
    </w:p>
    <w:p>
      <w:pPr>
        <w:keepNext/>
        <w:keepLines/>
        <w:tabs>
          <w:tab w:val="left" w:pos="180"/>
        </w:tabs>
        <w:rPr>
          <w:noProof/>
          <w:szCs w:val="22"/>
          <w:lang w:val="it-IT"/>
        </w:rPr>
      </w:pPr>
      <w:r>
        <w:rPr>
          <w:rFonts w:ascii="Calibri" w:eastAsia="Calibri" w:hAnsi="Calibri"/>
          <w:noProof/>
          <w:szCs w:val="22"/>
          <w:lang w:val="it-IT" w:eastAsia="en-US"/>
        </w:rPr>
        <w:br w:type="page"/>
      </w:r>
    </w:p>
    <w:p>
      <w:pPr>
        <w:tabs>
          <w:tab w:val="left" w:pos="180"/>
        </w:tabs>
        <w:rPr>
          <w:del w:id="9995" w:author="Author"/>
          <w:noProof/>
          <w:lang w:val="it-IT"/>
        </w:rPr>
      </w:pPr>
    </w:p>
    <w:p>
      <w:pPr>
        <w:pBdr>
          <w:top w:val="single" w:sz="4" w:space="1" w:color="auto"/>
          <w:left w:val="single" w:sz="4" w:space="4" w:color="auto"/>
          <w:bottom w:val="single" w:sz="4" w:space="1" w:color="auto"/>
          <w:right w:val="single" w:sz="4" w:space="4" w:color="auto"/>
        </w:pBdr>
        <w:spacing w:after="160" w:line="259" w:lineRule="auto"/>
        <w:rPr>
          <w:b/>
          <w:noProof/>
          <w:lang w:val="it-IT"/>
        </w:rPr>
      </w:pPr>
      <w:r>
        <w:rPr>
          <w:rFonts w:eastAsia="Calibri"/>
          <w:b/>
          <w:noProof/>
          <w:lang w:val="it-IT" w:eastAsia="en-US"/>
        </w:rPr>
        <w:t>INFORMAZIONI MINIME DA APPORRE SUI CONFEZIONAMENTI PRIMARI DI PICCOLE DIMENSIONI</w:t>
      </w:r>
    </w:p>
    <w:p>
      <w:pPr>
        <w:pBdr>
          <w:top w:val="single" w:sz="4" w:space="1" w:color="auto"/>
          <w:left w:val="single" w:sz="4" w:space="4" w:color="auto"/>
          <w:bottom w:val="single" w:sz="4" w:space="1" w:color="auto"/>
          <w:right w:val="single" w:sz="4" w:space="4" w:color="auto"/>
        </w:pBdr>
        <w:rPr>
          <w:b/>
          <w:noProof/>
          <w:szCs w:val="22"/>
          <w:lang w:val="it-IT" w:eastAsia="en-US"/>
        </w:rPr>
      </w:pPr>
      <w:r>
        <w:rPr>
          <w:rFonts w:eastAsia="Calibri"/>
          <w:b/>
          <w:noProof/>
          <w:szCs w:val="22"/>
          <w:lang w:val="it-IT" w:eastAsia="en-US"/>
        </w:rPr>
        <w:t>ETICHETTA DELLA PENNA PRERIEMPITA</w:t>
      </w:r>
    </w:p>
    <w:p>
      <w:pPr>
        <w:rPr>
          <w:noProof/>
          <w:szCs w:val="22"/>
          <w:lang w:val="it-IT"/>
        </w:rPr>
      </w:pPr>
    </w:p>
    <w:p>
      <w:pPr>
        <w:rPr>
          <w:noProof/>
          <w:szCs w:val="22"/>
          <w:lang w:val="it-IT"/>
        </w:rPr>
      </w:pPr>
    </w:p>
    <w:p>
      <w:pPr>
        <w:pBdr>
          <w:top w:val="single" w:sz="4" w:space="1" w:color="auto"/>
          <w:left w:val="single" w:sz="4" w:space="4" w:color="auto"/>
          <w:bottom w:val="single" w:sz="4" w:space="1" w:color="auto"/>
          <w:right w:val="single" w:sz="4" w:space="4" w:color="auto"/>
        </w:pBdr>
        <w:ind w:left="567" w:hanging="567"/>
        <w:outlineLvl w:val="0"/>
        <w:rPr>
          <w:b/>
          <w:noProof/>
          <w:szCs w:val="22"/>
          <w:lang w:val="it-IT" w:eastAsia="en-US"/>
        </w:rPr>
      </w:pPr>
      <w:r>
        <w:rPr>
          <w:rFonts w:eastAsia="Calibri"/>
          <w:b/>
          <w:noProof/>
          <w:szCs w:val="22"/>
          <w:lang w:val="it-IT" w:eastAsia="en-US"/>
        </w:rPr>
        <w:t>1.</w:t>
      </w:r>
      <w:r>
        <w:rPr>
          <w:rFonts w:eastAsia="Calibri"/>
          <w:b/>
          <w:noProof/>
          <w:szCs w:val="22"/>
          <w:lang w:val="it-IT" w:eastAsia="en-US"/>
        </w:rPr>
        <w:tab/>
        <w:t>DENOMINAZIONE DEL MEDICINALE E VIA</w:t>
      </w:r>
      <w:del w:id="9996" w:author="Author">
        <w:r>
          <w:rPr>
            <w:rFonts w:eastAsia="Calibri"/>
            <w:b/>
            <w:noProof/>
            <w:szCs w:val="22"/>
            <w:lang w:val="it-IT" w:eastAsia="en-US"/>
          </w:rPr>
          <w:delText>(E)</w:delText>
        </w:r>
      </w:del>
      <w:r>
        <w:rPr>
          <w:rFonts w:eastAsia="Calibri"/>
          <w:b/>
          <w:noProof/>
          <w:szCs w:val="22"/>
          <w:lang w:val="it-IT" w:eastAsia="en-US"/>
        </w:rPr>
        <w:t xml:space="preserve"> DI SOMMINISTRAZIONE</w:t>
      </w:r>
    </w:p>
    <w:p>
      <w:pPr>
        <w:ind w:left="567" w:hanging="567"/>
        <w:rPr>
          <w:noProof/>
          <w:szCs w:val="22"/>
          <w:lang w:val="it-IT"/>
        </w:rPr>
      </w:pPr>
    </w:p>
    <w:p>
      <w:pPr>
        <w:rPr>
          <w:noProof/>
          <w:szCs w:val="22"/>
          <w:lang w:val="it-IT" w:eastAsia="en-US"/>
        </w:rPr>
      </w:pPr>
      <w:r>
        <w:rPr>
          <w:rFonts w:eastAsia="Calibri"/>
          <w:noProof/>
          <w:szCs w:val="22"/>
          <w:lang w:val="it-IT" w:eastAsia="en-US"/>
        </w:rPr>
        <w:t>RoActemra 162 mg soluzione iniettabile</w:t>
      </w:r>
    </w:p>
    <w:p>
      <w:pPr>
        <w:rPr>
          <w:noProof/>
          <w:szCs w:val="22"/>
          <w:lang w:val="it-IT" w:eastAsia="en-US"/>
        </w:rPr>
      </w:pPr>
      <w:r>
        <w:rPr>
          <w:rFonts w:eastAsia="Calibri"/>
          <w:noProof/>
          <w:szCs w:val="22"/>
          <w:lang w:val="it-IT" w:eastAsia="en-US"/>
        </w:rPr>
        <w:t>tocilizumab</w:t>
      </w:r>
    </w:p>
    <w:p>
      <w:pPr>
        <w:rPr>
          <w:noProof/>
          <w:szCs w:val="22"/>
          <w:lang w:val="it-IT" w:eastAsia="en-US"/>
        </w:rPr>
      </w:pPr>
      <w:r>
        <w:rPr>
          <w:rFonts w:eastAsia="Calibri"/>
          <w:noProof/>
          <w:szCs w:val="22"/>
          <w:lang w:val="it-IT" w:eastAsia="en-US"/>
        </w:rPr>
        <w:t>s.c.</w:t>
      </w:r>
    </w:p>
    <w:p>
      <w:pPr>
        <w:rPr>
          <w:noProof/>
          <w:szCs w:val="22"/>
          <w:lang w:val="it-IT"/>
        </w:rPr>
      </w:pPr>
    </w:p>
    <w:p>
      <w:pPr>
        <w:rPr>
          <w:noProof/>
          <w:szCs w:val="22"/>
          <w:lang w:val="it-IT"/>
        </w:rPr>
      </w:pPr>
    </w:p>
    <w:p>
      <w:pPr>
        <w:pBdr>
          <w:top w:val="single" w:sz="4" w:space="1" w:color="auto"/>
          <w:left w:val="single" w:sz="4" w:space="4" w:color="auto"/>
          <w:bottom w:val="single" w:sz="4" w:space="1" w:color="auto"/>
          <w:right w:val="single" w:sz="4" w:space="4" w:color="auto"/>
        </w:pBdr>
        <w:ind w:left="567" w:hanging="567"/>
        <w:outlineLvl w:val="0"/>
        <w:rPr>
          <w:b/>
          <w:noProof/>
          <w:szCs w:val="22"/>
          <w:lang w:val="it-IT" w:eastAsia="en-US"/>
        </w:rPr>
      </w:pPr>
      <w:r>
        <w:rPr>
          <w:rFonts w:eastAsia="Calibri"/>
          <w:b/>
          <w:noProof/>
          <w:szCs w:val="22"/>
          <w:lang w:val="it-IT" w:eastAsia="en-US"/>
        </w:rPr>
        <w:t>2.</w:t>
      </w:r>
      <w:r>
        <w:rPr>
          <w:rFonts w:eastAsia="Calibri"/>
          <w:b/>
          <w:noProof/>
          <w:szCs w:val="22"/>
          <w:lang w:val="it-IT" w:eastAsia="en-US"/>
        </w:rPr>
        <w:tab/>
        <w:t>MODO DI SOMMINISTRAZIONE</w:t>
      </w:r>
    </w:p>
    <w:p>
      <w:pPr>
        <w:rPr>
          <w:noProof/>
          <w:szCs w:val="22"/>
          <w:lang w:val="it-IT"/>
        </w:rPr>
      </w:pPr>
    </w:p>
    <w:p>
      <w:pPr>
        <w:rPr>
          <w:noProof/>
          <w:szCs w:val="22"/>
          <w:lang w:val="it-IT"/>
        </w:rPr>
      </w:pPr>
    </w:p>
    <w:p>
      <w:pPr>
        <w:pBdr>
          <w:top w:val="single" w:sz="4" w:space="1" w:color="auto"/>
          <w:left w:val="single" w:sz="4" w:space="4" w:color="auto"/>
          <w:bottom w:val="single" w:sz="4" w:space="1" w:color="auto"/>
          <w:right w:val="single" w:sz="4" w:space="4" w:color="auto"/>
        </w:pBdr>
        <w:ind w:left="567" w:hanging="567"/>
        <w:outlineLvl w:val="0"/>
        <w:rPr>
          <w:b/>
          <w:noProof/>
          <w:szCs w:val="22"/>
          <w:lang w:val="it-IT" w:eastAsia="en-US"/>
        </w:rPr>
      </w:pPr>
      <w:r>
        <w:rPr>
          <w:rFonts w:eastAsia="Calibri"/>
          <w:b/>
          <w:noProof/>
          <w:szCs w:val="22"/>
          <w:lang w:val="it-IT" w:eastAsia="en-US"/>
        </w:rPr>
        <w:t>3.</w:t>
      </w:r>
      <w:r>
        <w:rPr>
          <w:rFonts w:eastAsia="Calibri"/>
          <w:b/>
          <w:noProof/>
          <w:szCs w:val="22"/>
          <w:lang w:val="it-IT" w:eastAsia="en-US"/>
        </w:rPr>
        <w:tab/>
        <w:t>DATA DI SCADENZA</w:t>
      </w:r>
    </w:p>
    <w:p>
      <w:pPr>
        <w:rPr>
          <w:noProof/>
          <w:szCs w:val="22"/>
          <w:lang w:val="it-IT"/>
        </w:rPr>
      </w:pPr>
    </w:p>
    <w:p>
      <w:pPr>
        <w:rPr>
          <w:noProof/>
          <w:szCs w:val="22"/>
          <w:lang w:val="it-IT"/>
        </w:rPr>
      </w:pPr>
      <w:r>
        <w:rPr>
          <w:rFonts w:eastAsia="Calibri"/>
          <w:noProof/>
          <w:szCs w:val="22"/>
          <w:lang w:val="it-IT" w:eastAsia="en-US"/>
        </w:rPr>
        <w:t>EXP</w:t>
      </w:r>
    </w:p>
    <w:p>
      <w:pPr>
        <w:rPr>
          <w:noProof/>
          <w:szCs w:val="22"/>
          <w:lang w:val="it-IT"/>
        </w:rPr>
      </w:pPr>
    </w:p>
    <w:p>
      <w:pPr>
        <w:rPr>
          <w:noProof/>
          <w:szCs w:val="22"/>
          <w:lang w:val="it-IT"/>
        </w:rPr>
      </w:pPr>
    </w:p>
    <w:p>
      <w:pPr>
        <w:pBdr>
          <w:top w:val="single" w:sz="4" w:space="1" w:color="auto"/>
          <w:left w:val="single" w:sz="4" w:space="4" w:color="auto"/>
          <w:bottom w:val="single" w:sz="4" w:space="1" w:color="auto"/>
          <w:right w:val="single" w:sz="4" w:space="4" w:color="auto"/>
        </w:pBdr>
        <w:ind w:left="567" w:hanging="567"/>
        <w:outlineLvl w:val="0"/>
        <w:rPr>
          <w:b/>
          <w:noProof/>
          <w:szCs w:val="22"/>
          <w:lang w:val="it-IT" w:eastAsia="en-US"/>
        </w:rPr>
      </w:pPr>
      <w:r>
        <w:rPr>
          <w:rFonts w:eastAsia="Calibri"/>
          <w:b/>
          <w:noProof/>
          <w:szCs w:val="22"/>
          <w:lang w:val="it-IT" w:eastAsia="en-US"/>
        </w:rPr>
        <w:t>4.</w:t>
      </w:r>
      <w:r>
        <w:rPr>
          <w:rFonts w:eastAsia="Calibri"/>
          <w:b/>
          <w:noProof/>
          <w:szCs w:val="22"/>
          <w:lang w:val="it-IT" w:eastAsia="en-US"/>
        </w:rPr>
        <w:tab/>
        <w:t>NUMERO DI LOTTO</w:t>
      </w:r>
    </w:p>
    <w:p>
      <w:pPr>
        <w:rPr>
          <w:noProof/>
          <w:szCs w:val="22"/>
          <w:lang w:val="it-IT"/>
        </w:rPr>
      </w:pPr>
    </w:p>
    <w:p>
      <w:pPr>
        <w:rPr>
          <w:noProof/>
          <w:szCs w:val="22"/>
          <w:lang w:val="it-IT" w:eastAsia="en-US"/>
        </w:rPr>
      </w:pPr>
      <w:r>
        <w:rPr>
          <w:rFonts w:eastAsia="Calibri"/>
          <w:noProof/>
          <w:szCs w:val="22"/>
          <w:lang w:val="it-IT" w:eastAsia="en-US"/>
        </w:rPr>
        <w:t>Lot</w:t>
      </w:r>
    </w:p>
    <w:p>
      <w:pPr>
        <w:rPr>
          <w:noProof/>
          <w:szCs w:val="22"/>
          <w:lang w:val="it-IT"/>
        </w:rPr>
      </w:pPr>
    </w:p>
    <w:p>
      <w:pPr>
        <w:rPr>
          <w:noProof/>
          <w:szCs w:val="22"/>
          <w:lang w:val="it-IT"/>
        </w:rPr>
      </w:pPr>
    </w:p>
    <w:p>
      <w:pPr>
        <w:pBdr>
          <w:top w:val="single" w:sz="4" w:space="1" w:color="auto"/>
          <w:left w:val="single" w:sz="4" w:space="4" w:color="auto"/>
          <w:bottom w:val="single" w:sz="4" w:space="1" w:color="auto"/>
          <w:right w:val="single" w:sz="4" w:space="4" w:color="auto"/>
        </w:pBdr>
        <w:ind w:left="567" w:hanging="567"/>
        <w:outlineLvl w:val="0"/>
        <w:rPr>
          <w:b/>
          <w:noProof/>
          <w:szCs w:val="22"/>
          <w:lang w:val="it-IT" w:eastAsia="en-US"/>
        </w:rPr>
      </w:pPr>
      <w:r>
        <w:rPr>
          <w:rFonts w:eastAsia="Calibri"/>
          <w:b/>
          <w:noProof/>
          <w:szCs w:val="22"/>
          <w:lang w:val="it-IT" w:eastAsia="en-US"/>
        </w:rPr>
        <w:t>5.</w:t>
      </w:r>
      <w:r>
        <w:rPr>
          <w:rFonts w:eastAsia="Calibri"/>
          <w:b/>
          <w:noProof/>
          <w:szCs w:val="22"/>
          <w:lang w:val="it-IT" w:eastAsia="en-US"/>
        </w:rPr>
        <w:tab/>
        <w:t>CONTENUTO IN PESO, VOLUME O UNITÀ</w:t>
      </w:r>
    </w:p>
    <w:p>
      <w:pPr>
        <w:ind w:right="113"/>
        <w:rPr>
          <w:noProof/>
          <w:szCs w:val="22"/>
          <w:lang w:val="it-IT"/>
        </w:rPr>
      </w:pPr>
    </w:p>
    <w:p>
      <w:pPr>
        <w:ind w:right="113"/>
        <w:rPr>
          <w:noProof/>
          <w:szCs w:val="22"/>
          <w:lang w:val="it-IT" w:eastAsia="en-US"/>
        </w:rPr>
      </w:pPr>
      <w:r>
        <w:rPr>
          <w:rFonts w:eastAsia="Calibri"/>
          <w:noProof/>
          <w:szCs w:val="22"/>
          <w:lang w:val="it-IT" w:eastAsia="en-US"/>
        </w:rPr>
        <w:t xml:space="preserve">162 mg/0,9 mL </w:t>
      </w:r>
    </w:p>
    <w:p>
      <w:pPr>
        <w:ind w:right="113"/>
        <w:rPr>
          <w:noProof/>
          <w:szCs w:val="22"/>
          <w:lang w:val="it-IT"/>
        </w:rPr>
      </w:pPr>
    </w:p>
    <w:p>
      <w:pPr>
        <w:ind w:right="113"/>
        <w:rPr>
          <w:noProof/>
          <w:szCs w:val="22"/>
          <w:lang w:val="it-IT"/>
        </w:rPr>
      </w:pPr>
    </w:p>
    <w:p>
      <w:pPr>
        <w:pBdr>
          <w:top w:val="single" w:sz="4" w:space="1" w:color="auto"/>
          <w:left w:val="single" w:sz="4" w:space="4" w:color="auto"/>
          <w:bottom w:val="single" w:sz="4" w:space="1" w:color="auto"/>
          <w:right w:val="single" w:sz="4" w:space="4" w:color="auto"/>
        </w:pBdr>
        <w:ind w:left="567" w:hanging="567"/>
        <w:outlineLvl w:val="0"/>
        <w:rPr>
          <w:b/>
          <w:noProof/>
          <w:szCs w:val="22"/>
          <w:lang w:val="it-IT" w:eastAsia="en-US"/>
        </w:rPr>
      </w:pPr>
      <w:r>
        <w:rPr>
          <w:rFonts w:eastAsia="Calibri"/>
          <w:b/>
          <w:noProof/>
          <w:szCs w:val="22"/>
          <w:lang w:val="it-IT" w:eastAsia="en-US"/>
        </w:rPr>
        <w:t>6.</w:t>
      </w:r>
      <w:r>
        <w:rPr>
          <w:rFonts w:eastAsia="Calibri"/>
          <w:b/>
          <w:noProof/>
          <w:szCs w:val="22"/>
          <w:lang w:val="it-IT" w:eastAsia="en-US"/>
        </w:rPr>
        <w:tab/>
        <w:t>ALTRO</w:t>
      </w:r>
    </w:p>
    <w:p>
      <w:pPr>
        <w:tabs>
          <w:tab w:val="left" w:pos="180"/>
        </w:tabs>
        <w:rPr>
          <w:noProof/>
          <w:lang w:val="it-IT"/>
        </w:rPr>
      </w:pPr>
      <w:r>
        <w:rPr>
          <w:noProof/>
          <w:lang w:val="it-IT"/>
        </w:rPr>
        <w:br w:type="page"/>
      </w: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szCs w:val="22"/>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tabs>
          <w:tab w:val="left" w:pos="180"/>
        </w:tabs>
        <w:jc w:val="center"/>
        <w:rPr>
          <w:noProof/>
          <w:lang w:val="it-IT"/>
        </w:rPr>
      </w:pPr>
    </w:p>
    <w:p>
      <w:pPr>
        <w:pStyle w:val="Annex"/>
        <w:tabs>
          <w:tab w:val="left" w:pos="180"/>
        </w:tabs>
        <w:rPr>
          <w:noProof/>
          <w:lang w:val="it-IT"/>
        </w:rPr>
      </w:pPr>
      <w:r>
        <w:rPr>
          <w:noProof/>
          <w:lang w:val="it-IT"/>
        </w:rPr>
        <w:t>B. FOGLIO ILLUSTRATIVO</w:t>
      </w:r>
    </w:p>
    <w:p>
      <w:pPr>
        <w:tabs>
          <w:tab w:val="left" w:pos="180"/>
        </w:tabs>
        <w:jc w:val="center"/>
        <w:rPr>
          <w:noProof/>
          <w:lang w:val="it-IT"/>
        </w:rPr>
      </w:pPr>
    </w:p>
    <w:p>
      <w:pPr>
        <w:tabs>
          <w:tab w:val="left" w:pos="180"/>
        </w:tabs>
        <w:jc w:val="center"/>
        <w:outlineLvl w:val="0"/>
        <w:rPr>
          <w:b/>
          <w:noProof/>
          <w:szCs w:val="22"/>
          <w:lang w:val="it-IT"/>
        </w:rPr>
      </w:pPr>
      <w:r>
        <w:rPr>
          <w:noProof/>
          <w:lang w:val="it-IT"/>
        </w:rPr>
        <w:br w:type="page"/>
      </w:r>
      <w:r>
        <w:rPr>
          <w:b/>
          <w:noProof/>
          <w:szCs w:val="24"/>
          <w:lang w:val="it-IT"/>
        </w:rPr>
        <w:lastRenderedPageBreak/>
        <w:t>Foglio illustrativo: informazioni per l’utilizzatore</w:t>
      </w:r>
    </w:p>
    <w:p>
      <w:pPr>
        <w:tabs>
          <w:tab w:val="left" w:pos="180"/>
        </w:tabs>
        <w:jc w:val="center"/>
        <w:outlineLvl w:val="0"/>
        <w:rPr>
          <w:b/>
          <w:noProof/>
          <w:szCs w:val="22"/>
          <w:lang w:val="it-IT"/>
        </w:rPr>
      </w:pPr>
    </w:p>
    <w:p>
      <w:pPr>
        <w:tabs>
          <w:tab w:val="left" w:pos="180"/>
        </w:tabs>
        <w:jc w:val="center"/>
        <w:rPr>
          <w:b/>
          <w:noProof/>
          <w:szCs w:val="22"/>
          <w:lang w:val="it-IT"/>
        </w:rPr>
      </w:pPr>
      <w:r>
        <w:rPr>
          <w:b/>
          <w:noProof/>
          <w:szCs w:val="22"/>
          <w:lang w:val="it-IT"/>
        </w:rPr>
        <w:t>RoActemra 20 mg/mL concentrato per soluzione per infusione</w:t>
      </w:r>
    </w:p>
    <w:p>
      <w:pPr>
        <w:tabs>
          <w:tab w:val="left" w:pos="180"/>
        </w:tabs>
        <w:jc w:val="center"/>
        <w:rPr>
          <w:noProof/>
          <w:szCs w:val="22"/>
          <w:lang w:val="it-IT"/>
        </w:rPr>
      </w:pPr>
      <w:r>
        <w:rPr>
          <w:noProof/>
          <w:szCs w:val="22"/>
          <w:lang w:val="it-IT"/>
        </w:rPr>
        <w:t>tocilizumab</w:t>
      </w:r>
    </w:p>
    <w:p>
      <w:pPr>
        <w:tabs>
          <w:tab w:val="left" w:pos="180"/>
        </w:tabs>
        <w:rPr>
          <w:noProof/>
          <w:szCs w:val="22"/>
          <w:lang w:val="it-IT"/>
        </w:rPr>
      </w:pPr>
    </w:p>
    <w:p>
      <w:pPr>
        <w:tabs>
          <w:tab w:val="left" w:pos="180"/>
        </w:tabs>
        <w:rPr>
          <w:ins w:id="9997" w:author="Author"/>
          <w:b/>
          <w:noProof/>
          <w:szCs w:val="22"/>
          <w:lang w:val="it-IT"/>
        </w:rPr>
      </w:pPr>
      <w:r>
        <w:rPr>
          <w:b/>
          <w:noProof/>
          <w:szCs w:val="22"/>
          <w:lang w:val="it-IT"/>
        </w:rPr>
        <w:t>Legga attentamente questo foglio prima che le venga dato questo medicinale perché contiene importanti informazioni per lei.</w:t>
      </w:r>
    </w:p>
    <w:p>
      <w:pPr>
        <w:tabs>
          <w:tab w:val="left" w:pos="180"/>
        </w:tabs>
        <w:rPr>
          <w:b/>
          <w:noProof/>
          <w:szCs w:val="22"/>
          <w:lang w:val="it-IT"/>
        </w:rPr>
      </w:pPr>
    </w:p>
    <w:p>
      <w:pPr>
        <w:ind w:left="567" w:hanging="567"/>
        <w:rPr>
          <w:noProof/>
          <w:szCs w:val="22"/>
          <w:lang w:val="it-IT"/>
        </w:rPr>
        <w:pPrChange w:id="9998" w:author="Author">
          <w:pPr>
            <w:tabs>
              <w:tab w:val="left" w:pos="180"/>
            </w:tabs>
            <w:ind w:left="567" w:hanging="567"/>
          </w:pPr>
        </w:pPrChange>
      </w:pPr>
      <w:r>
        <w:rPr>
          <w:noProof/>
          <w:lang w:val="it-IT"/>
        </w:rPr>
        <w:sym w:font="Symbol" w:char="00B7"/>
      </w:r>
      <w:r>
        <w:rPr>
          <w:noProof/>
          <w:lang w:val="it-IT"/>
        </w:rPr>
        <w:tab/>
      </w:r>
      <w:r>
        <w:rPr>
          <w:noProof/>
          <w:szCs w:val="22"/>
          <w:lang w:val="it-IT"/>
        </w:rPr>
        <w:t>Conservi questo foglio. Potrebbe aver bisogno di leggerlo di nuovo.</w:t>
      </w:r>
    </w:p>
    <w:p>
      <w:pPr>
        <w:ind w:left="567" w:hanging="567"/>
        <w:rPr>
          <w:noProof/>
          <w:szCs w:val="22"/>
          <w:lang w:val="it-IT"/>
        </w:rPr>
        <w:pPrChange w:id="9999" w:author="Author">
          <w:pPr>
            <w:tabs>
              <w:tab w:val="left" w:pos="180"/>
            </w:tabs>
            <w:ind w:left="567" w:hanging="567"/>
          </w:pPr>
        </w:pPrChange>
      </w:pPr>
      <w:r>
        <w:rPr>
          <w:noProof/>
          <w:lang w:val="it-IT"/>
        </w:rPr>
        <w:sym w:font="Symbol" w:char="00B7"/>
      </w:r>
      <w:r>
        <w:rPr>
          <w:noProof/>
          <w:lang w:val="it-IT"/>
        </w:rPr>
        <w:tab/>
      </w:r>
      <w:r>
        <w:rPr>
          <w:noProof/>
          <w:szCs w:val="22"/>
          <w:lang w:val="it-IT"/>
        </w:rPr>
        <w:t>Se ha qualsiasi dubbio, si rivolga al medico o all’infermiere.</w:t>
      </w:r>
    </w:p>
    <w:p>
      <w:pPr>
        <w:ind w:left="567" w:hanging="567"/>
        <w:rPr>
          <w:noProof/>
          <w:szCs w:val="22"/>
          <w:lang w:val="it-IT"/>
        </w:rPr>
        <w:pPrChange w:id="10000" w:author="Author">
          <w:pPr>
            <w:tabs>
              <w:tab w:val="left" w:pos="180"/>
            </w:tabs>
            <w:ind w:left="567" w:hanging="567"/>
          </w:pPr>
        </w:pPrChange>
      </w:pPr>
      <w:r>
        <w:rPr>
          <w:noProof/>
          <w:lang w:val="it-IT"/>
        </w:rPr>
        <w:sym w:font="Symbol" w:char="00B7"/>
      </w:r>
      <w:r>
        <w:rPr>
          <w:noProof/>
          <w:lang w:val="it-IT"/>
        </w:rPr>
        <w:tab/>
      </w:r>
      <w:r>
        <w:rPr>
          <w:noProof/>
          <w:szCs w:val="22"/>
          <w:lang w:val="it-IT"/>
        </w:rPr>
        <w:t xml:space="preserve">Se si manifesta un qualsiasi effetto indesiderato, </w:t>
      </w:r>
      <w:r>
        <w:rPr>
          <w:noProof/>
          <w:snapToGrid w:val="0"/>
          <w:szCs w:val="24"/>
          <w:lang w:val="it-IT"/>
        </w:rPr>
        <w:t>compresi quelli</w:t>
      </w:r>
      <w:r>
        <w:rPr>
          <w:noProof/>
          <w:snapToGrid w:val="0"/>
          <w:lang w:val="it-IT"/>
        </w:rPr>
        <w:t xml:space="preserve"> non </w:t>
      </w:r>
      <w:r>
        <w:rPr>
          <w:noProof/>
          <w:snapToGrid w:val="0"/>
          <w:szCs w:val="24"/>
          <w:lang w:val="it-IT"/>
        </w:rPr>
        <w:t>elencati</w:t>
      </w:r>
      <w:r>
        <w:rPr>
          <w:noProof/>
          <w:snapToGrid w:val="0"/>
          <w:lang w:val="it-IT"/>
        </w:rPr>
        <w:t xml:space="preserve"> in questo foglio,</w:t>
      </w:r>
      <w:r>
        <w:rPr>
          <w:noProof/>
          <w:szCs w:val="22"/>
          <w:lang w:val="it-IT"/>
        </w:rPr>
        <w:t xml:space="preserve"> informi il medico o l’infermiere. Vedere paragrafo 4.</w:t>
      </w:r>
    </w:p>
    <w:p>
      <w:pPr>
        <w:tabs>
          <w:tab w:val="left" w:pos="180"/>
        </w:tabs>
        <w:rPr>
          <w:noProof/>
          <w:szCs w:val="22"/>
          <w:lang w:val="it-IT"/>
        </w:rPr>
      </w:pPr>
    </w:p>
    <w:p>
      <w:pPr>
        <w:tabs>
          <w:tab w:val="left" w:pos="180"/>
        </w:tabs>
        <w:rPr>
          <w:noProof/>
          <w:szCs w:val="22"/>
          <w:lang w:val="it-IT"/>
        </w:rPr>
      </w:pPr>
      <w:r>
        <w:rPr>
          <w:noProof/>
          <w:szCs w:val="22"/>
          <w:lang w:val="it-IT"/>
        </w:rPr>
        <w:t xml:space="preserve">Oltre a questo foglio illustrativo, le sarà consegnata una </w:t>
      </w:r>
      <w:r>
        <w:rPr>
          <w:b/>
          <w:noProof/>
          <w:szCs w:val="22"/>
          <w:lang w:val="it-IT"/>
        </w:rPr>
        <w:t>Scheda per il Paziente</w:t>
      </w:r>
      <w:r>
        <w:rPr>
          <w:noProof/>
          <w:szCs w:val="22"/>
          <w:lang w:val="it-IT"/>
        </w:rPr>
        <w:t xml:space="preserve">, la quale contiene importanti informazioni di sicurezza che </w:t>
      </w:r>
      <w:del w:id="10001" w:author="Author">
        <w:r>
          <w:rPr>
            <w:noProof/>
            <w:szCs w:val="22"/>
            <w:lang w:val="it-IT"/>
          </w:rPr>
          <w:delText xml:space="preserve">lei </w:delText>
        </w:r>
      </w:del>
      <w:r>
        <w:rPr>
          <w:noProof/>
          <w:szCs w:val="22"/>
          <w:lang w:val="it-IT"/>
        </w:rPr>
        <w:t>deve conoscere prima che le venga somministrato RoActemra e durante il trattamento con RoActemra.</w:t>
      </w:r>
    </w:p>
    <w:p>
      <w:pPr>
        <w:tabs>
          <w:tab w:val="left" w:pos="180"/>
        </w:tabs>
        <w:rPr>
          <w:del w:id="10002" w:author="Author"/>
          <w:noProof/>
          <w:szCs w:val="22"/>
          <w:lang w:val="it-IT"/>
        </w:rPr>
      </w:pPr>
    </w:p>
    <w:p>
      <w:pPr>
        <w:tabs>
          <w:tab w:val="left" w:pos="180"/>
        </w:tabs>
        <w:rPr>
          <w:noProof/>
          <w:szCs w:val="22"/>
          <w:lang w:val="it-IT"/>
        </w:rPr>
      </w:pPr>
      <w:r>
        <w:rPr>
          <w:b/>
          <w:noProof/>
          <w:szCs w:val="22"/>
          <w:lang w:val="it-IT"/>
        </w:rPr>
        <w:t>Contenuto di questo foglio:</w:t>
      </w:r>
    </w:p>
    <w:p>
      <w:pPr>
        <w:tabs>
          <w:tab w:val="left" w:pos="180"/>
        </w:tabs>
        <w:ind w:left="567" w:hanging="567"/>
        <w:rPr>
          <w:noProof/>
          <w:szCs w:val="22"/>
          <w:lang w:val="it-IT"/>
        </w:rPr>
      </w:pPr>
      <w:r>
        <w:rPr>
          <w:noProof/>
          <w:szCs w:val="22"/>
          <w:lang w:val="it-IT"/>
        </w:rPr>
        <w:t>1.</w:t>
      </w:r>
      <w:r>
        <w:rPr>
          <w:noProof/>
          <w:szCs w:val="22"/>
          <w:lang w:val="it-IT"/>
        </w:rPr>
        <w:tab/>
      </w:r>
      <w:r>
        <w:rPr>
          <w:noProof/>
          <w:szCs w:val="22"/>
          <w:lang w:val="it-IT"/>
        </w:rPr>
        <w:tab/>
        <w:t>Cos’è RoActemra e a cosa serve</w:t>
      </w:r>
    </w:p>
    <w:p>
      <w:pPr>
        <w:tabs>
          <w:tab w:val="left" w:pos="180"/>
        </w:tabs>
        <w:ind w:left="567" w:hanging="567"/>
        <w:rPr>
          <w:noProof/>
          <w:szCs w:val="22"/>
          <w:lang w:val="it-IT"/>
        </w:rPr>
      </w:pPr>
      <w:r>
        <w:rPr>
          <w:noProof/>
          <w:szCs w:val="22"/>
          <w:lang w:val="it-IT"/>
        </w:rPr>
        <w:t>2.</w:t>
      </w:r>
      <w:r>
        <w:rPr>
          <w:noProof/>
          <w:szCs w:val="22"/>
          <w:lang w:val="it-IT"/>
        </w:rPr>
        <w:tab/>
      </w:r>
      <w:r>
        <w:rPr>
          <w:noProof/>
          <w:szCs w:val="22"/>
          <w:lang w:val="it-IT"/>
        </w:rPr>
        <w:tab/>
        <w:t>Cosa deve sapere prima che le venga somministrato RoActemra</w:t>
      </w:r>
    </w:p>
    <w:p>
      <w:pPr>
        <w:tabs>
          <w:tab w:val="left" w:pos="180"/>
        </w:tabs>
        <w:ind w:left="567" w:hanging="567"/>
        <w:rPr>
          <w:noProof/>
          <w:szCs w:val="22"/>
          <w:lang w:val="it-IT"/>
        </w:rPr>
      </w:pPr>
      <w:r>
        <w:rPr>
          <w:noProof/>
          <w:szCs w:val="22"/>
          <w:lang w:val="it-IT"/>
        </w:rPr>
        <w:t>3.</w:t>
      </w:r>
      <w:r>
        <w:rPr>
          <w:noProof/>
          <w:szCs w:val="22"/>
          <w:lang w:val="it-IT"/>
        </w:rPr>
        <w:tab/>
      </w:r>
      <w:r>
        <w:rPr>
          <w:noProof/>
          <w:szCs w:val="22"/>
          <w:lang w:val="it-IT"/>
        </w:rPr>
        <w:tab/>
        <w:t>Come viene somministrato RoActemra</w:t>
      </w:r>
    </w:p>
    <w:p>
      <w:pPr>
        <w:tabs>
          <w:tab w:val="left" w:pos="180"/>
        </w:tabs>
        <w:ind w:left="567" w:hanging="567"/>
        <w:rPr>
          <w:noProof/>
          <w:szCs w:val="22"/>
          <w:lang w:val="it-IT"/>
        </w:rPr>
      </w:pPr>
      <w:r>
        <w:rPr>
          <w:noProof/>
          <w:szCs w:val="22"/>
          <w:lang w:val="it-IT"/>
        </w:rPr>
        <w:t>4.</w:t>
      </w:r>
      <w:r>
        <w:rPr>
          <w:noProof/>
          <w:szCs w:val="22"/>
          <w:lang w:val="it-IT"/>
        </w:rPr>
        <w:tab/>
      </w:r>
      <w:r>
        <w:rPr>
          <w:noProof/>
          <w:szCs w:val="22"/>
          <w:lang w:val="it-IT"/>
        </w:rPr>
        <w:tab/>
        <w:t>Possibili effetti indesiderati</w:t>
      </w:r>
    </w:p>
    <w:p>
      <w:pPr>
        <w:tabs>
          <w:tab w:val="left" w:pos="180"/>
        </w:tabs>
        <w:ind w:left="567" w:hanging="567"/>
        <w:rPr>
          <w:noProof/>
          <w:szCs w:val="22"/>
          <w:lang w:val="it-IT"/>
        </w:rPr>
      </w:pPr>
      <w:r>
        <w:rPr>
          <w:noProof/>
          <w:szCs w:val="22"/>
          <w:lang w:val="it-IT"/>
        </w:rPr>
        <w:t>5.</w:t>
      </w:r>
      <w:r>
        <w:rPr>
          <w:noProof/>
          <w:szCs w:val="22"/>
          <w:lang w:val="it-IT"/>
        </w:rPr>
        <w:tab/>
      </w:r>
      <w:r>
        <w:rPr>
          <w:noProof/>
          <w:szCs w:val="22"/>
          <w:lang w:val="it-IT"/>
        </w:rPr>
        <w:tab/>
        <w:t>Come conservare RoActemra</w:t>
      </w:r>
    </w:p>
    <w:p>
      <w:pPr>
        <w:tabs>
          <w:tab w:val="left" w:pos="180"/>
        </w:tabs>
        <w:ind w:left="567" w:hanging="567"/>
        <w:rPr>
          <w:noProof/>
          <w:szCs w:val="22"/>
          <w:lang w:val="it-IT"/>
        </w:rPr>
      </w:pPr>
      <w:r>
        <w:rPr>
          <w:noProof/>
          <w:szCs w:val="22"/>
          <w:lang w:val="it-IT"/>
        </w:rPr>
        <w:t>6.</w:t>
      </w:r>
      <w:r>
        <w:rPr>
          <w:noProof/>
          <w:szCs w:val="22"/>
          <w:lang w:val="it-IT"/>
        </w:rPr>
        <w:tab/>
      </w:r>
      <w:r>
        <w:rPr>
          <w:noProof/>
          <w:szCs w:val="22"/>
          <w:lang w:val="it-IT"/>
        </w:rPr>
        <w:tab/>
      </w:r>
      <w:r>
        <w:rPr>
          <w:noProof/>
          <w:snapToGrid w:val="0"/>
          <w:szCs w:val="24"/>
          <w:lang w:val="it-IT"/>
        </w:rPr>
        <w:t>Contenuto della confezione</w:t>
      </w:r>
      <w:r>
        <w:rPr>
          <w:noProof/>
          <w:szCs w:val="22"/>
          <w:lang w:val="it-IT"/>
        </w:rPr>
        <w:t xml:space="preserve"> ed altre informazioni</w:t>
      </w:r>
    </w:p>
    <w:p>
      <w:pPr>
        <w:tabs>
          <w:tab w:val="left" w:pos="180"/>
        </w:tabs>
        <w:rPr>
          <w:noProof/>
          <w:szCs w:val="22"/>
          <w:lang w:val="it-IT"/>
        </w:rPr>
      </w:pPr>
    </w:p>
    <w:p>
      <w:pPr>
        <w:tabs>
          <w:tab w:val="left" w:pos="180"/>
        </w:tabs>
        <w:rPr>
          <w:noProof/>
          <w:szCs w:val="22"/>
          <w:lang w:val="it-IT"/>
        </w:rPr>
      </w:pPr>
    </w:p>
    <w:p>
      <w:pPr>
        <w:tabs>
          <w:tab w:val="left" w:pos="180"/>
        </w:tabs>
        <w:ind w:left="567" w:hanging="567"/>
        <w:rPr>
          <w:b/>
          <w:noProof/>
          <w:szCs w:val="22"/>
          <w:lang w:val="it-IT"/>
        </w:rPr>
      </w:pPr>
      <w:r>
        <w:rPr>
          <w:b/>
          <w:noProof/>
          <w:szCs w:val="22"/>
          <w:lang w:val="it-IT"/>
        </w:rPr>
        <w:t>1.</w:t>
      </w:r>
      <w:r>
        <w:rPr>
          <w:b/>
          <w:noProof/>
          <w:szCs w:val="22"/>
          <w:lang w:val="it-IT"/>
        </w:rPr>
        <w:tab/>
      </w:r>
      <w:r>
        <w:rPr>
          <w:b/>
          <w:noProof/>
          <w:szCs w:val="22"/>
          <w:lang w:val="it-IT"/>
        </w:rPr>
        <w:tab/>
        <w:t>Cos’è RoActemra e a cosa serve</w:t>
      </w:r>
    </w:p>
    <w:p>
      <w:pPr>
        <w:tabs>
          <w:tab w:val="left" w:pos="180"/>
        </w:tabs>
        <w:rPr>
          <w:noProof/>
          <w:szCs w:val="22"/>
          <w:lang w:val="it-IT"/>
        </w:rPr>
      </w:pPr>
    </w:p>
    <w:p>
      <w:pPr>
        <w:tabs>
          <w:tab w:val="left" w:pos="180"/>
        </w:tabs>
        <w:rPr>
          <w:noProof/>
          <w:szCs w:val="22"/>
          <w:lang w:val="it-IT"/>
        </w:rPr>
      </w:pPr>
      <w:r>
        <w:rPr>
          <w:noProof/>
          <w:szCs w:val="22"/>
          <w:lang w:val="it-IT"/>
        </w:rPr>
        <w:t xml:space="preserve">RoActemra contiene la sostanza attiva tocilizumab, </w:t>
      </w:r>
      <w:r>
        <w:rPr>
          <w:noProof/>
          <w:lang w:val="it-IT"/>
        </w:rPr>
        <w:t>una</w:t>
      </w:r>
      <w:r>
        <w:rPr>
          <w:noProof/>
          <w:szCs w:val="22"/>
          <w:lang w:val="it-IT"/>
        </w:rPr>
        <w:t xml:space="preserve"> </w:t>
      </w:r>
      <w:r>
        <w:rPr>
          <w:noProof/>
          <w:lang w:val="it-IT"/>
        </w:rPr>
        <w:t>proteina prodotta</w:t>
      </w:r>
      <w:r>
        <w:rPr>
          <w:noProof/>
          <w:szCs w:val="22"/>
          <w:lang w:val="it-IT"/>
        </w:rPr>
        <w:t xml:space="preserve"> </w:t>
      </w:r>
      <w:r>
        <w:rPr>
          <w:noProof/>
          <w:lang w:val="it-IT"/>
        </w:rPr>
        <w:t>da cellule</w:t>
      </w:r>
      <w:r>
        <w:rPr>
          <w:noProof/>
          <w:szCs w:val="22"/>
          <w:lang w:val="it-IT"/>
        </w:rPr>
        <w:t xml:space="preserve"> </w:t>
      </w:r>
      <w:r>
        <w:rPr>
          <w:noProof/>
          <w:lang w:val="it-IT"/>
        </w:rPr>
        <w:t>immunitarie</w:t>
      </w:r>
      <w:r>
        <w:rPr>
          <w:noProof/>
          <w:szCs w:val="22"/>
          <w:lang w:val="it-IT"/>
        </w:rPr>
        <w:t xml:space="preserve"> </w:t>
      </w:r>
      <w:r>
        <w:rPr>
          <w:noProof/>
          <w:lang w:val="it-IT"/>
        </w:rPr>
        <w:t>specifiche (</w:t>
      </w:r>
      <w:r>
        <w:rPr>
          <w:noProof/>
          <w:szCs w:val="22"/>
          <w:lang w:val="it-IT"/>
        </w:rPr>
        <w:t xml:space="preserve">anticorpo </w:t>
      </w:r>
      <w:r>
        <w:rPr>
          <w:noProof/>
          <w:lang w:val="it-IT"/>
        </w:rPr>
        <w:t>monoclonale</w:t>
      </w:r>
      <w:r>
        <w:rPr>
          <w:noProof/>
          <w:szCs w:val="22"/>
          <w:lang w:val="it-IT"/>
        </w:rPr>
        <w:t>), che blocca l’azione di una specifica proteina (citochina) chiamata interleuchina-6. Questa proteina è coinvolta nei processi infiammatori dell’organismo e il suo blocco può ridurre l’infiammazione nel</w:t>
      </w:r>
      <w:ins w:id="10003" w:author="Author">
        <w:r>
          <w:rPr>
            <w:noProof/>
            <w:szCs w:val="22"/>
            <w:lang w:val="it-IT"/>
          </w:rPr>
          <w:t>l’</w:t>
        </w:r>
      </w:ins>
      <w:del w:id="10004" w:author="Author">
        <w:r>
          <w:rPr>
            <w:noProof/>
            <w:szCs w:val="22"/>
            <w:lang w:val="it-IT"/>
          </w:rPr>
          <w:delText xml:space="preserve"> suo </w:delText>
        </w:r>
      </w:del>
      <w:r>
        <w:rPr>
          <w:noProof/>
          <w:szCs w:val="22"/>
          <w:lang w:val="it-IT"/>
        </w:rPr>
        <w:t>organismo. RoActemra aiuta a ridurre i sintomi come il dolore e la tumefazione delle articolazioni e può inoltre</w:t>
      </w:r>
      <w:ins w:id="10005" w:author="Author">
        <w:r>
          <w:rPr>
            <w:noProof/>
            <w:szCs w:val="22"/>
            <w:lang w:val="it-IT"/>
          </w:rPr>
          <w:t xml:space="preserve"> migliorare</w:t>
        </w:r>
      </w:ins>
      <w:r>
        <w:rPr>
          <w:noProof/>
          <w:szCs w:val="22"/>
          <w:lang w:val="it-IT"/>
        </w:rPr>
        <w:t xml:space="preserve"> </w:t>
      </w:r>
      <w:ins w:id="10006" w:author="Author">
        <w:r>
          <w:rPr>
            <w:noProof/>
            <w:szCs w:val="22"/>
            <w:lang w:val="it-IT"/>
          </w:rPr>
          <w:t xml:space="preserve">la capacità di svolgere le </w:t>
        </w:r>
      </w:ins>
      <w:del w:id="10007" w:author="Author">
        <w:r>
          <w:rPr>
            <w:noProof/>
            <w:szCs w:val="22"/>
            <w:lang w:val="it-IT"/>
          </w:rPr>
          <w:delText xml:space="preserve">il suo rendimento nelle </w:delText>
        </w:r>
      </w:del>
      <w:r>
        <w:rPr>
          <w:noProof/>
          <w:szCs w:val="22"/>
          <w:lang w:val="it-IT"/>
        </w:rPr>
        <w:t xml:space="preserve">attività quotidiane. RoActemra ha dimostrato di rallentare il danno alla cartilagine e all’osso delle articolazioni causato dalla malattia e di migliorare la </w:t>
      </w:r>
      <w:del w:id="10008" w:author="Author">
        <w:r>
          <w:rPr>
            <w:noProof/>
            <w:szCs w:val="22"/>
            <w:lang w:val="it-IT"/>
          </w:rPr>
          <w:delText xml:space="preserve">sua </w:delText>
        </w:r>
      </w:del>
      <w:r>
        <w:rPr>
          <w:noProof/>
          <w:szCs w:val="22"/>
          <w:lang w:val="it-IT"/>
        </w:rPr>
        <w:t>capacità di svolgere le normali attività quotidiane.</w:t>
      </w:r>
    </w:p>
    <w:p>
      <w:pPr>
        <w:tabs>
          <w:tab w:val="left" w:pos="180"/>
        </w:tabs>
        <w:rPr>
          <w:noProof/>
          <w:szCs w:val="22"/>
          <w:lang w:val="it-IT"/>
        </w:rPr>
      </w:pPr>
    </w:p>
    <w:p>
      <w:pPr>
        <w:ind w:left="567" w:hanging="567"/>
        <w:rPr>
          <w:noProof/>
          <w:szCs w:val="22"/>
          <w:lang w:val="it-IT"/>
        </w:rPr>
        <w:pPrChange w:id="10009" w:author="Author">
          <w:pPr>
            <w:tabs>
              <w:tab w:val="left" w:pos="180"/>
              <w:tab w:val="left" w:pos="357"/>
            </w:tabs>
            <w:ind w:left="567" w:hanging="714"/>
          </w:pPr>
        </w:pPrChange>
      </w:pPr>
      <w:r>
        <w:rPr>
          <w:rFonts w:eastAsia="SimSun"/>
          <w:noProof/>
          <w:lang w:val="it-IT" w:eastAsia="zh-CN"/>
        </w:rPr>
        <w:sym w:font="Symbol" w:char="F0B7"/>
      </w:r>
      <w:r>
        <w:rPr>
          <w:rFonts w:eastAsia="SimSun"/>
          <w:noProof/>
          <w:lang w:val="it-IT" w:eastAsia="zh-CN"/>
        </w:rPr>
        <w:tab/>
      </w:r>
      <w:del w:id="10010" w:author="Author">
        <w:r>
          <w:rPr>
            <w:rFonts w:eastAsia="SimSun"/>
            <w:noProof/>
            <w:lang w:val="it-IT" w:eastAsia="zh-CN"/>
          </w:rPr>
          <w:delText xml:space="preserve">       </w:delText>
        </w:r>
      </w:del>
      <w:r>
        <w:rPr>
          <w:b/>
          <w:noProof/>
          <w:szCs w:val="22"/>
          <w:lang w:val="it-IT"/>
        </w:rPr>
        <w:t xml:space="preserve">RoActemra è utilizzato per trattare adulti </w:t>
      </w:r>
      <w:r>
        <w:rPr>
          <w:noProof/>
          <w:szCs w:val="22"/>
          <w:lang w:val="it-IT"/>
        </w:rPr>
        <w:t>con artrite reumatoide (AR) attiva da moderata a grave, una malattia autoimmune, se le precedenti terapie non hanno funzionato abbastanza bene. RoActemra è solitamente usato in associazione con metotre</w:t>
      </w:r>
      <w:del w:id="10011" w:author="Author">
        <w:r>
          <w:rPr>
            <w:noProof/>
            <w:szCs w:val="22"/>
            <w:lang w:val="it-IT"/>
          </w:rPr>
          <w:delText>s</w:delText>
        </w:r>
      </w:del>
      <w:ins w:id="10012" w:author="Author">
        <w:r>
          <w:rPr>
            <w:noProof/>
            <w:szCs w:val="22"/>
            <w:lang w:val="it-IT"/>
          </w:rPr>
          <w:t>x</w:t>
        </w:r>
      </w:ins>
      <w:r>
        <w:rPr>
          <w:noProof/>
          <w:szCs w:val="22"/>
          <w:lang w:val="it-IT"/>
        </w:rPr>
        <w:t xml:space="preserve">sato. RoActemra può anche essere utilizzato da solo se il medico ritiene che </w:t>
      </w:r>
      <w:ins w:id="10013" w:author="Author">
        <w:r>
          <w:rPr>
            <w:noProof/>
            <w:szCs w:val="22"/>
            <w:lang w:val="it-IT"/>
          </w:rPr>
          <w:t xml:space="preserve">il </w:t>
        </w:r>
      </w:ins>
      <w:r>
        <w:rPr>
          <w:noProof/>
          <w:szCs w:val="22"/>
          <w:lang w:val="it-IT"/>
        </w:rPr>
        <w:t>metotre</w:t>
      </w:r>
      <w:ins w:id="10014" w:author="Author">
        <w:r>
          <w:rPr>
            <w:noProof/>
            <w:szCs w:val="22"/>
            <w:lang w:val="it-IT"/>
          </w:rPr>
          <w:t>x</w:t>
        </w:r>
      </w:ins>
      <w:del w:id="10015" w:author="Author">
        <w:r>
          <w:rPr>
            <w:noProof/>
            <w:szCs w:val="22"/>
            <w:lang w:val="it-IT"/>
          </w:rPr>
          <w:delText>ss</w:delText>
        </w:r>
      </w:del>
      <w:r>
        <w:rPr>
          <w:noProof/>
          <w:szCs w:val="22"/>
          <w:lang w:val="it-IT"/>
        </w:rPr>
        <w:t>ato sia inappropriato.</w:t>
      </w:r>
    </w:p>
    <w:p>
      <w:pPr>
        <w:tabs>
          <w:tab w:val="left" w:pos="180"/>
        </w:tabs>
        <w:rPr>
          <w:noProof/>
          <w:szCs w:val="22"/>
          <w:lang w:val="it-IT"/>
        </w:rPr>
      </w:pPr>
    </w:p>
    <w:p>
      <w:pPr>
        <w:ind w:left="567" w:hanging="567"/>
        <w:rPr>
          <w:noProof/>
          <w:szCs w:val="22"/>
          <w:lang w:val="it-IT"/>
        </w:rPr>
        <w:pPrChange w:id="10016" w:author="Author">
          <w:pPr>
            <w:tabs>
              <w:tab w:val="left" w:pos="180"/>
            </w:tabs>
            <w:ind w:left="567" w:hanging="709"/>
          </w:pPr>
        </w:pPrChange>
      </w:pPr>
      <w:r>
        <w:rPr>
          <w:rFonts w:eastAsia="SimSun"/>
          <w:noProof/>
          <w:lang w:val="it-IT" w:eastAsia="zh-CN"/>
        </w:rPr>
        <w:sym w:font="Symbol" w:char="F0B7"/>
      </w:r>
      <w:r>
        <w:rPr>
          <w:rFonts w:eastAsia="SimSun"/>
          <w:noProof/>
          <w:lang w:val="it-IT" w:eastAsia="zh-CN"/>
        </w:rPr>
        <w:tab/>
      </w:r>
      <w:del w:id="10017" w:author="Author">
        <w:r>
          <w:rPr>
            <w:rFonts w:eastAsia="SimSun"/>
            <w:noProof/>
            <w:lang w:val="it-IT" w:eastAsia="zh-CN"/>
          </w:rPr>
          <w:delText xml:space="preserve">        </w:delText>
        </w:r>
      </w:del>
      <w:r>
        <w:rPr>
          <w:noProof/>
          <w:szCs w:val="22"/>
          <w:lang w:val="it-IT"/>
        </w:rPr>
        <w:t xml:space="preserve">RoActemra può </w:t>
      </w:r>
      <w:del w:id="10018" w:author="Author">
        <w:r>
          <w:rPr>
            <w:noProof/>
            <w:szCs w:val="22"/>
            <w:lang w:val="it-IT"/>
          </w:rPr>
          <w:delText xml:space="preserve">anche </w:delText>
        </w:r>
      </w:del>
      <w:r>
        <w:rPr>
          <w:noProof/>
          <w:szCs w:val="22"/>
          <w:lang w:val="it-IT"/>
        </w:rPr>
        <w:t xml:space="preserve">essere utilizzato </w:t>
      </w:r>
      <w:ins w:id="10019" w:author="Author">
        <w:r>
          <w:rPr>
            <w:noProof/>
            <w:szCs w:val="22"/>
            <w:lang w:val="it-IT"/>
          </w:rPr>
          <w:t xml:space="preserve">anche </w:t>
        </w:r>
      </w:ins>
      <w:r>
        <w:rPr>
          <w:noProof/>
          <w:szCs w:val="22"/>
          <w:lang w:val="it-IT"/>
        </w:rPr>
        <w:t>per trattare pazienti adulti precedentemente non trattati</w:t>
      </w:r>
      <w:del w:id="10020" w:author="Author">
        <w:r>
          <w:rPr>
            <w:noProof/>
            <w:szCs w:val="22"/>
            <w:lang w:val="it-IT"/>
          </w:rPr>
          <w:delText xml:space="preserve">  </w:delText>
        </w:r>
      </w:del>
      <w:r>
        <w:rPr>
          <w:noProof/>
          <w:szCs w:val="22"/>
          <w:lang w:val="it-IT"/>
        </w:rPr>
        <w:t xml:space="preserve"> con metotre</w:t>
      </w:r>
      <w:ins w:id="10021" w:author="Author">
        <w:r>
          <w:rPr>
            <w:noProof/>
            <w:szCs w:val="22"/>
            <w:lang w:val="it-IT"/>
          </w:rPr>
          <w:t>x</w:t>
        </w:r>
      </w:ins>
      <w:del w:id="10022" w:author="Author">
        <w:r>
          <w:rPr>
            <w:noProof/>
            <w:szCs w:val="22"/>
            <w:lang w:val="it-IT"/>
          </w:rPr>
          <w:delText>ss</w:delText>
        </w:r>
      </w:del>
      <w:r>
        <w:rPr>
          <w:noProof/>
          <w:szCs w:val="22"/>
          <w:lang w:val="it-IT"/>
        </w:rPr>
        <w:t>ato se affetti da artrite reumatoide grave, attiva e progressiva.</w:t>
      </w:r>
    </w:p>
    <w:p>
      <w:pPr>
        <w:tabs>
          <w:tab w:val="left" w:pos="180"/>
        </w:tabs>
        <w:rPr>
          <w:noProof/>
          <w:szCs w:val="22"/>
          <w:lang w:val="it-IT"/>
        </w:rPr>
      </w:pPr>
    </w:p>
    <w:p>
      <w:pPr>
        <w:tabs>
          <w:tab w:val="left" w:pos="709"/>
        </w:tabs>
        <w:ind w:left="567" w:hanging="567"/>
        <w:rPr>
          <w:noProof/>
          <w:szCs w:val="22"/>
          <w:lang w:val="it-IT"/>
        </w:rPr>
        <w:pPrChange w:id="10023" w:author="Author">
          <w:pPr>
            <w:tabs>
              <w:tab w:val="left" w:pos="709"/>
            </w:tabs>
            <w:ind w:left="742" w:hanging="884"/>
          </w:pPr>
        </w:pPrChange>
      </w:pPr>
      <w:r>
        <w:rPr>
          <w:rFonts w:eastAsia="SimSun"/>
          <w:noProof/>
          <w:lang w:val="it-IT" w:eastAsia="zh-CN"/>
        </w:rPr>
        <w:sym w:font="Symbol" w:char="F0B7"/>
      </w:r>
      <w:r>
        <w:rPr>
          <w:rFonts w:eastAsia="SimSun"/>
          <w:noProof/>
          <w:lang w:val="it-IT" w:eastAsia="zh-CN"/>
        </w:rPr>
        <w:tab/>
      </w:r>
      <w:r>
        <w:rPr>
          <w:b/>
          <w:noProof/>
          <w:szCs w:val="22"/>
          <w:lang w:val="it-IT"/>
        </w:rPr>
        <w:t>RoActemra è utilizzato per trattare bambini con AIGs</w:t>
      </w:r>
      <w:r>
        <w:rPr>
          <w:noProof/>
          <w:szCs w:val="22"/>
          <w:lang w:val="it-IT"/>
        </w:rPr>
        <w:t>. RoActemra è usato per bambini di età pari o superiore ai 2 anni che hanno</w:t>
      </w:r>
      <w:r>
        <w:rPr>
          <w:b/>
          <w:noProof/>
          <w:szCs w:val="22"/>
          <w:lang w:val="it-IT"/>
        </w:rPr>
        <w:t xml:space="preserve"> </w:t>
      </w:r>
      <w:r>
        <w:rPr>
          <w:noProof/>
          <w:szCs w:val="22"/>
          <w:lang w:val="it-IT"/>
        </w:rPr>
        <w:t>l’</w:t>
      </w:r>
      <w:r>
        <w:rPr>
          <w:b/>
          <w:i/>
          <w:noProof/>
          <w:szCs w:val="22"/>
          <w:lang w:val="it-IT"/>
        </w:rPr>
        <w:t>artrite idiopatica giovanile sistemica (AIGs) attiva</w:t>
      </w:r>
      <w:r>
        <w:rPr>
          <w:noProof/>
          <w:szCs w:val="22"/>
          <w:lang w:val="it-IT"/>
        </w:rPr>
        <w:t>, una malattia infiammatoria che causa dolore e tumefazione di una o più articolazioni, accompagnata da febbre e rash. RoActemra è usato per migliorare i sintomi dell’AIGs e può essere somministrato in associazione con metotre</w:t>
      </w:r>
      <w:ins w:id="10024" w:author="Author">
        <w:r>
          <w:rPr>
            <w:noProof/>
            <w:szCs w:val="22"/>
            <w:lang w:val="it-IT"/>
          </w:rPr>
          <w:t>x</w:t>
        </w:r>
      </w:ins>
      <w:del w:id="10025" w:author="Author">
        <w:r>
          <w:rPr>
            <w:noProof/>
            <w:szCs w:val="22"/>
            <w:lang w:val="it-IT"/>
          </w:rPr>
          <w:delText>ss</w:delText>
        </w:r>
      </w:del>
      <w:r>
        <w:rPr>
          <w:noProof/>
          <w:szCs w:val="22"/>
          <w:lang w:val="it-IT"/>
        </w:rPr>
        <w:t>ato o da solo.</w:t>
      </w:r>
    </w:p>
    <w:p>
      <w:pPr>
        <w:tabs>
          <w:tab w:val="left" w:pos="709"/>
        </w:tabs>
        <w:ind w:hanging="884"/>
        <w:rPr>
          <w:noProof/>
          <w:szCs w:val="22"/>
          <w:u w:val="single"/>
          <w:lang w:val="it-IT"/>
        </w:rPr>
      </w:pPr>
    </w:p>
    <w:p>
      <w:pPr>
        <w:tabs>
          <w:tab w:val="left" w:pos="709"/>
        </w:tabs>
        <w:ind w:left="567" w:hanging="567"/>
        <w:rPr>
          <w:noProof/>
          <w:szCs w:val="22"/>
          <w:lang w:val="it-IT"/>
        </w:rPr>
        <w:pPrChange w:id="10026" w:author="Author">
          <w:pPr>
            <w:tabs>
              <w:tab w:val="left" w:pos="709"/>
            </w:tabs>
            <w:ind w:left="743" w:hanging="884"/>
          </w:pPr>
        </w:pPrChange>
      </w:pPr>
      <w:r>
        <w:rPr>
          <w:rFonts w:eastAsia="SimSun"/>
          <w:noProof/>
          <w:lang w:val="it-IT" w:eastAsia="zh-CN"/>
        </w:rPr>
        <w:sym w:font="Symbol" w:char="F0B7"/>
      </w:r>
      <w:r>
        <w:rPr>
          <w:noProof/>
          <w:szCs w:val="22"/>
          <w:lang w:val="it-IT"/>
        </w:rPr>
        <w:tab/>
      </w:r>
      <w:r>
        <w:rPr>
          <w:rFonts w:eastAsia="SimSun"/>
          <w:b/>
          <w:noProof/>
          <w:lang w:val="it-IT" w:eastAsia="zh-CN"/>
        </w:rPr>
        <w:t xml:space="preserve">RoActemra è utilizzato nei bambini con AIGp. </w:t>
      </w:r>
      <w:r>
        <w:rPr>
          <w:rFonts w:eastAsia="SimSun"/>
          <w:noProof/>
          <w:lang w:val="it-IT" w:eastAsia="zh-CN"/>
        </w:rPr>
        <w:t xml:space="preserve">RoActemra è usato per bambini di età pari o superiore ai 2 anni con </w:t>
      </w:r>
      <w:r>
        <w:rPr>
          <w:rFonts w:eastAsia="SimSun"/>
          <w:b/>
          <w:i/>
          <w:noProof/>
          <w:lang w:val="it-IT" w:eastAsia="zh-CN"/>
        </w:rPr>
        <w:t>artrite idiopatica giovanile poliarticolare (AIGp)</w:t>
      </w:r>
      <w:r>
        <w:rPr>
          <w:rFonts w:eastAsia="SimSun"/>
          <w:noProof/>
          <w:lang w:val="it-IT" w:eastAsia="zh-CN"/>
        </w:rPr>
        <w:t xml:space="preserve"> </w:t>
      </w:r>
      <w:r>
        <w:rPr>
          <w:rFonts w:eastAsia="SimSun"/>
          <w:b/>
          <w:i/>
          <w:noProof/>
          <w:lang w:val="it-IT" w:eastAsia="zh-CN"/>
        </w:rPr>
        <w:t>attiva</w:t>
      </w:r>
      <w:r>
        <w:rPr>
          <w:rFonts w:eastAsia="SimSun"/>
          <w:noProof/>
          <w:lang w:val="it-IT" w:eastAsia="zh-CN"/>
        </w:rPr>
        <w:t>, una malattia infiammatoria che causa dolore e tumefazione di una o più articolazioni. RoActemra è usato per migliorare i sintomi dell’AIGp e può essere somministrato in associazione con metotre</w:t>
      </w:r>
      <w:ins w:id="10027" w:author="Author">
        <w:r>
          <w:rPr>
            <w:rFonts w:eastAsia="SimSun"/>
            <w:noProof/>
            <w:lang w:val="it-IT" w:eastAsia="zh-CN"/>
          </w:rPr>
          <w:t>x</w:t>
        </w:r>
      </w:ins>
      <w:del w:id="10028" w:author="Author">
        <w:r>
          <w:rPr>
            <w:rFonts w:eastAsia="SimSun"/>
            <w:noProof/>
            <w:lang w:val="it-IT" w:eastAsia="zh-CN"/>
          </w:rPr>
          <w:delText>ss</w:delText>
        </w:r>
      </w:del>
      <w:r>
        <w:rPr>
          <w:rFonts w:eastAsia="SimSun"/>
          <w:noProof/>
          <w:lang w:val="it-IT" w:eastAsia="zh-CN"/>
        </w:rPr>
        <w:t>ato o da solo.</w:t>
      </w:r>
    </w:p>
    <w:p>
      <w:pPr>
        <w:tabs>
          <w:tab w:val="left" w:pos="709"/>
        </w:tabs>
        <w:ind w:left="714" w:hanging="884"/>
        <w:rPr>
          <w:noProof/>
          <w:szCs w:val="22"/>
          <w:lang w:val="it-IT"/>
        </w:rPr>
      </w:pPr>
    </w:p>
    <w:p>
      <w:pPr>
        <w:keepNext/>
        <w:keepLines/>
        <w:tabs>
          <w:tab w:val="left" w:pos="709"/>
        </w:tabs>
        <w:ind w:left="567" w:hanging="567"/>
        <w:rPr>
          <w:noProof/>
          <w:lang w:val="it-IT"/>
        </w:rPr>
        <w:pPrChange w:id="10029" w:author="Author">
          <w:pPr>
            <w:tabs>
              <w:tab w:val="left" w:pos="709"/>
            </w:tabs>
            <w:ind w:left="743" w:hanging="884"/>
          </w:pPr>
        </w:pPrChange>
      </w:pPr>
      <w:r>
        <w:rPr>
          <w:noProof/>
          <w:lang w:val="it-IT"/>
        </w:rPr>
        <w:lastRenderedPageBreak/>
        <w:sym w:font="Symbol" w:char="F0B7"/>
      </w:r>
      <w:r>
        <w:rPr>
          <w:noProof/>
          <w:lang w:val="it-IT"/>
        </w:rPr>
        <w:tab/>
      </w:r>
      <w:r>
        <w:rPr>
          <w:b/>
          <w:noProof/>
          <w:lang w:val="it-IT"/>
        </w:rPr>
        <w:t xml:space="preserve">RoActemra </w:t>
      </w:r>
      <w:r>
        <w:rPr>
          <w:b/>
          <w:noProof/>
          <w:szCs w:val="22"/>
          <w:lang w:val="it-IT"/>
        </w:rPr>
        <w:t>è utilizzato per</w:t>
      </w:r>
      <w:r>
        <w:rPr>
          <w:b/>
          <w:noProof/>
          <w:lang w:val="it-IT"/>
        </w:rPr>
        <w:t xml:space="preserve"> trattare adulti e bambini</w:t>
      </w:r>
      <w:r>
        <w:rPr>
          <w:noProof/>
          <w:lang w:val="it-IT"/>
        </w:rPr>
        <w:t xml:space="preserve"> di età pari o superiore ai 2 anni con </w:t>
      </w:r>
      <w:r>
        <w:rPr>
          <w:b/>
          <w:noProof/>
          <w:lang w:val="it-IT"/>
        </w:rPr>
        <w:t>sindrome da rilascio di citochine (CRS)</w:t>
      </w:r>
      <w:r>
        <w:rPr>
          <w:noProof/>
          <w:lang w:val="it-IT"/>
        </w:rPr>
        <w:t xml:space="preserve"> grave o potenzialmente letale, un effetto indesiderato che colpisce i pazienti sottoposti a terapie a base di linfociti CAR-T (</w:t>
      </w:r>
      <w:r>
        <w:rPr>
          <w:i/>
          <w:noProof/>
          <w:lang w:val="it-IT"/>
        </w:rPr>
        <w:t>chimeric antigen receptor T-cell</w:t>
      </w:r>
      <w:r>
        <w:rPr>
          <w:noProof/>
          <w:lang w:val="it-IT"/>
        </w:rPr>
        <w:t>) usate per trattare alcune forme tumorali maligne.</w:t>
      </w:r>
    </w:p>
    <w:p>
      <w:pPr>
        <w:keepNext/>
        <w:keepLines/>
        <w:tabs>
          <w:tab w:val="left" w:pos="709"/>
        </w:tabs>
        <w:ind w:left="743" w:hanging="884"/>
        <w:rPr>
          <w:noProof/>
          <w:lang w:val="it-IT"/>
        </w:rPr>
        <w:pPrChange w:id="10030" w:author="Author">
          <w:pPr>
            <w:tabs>
              <w:tab w:val="left" w:pos="709"/>
            </w:tabs>
            <w:ind w:left="743" w:hanging="884"/>
          </w:pPr>
        </w:pPrChange>
      </w:pPr>
    </w:p>
    <w:p>
      <w:pPr>
        <w:keepNext/>
        <w:keepLines/>
        <w:tabs>
          <w:tab w:val="left" w:pos="709"/>
        </w:tabs>
        <w:ind w:left="567" w:hanging="567"/>
        <w:rPr>
          <w:noProof/>
          <w:lang w:val="it-IT"/>
        </w:rPr>
        <w:pPrChange w:id="10031" w:author="Author">
          <w:pPr>
            <w:keepNext/>
            <w:keepLines/>
            <w:tabs>
              <w:tab w:val="left" w:pos="709"/>
            </w:tabs>
            <w:ind w:left="743" w:hanging="884"/>
          </w:pPr>
        </w:pPrChange>
      </w:pPr>
      <w:r>
        <w:rPr>
          <w:noProof/>
          <w:lang w:val="it-IT"/>
        </w:rPr>
        <w:sym w:font="Symbol" w:char="F0B7"/>
      </w:r>
      <w:r>
        <w:rPr>
          <w:noProof/>
          <w:lang w:val="it-IT"/>
        </w:rPr>
        <w:tab/>
      </w:r>
      <w:r>
        <w:rPr>
          <w:b/>
          <w:noProof/>
          <w:lang w:val="it-IT"/>
        </w:rPr>
        <w:t xml:space="preserve">RoActemra </w:t>
      </w:r>
      <w:r>
        <w:rPr>
          <w:b/>
          <w:noProof/>
          <w:szCs w:val="22"/>
          <w:lang w:val="it-IT"/>
        </w:rPr>
        <w:t>è utilizzato per</w:t>
      </w:r>
      <w:r>
        <w:rPr>
          <w:b/>
          <w:noProof/>
          <w:lang w:val="it-IT"/>
        </w:rPr>
        <w:t xml:space="preserve"> trattare adulti</w:t>
      </w:r>
      <w:del w:id="10032" w:author="Author">
        <w:r>
          <w:rPr>
            <w:b/>
            <w:noProof/>
            <w:lang w:val="it-IT"/>
          </w:rPr>
          <w:delText xml:space="preserve"> </w:delText>
        </w:r>
      </w:del>
      <w:r>
        <w:rPr>
          <w:noProof/>
          <w:lang w:val="it-IT"/>
        </w:rPr>
        <w:t xml:space="preserve"> </w:t>
      </w:r>
      <w:r>
        <w:rPr>
          <w:noProof/>
          <w:szCs w:val="22"/>
          <w:lang w:val="it-IT"/>
        </w:rPr>
        <w:t>con malattia da coronavirus 2019 (COVID-19)</w:t>
      </w:r>
      <w:del w:id="10033" w:author="Author">
        <w:r>
          <w:rPr>
            <w:noProof/>
            <w:szCs w:val="22"/>
            <w:lang w:val="it-IT"/>
          </w:rPr>
          <w:delText xml:space="preserve"> </w:delText>
        </w:r>
      </w:del>
      <w:r>
        <w:rPr>
          <w:noProof/>
          <w:lang w:val="it-IT"/>
        </w:rPr>
        <w:t xml:space="preserve"> in terapia con corticosteroidi sistemici e che necessitano di ossigenoterapia supplementare o ventilazione meccanica.</w:t>
      </w:r>
    </w:p>
    <w:p>
      <w:pPr>
        <w:tabs>
          <w:tab w:val="left" w:pos="709"/>
        </w:tabs>
        <w:ind w:left="884" w:hanging="884"/>
        <w:rPr>
          <w:noProof/>
          <w:szCs w:val="22"/>
          <w:lang w:val="it-IT"/>
        </w:rPr>
        <w:pPrChange w:id="10034" w:author="Author">
          <w:pPr>
            <w:tabs>
              <w:tab w:val="left" w:pos="709"/>
            </w:tabs>
            <w:ind w:left="743" w:hanging="884"/>
          </w:pPr>
        </w:pPrChange>
      </w:pPr>
    </w:p>
    <w:p>
      <w:pPr>
        <w:tabs>
          <w:tab w:val="left" w:pos="180"/>
        </w:tabs>
        <w:rPr>
          <w:noProof/>
          <w:szCs w:val="22"/>
          <w:lang w:val="it-IT"/>
        </w:rPr>
      </w:pPr>
    </w:p>
    <w:p>
      <w:pPr>
        <w:keepNext/>
        <w:keepLines/>
        <w:tabs>
          <w:tab w:val="left" w:pos="180"/>
        </w:tabs>
        <w:ind w:left="567" w:hanging="567"/>
        <w:rPr>
          <w:b/>
          <w:noProof/>
          <w:szCs w:val="22"/>
          <w:lang w:val="it-IT"/>
        </w:rPr>
      </w:pPr>
      <w:r>
        <w:rPr>
          <w:b/>
          <w:noProof/>
          <w:szCs w:val="22"/>
          <w:lang w:val="it-IT"/>
        </w:rPr>
        <w:t>2.</w:t>
      </w:r>
      <w:r>
        <w:rPr>
          <w:b/>
          <w:noProof/>
          <w:szCs w:val="22"/>
          <w:lang w:val="it-IT"/>
        </w:rPr>
        <w:tab/>
      </w:r>
      <w:r>
        <w:rPr>
          <w:b/>
          <w:noProof/>
          <w:szCs w:val="22"/>
          <w:lang w:val="it-IT"/>
        </w:rPr>
        <w:tab/>
        <w:t xml:space="preserve">Cosa deve sapere prima che le venga somministrato RoActemra </w:t>
      </w:r>
    </w:p>
    <w:p>
      <w:pPr>
        <w:keepNext/>
        <w:keepLines/>
        <w:tabs>
          <w:tab w:val="left" w:pos="180"/>
        </w:tabs>
        <w:rPr>
          <w:noProof/>
          <w:szCs w:val="22"/>
          <w:lang w:val="it-IT"/>
        </w:rPr>
      </w:pPr>
    </w:p>
    <w:p>
      <w:pPr>
        <w:keepNext/>
        <w:keepLines/>
        <w:tabs>
          <w:tab w:val="left" w:pos="180"/>
        </w:tabs>
        <w:rPr>
          <w:noProof/>
          <w:szCs w:val="22"/>
          <w:lang w:val="it-IT"/>
        </w:rPr>
      </w:pPr>
      <w:r>
        <w:rPr>
          <w:b/>
          <w:noProof/>
          <w:szCs w:val="22"/>
          <w:lang w:val="it-IT"/>
        </w:rPr>
        <w:t xml:space="preserve">Non le verrà somministrato RoActemra </w:t>
      </w:r>
    </w:p>
    <w:p>
      <w:pPr>
        <w:ind w:left="567" w:hanging="567"/>
        <w:rPr>
          <w:noProof/>
          <w:szCs w:val="22"/>
          <w:lang w:val="it-IT"/>
        </w:rPr>
        <w:pPrChange w:id="10035" w:author="Author">
          <w:pPr>
            <w:tabs>
              <w:tab w:val="left" w:pos="180"/>
            </w:tabs>
            <w:ind w:left="567" w:hanging="567"/>
          </w:pPr>
        </w:pPrChange>
      </w:pPr>
      <w:r>
        <w:rPr>
          <w:noProof/>
          <w:lang w:val="it-IT"/>
        </w:rPr>
        <w:sym w:font="Symbol" w:char="00B7"/>
      </w:r>
      <w:r>
        <w:rPr>
          <w:noProof/>
          <w:lang w:val="it-IT"/>
        </w:rPr>
        <w:tab/>
      </w:r>
      <w:r>
        <w:rPr>
          <w:noProof/>
          <w:szCs w:val="22"/>
          <w:lang w:val="it-IT"/>
        </w:rPr>
        <w:t xml:space="preserve">se è </w:t>
      </w:r>
      <w:r>
        <w:rPr>
          <w:b/>
          <w:noProof/>
          <w:szCs w:val="22"/>
          <w:lang w:val="it-IT"/>
        </w:rPr>
        <w:t xml:space="preserve">allergico </w:t>
      </w:r>
      <w:r>
        <w:rPr>
          <w:noProof/>
          <w:szCs w:val="22"/>
          <w:lang w:val="it-IT"/>
        </w:rPr>
        <w:t>a tocilizumab o ad uno qualsiasi degli eccipienti di questo medicinale (elencati al paragrafo 6)</w:t>
      </w:r>
    </w:p>
    <w:p>
      <w:pPr>
        <w:ind w:left="567" w:hanging="567"/>
        <w:rPr>
          <w:del w:id="10036" w:author="Author"/>
          <w:noProof/>
          <w:szCs w:val="22"/>
          <w:lang w:val="it-IT"/>
        </w:rPr>
        <w:pPrChange w:id="10037" w:author="Author">
          <w:pPr>
            <w:tabs>
              <w:tab w:val="left" w:pos="180"/>
            </w:tabs>
            <w:ind w:left="567" w:hanging="567"/>
          </w:pPr>
        </w:pPrChange>
      </w:pPr>
      <w:r>
        <w:rPr>
          <w:noProof/>
          <w:lang w:val="it-IT"/>
        </w:rPr>
        <w:sym w:font="Symbol" w:char="00B7"/>
      </w:r>
      <w:r>
        <w:rPr>
          <w:noProof/>
          <w:lang w:val="it-IT"/>
        </w:rPr>
        <w:tab/>
      </w:r>
      <w:r>
        <w:rPr>
          <w:noProof/>
          <w:szCs w:val="22"/>
          <w:lang w:val="it-IT"/>
        </w:rPr>
        <w:t>se ha un’infezione grave attiva (ad eccezione del COVID-19)</w:t>
      </w:r>
    </w:p>
    <w:p>
      <w:pPr>
        <w:ind w:left="567" w:hanging="567"/>
        <w:rPr>
          <w:noProof/>
          <w:szCs w:val="22"/>
          <w:lang w:val="it-IT"/>
        </w:rPr>
        <w:pPrChange w:id="10038" w:author="Author">
          <w:pPr>
            <w:tabs>
              <w:tab w:val="left" w:pos="180"/>
            </w:tabs>
          </w:pPr>
        </w:pPrChange>
      </w:pPr>
    </w:p>
    <w:p>
      <w:pPr>
        <w:tabs>
          <w:tab w:val="left" w:pos="180"/>
        </w:tabs>
        <w:rPr>
          <w:noProof/>
          <w:szCs w:val="22"/>
          <w:lang w:val="it-IT"/>
        </w:rPr>
      </w:pPr>
      <w:r>
        <w:rPr>
          <w:noProof/>
          <w:szCs w:val="22"/>
          <w:lang w:val="it-IT"/>
        </w:rPr>
        <w:t>Se una di queste condizioni la riguarda, informi il medico o il personale infermieristico che le esegue l’infusione.</w:t>
      </w:r>
    </w:p>
    <w:p>
      <w:pPr>
        <w:tabs>
          <w:tab w:val="left" w:pos="180"/>
        </w:tabs>
        <w:ind w:left="567" w:hanging="567"/>
        <w:rPr>
          <w:noProof/>
          <w:szCs w:val="22"/>
          <w:lang w:val="it-IT"/>
        </w:rPr>
      </w:pPr>
    </w:p>
    <w:p>
      <w:pPr>
        <w:tabs>
          <w:tab w:val="left" w:pos="180"/>
        </w:tabs>
        <w:rPr>
          <w:del w:id="10039" w:author="Author"/>
          <w:b/>
          <w:noProof/>
          <w:szCs w:val="22"/>
          <w:lang w:val="it-IT"/>
        </w:rPr>
      </w:pPr>
      <w:r>
        <w:rPr>
          <w:b/>
          <w:noProof/>
          <w:szCs w:val="22"/>
          <w:lang w:val="it-IT"/>
        </w:rPr>
        <w:t>Avvertenze e precauzioni</w:t>
      </w:r>
    </w:p>
    <w:p>
      <w:pPr>
        <w:tabs>
          <w:tab w:val="left" w:pos="180"/>
        </w:tabs>
        <w:rPr>
          <w:b/>
          <w:noProof/>
          <w:szCs w:val="22"/>
          <w:lang w:val="it-IT"/>
        </w:rPr>
      </w:pPr>
    </w:p>
    <w:p>
      <w:pPr>
        <w:tabs>
          <w:tab w:val="left" w:pos="180"/>
        </w:tabs>
        <w:rPr>
          <w:noProof/>
          <w:szCs w:val="22"/>
          <w:lang w:val="it-IT"/>
        </w:rPr>
      </w:pPr>
      <w:r>
        <w:rPr>
          <w:noProof/>
          <w:szCs w:val="22"/>
          <w:lang w:val="it-IT"/>
        </w:rPr>
        <w:t>Informi il medico o l’infermiere prima che le venga somministrato RoActemra.</w:t>
      </w:r>
    </w:p>
    <w:p>
      <w:pPr>
        <w:tabs>
          <w:tab w:val="left" w:pos="180"/>
        </w:tabs>
        <w:rPr>
          <w:noProof/>
          <w:szCs w:val="22"/>
          <w:lang w:val="it-IT"/>
        </w:rPr>
      </w:pPr>
    </w:p>
    <w:p>
      <w:pPr>
        <w:ind w:left="567" w:hanging="567"/>
        <w:rPr>
          <w:b/>
          <w:noProof/>
          <w:szCs w:val="22"/>
          <w:lang w:val="it-IT"/>
        </w:rPr>
        <w:pPrChange w:id="10040" w:author="Author">
          <w:pPr>
            <w:tabs>
              <w:tab w:val="left" w:pos="180"/>
            </w:tabs>
            <w:ind w:left="567" w:hanging="567"/>
          </w:pPr>
        </w:pPrChange>
      </w:pPr>
      <w:r>
        <w:rPr>
          <w:noProof/>
          <w:lang w:val="it-IT"/>
        </w:rPr>
        <w:sym w:font="Symbol" w:char="00B7"/>
      </w:r>
      <w:r>
        <w:rPr>
          <w:noProof/>
          <w:lang w:val="it-IT"/>
        </w:rPr>
        <w:tab/>
      </w:r>
      <w:r>
        <w:rPr>
          <w:noProof/>
          <w:szCs w:val="22"/>
          <w:lang w:val="it-IT"/>
        </w:rPr>
        <w:t xml:space="preserve">Se manifesta </w:t>
      </w:r>
      <w:r>
        <w:rPr>
          <w:b/>
          <w:noProof/>
          <w:szCs w:val="22"/>
          <w:lang w:val="it-IT"/>
        </w:rPr>
        <w:t>reazioni allergiche</w:t>
      </w:r>
      <w:r>
        <w:rPr>
          <w:noProof/>
          <w:szCs w:val="22"/>
          <w:lang w:val="it-IT"/>
        </w:rPr>
        <w:t xml:space="preserve">, </w:t>
      </w:r>
      <w:r>
        <w:rPr>
          <w:bCs/>
          <w:noProof/>
          <w:szCs w:val="22"/>
          <w:lang w:val="it-IT"/>
        </w:rPr>
        <w:t>quali</w:t>
      </w:r>
      <w:r>
        <w:rPr>
          <w:b/>
          <w:noProof/>
          <w:szCs w:val="22"/>
          <w:lang w:val="it-IT"/>
        </w:rPr>
        <w:t xml:space="preserve"> </w:t>
      </w:r>
      <w:r>
        <w:rPr>
          <w:noProof/>
          <w:szCs w:val="22"/>
          <w:lang w:val="it-IT"/>
        </w:rPr>
        <w:t xml:space="preserve">oppressione al torace, respiro sibilante, forti capogiri una sensazione di stordimento, tumefazione delle labbra o eruzione cutanea durante l’infusione o subito dopo, </w:t>
      </w:r>
      <w:r>
        <w:rPr>
          <w:b/>
          <w:noProof/>
          <w:szCs w:val="22"/>
          <w:lang w:val="it-IT"/>
        </w:rPr>
        <w:t>informi immediatamente il medico.</w:t>
      </w:r>
    </w:p>
    <w:p>
      <w:pPr>
        <w:tabs>
          <w:tab w:val="left" w:pos="180"/>
        </w:tabs>
        <w:rPr>
          <w:b/>
          <w:noProof/>
          <w:szCs w:val="22"/>
          <w:lang w:val="it-IT"/>
        </w:rPr>
      </w:pPr>
    </w:p>
    <w:p>
      <w:pPr>
        <w:keepNext/>
        <w:keepLines/>
        <w:ind w:left="567" w:hanging="567"/>
        <w:rPr>
          <w:noProof/>
          <w:szCs w:val="22"/>
          <w:lang w:val="it-IT"/>
        </w:rPr>
        <w:pPrChange w:id="10041" w:author="Author">
          <w:pPr>
            <w:keepNext/>
            <w:keepLines/>
            <w:tabs>
              <w:tab w:val="left" w:pos="180"/>
            </w:tabs>
            <w:ind w:left="567" w:hanging="567"/>
          </w:pPr>
        </w:pPrChange>
      </w:pPr>
      <w:r>
        <w:rPr>
          <w:noProof/>
          <w:lang w:val="it-IT"/>
        </w:rPr>
        <w:sym w:font="Symbol" w:char="00B7"/>
      </w:r>
      <w:r>
        <w:rPr>
          <w:noProof/>
          <w:lang w:val="it-IT"/>
        </w:rPr>
        <w:tab/>
      </w:r>
      <w:r>
        <w:rPr>
          <w:noProof/>
          <w:szCs w:val="22"/>
          <w:lang w:val="it-IT"/>
        </w:rPr>
        <w:t>Se ha un’</w:t>
      </w:r>
      <w:r>
        <w:rPr>
          <w:b/>
          <w:noProof/>
          <w:szCs w:val="22"/>
          <w:lang w:val="it-IT"/>
        </w:rPr>
        <w:t>infezione</w:t>
      </w:r>
      <w:r>
        <w:rPr>
          <w:noProof/>
          <w:szCs w:val="22"/>
          <w:lang w:val="it-IT"/>
        </w:rPr>
        <w:t xml:space="preserve"> di </w:t>
      </w:r>
      <w:del w:id="10042" w:author="Author">
        <w:r>
          <w:rPr>
            <w:noProof/>
            <w:szCs w:val="22"/>
            <w:lang w:val="it-IT"/>
          </w:rPr>
          <w:delText xml:space="preserve">qualche </w:delText>
        </w:r>
      </w:del>
      <w:ins w:id="10043" w:author="Author">
        <w:r>
          <w:rPr>
            <w:noProof/>
            <w:szCs w:val="22"/>
            <w:lang w:val="it-IT"/>
          </w:rPr>
          <w:t xml:space="preserve">qualsiasi </w:t>
        </w:r>
      </w:ins>
      <w:r>
        <w:rPr>
          <w:noProof/>
          <w:szCs w:val="22"/>
          <w:lang w:val="it-IT"/>
        </w:rPr>
        <w:t xml:space="preserve">tipo di breve o lunga durata, oppure se ha frequenti infezioni. </w:t>
      </w:r>
      <w:r>
        <w:rPr>
          <w:b/>
          <w:noProof/>
          <w:szCs w:val="22"/>
          <w:lang w:val="it-IT"/>
        </w:rPr>
        <w:t>Informi immediatamente il medico</w:t>
      </w:r>
      <w:r>
        <w:rPr>
          <w:noProof/>
          <w:szCs w:val="22"/>
          <w:lang w:val="it-IT"/>
        </w:rPr>
        <w:t xml:space="preserve"> se si sente poco bene. RoActemra può ridurre la capacità del corpo di rispondere alle infezioni e potrebbe peggiorare un’infezione esistente o aumentare le possibilità di incorrere in una nuova infezione.</w:t>
      </w:r>
    </w:p>
    <w:p>
      <w:pPr>
        <w:tabs>
          <w:tab w:val="left" w:pos="180"/>
        </w:tabs>
        <w:ind w:left="567" w:hanging="567"/>
        <w:rPr>
          <w:noProof/>
          <w:szCs w:val="22"/>
          <w:lang w:val="it-IT"/>
        </w:rPr>
      </w:pPr>
    </w:p>
    <w:p>
      <w:pPr>
        <w:ind w:left="567" w:hanging="567"/>
        <w:rPr>
          <w:noProof/>
          <w:szCs w:val="22"/>
          <w:lang w:val="it-IT"/>
        </w:rPr>
        <w:pPrChange w:id="10044" w:author="Author">
          <w:pPr>
            <w:tabs>
              <w:tab w:val="left" w:pos="180"/>
            </w:tabs>
            <w:ind w:left="567" w:hanging="567"/>
          </w:pPr>
        </w:pPrChange>
      </w:pPr>
      <w:r>
        <w:rPr>
          <w:noProof/>
          <w:lang w:val="it-IT"/>
        </w:rPr>
        <w:sym w:font="Symbol" w:char="00B7"/>
      </w:r>
      <w:r>
        <w:rPr>
          <w:noProof/>
          <w:lang w:val="it-IT"/>
        </w:rPr>
        <w:tab/>
      </w:r>
      <w:r>
        <w:rPr>
          <w:noProof/>
          <w:szCs w:val="22"/>
          <w:lang w:val="it-IT"/>
        </w:rPr>
        <w:t xml:space="preserve">Se ha avuto la </w:t>
      </w:r>
      <w:r>
        <w:rPr>
          <w:b/>
          <w:noProof/>
          <w:szCs w:val="22"/>
          <w:lang w:val="it-IT"/>
        </w:rPr>
        <w:t>tubercolosi,</w:t>
      </w:r>
      <w:r>
        <w:rPr>
          <w:noProof/>
          <w:szCs w:val="22"/>
          <w:lang w:val="it-IT"/>
        </w:rPr>
        <w:t xml:space="preserve"> informi il medico. Il medico ricercherà segni e sintomi della tubercolosi prima di iniziare la terapia con RoActemra. Se i sintomi della tubercolosi (tosse persistente, perdita di peso, svogliatezza, febbre lieve), o qualsiasi altra infezione appaiono durante o dopo la terapia, informi immediatamente il medico.</w:t>
      </w:r>
    </w:p>
    <w:p>
      <w:pPr>
        <w:tabs>
          <w:tab w:val="left" w:pos="180"/>
        </w:tabs>
        <w:ind w:left="567" w:hanging="567"/>
        <w:rPr>
          <w:noProof/>
          <w:szCs w:val="22"/>
          <w:lang w:val="it-IT"/>
        </w:rPr>
      </w:pPr>
    </w:p>
    <w:p>
      <w:pPr>
        <w:ind w:left="567" w:hanging="567"/>
        <w:rPr>
          <w:noProof/>
          <w:szCs w:val="22"/>
          <w:lang w:val="it-IT"/>
        </w:rPr>
        <w:pPrChange w:id="10045" w:author="Author">
          <w:pPr>
            <w:tabs>
              <w:tab w:val="left" w:pos="180"/>
            </w:tabs>
            <w:ind w:left="567" w:hanging="567"/>
          </w:pPr>
        </w:pPrChange>
      </w:pPr>
      <w:r>
        <w:rPr>
          <w:noProof/>
          <w:lang w:val="it-IT"/>
        </w:rPr>
        <w:sym w:font="Symbol" w:char="00B7"/>
      </w:r>
      <w:r>
        <w:rPr>
          <w:noProof/>
          <w:lang w:val="it-IT"/>
        </w:rPr>
        <w:tab/>
      </w:r>
      <w:r>
        <w:rPr>
          <w:noProof/>
          <w:szCs w:val="22"/>
          <w:lang w:val="it-IT"/>
        </w:rPr>
        <w:t xml:space="preserve">Se ha una storia di </w:t>
      </w:r>
      <w:r>
        <w:rPr>
          <w:b/>
          <w:noProof/>
          <w:szCs w:val="22"/>
          <w:lang w:val="it-IT"/>
        </w:rPr>
        <w:t>ulcere intestinali</w:t>
      </w:r>
      <w:r>
        <w:rPr>
          <w:noProof/>
          <w:szCs w:val="22"/>
          <w:lang w:val="it-IT"/>
        </w:rPr>
        <w:t xml:space="preserve"> o </w:t>
      </w:r>
      <w:r>
        <w:rPr>
          <w:b/>
          <w:noProof/>
          <w:szCs w:val="22"/>
          <w:lang w:val="it-IT"/>
        </w:rPr>
        <w:t>diverticolite</w:t>
      </w:r>
      <w:r>
        <w:rPr>
          <w:noProof/>
          <w:szCs w:val="22"/>
          <w:lang w:val="it-IT"/>
        </w:rPr>
        <w:t xml:space="preserve">, informi il medico. </w:t>
      </w:r>
      <w:del w:id="10046" w:author="Author">
        <w:r>
          <w:rPr>
            <w:noProof/>
            <w:szCs w:val="22"/>
            <w:lang w:val="it-IT"/>
          </w:rPr>
          <w:delText>Tra i</w:delText>
        </w:r>
      </w:del>
      <w:ins w:id="10047" w:author="Author">
        <w:r>
          <w:rPr>
            <w:noProof/>
            <w:szCs w:val="22"/>
            <w:lang w:val="it-IT"/>
          </w:rPr>
          <w:t>I</w:t>
        </w:r>
      </w:ins>
      <w:r>
        <w:rPr>
          <w:noProof/>
          <w:szCs w:val="22"/>
          <w:lang w:val="it-IT"/>
        </w:rPr>
        <w:t xml:space="preserve"> sintomi </w:t>
      </w:r>
      <w:del w:id="10048" w:author="Author">
        <w:r>
          <w:rPr>
            <w:noProof/>
            <w:szCs w:val="22"/>
            <w:lang w:val="it-IT"/>
          </w:rPr>
          <w:delText xml:space="preserve">vi </w:delText>
        </w:r>
      </w:del>
      <w:r>
        <w:rPr>
          <w:noProof/>
          <w:szCs w:val="22"/>
          <w:lang w:val="it-IT"/>
        </w:rPr>
        <w:t xml:space="preserve">potrebbero </w:t>
      </w:r>
      <w:del w:id="10049" w:author="Author">
        <w:r>
          <w:rPr>
            <w:noProof/>
            <w:szCs w:val="22"/>
            <w:lang w:val="it-IT"/>
          </w:rPr>
          <w:delText xml:space="preserve">essere </w:delText>
        </w:r>
      </w:del>
      <w:ins w:id="10050" w:author="Author">
        <w:r>
          <w:rPr>
            <w:noProof/>
            <w:szCs w:val="22"/>
            <w:lang w:val="it-IT"/>
          </w:rPr>
          <w:t xml:space="preserve">includere </w:t>
        </w:r>
      </w:ins>
      <w:r>
        <w:rPr>
          <w:noProof/>
          <w:szCs w:val="22"/>
          <w:lang w:val="it-IT"/>
        </w:rPr>
        <w:t>dolore addominale e variazioni inspiegabili degli abituali movimenti intestinali associate a febbre.</w:t>
      </w:r>
    </w:p>
    <w:p>
      <w:pPr>
        <w:tabs>
          <w:tab w:val="left" w:pos="180"/>
        </w:tabs>
        <w:ind w:left="567" w:hanging="567"/>
        <w:rPr>
          <w:noProof/>
          <w:szCs w:val="22"/>
          <w:lang w:val="it-IT"/>
        </w:rPr>
      </w:pPr>
    </w:p>
    <w:p>
      <w:pPr>
        <w:ind w:left="567" w:hanging="567"/>
        <w:rPr>
          <w:noProof/>
          <w:szCs w:val="22"/>
          <w:lang w:val="it-IT"/>
        </w:rPr>
        <w:pPrChange w:id="10051" w:author="Author">
          <w:pPr>
            <w:tabs>
              <w:tab w:val="left" w:pos="180"/>
            </w:tabs>
            <w:ind w:left="567" w:hanging="567"/>
          </w:pPr>
        </w:pPrChange>
      </w:pPr>
      <w:r>
        <w:rPr>
          <w:noProof/>
          <w:lang w:val="it-IT"/>
        </w:rPr>
        <w:sym w:font="Symbol" w:char="00B7"/>
      </w:r>
      <w:r>
        <w:rPr>
          <w:noProof/>
          <w:lang w:val="it-IT"/>
        </w:rPr>
        <w:tab/>
      </w:r>
      <w:r>
        <w:rPr>
          <w:noProof/>
          <w:szCs w:val="22"/>
          <w:lang w:val="it-IT"/>
        </w:rPr>
        <w:t xml:space="preserve">Se ha una </w:t>
      </w:r>
      <w:r>
        <w:rPr>
          <w:b/>
          <w:noProof/>
          <w:szCs w:val="22"/>
          <w:lang w:val="it-IT"/>
        </w:rPr>
        <w:t>malattia del fegato</w:t>
      </w:r>
      <w:r>
        <w:rPr>
          <w:noProof/>
          <w:szCs w:val="22"/>
          <w:lang w:val="it-IT"/>
        </w:rPr>
        <w:t xml:space="preserve">, informi il medico. Prima di usare RoActemra il medico potrebbe voler fare un esame del sangue per esaminare la funzionalità del </w:t>
      </w:r>
      <w:del w:id="10052" w:author="Author">
        <w:r>
          <w:rPr>
            <w:noProof/>
            <w:szCs w:val="22"/>
            <w:lang w:val="it-IT"/>
          </w:rPr>
          <w:delText xml:space="preserve">suo </w:delText>
        </w:r>
      </w:del>
      <w:r>
        <w:rPr>
          <w:noProof/>
          <w:szCs w:val="22"/>
          <w:lang w:val="it-IT"/>
        </w:rPr>
        <w:t>fegato.</w:t>
      </w:r>
    </w:p>
    <w:p>
      <w:pPr>
        <w:tabs>
          <w:tab w:val="left" w:pos="180"/>
        </w:tabs>
        <w:ind w:left="567" w:hanging="567"/>
        <w:rPr>
          <w:noProof/>
          <w:szCs w:val="22"/>
          <w:lang w:val="it-IT"/>
        </w:rPr>
      </w:pPr>
    </w:p>
    <w:p>
      <w:pPr>
        <w:ind w:left="567" w:hanging="567"/>
        <w:rPr>
          <w:noProof/>
          <w:szCs w:val="22"/>
          <w:lang w:val="it-IT"/>
        </w:rPr>
        <w:pPrChange w:id="10053" w:author="Author">
          <w:pPr>
            <w:tabs>
              <w:tab w:val="left" w:pos="180"/>
            </w:tabs>
            <w:ind w:left="567" w:hanging="567"/>
          </w:pPr>
        </w:pPrChange>
      </w:pPr>
      <w:r>
        <w:rPr>
          <w:noProof/>
          <w:lang w:val="it-IT"/>
        </w:rPr>
        <w:sym w:font="Symbol" w:char="00B7"/>
      </w:r>
      <w:r>
        <w:rPr>
          <w:noProof/>
          <w:lang w:val="it-IT"/>
        </w:rPr>
        <w:tab/>
      </w:r>
      <w:r>
        <w:rPr>
          <w:b/>
          <w:noProof/>
          <w:szCs w:val="22"/>
          <w:lang w:val="it-IT"/>
          <w:rPrChange w:id="10054" w:author="Author">
            <w:rPr>
              <w:noProof/>
              <w:szCs w:val="22"/>
              <w:lang w:val="it-IT"/>
            </w:rPr>
          </w:rPrChange>
        </w:rPr>
        <w:t>Se un paziente è stato recentemente vaccinato</w:t>
      </w:r>
      <w:r>
        <w:rPr>
          <w:noProof/>
          <w:szCs w:val="22"/>
          <w:lang w:val="it-IT"/>
        </w:rPr>
        <w:t xml:space="preserve"> (sia che si tratti di un adulto o di un bambino), o prevede di sottoporsi ad una vaccinazione, informi il medico. Tutti i pazienti, soprattutto i bambini, devono essere in regola con tutte le vaccinazioni prima di iniziare il trattamento con RoActemra, a meno che non sia necessario avviarlo urgentemente. Alcuni tipi di vaccini non devono essere utilizzati durante il trattamento con RoActemra</w:t>
      </w:r>
      <w:r>
        <w:rPr>
          <w:rFonts w:ascii="Arial" w:hAnsi="Arial" w:cs="Arial"/>
          <w:noProof/>
          <w:lang w:val="it-IT"/>
        </w:rPr>
        <w:t>.</w:t>
      </w:r>
    </w:p>
    <w:p>
      <w:pPr>
        <w:tabs>
          <w:tab w:val="left" w:pos="180"/>
        </w:tabs>
        <w:ind w:left="567" w:hanging="567"/>
        <w:rPr>
          <w:noProof/>
          <w:szCs w:val="22"/>
          <w:lang w:val="it-IT"/>
        </w:rPr>
      </w:pPr>
      <w:del w:id="10055" w:author="Author">
        <w:r>
          <w:rPr>
            <w:noProof/>
            <w:lang w:val="it-IT"/>
          </w:rPr>
          <w:tab/>
        </w:r>
      </w:del>
    </w:p>
    <w:p>
      <w:pPr>
        <w:ind w:left="567" w:hanging="567"/>
        <w:rPr>
          <w:noProof/>
          <w:szCs w:val="22"/>
          <w:lang w:val="it-IT"/>
        </w:rPr>
        <w:pPrChange w:id="10056" w:author="Author">
          <w:pPr>
            <w:tabs>
              <w:tab w:val="left" w:pos="180"/>
            </w:tabs>
            <w:ind w:left="567" w:hanging="567"/>
          </w:pPr>
        </w:pPrChange>
      </w:pPr>
      <w:r>
        <w:rPr>
          <w:noProof/>
          <w:lang w:val="it-IT"/>
        </w:rPr>
        <w:sym w:font="Symbol" w:char="00B7"/>
      </w:r>
      <w:r>
        <w:rPr>
          <w:noProof/>
          <w:lang w:val="it-IT"/>
        </w:rPr>
        <w:tab/>
      </w:r>
      <w:r>
        <w:rPr>
          <w:noProof/>
          <w:szCs w:val="22"/>
          <w:lang w:val="it-IT"/>
        </w:rPr>
        <w:t xml:space="preserve">Se ha un </w:t>
      </w:r>
      <w:r>
        <w:rPr>
          <w:b/>
          <w:noProof/>
          <w:szCs w:val="22"/>
          <w:lang w:val="it-IT"/>
        </w:rPr>
        <w:t>tumore</w:t>
      </w:r>
      <w:r>
        <w:rPr>
          <w:noProof/>
          <w:szCs w:val="22"/>
          <w:lang w:val="it-IT"/>
        </w:rPr>
        <w:t>, informi il medico. Il medico dovrà decidere se potrà ancora ricevere RoActemra.</w:t>
      </w:r>
    </w:p>
    <w:p>
      <w:pPr>
        <w:tabs>
          <w:tab w:val="left" w:pos="180"/>
        </w:tabs>
        <w:ind w:left="567" w:hanging="567"/>
        <w:rPr>
          <w:noProof/>
          <w:szCs w:val="22"/>
          <w:lang w:val="it-IT"/>
        </w:rPr>
      </w:pPr>
    </w:p>
    <w:p>
      <w:pPr>
        <w:ind w:left="567" w:hanging="567"/>
        <w:rPr>
          <w:noProof/>
          <w:szCs w:val="22"/>
          <w:lang w:val="it-IT"/>
        </w:rPr>
        <w:pPrChange w:id="10057" w:author="Author">
          <w:pPr>
            <w:tabs>
              <w:tab w:val="left" w:pos="180"/>
            </w:tabs>
            <w:ind w:left="567" w:hanging="567"/>
          </w:pPr>
        </w:pPrChange>
      </w:pPr>
      <w:r>
        <w:rPr>
          <w:noProof/>
          <w:lang w:val="it-IT"/>
        </w:rPr>
        <w:sym w:font="Symbol" w:char="00B7"/>
      </w:r>
      <w:r>
        <w:rPr>
          <w:noProof/>
          <w:lang w:val="it-IT"/>
        </w:rPr>
        <w:tab/>
      </w:r>
      <w:r>
        <w:rPr>
          <w:noProof/>
          <w:szCs w:val="22"/>
          <w:lang w:val="it-IT"/>
        </w:rPr>
        <w:t xml:space="preserve">Se ha </w:t>
      </w:r>
      <w:r>
        <w:rPr>
          <w:b/>
          <w:noProof/>
          <w:szCs w:val="22"/>
          <w:lang w:val="it-IT"/>
        </w:rPr>
        <w:t>fattori di rischio cardiovascolari</w:t>
      </w:r>
      <w:r>
        <w:rPr>
          <w:noProof/>
          <w:szCs w:val="22"/>
          <w:lang w:val="it-IT"/>
        </w:rPr>
        <w:t xml:space="preserve"> quali aumento della pressione arteriosa o aumento dei livelli di colesterolo, informi il medico. Questi fattori devono essere monitorati mentre assume RoActemra.</w:t>
      </w:r>
    </w:p>
    <w:p>
      <w:pPr>
        <w:tabs>
          <w:tab w:val="left" w:pos="180"/>
        </w:tabs>
        <w:ind w:left="567" w:hanging="567"/>
        <w:rPr>
          <w:noProof/>
          <w:szCs w:val="22"/>
          <w:lang w:val="it-IT"/>
        </w:rPr>
      </w:pPr>
    </w:p>
    <w:p>
      <w:pPr>
        <w:ind w:left="567" w:hanging="567"/>
        <w:rPr>
          <w:noProof/>
          <w:szCs w:val="22"/>
          <w:lang w:val="it-IT"/>
        </w:rPr>
        <w:pPrChange w:id="10058" w:author="Author">
          <w:pPr>
            <w:tabs>
              <w:tab w:val="left" w:pos="180"/>
            </w:tabs>
            <w:ind w:left="567" w:hanging="567"/>
          </w:pPr>
        </w:pPrChange>
      </w:pPr>
      <w:r>
        <w:rPr>
          <w:noProof/>
          <w:lang w:val="it-IT"/>
        </w:rPr>
        <w:lastRenderedPageBreak/>
        <w:sym w:font="Symbol" w:char="00B7"/>
      </w:r>
      <w:r>
        <w:rPr>
          <w:noProof/>
          <w:lang w:val="it-IT"/>
        </w:rPr>
        <w:tab/>
      </w:r>
      <w:r>
        <w:rPr>
          <w:noProof/>
          <w:szCs w:val="22"/>
          <w:lang w:val="it-IT"/>
        </w:rPr>
        <w:t xml:space="preserve">Se ha </w:t>
      </w:r>
      <w:r>
        <w:rPr>
          <w:b/>
          <w:noProof/>
          <w:szCs w:val="22"/>
          <w:lang w:val="it-IT"/>
        </w:rPr>
        <w:t>problemi di funzionalità renale</w:t>
      </w:r>
      <w:r>
        <w:rPr>
          <w:noProof/>
          <w:szCs w:val="22"/>
          <w:lang w:val="it-IT"/>
        </w:rPr>
        <w:t xml:space="preserve"> di grado da moderato a grave, il medico la terrà sotto controllo.</w:t>
      </w:r>
    </w:p>
    <w:p>
      <w:pPr>
        <w:tabs>
          <w:tab w:val="left" w:pos="180"/>
        </w:tabs>
        <w:ind w:left="567" w:hanging="567"/>
        <w:rPr>
          <w:noProof/>
          <w:szCs w:val="22"/>
          <w:lang w:val="it-IT"/>
        </w:rPr>
      </w:pPr>
    </w:p>
    <w:p>
      <w:pPr>
        <w:keepNext/>
        <w:keepLines/>
        <w:ind w:left="567" w:hanging="567"/>
        <w:rPr>
          <w:noProof/>
          <w:szCs w:val="22"/>
          <w:lang w:val="it-IT"/>
        </w:rPr>
        <w:pPrChange w:id="10059" w:author="Author">
          <w:pPr>
            <w:keepNext/>
            <w:keepLines/>
            <w:tabs>
              <w:tab w:val="left" w:pos="180"/>
            </w:tabs>
            <w:ind w:left="181" w:hanging="181"/>
          </w:pPr>
        </w:pPrChange>
      </w:pPr>
      <w:r>
        <w:rPr>
          <w:noProof/>
          <w:lang w:val="it-IT"/>
        </w:rPr>
        <w:sym w:font="Symbol" w:char="00B7"/>
      </w:r>
      <w:r>
        <w:rPr>
          <w:noProof/>
          <w:lang w:val="it-IT"/>
        </w:rPr>
        <w:tab/>
      </w:r>
      <w:r>
        <w:rPr>
          <w:noProof/>
          <w:szCs w:val="22"/>
          <w:lang w:val="it-IT"/>
        </w:rPr>
        <w:t xml:space="preserve">Se ha </w:t>
      </w:r>
      <w:r>
        <w:rPr>
          <w:b/>
          <w:noProof/>
          <w:szCs w:val="22"/>
          <w:lang w:val="it-IT"/>
        </w:rPr>
        <w:t>mal di testa persistente.</w:t>
      </w:r>
    </w:p>
    <w:p>
      <w:pPr>
        <w:tabs>
          <w:tab w:val="left" w:pos="180"/>
        </w:tabs>
        <w:rPr>
          <w:ins w:id="10060" w:author="Author"/>
          <w:noProof/>
          <w:szCs w:val="22"/>
          <w:lang w:val="it-IT"/>
        </w:rPr>
      </w:pPr>
    </w:p>
    <w:p>
      <w:pPr>
        <w:tabs>
          <w:tab w:val="left" w:pos="180"/>
        </w:tabs>
        <w:rPr>
          <w:noProof/>
          <w:szCs w:val="22"/>
          <w:lang w:val="it-IT"/>
        </w:rPr>
      </w:pPr>
      <w:r>
        <w:rPr>
          <w:noProof/>
          <w:szCs w:val="22"/>
          <w:lang w:val="it-IT"/>
        </w:rPr>
        <w:t>Il medico la sottoporrà ad esami del sangue prima di somministrarle RoActemra e durante il trattamento, per stabilire se presenta un basso numero d</w:t>
      </w:r>
      <w:del w:id="10061" w:author="Author">
        <w:r>
          <w:rPr>
            <w:noProof/>
            <w:szCs w:val="22"/>
            <w:lang w:val="it-IT"/>
          </w:rPr>
          <w:delText>e</w:delText>
        </w:r>
      </w:del>
      <w:r>
        <w:rPr>
          <w:noProof/>
          <w:szCs w:val="22"/>
          <w:lang w:val="it-IT"/>
        </w:rPr>
        <w:t>i globuli bianchi o delle piastrine, oppure un elevato livello degli enzimi del fegato.</w:t>
      </w:r>
    </w:p>
    <w:p>
      <w:pPr>
        <w:tabs>
          <w:tab w:val="left" w:pos="180"/>
        </w:tabs>
        <w:rPr>
          <w:b/>
          <w:noProof/>
          <w:szCs w:val="22"/>
          <w:lang w:val="it-IT"/>
        </w:rPr>
      </w:pPr>
    </w:p>
    <w:p>
      <w:pPr>
        <w:tabs>
          <w:tab w:val="left" w:pos="180"/>
        </w:tabs>
        <w:rPr>
          <w:b/>
          <w:noProof/>
          <w:szCs w:val="22"/>
          <w:lang w:val="it-IT"/>
        </w:rPr>
      </w:pPr>
      <w:r>
        <w:rPr>
          <w:b/>
          <w:noProof/>
          <w:szCs w:val="22"/>
          <w:lang w:val="it-IT"/>
        </w:rPr>
        <w:t>Bambini e adolescenti</w:t>
      </w:r>
    </w:p>
    <w:p>
      <w:pPr>
        <w:tabs>
          <w:tab w:val="left" w:pos="180"/>
        </w:tabs>
        <w:rPr>
          <w:b/>
          <w:noProof/>
          <w:szCs w:val="22"/>
          <w:lang w:val="it-IT"/>
        </w:rPr>
      </w:pPr>
      <w:r>
        <w:rPr>
          <w:noProof/>
          <w:szCs w:val="22"/>
          <w:lang w:val="it-IT"/>
        </w:rPr>
        <w:t>L’uso di RoActemra non è raccomandato in bambini di età inferiore ai 2 anni.</w:t>
      </w:r>
    </w:p>
    <w:p>
      <w:pPr>
        <w:tabs>
          <w:tab w:val="left" w:pos="180"/>
        </w:tabs>
        <w:rPr>
          <w:noProof/>
          <w:szCs w:val="22"/>
          <w:lang w:val="it-IT"/>
        </w:rPr>
      </w:pPr>
      <w:r>
        <w:rPr>
          <w:rFonts w:ascii="Arial" w:hAnsi="Arial" w:cs="Arial"/>
          <w:noProof/>
          <w:lang w:val="it-IT"/>
        </w:rPr>
        <w:br/>
      </w:r>
      <w:r>
        <w:rPr>
          <w:noProof/>
          <w:szCs w:val="22"/>
          <w:lang w:val="it-IT"/>
        </w:rPr>
        <w:t xml:space="preserve">Se un bambino ha una storia di </w:t>
      </w:r>
      <w:r>
        <w:rPr>
          <w:b/>
          <w:i/>
          <w:noProof/>
          <w:szCs w:val="22"/>
          <w:lang w:val="it-IT"/>
        </w:rPr>
        <w:t>sindrome da attivazione macrofagica</w:t>
      </w:r>
      <w:r>
        <w:rPr>
          <w:noProof/>
          <w:szCs w:val="22"/>
          <w:lang w:val="it-IT"/>
        </w:rPr>
        <w:t xml:space="preserve"> (attivazione e proliferazione incontrollata di cellule del sangue specifiche), informi il medico. Questi dovrà decidere se il paziente possa ancora ricevere RoActemra.</w:t>
      </w:r>
    </w:p>
    <w:p>
      <w:pPr>
        <w:tabs>
          <w:tab w:val="left" w:pos="180"/>
        </w:tabs>
        <w:rPr>
          <w:noProof/>
          <w:szCs w:val="22"/>
          <w:lang w:val="it-IT"/>
        </w:rPr>
      </w:pPr>
    </w:p>
    <w:p>
      <w:pPr>
        <w:tabs>
          <w:tab w:val="left" w:pos="180"/>
        </w:tabs>
        <w:rPr>
          <w:b/>
          <w:noProof/>
          <w:szCs w:val="22"/>
          <w:lang w:val="it-IT"/>
        </w:rPr>
      </w:pPr>
      <w:r>
        <w:rPr>
          <w:b/>
          <w:noProof/>
          <w:szCs w:val="22"/>
          <w:lang w:val="it-IT"/>
        </w:rPr>
        <w:t>Altri medicinali e RoActemra</w:t>
      </w:r>
    </w:p>
    <w:p>
      <w:pPr>
        <w:tabs>
          <w:tab w:val="left" w:pos="180"/>
        </w:tabs>
        <w:rPr>
          <w:noProof/>
          <w:szCs w:val="22"/>
          <w:lang w:val="it-IT"/>
        </w:rPr>
      </w:pPr>
      <w:r>
        <w:rPr>
          <w:noProof/>
          <w:szCs w:val="22"/>
          <w:lang w:val="it-IT"/>
        </w:rPr>
        <w:t xml:space="preserve">Informi il medico se lei </w:t>
      </w:r>
      <w:bookmarkStart w:id="10062" w:name="_Hlk224050320"/>
      <w:ins w:id="10063" w:author="Author">
        <w:r>
          <w:rPr>
            <w:noProof/>
            <w:szCs w:val="22"/>
            <w:lang w:val="it-IT"/>
          </w:rPr>
          <w:t xml:space="preserve">(o il bambino, nel caso questi sia il paziente) </w:t>
        </w:r>
      </w:ins>
      <w:bookmarkEnd w:id="10062"/>
      <w:r>
        <w:rPr>
          <w:noProof/>
          <w:szCs w:val="22"/>
          <w:lang w:val="it-IT"/>
        </w:rPr>
        <w:t xml:space="preserve">sta assumendo qualsiasi altro medicinale </w:t>
      </w:r>
      <w:del w:id="10064" w:author="Author">
        <w:r>
          <w:rPr>
            <w:noProof/>
            <w:szCs w:val="22"/>
            <w:lang w:val="it-IT"/>
          </w:rPr>
          <w:delText>(o il suo bambino, nel caso questi sia il paziente)</w:delText>
        </w:r>
      </w:del>
      <w:r>
        <w:rPr>
          <w:noProof/>
          <w:szCs w:val="22"/>
          <w:lang w:val="it-IT"/>
        </w:rPr>
        <w:t xml:space="preserve"> o se ne ha recentemente assunto uno, inclusi medicinali ottenibili senza prescrizione medica. RoActemra può influire sulle modalità di azione di alcuni medicinali e la dose di questi può necessitare di aggiustamenti.</w:t>
      </w:r>
      <w:r>
        <w:rPr>
          <w:b/>
          <w:noProof/>
          <w:szCs w:val="22"/>
          <w:lang w:val="it-IT"/>
        </w:rPr>
        <w:t xml:space="preserve"> Informi il medico </w:t>
      </w:r>
      <w:r>
        <w:rPr>
          <w:noProof/>
          <w:szCs w:val="22"/>
          <w:lang w:val="it-IT"/>
        </w:rPr>
        <w:t>se sta usando medicinali che contengono i seguenti principi attivi:</w:t>
      </w:r>
    </w:p>
    <w:p>
      <w:pPr>
        <w:tabs>
          <w:tab w:val="left" w:pos="180"/>
        </w:tabs>
        <w:rPr>
          <w:noProof/>
          <w:szCs w:val="22"/>
          <w:lang w:val="it-IT"/>
        </w:rPr>
      </w:pPr>
    </w:p>
    <w:p>
      <w:pPr>
        <w:ind w:left="567" w:hanging="567"/>
        <w:rPr>
          <w:noProof/>
          <w:szCs w:val="22"/>
          <w:lang w:val="it-IT"/>
        </w:rPr>
        <w:pPrChange w:id="10065" w:author="Author">
          <w:pPr>
            <w:tabs>
              <w:tab w:val="left" w:pos="567"/>
            </w:tabs>
          </w:pPr>
        </w:pPrChange>
      </w:pPr>
      <w:r>
        <w:rPr>
          <w:noProof/>
          <w:szCs w:val="22"/>
          <w:lang w:val="it-IT"/>
        </w:rPr>
        <w:sym w:font="Symbol" w:char="F0B7"/>
      </w:r>
      <w:r>
        <w:rPr>
          <w:noProof/>
          <w:szCs w:val="22"/>
          <w:lang w:val="it-IT"/>
        </w:rPr>
        <w:tab/>
      </w:r>
      <w:r>
        <w:rPr>
          <w:noProof/>
          <w:lang w:val="it-IT"/>
        </w:rPr>
        <w:t>metilprednisolone, desametasone utilizzati per ridurre l’infiammazione</w:t>
      </w:r>
    </w:p>
    <w:p>
      <w:pPr>
        <w:ind w:left="567" w:hanging="567"/>
        <w:rPr>
          <w:noProof/>
          <w:szCs w:val="22"/>
          <w:lang w:val="it-IT"/>
        </w:rPr>
        <w:pPrChange w:id="10066" w:author="Author">
          <w:pPr>
            <w:tabs>
              <w:tab w:val="left" w:pos="567"/>
            </w:tabs>
            <w:ind w:left="567" w:hanging="567"/>
          </w:pPr>
        </w:pPrChange>
      </w:pPr>
      <w:r>
        <w:rPr>
          <w:noProof/>
          <w:szCs w:val="22"/>
          <w:lang w:val="it-IT"/>
        </w:rPr>
        <w:sym w:font="Symbol" w:char="F0B7"/>
      </w:r>
      <w:r>
        <w:rPr>
          <w:noProof/>
          <w:szCs w:val="22"/>
          <w:lang w:val="it-IT"/>
        </w:rPr>
        <w:tab/>
        <w:t xml:space="preserve">simvastatina o atorvastatina, usate per ridurre i </w:t>
      </w:r>
      <w:r>
        <w:rPr>
          <w:b/>
          <w:noProof/>
          <w:szCs w:val="22"/>
          <w:lang w:val="it-IT"/>
        </w:rPr>
        <w:t>livelli di colesterolo</w:t>
      </w:r>
    </w:p>
    <w:p>
      <w:pPr>
        <w:ind w:left="567" w:hanging="567"/>
        <w:rPr>
          <w:b/>
          <w:noProof/>
          <w:szCs w:val="22"/>
          <w:lang w:val="it-IT"/>
        </w:rPr>
        <w:pPrChange w:id="10067" w:author="Author">
          <w:pPr>
            <w:tabs>
              <w:tab w:val="left" w:pos="567"/>
            </w:tabs>
          </w:pPr>
        </w:pPrChange>
      </w:pPr>
      <w:r>
        <w:rPr>
          <w:noProof/>
          <w:szCs w:val="22"/>
          <w:lang w:val="it-IT"/>
        </w:rPr>
        <w:sym w:font="Symbol" w:char="F0B7"/>
      </w:r>
      <w:r>
        <w:rPr>
          <w:noProof/>
          <w:szCs w:val="22"/>
          <w:lang w:val="it-IT"/>
        </w:rPr>
        <w:tab/>
        <w:t>bloccanti dei canali del calcio (ad es. amlodipina), usati per trattare l’</w:t>
      </w:r>
      <w:r>
        <w:rPr>
          <w:b/>
          <w:noProof/>
          <w:szCs w:val="22"/>
          <w:lang w:val="it-IT"/>
        </w:rPr>
        <w:t>aumento della pressione</w:t>
      </w:r>
      <w:del w:id="10068" w:author="Author">
        <w:r>
          <w:rPr>
            <w:b/>
            <w:noProof/>
            <w:szCs w:val="22"/>
            <w:lang w:val="it-IT"/>
          </w:rPr>
          <w:delText xml:space="preserve"> </w:delText>
        </w:r>
      </w:del>
      <w:r>
        <w:rPr>
          <w:b/>
          <w:noProof/>
          <w:szCs w:val="22"/>
          <w:lang w:val="it-IT"/>
        </w:rPr>
        <w:t xml:space="preserve"> sanguigna</w:t>
      </w:r>
    </w:p>
    <w:p>
      <w:pPr>
        <w:ind w:left="567" w:hanging="567"/>
        <w:jc w:val="both"/>
        <w:rPr>
          <w:noProof/>
          <w:szCs w:val="22"/>
          <w:lang w:val="it-IT"/>
        </w:rPr>
        <w:pPrChange w:id="10069" w:author="Author">
          <w:pPr>
            <w:tabs>
              <w:tab w:val="left" w:pos="567"/>
            </w:tabs>
            <w:ind w:left="567" w:hanging="567"/>
            <w:jc w:val="both"/>
          </w:pPr>
        </w:pPrChange>
      </w:pPr>
      <w:r>
        <w:rPr>
          <w:noProof/>
          <w:szCs w:val="22"/>
          <w:lang w:val="it-IT"/>
        </w:rPr>
        <w:sym w:font="Symbol" w:char="F0B7"/>
      </w:r>
      <w:r>
        <w:rPr>
          <w:noProof/>
          <w:szCs w:val="22"/>
          <w:lang w:val="it-IT"/>
        </w:rPr>
        <w:tab/>
        <w:t>teofillina, usata per trattare l’</w:t>
      </w:r>
      <w:r>
        <w:rPr>
          <w:b/>
          <w:noProof/>
          <w:szCs w:val="22"/>
          <w:lang w:val="it-IT"/>
        </w:rPr>
        <w:t>asma</w:t>
      </w:r>
    </w:p>
    <w:p>
      <w:pPr>
        <w:ind w:left="567" w:hanging="567"/>
        <w:rPr>
          <w:noProof/>
          <w:szCs w:val="22"/>
          <w:lang w:val="it-IT"/>
        </w:rPr>
        <w:pPrChange w:id="10070" w:author="Author">
          <w:pPr>
            <w:tabs>
              <w:tab w:val="left" w:pos="567"/>
            </w:tabs>
            <w:ind w:left="567" w:hanging="567"/>
          </w:pPr>
        </w:pPrChange>
      </w:pPr>
      <w:r>
        <w:rPr>
          <w:noProof/>
          <w:szCs w:val="22"/>
          <w:lang w:val="it-IT"/>
        </w:rPr>
        <w:sym w:font="Symbol" w:char="F0B7"/>
      </w:r>
      <w:r>
        <w:rPr>
          <w:noProof/>
          <w:szCs w:val="22"/>
          <w:lang w:val="it-IT"/>
        </w:rPr>
        <w:tab/>
        <w:t xml:space="preserve">warfarin o fenprocumone, anticoagulanti usati per </w:t>
      </w:r>
      <w:r>
        <w:rPr>
          <w:b/>
          <w:noProof/>
          <w:szCs w:val="22"/>
          <w:lang w:val="it-IT"/>
        </w:rPr>
        <w:t>rendere più fluido il sangue</w:t>
      </w:r>
    </w:p>
    <w:p>
      <w:pPr>
        <w:ind w:left="567" w:hanging="567"/>
        <w:rPr>
          <w:noProof/>
          <w:szCs w:val="22"/>
          <w:lang w:val="it-IT"/>
        </w:rPr>
        <w:pPrChange w:id="10071" w:author="Author">
          <w:pPr>
            <w:tabs>
              <w:tab w:val="left" w:pos="567"/>
            </w:tabs>
            <w:ind w:left="567" w:hanging="567"/>
          </w:pPr>
        </w:pPrChange>
      </w:pPr>
      <w:r>
        <w:rPr>
          <w:noProof/>
          <w:szCs w:val="22"/>
          <w:lang w:val="it-IT"/>
        </w:rPr>
        <w:sym w:font="Symbol" w:char="F0B7"/>
      </w:r>
      <w:r>
        <w:rPr>
          <w:noProof/>
          <w:szCs w:val="22"/>
          <w:lang w:val="it-IT"/>
        </w:rPr>
        <w:tab/>
        <w:t xml:space="preserve">fenitoina, usata per trattare le </w:t>
      </w:r>
      <w:r>
        <w:rPr>
          <w:b/>
          <w:noProof/>
          <w:szCs w:val="22"/>
          <w:lang w:val="it-IT"/>
        </w:rPr>
        <w:t>convulsioni</w:t>
      </w:r>
    </w:p>
    <w:p>
      <w:pPr>
        <w:ind w:left="567" w:hanging="567"/>
        <w:rPr>
          <w:noProof/>
          <w:szCs w:val="22"/>
          <w:lang w:val="it-IT"/>
        </w:rPr>
        <w:pPrChange w:id="10072" w:author="Author">
          <w:pPr>
            <w:tabs>
              <w:tab w:val="left" w:pos="567"/>
            </w:tabs>
            <w:ind w:left="567" w:hanging="567"/>
          </w:pPr>
        </w:pPrChange>
      </w:pPr>
      <w:r>
        <w:rPr>
          <w:noProof/>
          <w:szCs w:val="22"/>
          <w:lang w:val="it-IT"/>
        </w:rPr>
        <w:sym w:font="Symbol" w:char="F0B7"/>
      </w:r>
      <w:r>
        <w:rPr>
          <w:noProof/>
          <w:szCs w:val="22"/>
          <w:lang w:val="it-IT"/>
        </w:rPr>
        <w:tab/>
        <w:t xml:space="preserve">ciclosporina, usata per </w:t>
      </w:r>
      <w:r>
        <w:rPr>
          <w:b/>
          <w:noProof/>
          <w:szCs w:val="22"/>
          <w:lang w:val="it-IT"/>
        </w:rPr>
        <w:t>sopprimere il sistema immunitario</w:t>
      </w:r>
      <w:r>
        <w:rPr>
          <w:noProof/>
          <w:szCs w:val="22"/>
          <w:lang w:val="it-IT"/>
        </w:rPr>
        <w:t xml:space="preserve"> durante il trapianto di organi</w:t>
      </w:r>
    </w:p>
    <w:p>
      <w:pPr>
        <w:ind w:left="567" w:hanging="567"/>
        <w:rPr>
          <w:noProof/>
          <w:szCs w:val="22"/>
          <w:lang w:val="it-IT"/>
        </w:rPr>
        <w:pPrChange w:id="10073" w:author="Author">
          <w:pPr>
            <w:tabs>
              <w:tab w:val="left" w:pos="567"/>
            </w:tabs>
            <w:ind w:left="567" w:hanging="567"/>
          </w:pPr>
        </w:pPrChange>
      </w:pPr>
      <w:r>
        <w:rPr>
          <w:noProof/>
          <w:szCs w:val="22"/>
          <w:lang w:val="it-IT"/>
        </w:rPr>
        <w:sym w:font="Symbol" w:char="F0B7"/>
      </w:r>
      <w:r>
        <w:rPr>
          <w:noProof/>
          <w:szCs w:val="22"/>
          <w:lang w:val="it-IT"/>
        </w:rPr>
        <w:tab/>
        <w:t xml:space="preserve">benzodiazepine (ad es. temazepam), usate per </w:t>
      </w:r>
      <w:r>
        <w:rPr>
          <w:b/>
          <w:noProof/>
          <w:szCs w:val="22"/>
          <w:lang w:val="it-IT"/>
        </w:rPr>
        <w:t>trattare l’ansia.</w:t>
      </w:r>
    </w:p>
    <w:p>
      <w:pPr>
        <w:tabs>
          <w:tab w:val="left" w:pos="180"/>
        </w:tabs>
        <w:rPr>
          <w:noProof/>
          <w:szCs w:val="22"/>
          <w:lang w:val="it-IT"/>
        </w:rPr>
      </w:pPr>
    </w:p>
    <w:p>
      <w:pPr>
        <w:tabs>
          <w:tab w:val="left" w:pos="180"/>
        </w:tabs>
        <w:rPr>
          <w:noProof/>
          <w:szCs w:val="22"/>
          <w:lang w:val="it-IT"/>
        </w:rPr>
      </w:pPr>
      <w:r>
        <w:rPr>
          <w:noProof/>
          <w:szCs w:val="22"/>
          <w:lang w:val="it-IT"/>
        </w:rPr>
        <w:t xml:space="preserve">A causa della mancanza di esperienza clinica, RoActemra non è indicato per l’uso con altri </w:t>
      </w:r>
      <w:del w:id="10074" w:author="Author">
        <w:r>
          <w:rPr>
            <w:noProof/>
            <w:szCs w:val="22"/>
            <w:lang w:val="it-IT"/>
          </w:rPr>
          <w:delText xml:space="preserve">farmaci </w:delText>
        </w:r>
      </w:del>
      <w:ins w:id="10075" w:author="Author">
        <w:r>
          <w:rPr>
            <w:noProof/>
            <w:szCs w:val="22"/>
            <w:lang w:val="it-IT"/>
          </w:rPr>
          <w:t xml:space="preserve">medicinali </w:t>
        </w:r>
      </w:ins>
      <w:r>
        <w:rPr>
          <w:noProof/>
          <w:szCs w:val="22"/>
          <w:lang w:val="it-IT"/>
        </w:rPr>
        <w:t>biologici per il trattamento dell’AR, dell’AIGs o dell’AIGp.</w:t>
      </w:r>
    </w:p>
    <w:p>
      <w:pPr>
        <w:tabs>
          <w:tab w:val="left" w:pos="180"/>
        </w:tabs>
        <w:rPr>
          <w:noProof/>
          <w:szCs w:val="22"/>
          <w:lang w:val="it-IT"/>
        </w:rPr>
      </w:pPr>
    </w:p>
    <w:p>
      <w:pPr>
        <w:tabs>
          <w:tab w:val="left" w:pos="180"/>
        </w:tabs>
        <w:rPr>
          <w:b/>
          <w:noProof/>
          <w:szCs w:val="22"/>
          <w:lang w:val="it-IT"/>
        </w:rPr>
      </w:pPr>
      <w:r>
        <w:rPr>
          <w:b/>
          <w:noProof/>
          <w:szCs w:val="22"/>
          <w:lang w:val="it-IT"/>
        </w:rPr>
        <w:t>Gravidanza, allattamento e fertilità</w:t>
      </w:r>
    </w:p>
    <w:p>
      <w:pPr>
        <w:tabs>
          <w:tab w:val="left" w:pos="180"/>
        </w:tabs>
        <w:rPr>
          <w:noProof/>
          <w:szCs w:val="22"/>
          <w:lang w:val="it-IT"/>
        </w:rPr>
      </w:pPr>
      <w:r>
        <w:rPr>
          <w:b/>
          <w:noProof/>
          <w:szCs w:val="22"/>
          <w:lang w:val="it-IT"/>
        </w:rPr>
        <w:t xml:space="preserve">RoActemra non deve essere usato in gravidanza </w:t>
      </w:r>
      <w:r>
        <w:rPr>
          <w:noProof/>
          <w:szCs w:val="22"/>
          <w:lang w:val="it-IT"/>
        </w:rPr>
        <w:t>se non strettamente necessario.</w:t>
      </w:r>
    </w:p>
    <w:p>
      <w:pPr>
        <w:tabs>
          <w:tab w:val="left" w:pos="180"/>
        </w:tabs>
        <w:rPr>
          <w:bCs/>
          <w:iCs/>
          <w:noProof/>
          <w:szCs w:val="22"/>
          <w:lang w:val="it-IT"/>
        </w:rPr>
      </w:pPr>
      <w:r>
        <w:rPr>
          <w:bCs/>
          <w:iCs/>
          <w:noProof/>
          <w:szCs w:val="22"/>
          <w:lang w:val="it-IT"/>
        </w:rPr>
        <w:t xml:space="preserve">Informi il medico se è in stato di gravidanza, se potrebbe esserlo o se </w:t>
      </w:r>
      <w:ins w:id="10076" w:author="Author">
        <w:r>
          <w:rPr>
            <w:bCs/>
            <w:iCs/>
            <w:noProof/>
            <w:szCs w:val="22"/>
            <w:lang w:val="it-IT"/>
          </w:rPr>
          <w:t xml:space="preserve">sta </w:t>
        </w:r>
      </w:ins>
      <w:r>
        <w:rPr>
          <w:bCs/>
          <w:iCs/>
          <w:noProof/>
          <w:szCs w:val="22"/>
          <w:lang w:val="it-IT"/>
        </w:rPr>
        <w:t>pianifica</w:t>
      </w:r>
      <w:ins w:id="10077" w:author="Author">
        <w:r>
          <w:rPr>
            <w:bCs/>
            <w:iCs/>
            <w:noProof/>
            <w:szCs w:val="22"/>
            <w:lang w:val="it-IT"/>
          </w:rPr>
          <w:t>ndo</w:t>
        </w:r>
      </w:ins>
      <w:r>
        <w:rPr>
          <w:bCs/>
          <w:iCs/>
          <w:noProof/>
          <w:szCs w:val="22"/>
          <w:lang w:val="it-IT"/>
        </w:rPr>
        <w:t xml:space="preserve"> una gravidanza.</w:t>
      </w:r>
    </w:p>
    <w:p>
      <w:pPr>
        <w:tabs>
          <w:tab w:val="left" w:pos="180"/>
        </w:tabs>
        <w:rPr>
          <w:bCs/>
          <w:iCs/>
          <w:noProof/>
          <w:szCs w:val="22"/>
          <w:lang w:val="it-IT"/>
        </w:rPr>
      </w:pPr>
    </w:p>
    <w:p>
      <w:pPr>
        <w:tabs>
          <w:tab w:val="left" w:pos="180"/>
        </w:tabs>
        <w:rPr>
          <w:noProof/>
          <w:szCs w:val="22"/>
          <w:lang w:val="it-IT"/>
        </w:rPr>
      </w:pPr>
      <w:r>
        <w:rPr>
          <w:b/>
          <w:noProof/>
          <w:szCs w:val="22"/>
          <w:lang w:val="it-IT"/>
        </w:rPr>
        <w:t>Le donne in età fertile</w:t>
      </w:r>
      <w:r>
        <w:rPr>
          <w:noProof/>
          <w:szCs w:val="22"/>
          <w:lang w:val="it-IT"/>
        </w:rPr>
        <w:t xml:space="preserve"> devono fare uso di un contraccettivo efficace durante e fino a 3 mesi dopo il trattamento.</w:t>
      </w:r>
    </w:p>
    <w:p>
      <w:pPr>
        <w:tabs>
          <w:tab w:val="left" w:pos="180"/>
        </w:tabs>
        <w:rPr>
          <w:bCs/>
          <w:iCs/>
          <w:noProof/>
          <w:szCs w:val="22"/>
          <w:lang w:val="it-IT"/>
        </w:rPr>
      </w:pPr>
    </w:p>
    <w:p>
      <w:pPr>
        <w:tabs>
          <w:tab w:val="left" w:pos="180"/>
        </w:tabs>
        <w:rPr>
          <w:bCs/>
          <w:iCs/>
          <w:noProof/>
          <w:szCs w:val="22"/>
          <w:lang w:val="it-IT"/>
        </w:rPr>
      </w:pPr>
      <w:r>
        <w:rPr>
          <w:b/>
          <w:bCs/>
          <w:iCs/>
          <w:noProof/>
          <w:szCs w:val="22"/>
          <w:lang w:val="it-IT"/>
        </w:rPr>
        <w:t>Interrompa l’allattamento se sta per esserle dato RoActemra</w:t>
      </w:r>
      <w:r>
        <w:rPr>
          <w:bCs/>
          <w:iCs/>
          <w:noProof/>
          <w:szCs w:val="22"/>
          <w:lang w:val="it-IT"/>
        </w:rPr>
        <w:t xml:space="preserve"> ed informi il medico.</w:t>
      </w:r>
    </w:p>
    <w:p>
      <w:pPr>
        <w:tabs>
          <w:tab w:val="left" w:pos="180"/>
        </w:tabs>
        <w:rPr>
          <w:bCs/>
          <w:iCs/>
          <w:noProof/>
          <w:szCs w:val="22"/>
          <w:lang w:val="it-IT"/>
        </w:rPr>
      </w:pPr>
      <w:r>
        <w:rPr>
          <w:bCs/>
          <w:iCs/>
          <w:noProof/>
          <w:szCs w:val="22"/>
          <w:lang w:val="it-IT"/>
        </w:rPr>
        <w:t>Prima di iniziare l’allattamento, devono passare almeno 3 mesi dall’ultima assunzione di RoActemra. Non è noto se RoActemra passi nel latte materno</w:t>
      </w:r>
      <w:ins w:id="10078" w:author="Author">
        <w:r>
          <w:rPr>
            <w:bCs/>
            <w:iCs/>
            <w:noProof/>
            <w:szCs w:val="22"/>
            <w:lang w:val="it-IT"/>
          </w:rPr>
          <w:t>.</w:t>
        </w:r>
      </w:ins>
    </w:p>
    <w:p>
      <w:pPr>
        <w:tabs>
          <w:tab w:val="left" w:pos="180"/>
        </w:tabs>
        <w:rPr>
          <w:bCs/>
          <w:iCs/>
          <w:noProof/>
          <w:szCs w:val="22"/>
          <w:lang w:val="it-IT"/>
        </w:rPr>
      </w:pPr>
    </w:p>
    <w:p>
      <w:pPr>
        <w:tabs>
          <w:tab w:val="left" w:pos="180"/>
        </w:tabs>
        <w:rPr>
          <w:noProof/>
          <w:lang w:val="it-IT"/>
        </w:rPr>
      </w:pPr>
      <w:r>
        <w:rPr>
          <w:bCs/>
          <w:iCs/>
          <w:noProof/>
          <w:szCs w:val="22"/>
          <w:lang w:val="it-IT"/>
        </w:rPr>
        <w:t>I d</w:t>
      </w:r>
      <w:r>
        <w:rPr>
          <w:noProof/>
          <w:lang w:val="it-IT"/>
        </w:rPr>
        <w:t xml:space="preserve">ati </w:t>
      </w:r>
      <w:r>
        <w:rPr>
          <w:bCs/>
          <w:iCs/>
          <w:noProof/>
          <w:szCs w:val="22"/>
          <w:lang w:val="it-IT"/>
        </w:rPr>
        <w:t xml:space="preserve">disponibili finora </w:t>
      </w:r>
      <w:r>
        <w:rPr>
          <w:noProof/>
          <w:lang w:val="it-IT"/>
        </w:rPr>
        <w:t>non</w:t>
      </w:r>
      <w:r>
        <w:rPr>
          <w:bCs/>
          <w:iCs/>
          <w:noProof/>
          <w:szCs w:val="22"/>
          <w:lang w:val="it-IT"/>
        </w:rPr>
        <w:t xml:space="preserve"> </w:t>
      </w:r>
      <w:r>
        <w:rPr>
          <w:noProof/>
          <w:lang w:val="it-IT"/>
        </w:rPr>
        <w:t>indicano</w:t>
      </w:r>
      <w:r>
        <w:rPr>
          <w:bCs/>
          <w:iCs/>
          <w:noProof/>
          <w:szCs w:val="22"/>
          <w:lang w:val="it-IT"/>
        </w:rPr>
        <w:t xml:space="preserve"> </w:t>
      </w:r>
      <w:r>
        <w:rPr>
          <w:noProof/>
          <w:lang w:val="it-IT"/>
        </w:rPr>
        <w:t xml:space="preserve">un effetto </w:t>
      </w:r>
      <w:ins w:id="10079" w:author="Author">
        <w:r>
          <w:rPr>
            <w:noProof/>
            <w:lang w:val="it-IT"/>
          </w:rPr>
          <w:t xml:space="preserve">di questo trattamento </w:t>
        </w:r>
      </w:ins>
      <w:r>
        <w:rPr>
          <w:noProof/>
          <w:lang w:val="it-IT"/>
        </w:rPr>
        <w:t>sulla fertilità</w:t>
      </w:r>
      <w:del w:id="10080" w:author="Author">
        <w:r>
          <w:rPr>
            <w:bCs/>
            <w:iCs/>
            <w:noProof/>
            <w:szCs w:val="22"/>
            <w:lang w:val="it-IT"/>
          </w:rPr>
          <w:delText xml:space="preserve"> </w:delText>
        </w:r>
        <w:r>
          <w:rPr>
            <w:noProof/>
            <w:lang w:val="it-IT"/>
          </w:rPr>
          <w:delText>da questo trattamento</w:delText>
        </w:r>
      </w:del>
      <w:r>
        <w:rPr>
          <w:noProof/>
          <w:lang w:val="it-IT"/>
        </w:rPr>
        <w:t>.</w:t>
      </w:r>
    </w:p>
    <w:p>
      <w:pPr>
        <w:tabs>
          <w:tab w:val="left" w:pos="180"/>
        </w:tabs>
        <w:rPr>
          <w:bCs/>
          <w:iCs/>
          <w:noProof/>
          <w:szCs w:val="22"/>
          <w:lang w:val="it-IT"/>
        </w:rPr>
      </w:pPr>
    </w:p>
    <w:p>
      <w:pPr>
        <w:tabs>
          <w:tab w:val="left" w:pos="180"/>
        </w:tabs>
        <w:rPr>
          <w:b/>
          <w:noProof/>
          <w:szCs w:val="22"/>
          <w:lang w:val="it-IT"/>
        </w:rPr>
      </w:pPr>
      <w:r>
        <w:rPr>
          <w:b/>
          <w:noProof/>
          <w:szCs w:val="22"/>
          <w:lang w:val="it-IT"/>
        </w:rPr>
        <w:t>Guida di veicoli e utilizzo di macchinari</w:t>
      </w:r>
    </w:p>
    <w:p>
      <w:pPr>
        <w:tabs>
          <w:tab w:val="left" w:pos="180"/>
        </w:tabs>
        <w:rPr>
          <w:noProof/>
          <w:szCs w:val="22"/>
          <w:lang w:val="it-IT"/>
        </w:rPr>
      </w:pPr>
      <w:r>
        <w:rPr>
          <w:noProof/>
          <w:lang w:val="it-IT"/>
        </w:rPr>
        <w:t xml:space="preserve">Questo medicinale può causare capogiri. Se avverte </w:t>
      </w:r>
      <w:r>
        <w:rPr>
          <w:noProof/>
          <w:szCs w:val="22"/>
          <w:lang w:val="it-IT"/>
        </w:rPr>
        <w:t xml:space="preserve">giramenti di testa, </w:t>
      </w:r>
      <w:r>
        <w:rPr>
          <w:noProof/>
          <w:lang w:val="it-IT"/>
        </w:rPr>
        <w:t>non</w:t>
      </w:r>
      <w:r>
        <w:rPr>
          <w:noProof/>
          <w:szCs w:val="22"/>
          <w:lang w:val="it-IT"/>
        </w:rPr>
        <w:t xml:space="preserve"> </w:t>
      </w:r>
      <w:r>
        <w:rPr>
          <w:noProof/>
          <w:lang w:val="it-IT"/>
        </w:rPr>
        <w:t>guid</w:t>
      </w:r>
      <w:r>
        <w:rPr>
          <w:noProof/>
          <w:szCs w:val="22"/>
          <w:lang w:val="it-IT"/>
        </w:rPr>
        <w:t>i</w:t>
      </w:r>
      <w:r>
        <w:rPr>
          <w:noProof/>
          <w:lang w:val="it-IT"/>
        </w:rPr>
        <w:t xml:space="preserve"> o us</w:t>
      </w:r>
      <w:r>
        <w:rPr>
          <w:noProof/>
          <w:szCs w:val="22"/>
          <w:lang w:val="it-IT"/>
        </w:rPr>
        <w:t>i</w:t>
      </w:r>
      <w:r>
        <w:rPr>
          <w:noProof/>
          <w:lang w:val="it-IT"/>
        </w:rPr>
        <w:t xml:space="preserve"> macchinari</w:t>
      </w:r>
      <w:r>
        <w:rPr>
          <w:noProof/>
          <w:szCs w:val="22"/>
          <w:lang w:val="it-IT"/>
        </w:rPr>
        <w:t>.</w:t>
      </w:r>
    </w:p>
    <w:p>
      <w:pPr>
        <w:tabs>
          <w:tab w:val="left" w:pos="180"/>
        </w:tabs>
        <w:rPr>
          <w:noProof/>
          <w:szCs w:val="22"/>
          <w:lang w:val="it-IT"/>
        </w:rPr>
      </w:pPr>
    </w:p>
    <w:p>
      <w:pPr>
        <w:keepNext/>
        <w:keepLines/>
        <w:tabs>
          <w:tab w:val="left" w:pos="180"/>
        </w:tabs>
        <w:rPr>
          <w:b/>
          <w:noProof/>
          <w:szCs w:val="22"/>
          <w:lang w:val="it-IT"/>
        </w:rPr>
      </w:pPr>
      <w:r>
        <w:rPr>
          <w:b/>
          <w:noProof/>
          <w:szCs w:val="22"/>
          <w:lang w:val="it-IT"/>
        </w:rPr>
        <w:t>RoActemra contiene sodio</w:t>
      </w:r>
    </w:p>
    <w:p>
      <w:pPr>
        <w:tabs>
          <w:tab w:val="left" w:pos="180"/>
        </w:tabs>
        <w:rPr>
          <w:noProof/>
          <w:szCs w:val="22"/>
          <w:lang w:val="it-IT"/>
        </w:rPr>
        <w:pPrChange w:id="10081" w:author="Author">
          <w:pPr>
            <w:keepNext/>
            <w:keepLines/>
            <w:tabs>
              <w:tab w:val="left" w:pos="180"/>
            </w:tabs>
          </w:pPr>
        </w:pPrChange>
      </w:pPr>
      <w:r>
        <w:rPr>
          <w:noProof/>
          <w:szCs w:val="22"/>
          <w:lang w:val="it-IT"/>
        </w:rPr>
        <w:t xml:space="preserve">Dopo la diluizione con una soluzione salina di </w:t>
      </w:r>
      <w:ins w:id="10082" w:author="Author">
        <w:r>
          <w:rPr>
            <w:noProof/>
            <w:szCs w:val="22"/>
            <w:lang w:val="it-IT"/>
          </w:rPr>
          <w:t xml:space="preserve">sodio </w:t>
        </w:r>
      </w:ins>
      <w:r>
        <w:rPr>
          <w:noProof/>
          <w:szCs w:val="22"/>
          <w:lang w:val="it-IT"/>
        </w:rPr>
        <w:t xml:space="preserve">cloruro </w:t>
      </w:r>
      <w:del w:id="10083" w:author="Author">
        <w:r>
          <w:rPr>
            <w:noProof/>
            <w:szCs w:val="22"/>
            <w:lang w:val="it-IT"/>
          </w:rPr>
          <w:delText xml:space="preserve">di sodio </w:delText>
        </w:r>
      </w:del>
      <w:r>
        <w:rPr>
          <w:noProof/>
          <w:szCs w:val="22"/>
          <w:lang w:val="it-IT"/>
        </w:rPr>
        <w:t>allo 0,9%, questo medicinale contiene 230,6 mg di sodio per dose massima di 800</w:t>
      </w:r>
      <w:ins w:id="10084" w:author="Author">
        <w:r>
          <w:rPr>
            <w:noProof/>
            <w:szCs w:val="22"/>
            <w:lang w:val="it-IT"/>
          </w:rPr>
          <w:t xml:space="preserve"> </w:t>
        </w:r>
      </w:ins>
      <w:r>
        <w:rPr>
          <w:noProof/>
          <w:szCs w:val="22"/>
          <w:lang w:val="it-IT"/>
        </w:rPr>
        <w:t>mg equivalente all’11,5% della dose massima giornaliera raccomandata dall’OMS pari a 2 g di sodio per un adulto.</w:t>
      </w:r>
    </w:p>
    <w:p>
      <w:pPr>
        <w:tabs>
          <w:tab w:val="left" w:pos="180"/>
        </w:tabs>
        <w:rPr>
          <w:noProof/>
          <w:szCs w:val="22"/>
          <w:lang w:val="it-IT"/>
        </w:rPr>
        <w:pPrChange w:id="10085" w:author="Author">
          <w:pPr>
            <w:keepNext/>
            <w:keepLines/>
            <w:tabs>
              <w:tab w:val="left" w:pos="180"/>
            </w:tabs>
          </w:pPr>
        </w:pPrChange>
      </w:pPr>
      <w:del w:id="10086" w:author="Author">
        <w:r>
          <w:rPr>
            <w:noProof/>
            <w:szCs w:val="22"/>
            <w:lang w:val="it-IT"/>
          </w:rPr>
          <w:lastRenderedPageBreak/>
          <w:delText xml:space="preserve"> </w:delText>
        </w:r>
      </w:del>
    </w:p>
    <w:p>
      <w:pPr>
        <w:keepNext/>
        <w:keepLines/>
        <w:tabs>
          <w:tab w:val="left" w:pos="180"/>
        </w:tabs>
        <w:rPr>
          <w:b/>
          <w:noProof/>
          <w:szCs w:val="22"/>
          <w:lang w:val="it-IT"/>
        </w:rPr>
      </w:pPr>
      <w:r>
        <w:rPr>
          <w:b/>
          <w:noProof/>
          <w:szCs w:val="22"/>
          <w:lang w:val="it-IT"/>
        </w:rPr>
        <w:t>RoActemra contiene polisorbato</w:t>
      </w:r>
      <w:ins w:id="10087" w:author="Author">
        <w:r>
          <w:rPr>
            <w:b/>
            <w:noProof/>
            <w:szCs w:val="22"/>
            <w:lang w:val="it-IT"/>
          </w:rPr>
          <w:t> 80 (E 433)</w:t>
        </w:r>
      </w:ins>
    </w:p>
    <w:p>
      <w:pPr>
        <w:keepNext/>
        <w:tabs>
          <w:tab w:val="left" w:pos="180"/>
        </w:tabs>
        <w:rPr>
          <w:noProof/>
          <w:szCs w:val="22"/>
          <w:lang w:val="it-IT"/>
        </w:rPr>
        <w:pPrChange w:id="10088" w:author="Author">
          <w:pPr>
            <w:keepNext/>
            <w:keepLines/>
            <w:tabs>
              <w:tab w:val="left" w:pos="180"/>
            </w:tabs>
          </w:pPr>
        </w:pPrChange>
      </w:pPr>
      <w:r>
        <w:rPr>
          <w:noProof/>
          <w:szCs w:val="22"/>
          <w:lang w:val="it-IT"/>
        </w:rPr>
        <w:t>Questo medicinale contiene 5 mg di polisorbato 80 in ciascun flaconcino da 200 mg/10 mL, 10 mg di polisorbato 80 in ciascun flaconcino da 400 mg/20 mL e 2 mg di polisorbato 80 in ciascun flaconcino da 80 mg/4 mL, che equivale a 0,5 mg/mL. I polisorbati possono causare reazioni allergiche. Inform</w:t>
      </w:r>
      <w:ins w:id="10089" w:author="Author">
        <w:r>
          <w:rPr>
            <w:noProof/>
            <w:szCs w:val="22"/>
            <w:lang w:val="it-IT"/>
          </w:rPr>
          <w:t>i</w:t>
        </w:r>
      </w:ins>
      <w:del w:id="10090" w:author="Author">
        <w:r>
          <w:rPr>
            <w:noProof/>
            <w:szCs w:val="22"/>
            <w:lang w:val="it-IT"/>
          </w:rPr>
          <w:delText>a</w:delText>
        </w:r>
      </w:del>
      <w:r>
        <w:rPr>
          <w:noProof/>
          <w:szCs w:val="22"/>
          <w:lang w:val="it-IT"/>
        </w:rPr>
        <w:t xml:space="preserve"> il </w:t>
      </w:r>
      <w:del w:id="10091" w:author="Author">
        <w:r>
          <w:rPr>
            <w:noProof/>
            <w:szCs w:val="22"/>
            <w:lang w:val="it-IT"/>
          </w:rPr>
          <w:delText xml:space="preserve">tuo </w:delText>
        </w:r>
      </w:del>
      <w:r>
        <w:rPr>
          <w:noProof/>
          <w:szCs w:val="22"/>
          <w:lang w:val="it-IT"/>
        </w:rPr>
        <w:t xml:space="preserve">medico se </w:t>
      </w:r>
      <w:del w:id="10092" w:author="Author">
        <w:r>
          <w:rPr>
            <w:noProof/>
            <w:szCs w:val="22"/>
            <w:lang w:val="it-IT"/>
          </w:rPr>
          <w:delText>tu o tuo figlio</w:delText>
        </w:r>
      </w:del>
      <w:ins w:id="10093" w:author="Author">
        <w:r>
          <w:rPr>
            <w:noProof/>
            <w:szCs w:val="22"/>
            <w:lang w:val="it-IT"/>
          </w:rPr>
          <w:t>lei o il bambino</w:t>
        </w:r>
      </w:ins>
      <w:r>
        <w:rPr>
          <w:noProof/>
          <w:szCs w:val="22"/>
          <w:lang w:val="it-IT"/>
        </w:rPr>
        <w:t xml:space="preserve"> avete qualche allergia nota.</w:t>
      </w:r>
    </w:p>
    <w:p>
      <w:pPr>
        <w:tabs>
          <w:tab w:val="left" w:pos="180"/>
        </w:tabs>
        <w:rPr>
          <w:noProof/>
          <w:szCs w:val="22"/>
          <w:lang w:val="it-IT"/>
        </w:rPr>
      </w:pPr>
    </w:p>
    <w:p>
      <w:pPr>
        <w:tabs>
          <w:tab w:val="left" w:pos="180"/>
        </w:tabs>
        <w:rPr>
          <w:noProof/>
          <w:szCs w:val="22"/>
          <w:lang w:val="it-IT"/>
        </w:rPr>
      </w:pPr>
    </w:p>
    <w:p>
      <w:pPr>
        <w:keepNext/>
        <w:keepLines/>
        <w:tabs>
          <w:tab w:val="left" w:pos="180"/>
        </w:tabs>
        <w:ind w:left="567" w:hanging="567"/>
        <w:rPr>
          <w:b/>
          <w:noProof/>
          <w:szCs w:val="22"/>
          <w:lang w:val="it-IT"/>
        </w:rPr>
      </w:pPr>
      <w:r>
        <w:rPr>
          <w:b/>
          <w:noProof/>
          <w:szCs w:val="22"/>
          <w:lang w:val="it-IT"/>
        </w:rPr>
        <w:t>3.</w:t>
      </w:r>
      <w:r>
        <w:rPr>
          <w:b/>
          <w:noProof/>
          <w:szCs w:val="22"/>
          <w:lang w:val="it-IT"/>
        </w:rPr>
        <w:tab/>
      </w:r>
      <w:r>
        <w:rPr>
          <w:b/>
          <w:noProof/>
          <w:szCs w:val="22"/>
          <w:lang w:val="it-IT"/>
        </w:rPr>
        <w:tab/>
        <w:t>Come viene somministrato RoActemra</w:t>
      </w:r>
    </w:p>
    <w:p>
      <w:pPr>
        <w:keepNext/>
        <w:keepLines/>
        <w:tabs>
          <w:tab w:val="left" w:pos="180"/>
        </w:tabs>
        <w:rPr>
          <w:noProof/>
          <w:szCs w:val="22"/>
          <w:lang w:val="it-IT"/>
        </w:rPr>
      </w:pPr>
    </w:p>
    <w:p>
      <w:pPr>
        <w:tabs>
          <w:tab w:val="left" w:pos="180"/>
        </w:tabs>
        <w:rPr>
          <w:noProof/>
          <w:szCs w:val="22"/>
          <w:lang w:val="it-IT"/>
        </w:rPr>
      </w:pPr>
      <w:r>
        <w:rPr>
          <w:noProof/>
          <w:lang w:val="it-IT"/>
        </w:rPr>
        <w:t>Questo medicinale</w:t>
      </w:r>
      <w:r>
        <w:rPr>
          <w:noProof/>
          <w:szCs w:val="22"/>
          <w:lang w:val="it-IT"/>
        </w:rPr>
        <w:t xml:space="preserve"> </w:t>
      </w:r>
      <w:r>
        <w:rPr>
          <w:noProof/>
          <w:lang w:val="it-IT"/>
        </w:rPr>
        <w:t>è</w:t>
      </w:r>
      <w:r>
        <w:rPr>
          <w:noProof/>
          <w:szCs w:val="22"/>
          <w:lang w:val="it-IT"/>
        </w:rPr>
        <w:t xml:space="preserve"> </w:t>
      </w:r>
      <w:r>
        <w:rPr>
          <w:noProof/>
          <w:lang w:val="it-IT"/>
        </w:rPr>
        <w:t>soggetto a</w:t>
      </w:r>
      <w:r>
        <w:rPr>
          <w:noProof/>
          <w:szCs w:val="22"/>
          <w:lang w:val="it-IT"/>
        </w:rPr>
        <w:t xml:space="preserve"> </w:t>
      </w:r>
      <w:r>
        <w:rPr>
          <w:noProof/>
          <w:lang w:val="it-IT"/>
        </w:rPr>
        <w:t>prescrizione medica</w:t>
      </w:r>
      <w:r>
        <w:rPr>
          <w:noProof/>
          <w:szCs w:val="22"/>
          <w:lang w:val="it-IT"/>
        </w:rPr>
        <w:t xml:space="preserve"> </w:t>
      </w:r>
      <w:r>
        <w:rPr>
          <w:noProof/>
          <w:lang w:val="it-IT"/>
        </w:rPr>
        <w:t>limitat</w:t>
      </w:r>
      <w:ins w:id="10094" w:author="Author">
        <w:r>
          <w:rPr>
            <w:noProof/>
            <w:lang w:val="it-IT"/>
          </w:rPr>
          <w:t>iv</w:t>
        </w:r>
      </w:ins>
      <w:r>
        <w:rPr>
          <w:noProof/>
          <w:lang w:val="it-IT"/>
        </w:rPr>
        <w:t>a</w:t>
      </w:r>
      <w:ins w:id="10095" w:author="Author">
        <w:r>
          <w:rPr>
            <w:noProof/>
            <w:lang w:val="it-IT"/>
          </w:rPr>
          <w:t xml:space="preserve">  da parte del medico</w:t>
        </w:r>
      </w:ins>
      <w:del w:id="10096" w:author="Author">
        <w:r>
          <w:rPr>
            <w:noProof/>
            <w:szCs w:val="22"/>
            <w:lang w:val="it-IT"/>
          </w:rPr>
          <w:delText xml:space="preserve"> </w:delText>
        </w:r>
        <w:r>
          <w:rPr>
            <w:noProof/>
            <w:lang w:val="it-IT"/>
          </w:rPr>
          <w:delText>dal medico</w:delText>
        </w:r>
      </w:del>
      <w:r>
        <w:rPr>
          <w:noProof/>
          <w:lang w:val="it-IT"/>
        </w:rPr>
        <w:t>.</w:t>
      </w:r>
    </w:p>
    <w:p>
      <w:pPr>
        <w:tabs>
          <w:tab w:val="left" w:pos="180"/>
        </w:tabs>
        <w:rPr>
          <w:noProof/>
          <w:szCs w:val="22"/>
          <w:lang w:val="it-IT"/>
        </w:rPr>
      </w:pPr>
    </w:p>
    <w:p>
      <w:pPr>
        <w:tabs>
          <w:tab w:val="left" w:pos="180"/>
        </w:tabs>
        <w:rPr>
          <w:bCs/>
          <w:noProof/>
          <w:szCs w:val="22"/>
          <w:lang w:val="it-IT"/>
          <w:rPrChange w:id="10097" w:author="Author">
            <w:rPr>
              <w:b/>
              <w:szCs w:val="22"/>
              <w:lang w:val="it-IT"/>
            </w:rPr>
          </w:rPrChange>
        </w:rPr>
      </w:pPr>
      <w:r>
        <w:rPr>
          <w:bCs/>
          <w:noProof/>
          <w:szCs w:val="22"/>
          <w:lang w:val="it-IT"/>
          <w:rPrChange w:id="10098" w:author="Author">
            <w:rPr>
              <w:b/>
              <w:szCs w:val="22"/>
              <w:lang w:val="it-IT"/>
            </w:rPr>
          </w:rPrChange>
        </w:rPr>
        <w:t>RoActemra sarà somministrato</w:t>
      </w:r>
      <w:r>
        <w:rPr>
          <w:b/>
          <w:noProof/>
          <w:szCs w:val="22"/>
          <w:lang w:val="it-IT"/>
        </w:rPr>
        <w:t xml:space="preserve"> </w:t>
      </w:r>
      <w:ins w:id="10099" w:author="Author">
        <w:r>
          <w:rPr>
            <w:noProof/>
            <w:szCs w:val="22"/>
            <w:lang w:val="it-IT"/>
            <w:rPrChange w:id="10100" w:author="Author">
              <w:rPr>
                <w:b/>
                <w:noProof/>
                <w:szCs w:val="22"/>
                <w:lang w:val="it-IT"/>
              </w:rPr>
            </w:rPrChange>
          </w:rPr>
          <w:t>tramite</w:t>
        </w:r>
        <w:r>
          <w:rPr>
            <w:noProof/>
            <w:szCs w:val="22"/>
            <w:lang w:val="it-IT"/>
          </w:rPr>
          <w:t xml:space="preserve"> </w:t>
        </w:r>
      </w:ins>
      <w:del w:id="10101" w:author="Author">
        <w:r>
          <w:rPr>
            <w:noProof/>
            <w:szCs w:val="22"/>
            <w:lang w:val="it-IT"/>
            <w:rPrChange w:id="10102" w:author="Author">
              <w:rPr>
                <w:b/>
                <w:noProof/>
                <w:szCs w:val="22"/>
                <w:lang w:val="it-IT"/>
              </w:rPr>
            </w:rPrChange>
          </w:rPr>
          <w:delText>goccia</w:delText>
        </w:r>
        <w:r>
          <w:rPr>
            <w:b/>
            <w:noProof/>
            <w:szCs w:val="22"/>
            <w:lang w:val="it-IT"/>
          </w:rPr>
          <w:delText xml:space="preserve"> a goccia in vena</w:delText>
        </w:r>
      </w:del>
      <w:ins w:id="10103" w:author="Author">
        <w:r>
          <w:rPr>
            <w:b/>
            <w:noProof/>
            <w:szCs w:val="22"/>
            <w:lang w:val="it-IT"/>
          </w:rPr>
          <w:t>infusione endovenosa</w:t>
        </w:r>
      </w:ins>
      <w:r>
        <w:rPr>
          <w:b/>
          <w:noProof/>
          <w:szCs w:val="22"/>
          <w:lang w:val="it-IT"/>
        </w:rPr>
        <w:t xml:space="preserve"> da un medico o un infermiere. </w:t>
      </w:r>
      <w:r>
        <w:rPr>
          <w:bCs/>
          <w:noProof/>
          <w:szCs w:val="22"/>
          <w:lang w:val="it-IT"/>
          <w:rPrChange w:id="10104" w:author="Author">
            <w:rPr>
              <w:b/>
              <w:szCs w:val="22"/>
              <w:lang w:val="it-IT"/>
            </w:rPr>
          </w:rPrChange>
        </w:rPr>
        <w:t xml:space="preserve">Essi diluiranno </w:t>
      </w:r>
      <w:del w:id="10105" w:author="Author">
        <w:r>
          <w:rPr>
            <w:bCs/>
            <w:noProof/>
            <w:szCs w:val="22"/>
            <w:lang w:val="it-IT"/>
            <w:rPrChange w:id="10106" w:author="Author">
              <w:rPr>
                <w:b/>
                <w:szCs w:val="22"/>
                <w:lang w:val="it-IT"/>
              </w:rPr>
            </w:rPrChange>
          </w:rPr>
          <w:delText xml:space="preserve">una </w:delText>
        </w:r>
      </w:del>
      <w:ins w:id="10107" w:author="Author">
        <w:r>
          <w:rPr>
            <w:bCs/>
            <w:noProof/>
            <w:szCs w:val="22"/>
            <w:lang w:val="it-IT"/>
          </w:rPr>
          <w:t>la</w:t>
        </w:r>
        <w:r>
          <w:rPr>
            <w:bCs/>
            <w:noProof/>
            <w:szCs w:val="22"/>
            <w:lang w:val="it-IT"/>
            <w:rPrChange w:id="10108" w:author="Author">
              <w:rPr>
                <w:b/>
                <w:szCs w:val="22"/>
                <w:lang w:val="it-IT"/>
              </w:rPr>
            </w:rPrChange>
          </w:rPr>
          <w:t xml:space="preserve"> </w:t>
        </w:r>
      </w:ins>
      <w:r>
        <w:rPr>
          <w:bCs/>
          <w:noProof/>
          <w:szCs w:val="22"/>
          <w:lang w:val="it-IT"/>
          <w:rPrChange w:id="10109" w:author="Author">
            <w:rPr>
              <w:b/>
              <w:szCs w:val="22"/>
              <w:lang w:val="it-IT"/>
            </w:rPr>
          </w:rPrChange>
        </w:rPr>
        <w:t>soluzione, allestiranno l’infusione endovenosa e la terranno sotto osservazione durante e dopo la somministrazione.</w:t>
      </w:r>
    </w:p>
    <w:p>
      <w:pPr>
        <w:tabs>
          <w:tab w:val="left" w:pos="180"/>
        </w:tabs>
        <w:rPr>
          <w:b/>
          <w:noProof/>
          <w:szCs w:val="22"/>
          <w:lang w:val="it-IT"/>
        </w:rPr>
      </w:pPr>
    </w:p>
    <w:p>
      <w:pPr>
        <w:keepNext/>
        <w:keepLines/>
        <w:tabs>
          <w:tab w:val="left" w:pos="180"/>
        </w:tabs>
        <w:rPr>
          <w:noProof/>
          <w:szCs w:val="22"/>
          <w:lang w:val="it-IT"/>
        </w:rPr>
      </w:pPr>
      <w:r>
        <w:rPr>
          <w:b/>
          <w:noProof/>
          <w:szCs w:val="22"/>
          <w:lang w:val="it-IT"/>
          <w:rPrChange w:id="10110" w:author="Author">
            <w:rPr>
              <w:b/>
              <w:szCs w:val="22"/>
              <w:u w:val="single"/>
              <w:lang w:val="it-IT"/>
            </w:rPr>
          </w:rPrChange>
        </w:rPr>
        <w:t>Pazienti adulti affetti da AR</w:t>
      </w:r>
    </w:p>
    <w:p>
      <w:pPr>
        <w:tabs>
          <w:tab w:val="left" w:pos="180"/>
        </w:tabs>
        <w:rPr>
          <w:noProof/>
          <w:szCs w:val="22"/>
          <w:lang w:val="it-IT"/>
        </w:rPr>
      </w:pPr>
      <w:r>
        <w:rPr>
          <w:noProof/>
          <w:szCs w:val="22"/>
          <w:lang w:val="it-IT"/>
        </w:rPr>
        <w:t xml:space="preserve">La dose usuale di RoActemra è 8 mg per kg di peso corporeo. A seconda della </w:t>
      </w:r>
      <w:del w:id="10111" w:author="Author">
        <w:r>
          <w:rPr>
            <w:noProof/>
            <w:szCs w:val="22"/>
            <w:lang w:val="it-IT"/>
          </w:rPr>
          <w:delText xml:space="preserve">sua </w:delText>
        </w:r>
      </w:del>
      <w:r>
        <w:rPr>
          <w:noProof/>
          <w:szCs w:val="22"/>
          <w:lang w:val="it-IT"/>
        </w:rPr>
        <w:t>risposta, il medico potrà diminuire la dose a 4 mg/kg e riportarla a 8 mg/kg quando appropriato.</w:t>
      </w:r>
    </w:p>
    <w:p>
      <w:pPr>
        <w:tabs>
          <w:tab w:val="left" w:pos="180"/>
        </w:tabs>
        <w:rPr>
          <w:noProof/>
          <w:szCs w:val="22"/>
          <w:lang w:val="it-IT"/>
        </w:rPr>
      </w:pPr>
    </w:p>
    <w:p>
      <w:pPr>
        <w:tabs>
          <w:tab w:val="left" w:pos="180"/>
        </w:tabs>
        <w:rPr>
          <w:noProof/>
          <w:szCs w:val="22"/>
          <w:lang w:val="it-IT"/>
        </w:rPr>
      </w:pPr>
      <w:r>
        <w:rPr>
          <w:noProof/>
          <w:szCs w:val="22"/>
          <w:lang w:val="it-IT"/>
        </w:rPr>
        <w:t>Ai pazienti adulti RoActemra sarà somministrato ogni 4 settimane attraverso un’</w:t>
      </w:r>
      <w:del w:id="10112" w:author="Author">
        <w:r>
          <w:rPr>
            <w:noProof/>
            <w:szCs w:val="22"/>
            <w:lang w:val="it-IT"/>
          </w:rPr>
          <w:delText>iniezione goccia a goccia in vena (</w:delText>
        </w:r>
      </w:del>
      <w:r>
        <w:rPr>
          <w:noProof/>
          <w:szCs w:val="22"/>
          <w:lang w:val="it-IT"/>
        </w:rPr>
        <w:t>infusione endovenosa</w:t>
      </w:r>
      <w:del w:id="10113" w:author="Author">
        <w:r>
          <w:rPr>
            <w:noProof/>
            <w:szCs w:val="22"/>
            <w:lang w:val="it-IT"/>
          </w:rPr>
          <w:delText>)</w:delText>
        </w:r>
      </w:del>
      <w:r>
        <w:rPr>
          <w:noProof/>
          <w:szCs w:val="22"/>
          <w:lang w:val="it-IT"/>
        </w:rPr>
        <w:t xml:space="preserve"> </w:t>
      </w:r>
      <w:del w:id="10114" w:author="Author">
        <w:r>
          <w:rPr>
            <w:noProof/>
            <w:szCs w:val="22"/>
            <w:lang w:val="it-IT"/>
          </w:rPr>
          <w:delText xml:space="preserve">per </w:delText>
        </w:r>
      </w:del>
      <w:ins w:id="10115" w:author="Author">
        <w:r>
          <w:rPr>
            <w:noProof/>
            <w:szCs w:val="22"/>
            <w:lang w:val="it-IT"/>
          </w:rPr>
          <w:t xml:space="preserve">della durata di </w:t>
        </w:r>
      </w:ins>
      <w:r>
        <w:rPr>
          <w:noProof/>
          <w:szCs w:val="22"/>
          <w:lang w:val="it-IT"/>
        </w:rPr>
        <w:t>un’ora.</w:t>
      </w:r>
    </w:p>
    <w:p>
      <w:pPr>
        <w:keepNext/>
        <w:keepLines/>
        <w:tabs>
          <w:tab w:val="left" w:pos="180"/>
        </w:tabs>
        <w:rPr>
          <w:b/>
          <w:noProof/>
          <w:szCs w:val="22"/>
          <w:u w:val="single"/>
          <w:lang w:val="it-IT"/>
        </w:rPr>
      </w:pPr>
    </w:p>
    <w:p>
      <w:pPr>
        <w:tabs>
          <w:tab w:val="left" w:pos="180"/>
        </w:tabs>
        <w:rPr>
          <w:b/>
          <w:noProof/>
          <w:szCs w:val="22"/>
          <w:lang w:val="it-IT"/>
          <w:rPrChange w:id="10116" w:author="Author">
            <w:rPr>
              <w:b/>
              <w:szCs w:val="22"/>
              <w:u w:val="single"/>
              <w:lang w:val="it-IT"/>
            </w:rPr>
          </w:rPrChange>
        </w:rPr>
      </w:pPr>
      <w:r>
        <w:rPr>
          <w:b/>
          <w:noProof/>
          <w:szCs w:val="22"/>
          <w:lang w:val="it-IT"/>
          <w:rPrChange w:id="10117" w:author="Author">
            <w:rPr>
              <w:b/>
              <w:szCs w:val="22"/>
              <w:u w:val="single"/>
              <w:lang w:val="it-IT"/>
            </w:rPr>
          </w:rPrChange>
        </w:rPr>
        <w:t>Bambini affetti da AIGs (</w:t>
      </w:r>
      <w:r>
        <w:rPr>
          <w:b/>
          <w:noProof/>
          <w:lang w:val="it-IT"/>
          <w:rPrChange w:id="10118" w:author="Author">
            <w:rPr>
              <w:b/>
              <w:u w:val="single"/>
              <w:lang w:val="it-IT"/>
            </w:rPr>
          </w:rPrChange>
        </w:rPr>
        <w:t>di età pari o superiore a 2 anni)</w:t>
      </w:r>
    </w:p>
    <w:p>
      <w:pPr>
        <w:tabs>
          <w:tab w:val="left" w:pos="180"/>
        </w:tabs>
        <w:rPr>
          <w:noProof/>
          <w:szCs w:val="22"/>
          <w:lang w:val="it-IT"/>
        </w:rPr>
      </w:pPr>
      <w:r>
        <w:rPr>
          <w:noProof/>
          <w:szCs w:val="22"/>
          <w:lang w:val="it-IT"/>
        </w:rPr>
        <w:t>La dose usuale di RoActemra dipende dal peso corporeo.</w:t>
      </w:r>
    </w:p>
    <w:p>
      <w:pPr>
        <w:ind w:left="567" w:hanging="567"/>
        <w:rPr>
          <w:noProof/>
          <w:szCs w:val="22"/>
          <w:lang w:val="it-IT"/>
        </w:rPr>
        <w:pPrChange w:id="10119" w:author="Author">
          <w:pPr>
            <w:tabs>
              <w:tab w:val="left" w:pos="426"/>
            </w:tabs>
            <w:ind w:left="709" w:hanging="709"/>
          </w:pPr>
        </w:pPrChange>
      </w:pPr>
      <w:r>
        <w:rPr>
          <w:rFonts w:eastAsia="SimSun"/>
          <w:noProof/>
          <w:lang w:val="it-IT" w:eastAsia="zh-CN"/>
        </w:rPr>
        <w:sym w:font="Symbol" w:char="F0B7"/>
      </w:r>
      <w:r>
        <w:rPr>
          <w:rFonts w:eastAsia="SimSun"/>
          <w:noProof/>
          <w:lang w:val="it-IT" w:eastAsia="zh-CN"/>
        </w:rPr>
        <w:tab/>
      </w:r>
      <w:r>
        <w:rPr>
          <w:noProof/>
          <w:szCs w:val="22"/>
          <w:lang w:val="it-IT"/>
        </w:rPr>
        <w:t xml:space="preserve">Se il peso corporeo è inferiore a 30 kg: </w:t>
      </w:r>
      <w:r>
        <w:rPr>
          <w:b/>
          <w:noProof/>
          <w:szCs w:val="22"/>
          <w:lang w:val="it-IT"/>
        </w:rPr>
        <w:t>la dose è 12 mg per ogni chilogrammo di peso corporeo</w:t>
      </w:r>
      <w:r>
        <w:rPr>
          <w:rFonts w:eastAsia="Calibri"/>
          <w:noProof/>
          <w:szCs w:val="22"/>
          <w:lang w:val="it-IT" w:eastAsia="en-US"/>
          <w:rPrChange w:id="10120" w:author="Author">
            <w:rPr>
              <w:rFonts w:ascii="TimesNewRomanPSMT" w:eastAsia="Calibri" w:hAnsi="TimesNewRomanPSMT" w:cs="TimesNewRomanPSMT"/>
              <w:szCs w:val="22"/>
              <w:lang w:val="it-IT" w:eastAsia="en-US"/>
            </w:rPr>
          </w:rPrChange>
        </w:rPr>
        <w:t>.</w:t>
      </w:r>
    </w:p>
    <w:p>
      <w:pPr>
        <w:tabs>
          <w:tab w:val="left" w:pos="709"/>
        </w:tabs>
        <w:ind w:left="567" w:hanging="567"/>
        <w:rPr>
          <w:noProof/>
          <w:szCs w:val="22"/>
          <w:lang w:val="it-IT"/>
        </w:rPr>
        <w:pPrChange w:id="10121" w:author="Author">
          <w:pPr>
            <w:tabs>
              <w:tab w:val="left" w:pos="426"/>
              <w:tab w:val="left" w:pos="709"/>
            </w:tabs>
            <w:ind w:left="709" w:hanging="709"/>
          </w:pPr>
        </w:pPrChange>
      </w:pPr>
      <w:r>
        <w:rPr>
          <w:rFonts w:eastAsia="SimSun"/>
          <w:noProof/>
          <w:lang w:val="it-IT" w:eastAsia="zh-CN"/>
        </w:rPr>
        <w:sym w:font="Symbol" w:char="F0B7"/>
      </w:r>
      <w:r>
        <w:rPr>
          <w:rFonts w:eastAsia="SimSun"/>
          <w:noProof/>
          <w:lang w:val="it-IT" w:eastAsia="zh-CN"/>
        </w:rPr>
        <w:tab/>
      </w:r>
      <w:r>
        <w:rPr>
          <w:noProof/>
          <w:szCs w:val="22"/>
          <w:lang w:val="it-IT"/>
        </w:rPr>
        <w:t xml:space="preserve">Se il peso corporeo è </w:t>
      </w:r>
      <w:ins w:id="10122" w:author="Author">
        <w:r>
          <w:rPr>
            <w:noProof/>
            <w:szCs w:val="22"/>
            <w:lang w:val="it-IT"/>
          </w:rPr>
          <w:t xml:space="preserve">uguale o superiore a </w:t>
        </w:r>
      </w:ins>
      <w:r>
        <w:rPr>
          <w:noProof/>
          <w:szCs w:val="22"/>
          <w:lang w:val="it-IT"/>
        </w:rPr>
        <w:t>30 kg</w:t>
      </w:r>
      <w:del w:id="10123" w:author="Author">
        <w:r>
          <w:rPr>
            <w:noProof/>
            <w:szCs w:val="22"/>
            <w:lang w:val="it-IT"/>
          </w:rPr>
          <w:delText xml:space="preserve"> o più</w:delText>
        </w:r>
      </w:del>
      <w:r>
        <w:rPr>
          <w:noProof/>
          <w:szCs w:val="22"/>
          <w:lang w:val="it-IT"/>
        </w:rPr>
        <w:t xml:space="preserve">: </w:t>
      </w:r>
      <w:r>
        <w:rPr>
          <w:b/>
          <w:noProof/>
          <w:szCs w:val="22"/>
          <w:lang w:val="it-IT"/>
        </w:rPr>
        <w:t>la dose è 8 mg per ogni chilogrammo di peso corporeo</w:t>
      </w:r>
      <w:r>
        <w:rPr>
          <w:rFonts w:eastAsia="Calibri"/>
          <w:noProof/>
          <w:szCs w:val="22"/>
          <w:lang w:val="it-IT" w:eastAsia="en-US"/>
          <w:rPrChange w:id="10124" w:author="Author">
            <w:rPr>
              <w:rFonts w:ascii="TimesNewRomanPSMT" w:eastAsia="Calibri" w:hAnsi="TimesNewRomanPSMT" w:cs="TimesNewRomanPSMT"/>
              <w:szCs w:val="22"/>
              <w:lang w:val="it-IT" w:eastAsia="en-US"/>
            </w:rPr>
          </w:rPrChange>
        </w:rPr>
        <w:t>.</w:t>
      </w:r>
    </w:p>
    <w:p>
      <w:pPr>
        <w:tabs>
          <w:tab w:val="left" w:pos="180"/>
        </w:tabs>
        <w:rPr>
          <w:noProof/>
          <w:szCs w:val="22"/>
          <w:lang w:val="it-IT"/>
        </w:rPr>
      </w:pPr>
      <w:r>
        <w:rPr>
          <w:noProof/>
          <w:szCs w:val="22"/>
          <w:lang w:val="it-IT"/>
        </w:rPr>
        <w:t>La dose viene calcolata in base al peso corporeo ad ogni somministrazione.</w:t>
      </w:r>
    </w:p>
    <w:p>
      <w:pPr>
        <w:tabs>
          <w:tab w:val="left" w:pos="180"/>
        </w:tabs>
        <w:rPr>
          <w:noProof/>
          <w:szCs w:val="22"/>
          <w:lang w:val="it-IT"/>
        </w:rPr>
      </w:pPr>
    </w:p>
    <w:p>
      <w:pPr>
        <w:tabs>
          <w:tab w:val="left" w:pos="180"/>
        </w:tabs>
        <w:rPr>
          <w:noProof/>
          <w:szCs w:val="22"/>
          <w:lang w:val="it-IT"/>
        </w:rPr>
      </w:pPr>
      <w:r>
        <w:rPr>
          <w:noProof/>
          <w:szCs w:val="22"/>
          <w:lang w:val="it-IT"/>
        </w:rPr>
        <w:t>Ai bambini affetti da AIGs RoActemra sarà somministrato ogni 2 settimane attraverso un’</w:t>
      </w:r>
      <w:del w:id="10125" w:author="Author">
        <w:r>
          <w:rPr>
            <w:noProof/>
            <w:szCs w:val="22"/>
            <w:lang w:val="it-IT"/>
          </w:rPr>
          <w:delText>iniezione</w:delText>
        </w:r>
      </w:del>
      <w:r>
        <w:rPr>
          <w:noProof/>
          <w:szCs w:val="22"/>
          <w:lang w:val="it-IT"/>
        </w:rPr>
        <w:t xml:space="preserve"> </w:t>
      </w:r>
      <w:del w:id="10126" w:author="Author">
        <w:r>
          <w:rPr>
            <w:noProof/>
            <w:szCs w:val="22"/>
            <w:lang w:val="it-IT"/>
          </w:rPr>
          <w:delText>goccia a goccia in vena (</w:delText>
        </w:r>
      </w:del>
      <w:r>
        <w:rPr>
          <w:noProof/>
          <w:szCs w:val="22"/>
          <w:lang w:val="it-IT"/>
        </w:rPr>
        <w:t>infusione endovenosa</w:t>
      </w:r>
      <w:ins w:id="10127" w:author="Author">
        <w:r>
          <w:rPr>
            <w:noProof/>
            <w:szCs w:val="22"/>
            <w:lang w:val="it-IT"/>
          </w:rPr>
          <w:t xml:space="preserve"> della durata di</w:t>
        </w:r>
      </w:ins>
      <w:del w:id="10128" w:author="Author">
        <w:r>
          <w:rPr>
            <w:noProof/>
            <w:szCs w:val="22"/>
            <w:lang w:val="it-IT"/>
          </w:rPr>
          <w:delText>)</w:delText>
        </w:r>
      </w:del>
      <w:r>
        <w:rPr>
          <w:noProof/>
          <w:szCs w:val="22"/>
          <w:lang w:val="it-IT"/>
        </w:rPr>
        <w:t xml:space="preserve"> </w:t>
      </w:r>
      <w:del w:id="10129" w:author="Author">
        <w:r>
          <w:rPr>
            <w:noProof/>
            <w:szCs w:val="22"/>
            <w:lang w:val="it-IT"/>
          </w:rPr>
          <w:delText xml:space="preserve">per </w:delText>
        </w:r>
      </w:del>
      <w:r>
        <w:rPr>
          <w:noProof/>
          <w:szCs w:val="22"/>
          <w:lang w:val="it-IT"/>
        </w:rPr>
        <w:t>un’ora.</w:t>
      </w:r>
    </w:p>
    <w:p>
      <w:pPr>
        <w:tabs>
          <w:tab w:val="left" w:pos="180"/>
        </w:tabs>
        <w:rPr>
          <w:b/>
          <w:noProof/>
          <w:szCs w:val="22"/>
          <w:u w:val="single"/>
          <w:lang w:val="it-IT"/>
        </w:rPr>
      </w:pPr>
    </w:p>
    <w:p>
      <w:pPr>
        <w:tabs>
          <w:tab w:val="left" w:pos="180"/>
        </w:tabs>
        <w:rPr>
          <w:b/>
          <w:noProof/>
          <w:szCs w:val="22"/>
          <w:lang w:val="it-IT"/>
          <w:rPrChange w:id="10130" w:author="Author">
            <w:rPr>
              <w:b/>
              <w:szCs w:val="22"/>
              <w:u w:val="single"/>
              <w:lang w:val="it-IT"/>
            </w:rPr>
          </w:rPrChange>
        </w:rPr>
      </w:pPr>
      <w:r>
        <w:rPr>
          <w:b/>
          <w:noProof/>
          <w:szCs w:val="22"/>
          <w:lang w:val="it-IT"/>
          <w:rPrChange w:id="10131" w:author="Author">
            <w:rPr>
              <w:b/>
              <w:szCs w:val="22"/>
              <w:u w:val="single"/>
              <w:lang w:val="it-IT"/>
            </w:rPr>
          </w:rPrChange>
        </w:rPr>
        <w:t>Bambini affetti da AIGp (</w:t>
      </w:r>
      <w:r>
        <w:rPr>
          <w:b/>
          <w:noProof/>
          <w:lang w:val="it-IT"/>
          <w:rPrChange w:id="10132" w:author="Author">
            <w:rPr>
              <w:b/>
              <w:u w:val="single"/>
              <w:lang w:val="it-IT"/>
            </w:rPr>
          </w:rPrChange>
        </w:rPr>
        <w:t>di età pari o superiore a 2 anni)</w:t>
      </w:r>
    </w:p>
    <w:p>
      <w:pPr>
        <w:tabs>
          <w:tab w:val="left" w:pos="180"/>
        </w:tabs>
        <w:rPr>
          <w:noProof/>
          <w:szCs w:val="22"/>
          <w:lang w:val="it-IT"/>
        </w:rPr>
      </w:pPr>
      <w:r>
        <w:rPr>
          <w:noProof/>
          <w:szCs w:val="22"/>
          <w:lang w:val="it-IT"/>
        </w:rPr>
        <w:t>La dose usuale di RoActemra dipende dal peso corporeo.</w:t>
      </w:r>
    </w:p>
    <w:p>
      <w:pPr>
        <w:ind w:left="567" w:hanging="567"/>
        <w:rPr>
          <w:rFonts w:eastAsia="SimSun"/>
          <w:noProof/>
          <w:lang w:val="it-IT" w:eastAsia="zh-CN"/>
        </w:rPr>
        <w:pPrChange w:id="10133" w:author="Author">
          <w:pPr>
            <w:tabs>
              <w:tab w:val="left" w:pos="180"/>
            </w:tabs>
            <w:ind w:left="742" w:hanging="600"/>
          </w:pPr>
        </w:pPrChange>
      </w:pPr>
      <w:r>
        <w:rPr>
          <w:rFonts w:eastAsia="SimSun"/>
          <w:noProof/>
          <w:lang w:val="it-IT" w:eastAsia="zh-CN"/>
        </w:rPr>
        <w:sym w:font="Symbol" w:char="F0B7"/>
      </w:r>
      <w:r>
        <w:rPr>
          <w:rFonts w:eastAsia="SimSun"/>
          <w:noProof/>
          <w:lang w:val="it-IT" w:eastAsia="zh-CN"/>
        </w:rPr>
        <w:tab/>
      </w:r>
      <w:r>
        <w:rPr>
          <w:noProof/>
          <w:szCs w:val="22"/>
          <w:lang w:val="it-IT"/>
        </w:rPr>
        <w:t>Se il peso corporeo è inferiore a 30 kg</w:t>
      </w:r>
      <w:r>
        <w:rPr>
          <w:rFonts w:eastAsia="SimSun"/>
          <w:noProof/>
          <w:lang w:val="it-IT" w:eastAsia="zh-CN"/>
        </w:rPr>
        <w:t xml:space="preserve">: </w:t>
      </w:r>
      <w:r>
        <w:rPr>
          <w:b/>
          <w:noProof/>
          <w:szCs w:val="22"/>
          <w:lang w:val="it-IT"/>
        </w:rPr>
        <w:t>la dose è 10 mg per ogni chilogrammo di peso corporeo</w:t>
      </w:r>
      <w:r>
        <w:rPr>
          <w:rFonts w:eastAsia="Calibri"/>
          <w:noProof/>
          <w:szCs w:val="22"/>
          <w:lang w:val="it-IT" w:eastAsia="en-US"/>
          <w:rPrChange w:id="10134" w:author="Author">
            <w:rPr>
              <w:rFonts w:ascii="TimesNewRomanPSMT" w:eastAsia="Calibri" w:hAnsi="TimesNewRomanPSMT" w:cs="TimesNewRomanPSMT"/>
              <w:szCs w:val="22"/>
              <w:lang w:val="it-IT" w:eastAsia="en-US"/>
            </w:rPr>
          </w:rPrChange>
        </w:rPr>
        <w:t>.</w:t>
      </w:r>
    </w:p>
    <w:p>
      <w:pPr>
        <w:ind w:left="567" w:hanging="567"/>
        <w:rPr>
          <w:rFonts w:eastAsia="SimSun"/>
          <w:b/>
          <w:noProof/>
          <w:lang w:val="it-IT" w:eastAsia="zh-CN"/>
        </w:rPr>
        <w:pPrChange w:id="10135" w:author="Author">
          <w:pPr>
            <w:tabs>
              <w:tab w:val="left" w:pos="180"/>
            </w:tabs>
            <w:ind w:left="742" w:hanging="600"/>
          </w:pPr>
        </w:pPrChange>
      </w:pPr>
      <w:r>
        <w:rPr>
          <w:rFonts w:eastAsia="SimSun"/>
          <w:noProof/>
          <w:lang w:val="it-IT" w:eastAsia="zh-CN"/>
        </w:rPr>
        <w:sym w:font="Symbol" w:char="F0B7"/>
      </w:r>
      <w:r>
        <w:rPr>
          <w:rFonts w:eastAsia="SimSun"/>
          <w:noProof/>
          <w:lang w:val="it-IT" w:eastAsia="zh-CN"/>
        </w:rPr>
        <w:tab/>
        <w:t xml:space="preserve">Se il peso corporeo è </w:t>
      </w:r>
      <w:ins w:id="10136" w:author="Author">
        <w:r>
          <w:rPr>
            <w:rFonts w:eastAsia="SimSun"/>
            <w:noProof/>
            <w:lang w:val="it-IT" w:eastAsia="zh-CN"/>
          </w:rPr>
          <w:t xml:space="preserve">uguale o superiore a </w:t>
        </w:r>
      </w:ins>
      <w:r>
        <w:rPr>
          <w:rFonts w:eastAsia="SimSun"/>
          <w:noProof/>
          <w:lang w:val="it-IT" w:eastAsia="zh-CN"/>
        </w:rPr>
        <w:t>30 kg</w:t>
      </w:r>
      <w:del w:id="10137" w:author="Author">
        <w:r>
          <w:rPr>
            <w:rFonts w:eastAsia="SimSun"/>
            <w:noProof/>
            <w:lang w:val="it-IT" w:eastAsia="zh-CN"/>
          </w:rPr>
          <w:delText xml:space="preserve"> o più</w:delText>
        </w:r>
      </w:del>
      <w:r>
        <w:rPr>
          <w:rFonts w:eastAsia="SimSun"/>
          <w:noProof/>
          <w:lang w:val="it-IT" w:eastAsia="zh-CN"/>
        </w:rPr>
        <w:t xml:space="preserve">: </w:t>
      </w:r>
      <w:r>
        <w:rPr>
          <w:rFonts w:eastAsia="SimSun"/>
          <w:b/>
          <w:noProof/>
          <w:lang w:val="it-IT" w:eastAsia="zh-CN"/>
        </w:rPr>
        <w:t xml:space="preserve">la dose </w:t>
      </w:r>
      <w:r>
        <w:rPr>
          <w:b/>
          <w:noProof/>
          <w:szCs w:val="22"/>
          <w:lang w:val="it-IT"/>
        </w:rPr>
        <w:t>è</w:t>
      </w:r>
      <w:r>
        <w:rPr>
          <w:rFonts w:eastAsia="SimSun"/>
          <w:b/>
          <w:noProof/>
          <w:lang w:val="it-IT" w:eastAsia="zh-CN"/>
        </w:rPr>
        <w:t xml:space="preserve"> 8 mg per ogni</w:t>
      </w:r>
      <w:r>
        <w:rPr>
          <w:rFonts w:eastAsia="SimSun"/>
          <w:noProof/>
          <w:lang w:val="it-IT" w:eastAsia="zh-CN"/>
        </w:rPr>
        <w:t xml:space="preserve"> </w:t>
      </w:r>
      <w:r>
        <w:rPr>
          <w:b/>
          <w:noProof/>
          <w:szCs w:val="22"/>
          <w:lang w:val="it-IT"/>
        </w:rPr>
        <w:t>chilogrammo</w:t>
      </w:r>
      <w:r>
        <w:rPr>
          <w:rFonts w:eastAsia="SimSun"/>
          <w:noProof/>
          <w:lang w:val="it-IT" w:eastAsia="zh-CN"/>
        </w:rPr>
        <w:t xml:space="preserve"> </w:t>
      </w:r>
      <w:r>
        <w:rPr>
          <w:rFonts w:eastAsia="SimSun"/>
          <w:b/>
          <w:noProof/>
          <w:lang w:val="it-IT" w:eastAsia="zh-CN"/>
        </w:rPr>
        <w:t xml:space="preserve">di peso corporeo </w:t>
      </w:r>
    </w:p>
    <w:p>
      <w:pPr>
        <w:tabs>
          <w:tab w:val="left" w:pos="180"/>
        </w:tabs>
        <w:rPr>
          <w:noProof/>
          <w:szCs w:val="22"/>
          <w:lang w:val="it-IT"/>
        </w:rPr>
      </w:pPr>
      <w:r>
        <w:rPr>
          <w:noProof/>
          <w:szCs w:val="22"/>
          <w:lang w:val="it-IT"/>
        </w:rPr>
        <w:t>La dose è calcolata in base al peso corporeo ad ogni somministrazione</w:t>
      </w:r>
    </w:p>
    <w:p>
      <w:pPr>
        <w:tabs>
          <w:tab w:val="left" w:pos="180"/>
        </w:tabs>
        <w:rPr>
          <w:noProof/>
          <w:szCs w:val="22"/>
          <w:lang w:val="it-IT"/>
        </w:rPr>
      </w:pPr>
    </w:p>
    <w:p>
      <w:pPr>
        <w:tabs>
          <w:tab w:val="left" w:pos="180"/>
        </w:tabs>
        <w:rPr>
          <w:noProof/>
          <w:szCs w:val="22"/>
          <w:lang w:val="it-IT"/>
        </w:rPr>
      </w:pPr>
      <w:r>
        <w:rPr>
          <w:noProof/>
          <w:szCs w:val="22"/>
          <w:lang w:val="it-IT"/>
        </w:rPr>
        <w:t>Ai bambini con AIGp sarà somministrato RoActemra ogni 4 settimane attraverso un’</w:t>
      </w:r>
      <w:del w:id="10138" w:author="Author">
        <w:r>
          <w:rPr>
            <w:noProof/>
            <w:szCs w:val="22"/>
            <w:lang w:val="it-IT"/>
          </w:rPr>
          <w:delText>iniezione goccia a goccia in vena (</w:delText>
        </w:r>
      </w:del>
      <w:r>
        <w:rPr>
          <w:noProof/>
          <w:szCs w:val="22"/>
          <w:lang w:val="it-IT"/>
        </w:rPr>
        <w:t>infusione endovenosa</w:t>
      </w:r>
      <w:del w:id="10139" w:author="Author">
        <w:r>
          <w:rPr>
            <w:noProof/>
            <w:szCs w:val="22"/>
            <w:lang w:val="it-IT"/>
          </w:rPr>
          <w:delText>)</w:delText>
        </w:r>
      </w:del>
      <w:ins w:id="10140" w:author="Author">
        <w:r>
          <w:rPr>
            <w:noProof/>
            <w:szCs w:val="22"/>
            <w:lang w:val="it-IT"/>
          </w:rPr>
          <w:t xml:space="preserve"> della durata di</w:t>
        </w:r>
      </w:ins>
      <w:del w:id="10141" w:author="Author">
        <w:r>
          <w:rPr>
            <w:noProof/>
            <w:szCs w:val="22"/>
            <w:lang w:val="it-IT"/>
          </w:rPr>
          <w:delText xml:space="preserve"> per</w:delText>
        </w:r>
      </w:del>
      <w:r>
        <w:rPr>
          <w:noProof/>
          <w:szCs w:val="22"/>
          <w:lang w:val="it-IT"/>
        </w:rPr>
        <w:t xml:space="preserve"> un’ora.</w:t>
      </w:r>
    </w:p>
    <w:p>
      <w:pPr>
        <w:tabs>
          <w:tab w:val="left" w:pos="180"/>
        </w:tabs>
        <w:rPr>
          <w:noProof/>
          <w:szCs w:val="22"/>
          <w:lang w:val="it-IT"/>
        </w:rPr>
      </w:pPr>
    </w:p>
    <w:p>
      <w:pPr>
        <w:tabs>
          <w:tab w:val="left" w:pos="180"/>
        </w:tabs>
        <w:rPr>
          <w:b/>
          <w:noProof/>
          <w:szCs w:val="22"/>
          <w:lang w:val="it-IT"/>
        </w:rPr>
      </w:pPr>
      <w:r>
        <w:rPr>
          <w:b/>
          <w:noProof/>
          <w:szCs w:val="22"/>
          <w:lang w:val="it-IT"/>
        </w:rPr>
        <w:t>Pazienti con CRS</w:t>
      </w:r>
    </w:p>
    <w:p>
      <w:pPr>
        <w:tabs>
          <w:tab w:val="left" w:pos="180"/>
        </w:tabs>
        <w:rPr>
          <w:noProof/>
          <w:lang w:val="it-IT"/>
        </w:rPr>
      </w:pPr>
      <w:r>
        <w:rPr>
          <w:b/>
          <w:noProof/>
          <w:szCs w:val="22"/>
          <w:lang w:val="it-IT"/>
        </w:rPr>
        <w:t xml:space="preserve">Nei pazienti di peso </w:t>
      </w:r>
      <w:r>
        <w:rPr>
          <w:b/>
          <w:noProof/>
          <w:lang w:val="it-IT"/>
        </w:rPr>
        <w:t>uguale o superiore a 30 kg</w:t>
      </w:r>
      <w:r>
        <w:rPr>
          <w:noProof/>
          <w:szCs w:val="22"/>
          <w:lang w:val="it-IT"/>
        </w:rPr>
        <w:t xml:space="preserve">, la dose abituale di RoActemra è pari a </w:t>
      </w:r>
      <w:r>
        <w:rPr>
          <w:b/>
          <w:noProof/>
          <w:lang w:val="it-IT"/>
        </w:rPr>
        <w:t xml:space="preserve">8 mg per ogni </w:t>
      </w:r>
      <w:r>
        <w:rPr>
          <w:b/>
          <w:noProof/>
          <w:szCs w:val="22"/>
          <w:lang w:val="it-IT"/>
        </w:rPr>
        <w:t>chilogrammo di peso corporeo</w:t>
      </w:r>
      <w:r>
        <w:rPr>
          <w:noProof/>
          <w:lang w:val="it-IT"/>
        </w:rPr>
        <w:t>.</w:t>
      </w:r>
    </w:p>
    <w:p>
      <w:pPr>
        <w:tabs>
          <w:tab w:val="left" w:pos="180"/>
        </w:tabs>
        <w:rPr>
          <w:noProof/>
          <w:lang w:val="it-IT"/>
        </w:rPr>
      </w:pPr>
      <w:r>
        <w:rPr>
          <w:b/>
          <w:noProof/>
          <w:szCs w:val="22"/>
          <w:lang w:val="it-IT"/>
        </w:rPr>
        <w:t>Nei pazienti di peso</w:t>
      </w:r>
      <w:r>
        <w:rPr>
          <w:b/>
          <w:noProof/>
          <w:lang w:val="it-IT"/>
        </w:rPr>
        <w:t xml:space="preserve"> inferiore a 30 kg</w:t>
      </w:r>
      <w:r>
        <w:rPr>
          <w:noProof/>
          <w:szCs w:val="22"/>
          <w:lang w:val="it-IT"/>
        </w:rPr>
        <w:t xml:space="preserve">, la dose è pari a </w:t>
      </w:r>
      <w:r>
        <w:rPr>
          <w:b/>
          <w:noProof/>
          <w:lang w:val="it-IT"/>
        </w:rPr>
        <w:t xml:space="preserve">12 mg per ogni </w:t>
      </w:r>
      <w:r>
        <w:rPr>
          <w:b/>
          <w:noProof/>
          <w:szCs w:val="22"/>
          <w:lang w:val="it-IT"/>
        </w:rPr>
        <w:t>chilogrammo di peso corporeo</w:t>
      </w:r>
      <w:r>
        <w:rPr>
          <w:noProof/>
          <w:lang w:val="it-IT"/>
        </w:rPr>
        <w:t>.</w:t>
      </w:r>
    </w:p>
    <w:p>
      <w:pPr>
        <w:tabs>
          <w:tab w:val="left" w:pos="180"/>
        </w:tabs>
        <w:rPr>
          <w:noProof/>
          <w:lang w:val="it-IT"/>
        </w:rPr>
      </w:pPr>
      <w:r>
        <w:rPr>
          <w:noProof/>
          <w:lang w:val="it-IT"/>
        </w:rPr>
        <w:t>RoActemra può essere somministrato da solo o in associazione con corticosteroidi.</w:t>
      </w:r>
    </w:p>
    <w:p>
      <w:pPr>
        <w:tabs>
          <w:tab w:val="left" w:pos="180"/>
        </w:tabs>
        <w:rPr>
          <w:noProof/>
          <w:lang w:val="it-IT"/>
        </w:rPr>
      </w:pPr>
    </w:p>
    <w:p>
      <w:pPr>
        <w:keepNext/>
        <w:tabs>
          <w:tab w:val="left" w:pos="180"/>
        </w:tabs>
        <w:rPr>
          <w:b/>
          <w:noProof/>
          <w:lang w:val="it-IT"/>
        </w:rPr>
      </w:pPr>
      <w:r>
        <w:rPr>
          <w:b/>
          <w:noProof/>
          <w:lang w:val="it-IT"/>
        </w:rPr>
        <w:t>Pazienti affetti da</w:t>
      </w:r>
      <w:del w:id="10142" w:author="Author">
        <w:r>
          <w:rPr>
            <w:b/>
            <w:noProof/>
            <w:lang w:val="it-IT"/>
          </w:rPr>
          <w:delText xml:space="preserve"> </w:delText>
        </w:r>
      </w:del>
      <w:r>
        <w:rPr>
          <w:b/>
          <w:noProof/>
          <w:lang w:val="it-IT"/>
        </w:rPr>
        <w:t xml:space="preserve"> COVID-19</w:t>
      </w:r>
    </w:p>
    <w:p>
      <w:pPr>
        <w:keepNext/>
        <w:tabs>
          <w:tab w:val="left" w:pos="180"/>
        </w:tabs>
        <w:rPr>
          <w:noProof/>
          <w:szCs w:val="22"/>
          <w:lang w:val="it-IT"/>
        </w:rPr>
      </w:pPr>
      <w:r>
        <w:rPr>
          <w:noProof/>
          <w:szCs w:val="22"/>
          <w:lang w:val="it-IT"/>
        </w:rPr>
        <w:t xml:space="preserve">La dose indicata di RoActemra è pari a </w:t>
      </w:r>
      <w:r>
        <w:rPr>
          <w:b/>
          <w:noProof/>
          <w:lang w:val="it-IT"/>
        </w:rPr>
        <w:t xml:space="preserve">8 mg per ogni </w:t>
      </w:r>
      <w:r>
        <w:rPr>
          <w:b/>
          <w:noProof/>
          <w:szCs w:val="22"/>
          <w:lang w:val="it-IT"/>
        </w:rPr>
        <w:t>chilogrammo di peso corporeo</w:t>
      </w:r>
      <w:r>
        <w:rPr>
          <w:noProof/>
          <w:szCs w:val="22"/>
          <w:lang w:val="it-IT"/>
        </w:rPr>
        <w:t>. Potrebbe rendersi necessaria una seconda dose.</w:t>
      </w:r>
    </w:p>
    <w:p>
      <w:pPr>
        <w:tabs>
          <w:tab w:val="left" w:pos="180"/>
        </w:tabs>
        <w:rPr>
          <w:noProof/>
          <w:szCs w:val="22"/>
          <w:lang w:val="it-IT"/>
        </w:rPr>
      </w:pPr>
    </w:p>
    <w:p>
      <w:pPr>
        <w:keepNext/>
        <w:keepLines/>
        <w:tabs>
          <w:tab w:val="left" w:pos="180"/>
        </w:tabs>
        <w:rPr>
          <w:b/>
          <w:noProof/>
          <w:szCs w:val="22"/>
          <w:lang w:val="it-IT"/>
        </w:rPr>
        <w:pPrChange w:id="10143" w:author="TCS" w:date="2026-03-20T13:56:00Z">
          <w:pPr>
            <w:tabs>
              <w:tab w:val="left" w:pos="180"/>
            </w:tabs>
          </w:pPr>
        </w:pPrChange>
      </w:pPr>
      <w:r>
        <w:rPr>
          <w:b/>
          <w:noProof/>
          <w:szCs w:val="22"/>
          <w:lang w:val="it-IT"/>
        </w:rPr>
        <w:lastRenderedPageBreak/>
        <w:t>Se le viene dato più RoActemra di quanto dovuto</w:t>
      </w:r>
    </w:p>
    <w:p>
      <w:pPr>
        <w:keepNext/>
        <w:keepLines/>
        <w:tabs>
          <w:tab w:val="left" w:pos="180"/>
        </w:tabs>
        <w:rPr>
          <w:noProof/>
          <w:szCs w:val="22"/>
          <w:lang w:val="it-IT"/>
        </w:rPr>
        <w:pPrChange w:id="10144" w:author="TCS" w:date="2026-03-20T13:56:00Z">
          <w:pPr>
            <w:tabs>
              <w:tab w:val="left" w:pos="180"/>
            </w:tabs>
          </w:pPr>
        </w:pPrChange>
      </w:pPr>
      <w:r>
        <w:rPr>
          <w:noProof/>
          <w:szCs w:val="22"/>
          <w:lang w:val="it-IT"/>
        </w:rPr>
        <w:t xml:space="preserve">Dal momento che RoActemra le verrà somministrato da un medico o da un infermiere, è improbabile che gliene venga dato troppo. Tuttavia, se ha delle preoccupazioni in merito, si rivolga al medico. </w:t>
      </w:r>
    </w:p>
    <w:p>
      <w:pPr>
        <w:keepNext/>
        <w:keepLines/>
        <w:tabs>
          <w:tab w:val="left" w:pos="180"/>
        </w:tabs>
        <w:rPr>
          <w:b/>
          <w:noProof/>
          <w:szCs w:val="22"/>
          <w:lang w:val="it-IT"/>
        </w:rPr>
        <w:pPrChange w:id="10145" w:author="TCS" w:date="2026-03-20T13:56:00Z">
          <w:pPr>
            <w:tabs>
              <w:tab w:val="left" w:pos="180"/>
            </w:tabs>
          </w:pPr>
        </w:pPrChange>
      </w:pPr>
    </w:p>
    <w:p>
      <w:pPr>
        <w:keepNext/>
        <w:keepLines/>
        <w:tabs>
          <w:tab w:val="left" w:pos="180"/>
        </w:tabs>
        <w:rPr>
          <w:b/>
          <w:noProof/>
          <w:szCs w:val="22"/>
          <w:lang w:val="it-IT"/>
        </w:rPr>
        <w:pPrChange w:id="10146" w:author="TCS" w:date="2026-03-20T13:56:00Z">
          <w:pPr>
            <w:tabs>
              <w:tab w:val="left" w:pos="180"/>
            </w:tabs>
          </w:pPr>
        </w:pPrChange>
      </w:pPr>
      <w:r>
        <w:rPr>
          <w:b/>
          <w:noProof/>
          <w:szCs w:val="22"/>
          <w:lang w:val="it-IT"/>
        </w:rPr>
        <w:t>Se non riceve una dose di RoActemra</w:t>
      </w:r>
    </w:p>
    <w:p>
      <w:pPr>
        <w:keepNext/>
        <w:keepLines/>
        <w:tabs>
          <w:tab w:val="left" w:pos="180"/>
        </w:tabs>
        <w:rPr>
          <w:noProof/>
          <w:szCs w:val="22"/>
          <w:lang w:val="it-IT"/>
        </w:rPr>
        <w:pPrChange w:id="10147" w:author="TCS" w:date="2026-03-20T13:56:00Z">
          <w:pPr>
            <w:tabs>
              <w:tab w:val="left" w:pos="180"/>
            </w:tabs>
          </w:pPr>
        </w:pPrChange>
      </w:pPr>
      <w:r>
        <w:rPr>
          <w:noProof/>
          <w:szCs w:val="22"/>
          <w:lang w:val="it-IT"/>
        </w:rPr>
        <w:t>Dal momento che RoActemra le verrà somministrato da un medico o da un infermiere, è improbabile che salti una dose. Tuttavia, se ha delle preoccupazioni in merito, si rivolga al medico o all’infermiere.</w:t>
      </w:r>
    </w:p>
    <w:p>
      <w:pPr>
        <w:keepNext/>
        <w:keepLines/>
        <w:tabs>
          <w:tab w:val="left" w:pos="180"/>
        </w:tabs>
        <w:rPr>
          <w:noProof/>
          <w:szCs w:val="22"/>
          <w:lang w:val="it-IT"/>
        </w:rPr>
        <w:pPrChange w:id="10148" w:author="TCS" w:date="2026-03-20T13:56:00Z">
          <w:pPr>
            <w:tabs>
              <w:tab w:val="left" w:pos="180"/>
            </w:tabs>
          </w:pPr>
        </w:pPrChange>
      </w:pPr>
    </w:p>
    <w:p>
      <w:pPr>
        <w:keepNext/>
        <w:keepLines/>
        <w:tabs>
          <w:tab w:val="left" w:pos="180"/>
        </w:tabs>
        <w:rPr>
          <w:b/>
          <w:noProof/>
          <w:szCs w:val="22"/>
          <w:lang w:val="it-IT"/>
        </w:rPr>
        <w:pPrChange w:id="10149" w:author="TCS" w:date="2026-03-20T13:56:00Z">
          <w:pPr>
            <w:tabs>
              <w:tab w:val="left" w:pos="180"/>
            </w:tabs>
          </w:pPr>
        </w:pPrChange>
      </w:pPr>
      <w:r>
        <w:rPr>
          <w:b/>
          <w:noProof/>
          <w:szCs w:val="22"/>
          <w:lang w:val="it-IT"/>
        </w:rPr>
        <w:t>Se interrompe il trattamento con RoActemra</w:t>
      </w:r>
    </w:p>
    <w:p>
      <w:pPr>
        <w:tabs>
          <w:tab w:val="left" w:pos="180"/>
        </w:tabs>
        <w:rPr>
          <w:noProof/>
          <w:szCs w:val="22"/>
          <w:lang w:val="it-IT"/>
        </w:rPr>
      </w:pPr>
      <w:r>
        <w:rPr>
          <w:noProof/>
          <w:szCs w:val="22"/>
          <w:lang w:val="it-IT"/>
        </w:rPr>
        <w:t>Non deve sospendere il trattamento con RoActemra senza averne prima parlato con il medico.</w:t>
      </w:r>
    </w:p>
    <w:p>
      <w:pPr>
        <w:tabs>
          <w:tab w:val="left" w:pos="180"/>
        </w:tabs>
        <w:rPr>
          <w:noProof/>
          <w:szCs w:val="22"/>
          <w:lang w:val="it-IT"/>
        </w:rPr>
      </w:pPr>
    </w:p>
    <w:p>
      <w:pPr>
        <w:tabs>
          <w:tab w:val="left" w:pos="180"/>
        </w:tabs>
        <w:rPr>
          <w:noProof/>
          <w:szCs w:val="22"/>
          <w:lang w:val="it-IT"/>
        </w:rPr>
      </w:pPr>
      <w:r>
        <w:rPr>
          <w:noProof/>
          <w:szCs w:val="22"/>
          <w:lang w:val="it-IT"/>
        </w:rPr>
        <w:t>Se ha qualsiasi dubbio sull’uso di questo medicinale, si rivolga al medico o all’infermiere.</w:t>
      </w:r>
    </w:p>
    <w:p>
      <w:pPr>
        <w:tabs>
          <w:tab w:val="left" w:pos="180"/>
        </w:tabs>
        <w:rPr>
          <w:noProof/>
          <w:szCs w:val="22"/>
          <w:lang w:val="it-IT"/>
        </w:rPr>
      </w:pPr>
    </w:p>
    <w:p>
      <w:pPr>
        <w:tabs>
          <w:tab w:val="left" w:pos="180"/>
        </w:tabs>
        <w:rPr>
          <w:noProof/>
          <w:szCs w:val="22"/>
          <w:lang w:val="it-IT"/>
        </w:rPr>
      </w:pPr>
    </w:p>
    <w:p>
      <w:pPr>
        <w:keepNext/>
        <w:keepLines/>
        <w:tabs>
          <w:tab w:val="left" w:pos="180"/>
        </w:tabs>
        <w:ind w:left="567" w:hanging="567"/>
        <w:rPr>
          <w:noProof/>
          <w:szCs w:val="22"/>
          <w:lang w:val="it-IT"/>
        </w:rPr>
      </w:pPr>
      <w:r>
        <w:rPr>
          <w:b/>
          <w:noProof/>
          <w:szCs w:val="22"/>
          <w:lang w:val="it-IT"/>
        </w:rPr>
        <w:t>4.</w:t>
      </w:r>
      <w:r>
        <w:rPr>
          <w:b/>
          <w:noProof/>
          <w:szCs w:val="22"/>
          <w:lang w:val="it-IT"/>
        </w:rPr>
        <w:tab/>
      </w:r>
      <w:r>
        <w:rPr>
          <w:b/>
          <w:noProof/>
          <w:szCs w:val="22"/>
          <w:lang w:val="it-IT"/>
        </w:rPr>
        <w:tab/>
        <w:t>Possibili effetti indesiderati</w:t>
      </w:r>
    </w:p>
    <w:p>
      <w:pPr>
        <w:keepNext/>
        <w:keepLines/>
        <w:tabs>
          <w:tab w:val="left" w:pos="180"/>
        </w:tabs>
        <w:rPr>
          <w:noProof/>
          <w:szCs w:val="22"/>
          <w:lang w:val="it-IT"/>
        </w:rPr>
      </w:pPr>
    </w:p>
    <w:p>
      <w:pPr>
        <w:keepNext/>
        <w:keepLines/>
        <w:tabs>
          <w:tab w:val="left" w:pos="180"/>
        </w:tabs>
        <w:rPr>
          <w:noProof/>
          <w:szCs w:val="22"/>
          <w:lang w:val="it-IT"/>
        </w:rPr>
      </w:pPr>
      <w:r>
        <w:rPr>
          <w:noProof/>
          <w:szCs w:val="22"/>
          <w:lang w:val="it-IT"/>
        </w:rPr>
        <w:t>Come tutti i medicinali, RoActemra può causare effetti indesiderati sebbene non tutte le persone li manifestino. Gli effetti indesiderati possono verificarsi fino a 3 mesi dopo l’ultima assunzione di RoActemra.</w:t>
      </w:r>
    </w:p>
    <w:p>
      <w:pPr>
        <w:keepNext/>
        <w:keepLines/>
        <w:tabs>
          <w:tab w:val="left" w:pos="180"/>
        </w:tabs>
        <w:rPr>
          <w:noProof/>
          <w:szCs w:val="22"/>
          <w:lang w:val="it-IT"/>
        </w:rPr>
      </w:pPr>
    </w:p>
    <w:p>
      <w:pPr>
        <w:keepNext/>
        <w:keepLines/>
        <w:tabs>
          <w:tab w:val="left" w:pos="180"/>
        </w:tabs>
        <w:rPr>
          <w:ins w:id="10150" w:author="Author"/>
          <w:b/>
          <w:noProof/>
          <w:szCs w:val="22"/>
          <w:lang w:val="it-IT"/>
        </w:rPr>
      </w:pPr>
      <w:r>
        <w:rPr>
          <w:b/>
          <w:noProof/>
          <w:szCs w:val="22"/>
          <w:lang w:val="it-IT"/>
        </w:rPr>
        <w:t>Possibili comuni effetti indesiderati gravi</w:t>
      </w:r>
      <w:del w:id="10151" w:author="Author">
        <w:r>
          <w:rPr>
            <w:b/>
            <w:noProof/>
            <w:szCs w:val="22"/>
            <w:lang w:val="it-IT"/>
          </w:rPr>
          <w:delText>:</w:delText>
        </w:r>
      </w:del>
    </w:p>
    <w:p>
      <w:pPr>
        <w:keepNext/>
        <w:keepLines/>
        <w:tabs>
          <w:tab w:val="left" w:pos="180"/>
        </w:tabs>
        <w:rPr>
          <w:noProof/>
          <w:szCs w:val="22"/>
          <w:lang w:val="it-IT"/>
        </w:rPr>
      </w:pPr>
      <w:del w:id="10152" w:author="Author">
        <w:r>
          <w:rPr>
            <w:noProof/>
            <w:szCs w:val="22"/>
            <w:lang w:val="it-IT"/>
          </w:rPr>
          <w:delText xml:space="preserve">  </w:delText>
        </w:r>
      </w:del>
      <w:r>
        <w:rPr>
          <w:noProof/>
          <w:szCs w:val="22"/>
          <w:lang w:val="it-IT"/>
        </w:rPr>
        <w:t xml:space="preserve">Informi </w:t>
      </w:r>
      <w:r>
        <w:rPr>
          <w:b/>
          <w:bCs/>
          <w:noProof/>
          <w:szCs w:val="22"/>
          <w:lang w:val="it-IT"/>
        </w:rPr>
        <w:t>immediatamente</w:t>
      </w:r>
      <w:r>
        <w:rPr>
          <w:noProof/>
          <w:szCs w:val="22"/>
          <w:lang w:val="it-IT"/>
        </w:rPr>
        <w:t xml:space="preserve"> il medico se manifesta uno qualsiasi dei seguenti effetti indesiderati:</w:t>
      </w:r>
    </w:p>
    <w:p>
      <w:pPr>
        <w:keepNext/>
        <w:keepLines/>
        <w:tabs>
          <w:tab w:val="left" w:pos="180"/>
        </w:tabs>
        <w:rPr>
          <w:noProof/>
          <w:szCs w:val="22"/>
          <w:lang w:val="it-IT"/>
        </w:rPr>
      </w:pPr>
    </w:p>
    <w:p>
      <w:pPr>
        <w:tabs>
          <w:tab w:val="left" w:pos="180"/>
        </w:tabs>
        <w:ind w:left="567" w:hanging="567"/>
        <w:rPr>
          <w:i/>
          <w:noProof/>
          <w:szCs w:val="22"/>
          <w:lang w:val="it-IT"/>
        </w:rPr>
      </w:pPr>
      <w:r>
        <w:rPr>
          <w:i/>
          <w:noProof/>
          <w:szCs w:val="22"/>
          <w:lang w:val="it-IT"/>
        </w:rPr>
        <w:t>Questi sono comuni: possono colpire fino a 1 persona</w:t>
      </w:r>
      <w:ins w:id="10153" w:author="Author">
        <w:r>
          <w:rPr>
            <w:i/>
            <w:noProof/>
            <w:szCs w:val="22"/>
            <w:lang w:val="it-IT"/>
          </w:rPr>
          <w:t xml:space="preserve"> </w:t>
        </w:r>
      </w:ins>
      <w:r>
        <w:rPr>
          <w:i/>
          <w:noProof/>
          <w:szCs w:val="22"/>
          <w:lang w:val="it-IT"/>
        </w:rPr>
        <w:t>su 10</w:t>
      </w:r>
    </w:p>
    <w:p>
      <w:pPr>
        <w:tabs>
          <w:tab w:val="left" w:pos="180"/>
        </w:tabs>
        <w:ind w:left="567" w:hanging="567"/>
        <w:rPr>
          <w:noProof/>
          <w:szCs w:val="22"/>
          <w:lang w:val="it-IT"/>
        </w:rPr>
      </w:pPr>
    </w:p>
    <w:p>
      <w:pPr>
        <w:tabs>
          <w:tab w:val="left" w:pos="180"/>
        </w:tabs>
        <w:ind w:left="567" w:hanging="567"/>
        <w:rPr>
          <w:noProof/>
          <w:szCs w:val="22"/>
          <w:lang w:val="it-IT"/>
        </w:rPr>
      </w:pPr>
      <w:r>
        <w:rPr>
          <w:b/>
          <w:noProof/>
          <w:szCs w:val="22"/>
          <w:lang w:val="it-IT"/>
        </w:rPr>
        <w:t>Reazioni allergiche</w:t>
      </w:r>
      <w:r>
        <w:rPr>
          <w:noProof/>
          <w:szCs w:val="22"/>
          <w:lang w:val="it-IT"/>
        </w:rPr>
        <w:t xml:space="preserve"> durante o dopo l’infusione:</w:t>
      </w:r>
    </w:p>
    <w:p>
      <w:pPr>
        <w:pStyle w:val="Standard"/>
        <w:ind w:left="567" w:hanging="567"/>
        <w:rPr>
          <w:noProof/>
          <w:szCs w:val="22"/>
          <w:lang w:val="it-IT"/>
        </w:rPr>
        <w:pPrChange w:id="10154" w:author="Author">
          <w:pPr>
            <w:pStyle w:val="Standard"/>
          </w:pPr>
        </w:pPrChange>
      </w:pPr>
      <w:ins w:id="10155" w:author="Author">
        <w:r>
          <w:rPr>
            <w:noProof/>
            <w:lang w:val="it-IT"/>
          </w:rPr>
          <w:sym w:font="Symbol" w:char="00B7"/>
        </w:r>
      </w:ins>
      <w:del w:id="10156" w:author="Author">
        <w:r>
          <w:rPr>
            <w:b/>
            <w:noProof/>
            <w:szCs w:val="22"/>
            <w:lang w:val="it-IT"/>
            <w:rPrChange w:id="10157" w:author="Author">
              <w:rPr>
                <w:rFonts w:ascii="Symbol" w:hAnsi="Symbol"/>
                <w:b/>
                <w:szCs w:val="22"/>
                <w:lang w:val="it-IT"/>
              </w:rPr>
            </w:rPrChange>
          </w:rPr>
          <w:sym w:font="Symbol" w:char="F0B7"/>
        </w:r>
      </w:del>
      <w:r>
        <w:rPr>
          <w:noProof/>
          <w:szCs w:val="22"/>
          <w:lang w:val="it-IT"/>
        </w:rPr>
        <w:tab/>
        <w:t>difficoltà a respirare, oppressione al torace o stordimento</w:t>
      </w:r>
    </w:p>
    <w:p>
      <w:pPr>
        <w:pStyle w:val="Standard"/>
        <w:ind w:left="567" w:hanging="567"/>
        <w:rPr>
          <w:noProof/>
          <w:szCs w:val="22"/>
          <w:lang w:val="it-IT"/>
        </w:rPr>
        <w:pPrChange w:id="10158" w:author="Author">
          <w:pPr>
            <w:pStyle w:val="Standard"/>
          </w:pPr>
        </w:pPrChange>
      </w:pPr>
      <w:ins w:id="10159" w:author="Author">
        <w:r>
          <w:rPr>
            <w:noProof/>
            <w:lang w:val="it-IT"/>
          </w:rPr>
          <w:sym w:font="Symbol" w:char="00B7"/>
        </w:r>
      </w:ins>
      <w:del w:id="10160" w:author="Author">
        <w:r>
          <w:rPr>
            <w:b/>
            <w:noProof/>
            <w:szCs w:val="22"/>
            <w:lang w:val="it-IT"/>
            <w:rPrChange w:id="10161" w:author="Author">
              <w:rPr>
                <w:rFonts w:ascii="Symbol" w:hAnsi="Symbol"/>
                <w:b/>
                <w:szCs w:val="22"/>
                <w:lang w:val="it-IT"/>
              </w:rPr>
            </w:rPrChange>
          </w:rPr>
          <w:sym w:font="Symbol" w:char="F0B7"/>
        </w:r>
      </w:del>
      <w:r>
        <w:rPr>
          <w:noProof/>
          <w:szCs w:val="22"/>
          <w:lang w:val="it-IT"/>
        </w:rPr>
        <w:tab/>
        <w:t>eruzione cutanea, prurito, orticaria, tumefazione delle labbra, della lingua o del viso</w:t>
      </w:r>
    </w:p>
    <w:p>
      <w:pPr>
        <w:tabs>
          <w:tab w:val="left" w:pos="180"/>
        </w:tabs>
        <w:ind w:left="567" w:hanging="567"/>
        <w:rPr>
          <w:noProof/>
          <w:szCs w:val="22"/>
          <w:lang w:val="it-IT"/>
        </w:rPr>
      </w:pPr>
    </w:p>
    <w:p>
      <w:pPr>
        <w:keepNext/>
        <w:tabs>
          <w:tab w:val="left" w:pos="180"/>
        </w:tabs>
        <w:rPr>
          <w:noProof/>
          <w:szCs w:val="22"/>
          <w:lang w:val="it-IT"/>
        </w:rPr>
      </w:pPr>
      <w:r>
        <w:rPr>
          <w:b/>
          <w:noProof/>
          <w:szCs w:val="22"/>
          <w:lang w:val="it-IT"/>
        </w:rPr>
        <w:t>Segni di infezioni gravi</w:t>
      </w:r>
      <w:ins w:id="10162" w:author="Author">
        <w:r>
          <w:rPr>
            <w:b/>
            <w:noProof/>
            <w:szCs w:val="22"/>
            <w:lang w:val="it-IT"/>
          </w:rPr>
          <w:t>:</w:t>
        </w:r>
      </w:ins>
    </w:p>
    <w:p>
      <w:pPr>
        <w:keepNext/>
        <w:tabs>
          <w:tab w:val="left" w:pos="567"/>
        </w:tabs>
        <w:ind w:left="567" w:hanging="567"/>
        <w:rPr>
          <w:noProof/>
          <w:szCs w:val="22"/>
          <w:lang w:val="it-IT"/>
        </w:rPr>
      </w:pPr>
      <w:r>
        <w:rPr>
          <w:noProof/>
          <w:lang w:val="it-IT"/>
        </w:rPr>
        <w:sym w:font="Symbol" w:char="00B7"/>
      </w:r>
      <w:r>
        <w:rPr>
          <w:noProof/>
          <w:lang w:val="it-IT"/>
        </w:rPr>
        <w:tab/>
      </w:r>
      <w:r>
        <w:rPr>
          <w:noProof/>
          <w:szCs w:val="22"/>
          <w:lang w:val="it-IT"/>
        </w:rPr>
        <w:t>febbre e brividi</w:t>
      </w:r>
    </w:p>
    <w:p>
      <w:pPr>
        <w:keepNext/>
        <w:tabs>
          <w:tab w:val="left" w:pos="567"/>
        </w:tabs>
        <w:ind w:left="567" w:hanging="567"/>
        <w:rPr>
          <w:noProof/>
          <w:szCs w:val="22"/>
          <w:lang w:val="it-IT"/>
        </w:rPr>
      </w:pPr>
      <w:r>
        <w:rPr>
          <w:noProof/>
          <w:lang w:val="it-IT"/>
        </w:rPr>
        <w:sym w:font="Symbol" w:char="00B7"/>
      </w:r>
      <w:r>
        <w:rPr>
          <w:noProof/>
          <w:lang w:val="it-IT"/>
        </w:rPr>
        <w:tab/>
      </w:r>
      <w:r>
        <w:rPr>
          <w:noProof/>
          <w:szCs w:val="22"/>
          <w:lang w:val="it-IT"/>
        </w:rPr>
        <w:t>vesciche nella bocca o sulla pelle</w:t>
      </w:r>
    </w:p>
    <w:p>
      <w:pPr>
        <w:tabs>
          <w:tab w:val="left" w:pos="567"/>
        </w:tabs>
        <w:ind w:left="567" w:hanging="567"/>
        <w:rPr>
          <w:noProof/>
          <w:szCs w:val="22"/>
          <w:lang w:val="it-IT"/>
        </w:rPr>
      </w:pPr>
      <w:r>
        <w:rPr>
          <w:noProof/>
          <w:lang w:val="it-IT"/>
        </w:rPr>
        <w:sym w:font="Symbol" w:char="00B7"/>
      </w:r>
      <w:r>
        <w:rPr>
          <w:noProof/>
          <w:lang w:val="it-IT"/>
        </w:rPr>
        <w:tab/>
      </w:r>
      <w:r>
        <w:rPr>
          <w:noProof/>
          <w:szCs w:val="22"/>
          <w:lang w:val="it-IT"/>
        </w:rPr>
        <w:t xml:space="preserve">mal di stomaco </w:t>
      </w:r>
    </w:p>
    <w:p>
      <w:pPr>
        <w:tabs>
          <w:tab w:val="left" w:pos="180"/>
        </w:tabs>
        <w:ind w:left="567" w:hanging="567"/>
        <w:rPr>
          <w:noProof/>
          <w:szCs w:val="22"/>
          <w:lang w:val="it-IT"/>
        </w:rPr>
      </w:pPr>
    </w:p>
    <w:p>
      <w:pPr>
        <w:pStyle w:val="Standard"/>
        <w:rPr>
          <w:b/>
          <w:noProof/>
          <w:lang w:val="it-IT"/>
        </w:rPr>
      </w:pPr>
      <w:r>
        <w:rPr>
          <w:b/>
          <w:noProof/>
          <w:lang w:val="it-IT"/>
        </w:rPr>
        <w:t>Segni e sintomi di tossicità epatica</w:t>
      </w:r>
      <w:ins w:id="10163" w:author="Author">
        <w:r>
          <w:rPr>
            <w:b/>
            <w:noProof/>
            <w:lang w:val="it-IT"/>
          </w:rPr>
          <w:t>:</w:t>
        </w:r>
      </w:ins>
    </w:p>
    <w:p>
      <w:pPr>
        <w:pStyle w:val="Standard"/>
        <w:rPr>
          <w:i/>
          <w:noProof/>
          <w:lang w:val="it-IT"/>
        </w:rPr>
      </w:pPr>
      <w:r>
        <w:rPr>
          <w:i/>
          <w:noProof/>
          <w:szCs w:val="22"/>
          <w:lang w:val="it-IT"/>
        </w:rPr>
        <w:t xml:space="preserve">Questi sono rari: </w:t>
      </w:r>
      <w:r>
        <w:rPr>
          <w:i/>
          <w:noProof/>
          <w:lang w:val="it-IT"/>
        </w:rPr>
        <w:t>possono colpire fino a 1 persona</w:t>
      </w:r>
      <w:ins w:id="10164" w:author="Author">
        <w:r>
          <w:rPr>
            <w:i/>
            <w:noProof/>
            <w:lang w:val="it-IT"/>
          </w:rPr>
          <w:t xml:space="preserve"> </w:t>
        </w:r>
      </w:ins>
      <w:r>
        <w:rPr>
          <w:i/>
          <w:noProof/>
          <w:lang w:val="it-IT"/>
        </w:rPr>
        <w:t>su 1</w:t>
      </w:r>
      <w:ins w:id="10165" w:author="Author">
        <w:r>
          <w:rPr>
            <w:i/>
            <w:noProof/>
            <w:lang w:val="it-IT"/>
          </w:rPr>
          <w:t> </w:t>
        </w:r>
      </w:ins>
      <w:r>
        <w:rPr>
          <w:i/>
          <w:noProof/>
          <w:lang w:val="it-IT"/>
        </w:rPr>
        <w:t>000</w:t>
      </w:r>
    </w:p>
    <w:p>
      <w:pPr>
        <w:pStyle w:val="Standard"/>
        <w:ind w:left="567" w:hanging="567"/>
        <w:rPr>
          <w:rFonts w:eastAsia="SimSun"/>
          <w:noProof/>
          <w:lang w:val="it-IT" w:eastAsia="zh-CN"/>
        </w:rPr>
        <w:pPrChange w:id="10166" w:author="Author">
          <w:pPr>
            <w:pStyle w:val="Standard"/>
          </w:pPr>
        </w:pPrChange>
      </w:pPr>
      <w:r>
        <w:rPr>
          <w:rFonts w:eastAsia="SimSun"/>
          <w:noProof/>
          <w:lang w:val="it-IT" w:eastAsia="zh-CN"/>
        </w:rPr>
        <w:sym w:font="Symbol" w:char="F0B7"/>
      </w:r>
      <w:r>
        <w:rPr>
          <w:rFonts w:eastAsia="SimSun"/>
          <w:noProof/>
          <w:lang w:val="it-IT" w:eastAsia="zh-CN"/>
        </w:rPr>
        <w:tab/>
        <w:t>stanchezza</w:t>
      </w:r>
    </w:p>
    <w:p>
      <w:pPr>
        <w:pStyle w:val="Standard"/>
        <w:ind w:left="567" w:hanging="567"/>
        <w:rPr>
          <w:noProof/>
          <w:lang w:val="it-IT"/>
        </w:rPr>
        <w:pPrChange w:id="10167" w:author="Author">
          <w:pPr>
            <w:pStyle w:val="Standard"/>
          </w:pPr>
        </w:pPrChange>
      </w:pPr>
      <w:r>
        <w:rPr>
          <w:rFonts w:eastAsia="SimSun"/>
          <w:noProof/>
          <w:lang w:val="it-IT" w:eastAsia="zh-CN"/>
        </w:rPr>
        <w:sym w:font="Symbol" w:char="F0B7"/>
      </w:r>
      <w:r>
        <w:rPr>
          <w:rFonts w:eastAsia="SimSun"/>
          <w:noProof/>
          <w:lang w:val="it-IT" w:eastAsia="zh-CN"/>
        </w:rPr>
        <w:tab/>
        <w:t>d</w:t>
      </w:r>
      <w:r>
        <w:rPr>
          <w:noProof/>
          <w:lang w:val="it-IT"/>
        </w:rPr>
        <w:t>olore addominale</w:t>
      </w:r>
    </w:p>
    <w:p>
      <w:pPr>
        <w:pStyle w:val="Standard"/>
        <w:ind w:left="567" w:hanging="567"/>
        <w:rPr>
          <w:rFonts w:eastAsia="SimSun"/>
          <w:noProof/>
          <w:lang w:val="it-IT" w:eastAsia="zh-CN"/>
        </w:rPr>
        <w:pPrChange w:id="10168" w:author="Author">
          <w:pPr>
            <w:pStyle w:val="Standard"/>
          </w:pPr>
        </w:pPrChange>
      </w:pPr>
      <w:r>
        <w:rPr>
          <w:rFonts w:eastAsia="SimSun"/>
          <w:noProof/>
          <w:lang w:val="it-IT" w:eastAsia="zh-CN"/>
        </w:rPr>
        <w:sym w:font="Symbol" w:char="F0B7"/>
      </w:r>
      <w:r>
        <w:rPr>
          <w:rFonts w:eastAsia="SimSun"/>
          <w:noProof/>
          <w:lang w:val="it-IT" w:eastAsia="zh-CN"/>
        </w:rPr>
        <w:tab/>
        <w:t>ittero (ingiallimento della pelle e della parte bianca degli occhi)</w:t>
      </w:r>
    </w:p>
    <w:p>
      <w:pPr>
        <w:pStyle w:val="Standard"/>
        <w:ind w:left="-20"/>
        <w:rPr>
          <w:noProof/>
          <w:lang w:val="it-IT"/>
        </w:rPr>
      </w:pPr>
    </w:p>
    <w:p>
      <w:pPr>
        <w:pStyle w:val="Standard"/>
        <w:ind w:left="-20"/>
        <w:rPr>
          <w:b/>
          <w:noProof/>
          <w:lang w:val="it-IT"/>
        </w:rPr>
      </w:pPr>
      <w:r>
        <w:rPr>
          <w:b/>
          <w:noProof/>
          <w:lang w:val="it-IT"/>
        </w:rPr>
        <w:t xml:space="preserve">Elenco di altri possibili effetti </w:t>
      </w:r>
      <w:del w:id="10169" w:author="Author">
        <w:r>
          <w:rPr>
            <w:b/>
            <w:noProof/>
            <w:lang w:val="it-IT"/>
          </w:rPr>
          <w:delText>collaterali</w:delText>
        </w:r>
      </w:del>
      <w:ins w:id="10170" w:author="Author">
        <w:r>
          <w:rPr>
            <w:b/>
            <w:noProof/>
            <w:lang w:val="it-IT"/>
          </w:rPr>
          <w:t>indesiderati</w:t>
        </w:r>
      </w:ins>
    </w:p>
    <w:p>
      <w:pPr>
        <w:tabs>
          <w:tab w:val="left" w:pos="180"/>
        </w:tabs>
        <w:ind w:left="567" w:hanging="567"/>
        <w:rPr>
          <w:noProof/>
          <w:szCs w:val="22"/>
          <w:lang w:val="it-IT"/>
        </w:rPr>
      </w:pPr>
      <w:r>
        <w:rPr>
          <w:noProof/>
          <w:szCs w:val="22"/>
          <w:lang w:val="it-IT"/>
        </w:rPr>
        <w:t>Se nota</w:t>
      </w:r>
      <w:del w:id="10171" w:author="Author">
        <w:r>
          <w:rPr>
            <w:noProof/>
            <w:szCs w:val="22"/>
            <w:lang w:val="it-IT"/>
          </w:rPr>
          <w:delText>sse</w:delText>
        </w:r>
      </w:del>
      <w:r>
        <w:rPr>
          <w:noProof/>
          <w:szCs w:val="22"/>
          <w:lang w:val="it-IT"/>
        </w:rPr>
        <w:t xml:space="preserve"> qualcuno di questi sintomi informi il medico </w:t>
      </w:r>
      <w:r>
        <w:rPr>
          <w:b/>
          <w:noProof/>
          <w:szCs w:val="22"/>
          <w:lang w:val="it-IT"/>
        </w:rPr>
        <w:t>il prima possibile.</w:t>
      </w:r>
    </w:p>
    <w:p>
      <w:pPr>
        <w:tabs>
          <w:tab w:val="left" w:pos="180"/>
        </w:tabs>
        <w:rPr>
          <w:noProof/>
          <w:szCs w:val="22"/>
          <w:lang w:val="it-IT"/>
        </w:rPr>
      </w:pPr>
    </w:p>
    <w:p>
      <w:pPr>
        <w:tabs>
          <w:tab w:val="left" w:pos="180"/>
        </w:tabs>
        <w:rPr>
          <w:noProof/>
          <w:szCs w:val="22"/>
          <w:lang w:val="it-IT"/>
        </w:rPr>
      </w:pPr>
      <w:r>
        <w:rPr>
          <w:b/>
          <w:noProof/>
          <w:szCs w:val="22"/>
          <w:lang w:val="it-IT"/>
        </w:rPr>
        <w:t>Effetti indesiderati molto comuni</w:t>
      </w:r>
      <w:ins w:id="10172" w:author="Author">
        <w:r>
          <w:rPr>
            <w:b/>
            <w:noProof/>
            <w:szCs w:val="22"/>
            <w:lang w:val="it-IT"/>
          </w:rPr>
          <w:t>:</w:t>
        </w:r>
      </w:ins>
    </w:p>
    <w:p>
      <w:pPr>
        <w:tabs>
          <w:tab w:val="left" w:pos="180"/>
          <w:tab w:val="left" w:pos="567"/>
        </w:tabs>
        <w:rPr>
          <w:i/>
          <w:noProof/>
          <w:szCs w:val="22"/>
          <w:lang w:val="it-IT"/>
        </w:rPr>
      </w:pPr>
      <w:r>
        <w:rPr>
          <w:i/>
          <w:noProof/>
          <w:szCs w:val="22"/>
          <w:lang w:val="it-IT"/>
        </w:rPr>
        <w:t>Questi possono colpire più di 1 persona</w:t>
      </w:r>
      <w:ins w:id="10173" w:author="Author">
        <w:r>
          <w:rPr>
            <w:i/>
            <w:noProof/>
            <w:szCs w:val="22"/>
            <w:lang w:val="it-IT"/>
          </w:rPr>
          <w:t xml:space="preserve"> </w:t>
        </w:r>
      </w:ins>
      <w:r>
        <w:rPr>
          <w:i/>
          <w:noProof/>
          <w:szCs w:val="22"/>
          <w:lang w:val="it-IT"/>
        </w:rPr>
        <w:t>su 10</w:t>
      </w:r>
    </w:p>
    <w:p>
      <w:pPr>
        <w:tabs>
          <w:tab w:val="left" w:pos="567"/>
        </w:tabs>
        <w:ind w:left="567" w:hanging="567"/>
        <w:rPr>
          <w:noProof/>
          <w:szCs w:val="22"/>
          <w:lang w:val="it-IT"/>
        </w:rPr>
        <w:pPrChange w:id="10174" w:author="Author">
          <w:pPr>
            <w:tabs>
              <w:tab w:val="left" w:pos="567"/>
            </w:tabs>
            <w:ind w:left="709" w:hanging="709"/>
          </w:pPr>
        </w:pPrChange>
      </w:pPr>
      <w:r>
        <w:rPr>
          <w:rFonts w:eastAsia="SimSun"/>
          <w:noProof/>
          <w:lang w:val="it-IT" w:eastAsia="zh-CN"/>
        </w:rPr>
        <w:sym w:font="Symbol" w:char="F0B7"/>
      </w:r>
      <w:r>
        <w:rPr>
          <w:rFonts w:eastAsia="SimSun"/>
          <w:noProof/>
          <w:lang w:val="it-IT" w:eastAsia="zh-CN"/>
        </w:rPr>
        <w:tab/>
      </w:r>
      <w:r>
        <w:rPr>
          <w:noProof/>
          <w:szCs w:val="22"/>
          <w:lang w:val="it-IT"/>
        </w:rPr>
        <w:t>infezioni delle vie aeree superiori con tipici sintomi quali tosse, naso chiuso, naso che cola, mal di gola e mal di testa</w:t>
      </w:r>
    </w:p>
    <w:p>
      <w:pPr>
        <w:tabs>
          <w:tab w:val="left" w:pos="567"/>
        </w:tabs>
        <w:ind w:left="567" w:hanging="567"/>
        <w:rPr>
          <w:noProof/>
          <w:szCs w:val="22"/>
          <w:lang w:val="it-IT"/>
        </w:rPr>
        <w:pPrChange w:id="10175" w:author="Author">
          <w:pPr>
            <w:tabs>
              <w:tab w:val="left" w:pos="567"/>
            </w:tabs>
            <w:ind w:left="709" w:hanging="709"/>
          </w:pPr>
        </w:pPrChange>
      </w:pPr>
      <w:r>
        <w:rPr>
          <w:noProof/>
          <w:szCs w:val="22"/>
          <w:lang w:val="it-IT"/>
        </w:rPr>
        <w:sym w:font="Symbol" w:char="F0B7"/>
      </w:r>
      <w:r>
        <w:rPr>
          <w:noProof/>
          <w:szCs w:val="22"/>
          <w:lang w:val="it-IT"/>
        </w:rPr>
        <w:tab/>
        <w:t>livelli elevati di grassi nel sangue (colesterolo).</w:t>
      </w:r>
    </w:p>
    <w:p>
      <w:pPr>
        <w:tabs>
          <w:tab w:val="left" w:pos="567"/>
        </w:tabs>
        <w:ind w:left="709" w:hanging="709"/>
        <w:rPr>
          <w:noProof/>
          <w:szCs w:val="22"/>
          <w:lang w:val="it-IT"/>
        </w:rPr>
      </w:pPr>
    </w:p>
    <w:p>
      <w:pPr>
        <w:keepNext/>
        <w:keepLines/>
        <w:tabs>
          <w:tab w:val="left" w:pos="180"/>
          <w:tab w:val="left" w:pos="567"/>
        </w:tabs>
        <w:rPr>
          <w:noProof/>
          <w:szCs w:val="22"/>
          <w:lang w:val="it-IT"/>
        </w:rPr>
      </w:pPr>
      <w:r>
        <w:rPr>
          <w:b/>
          <w:noProof/>
          <w:szCs w:val="22"/>
          <w:lang w:val="it-IT"/>
        </w:rPr>
        <w:t>Effetti indesiderati comuni</w:t>
      </w:r>
      <w:ins w:id="10176" w:author="Author">
        <w:r>
          <w:rPr>
            <w:b/>
            <w:noProof/>
            <w:szCs w:val="22"/>
            <w:lang w:val="it-IT"/>
          </w:rPr>
          <w:t>:</w:t>
        </w:r>
      </w:ins>
    </w:p>
    <w:p>
      <w:pPr>
        <w:keepNext/>
        <w:keepLines/>
        <w:tabs>
          <w:tab w:val="left" w:pos="180"/>
          <w:tab w:val="left" w:pos="567"/>
        </w:tabs>
        <w:rPr>
          <w:i/>
          <w:noProof/>
          <w:szCs w:val="22"/>
          <w:lang w:val="it-IT"/>
        </w:rPr>
      </w:pPr>
      <w:bookmarkStart w:id="10177" w:name="_Hlk224050997"/>
      <w:r>
        <w:rPr>
          <w:i/>
          <w:noProof/>
          <w:szCs w:val="22"/>
          <w:lang w:val="it-IT"/>
        </w:rPr>
        <w:t>Questi possono colpire fino a 1 persona</w:t>
      </w:r>
      <w:ins w:id="10178" w:author="Author">
        <w:r>
          <w:rPr>
            <w:i/>
            <w:noProof/>
            <w:szCs w:val="22"/>
            <w:lang w:val="it-IT"/>
          </w:rPr>
          <w:t xml:space="preserve"> </w:t>
        </w:r>
      </w:ins>
      <w:r>
        <w:rPr>
          <w:i/>
          <w:noProof/>
          <w:szCs w:val="22"/>
          <w:lang w:val="it-IT"/>
        </w:rPr>
        <w:t>su 10</w:t>
      </w:r>
    </w:p>
    <w:bookmarkEnd w:id="10177"/>
    <w:p>
      <w:pPr>
        <w:keepNext/>
        <w:keepLines/>
        <w:tabs>
          <w:tab w:val="left" w:pos="700"/>
        </w:tabs>
        <w:ind w:left="567" w:hanging="567"/>
        <w:rPr>
          <w:noProof/>
          <w:szCs w:val="22"/>
          <w:lang w:val="it-IT"/>
        </w:rPr>
        <w:pPrChange w:id="10179" w:author="Author">
          <w:pPr>
            <w:keepNext/>
            <w:keepLines/>
            <w:tabs>
              <w:tab w:val="left" w:pos="700"/>
            </w:tabs>
            <w:ind w:left="360" w:hanging="502"/>
          </w:pPr>
        </w:pPrChange>
      </w:pPr>
      <w:r>
        <w:rPr>
          <w:rFonts w:eastAsia="SimSun"/>
          <w:noProof/>
          <w:lang w:val="it-IT" w:eastAsia="zh-CN"/>
        </w:rPr>
        <w:sym w:font="Symbol" w:char="F0B7"/>
      </w:r>
      <w:r>
        <w:rPr>
          <w:rFonts w:eastAsia="SimSun"/>
          <w:noProof/>
          <w:lang w:val="it-IT" w:eastAsia="zh-CN"/>
        </w:rPr>
        <w:tab/>
      </w:r>
      <w:r>
        <w:rPr>
          <w:noProof/>
          <w:szCs w:val="22"/>
          <w:lang w:val="it-IT"/>
        </w:rPr>
        <w:t>infezione polmonare (polmonite)</w:t>
      </w:r>
    </w:p>
    <w:p>
      <w:pPr>
        <w:tabs>
          <w:tab w:val="left" w:pos="700"/>
        </w:tabs>
        <w:ind w:left="567" w:hanging="567"/>
        <w:rPr>
          <w:noProof/>
          <w:szCs w:val="22"/>
          <w:lang w:val="it-IT"/>
        </w:rPr>
        <w:pPrChange w:id="10180" w:author="Author">
          <w:pPr>
            <w:tabs>
              <w:tab w:val="left" w:pos="700"/>
            </w:tabs>
            <w:ind w:left="360" w:hanging="502"/>
          </w:pPr>
        </w:pPrChange>
      </w:pPr>
      <w:r>
        <w:rPr>
          <w:rFonts w:eastAsia="SimSun"/>
          <w:noProof/>
          <w:lang w:val="it-IT" w:eastAsia="zh-CN"/>
        </w:rPr>
        <w:sym w:font="Symbol" w:char="F0B7"/>
      </w:r>
      <w:r>
        <w:rPr>
          <w:rFonts w:eastAsia="SimSun"/>
          <w:noProof/>
          <w:lang w:val="it-IT" w:eastAsia="zh-CN"/>
        </w:rPr>
        <w:tab/>
      </w:r>
      <w:r>
        <w:rPr>
          <w:noProof/>
          <w:szCs w:val="22"/>
          <w:lang w:val="it-IT"/>
        </w:rPr>
        <w:t>fuoco di Sant’Antonio (herpes zoster)</w:t>
      </w:r>
    </w:p>
    <w:p>
      <w:pPr>
        <w:tabs>
          <w:tab w:val="left" w:pos="700"/>
        </w:tabs>
        <w:ind w:left="567" w:hanging="567"/>
        <w:rPr>
          <w:noProof/>
          <w:szCs w:val="22"/>
          <w:lang w:val="it-IT"/>
        </w:rPr>
        <w:pPrChange w:id="10181" w:author="Author">
          <w:pPr>
            <w:tabs>
              <w:tab w:val="left" w:pos="700"/>
            </w:tabs>
            <w:ind w:left="360" w:hanging="502"/>
          </w:pPr>
        </w:pPrChange>
      </w:pPr>
      <w:r>
        <w:rPr>
          <w:rFonts w:eastAsia="SimSun"/>
          <w:noProof/>
          <w:lang w:val="it-IT" w:eastAsia="zh-CN"/>
        </w:rPr>
        <w:sym w:font="Symbol" w:char="F0B7"/>
      </w:r>
      <w:r>
        <w:rPr>
          <w:rFonts w:eastAsia="SimSun"/>
          <w:noProof/>
          <w:lang w:val="it-IT" w:eastAsia="zh-CN"/>
        </w:rPr>
        <w:tab/>
      </w:r>
      <w:r>
        <w:rPr>
          <w:noProof/>
          <w:szCs w:val="22"/>
          <w:lang w:val="it-IT"/>
        </w:rPr>
        <w:t>febbre delle labbra (herpes simplex orale), formazione di vesciche</w:t>
      </w:r>
    </w:p>
    <w:p>
      <w:pPr>
        <w:tabs>
          <w:tab w:val="left" w:pos="700"/>
          <w:tab w:val="left" w:pos="993"/>
        </w:tabs>
        <w:ind w:left="567" w:hanging="567"/>
        <w:rPr>
          <w:noProof/>
          <w:szCs w:val="22"/>
          <w:lang w:val="it-IT"/>
        </w:rPr>
        <w:pPrChange w:id="10182" w:author="Author">
          <w:pPr>
            <w:tabs>
              <w:tab w:val="left" w:pos="700"/>
              <w:tab w:val="left" w:pos="993"/>
            </w:tabs>
            <w:ind w:left="360" w:hanging="502"/>
          </w:pPr>
        </w:pPrChange>
      </w:pPr>
      <w:r>
        <w:rPr>
          <w:rFonts w:eastAsia="SimSun"/>
          <w:noProof/>
          <w:lang w:val="it-IT" w:eastAsia="zh-CN"/>
        </w:rPr>
        <w:sym w:font="Symbol" w:char="F0B7"/>
      </w:r>
      <w:r>
        <w:rPr>
          <w:rFonts w:eastAsia="SimSun"/>
          <w:noProof/>
          <w:lang w:val="it-IT" w:eastAsia="zh-CN"/>
        </w:rPr>
        <w:tab/>
      </w:r>
      <w:r>
        <w:rPr>
          <w:noProof/>
          <w:szCs w:val="22"/>
          <w:lang w:val="it-IT"/>
        </w:rPr>
        <w:t>infezioni della pelle (cellulite) talvolta associate a febbre e brividi</w:t>
      </w:r>
    </w:p>
    <w:p>
      <w:pPr>
        <w:tabs>
          <w:tab w:val="left" w:pos="700"/>
        </w:tabs>
        <w:ind w:left="567" w:hanging="567"/>
        <w:rPr>
          <w:noProof/>
          <w:szCs w:val="22"/>
          <w:lang w:val="it-IT"/>
        </w:rPr>
        <w:pPrChange w:id="10183" w:author="Author">
          <w:pPr>
            <w:tabs>
              <w:tab w:val="left" w:pos="700"/>
            </w:tabs>
            <w:ind w:left="360" w:hanging="502"/>
          </w:pPr>
        </w:pPrChange>
      </w:pPr>
      <w:r>
        <w:rPr>
          <w:rFonts w:eastAsia="SimSun"/>
          <w:noProof/>
          <w:lang w:val="it-IT" w:eastAsia="zh-CN"/>
        </w:rPr>
        <w:sym w:font="Symbol" w:char="F0B7"/>
      </w:r>
      <w:r>
        <w:rPr>
          <w:rFonts w:eastAsia="SimSun"/>
          <w:noProof/>
          <w:lang w:val="it-IT" w:eastAsia="zh-CN"/>
        </w:rPr>
        <w:tab/>
      </w:r>
      <w:r>
        <w:rPr>
          <w:noProof/>
          <w:szCs w:val="22"/>
          <w:lang w:val="it-IT"/>
        </w:rPr>
        <w:t>eruzione cutanea e prurito, orticaria</w:t>
      </w:r>
    </w:p>
    <w:p>
      <w:pPr>
        <w:tabs>
          <w:tab w:val="left" w:pos="700"/>
        </w:tabs>
        <w:ind w:left="567" w:hanging="567"/>
        <w:rPr>
          <w:b/>
          <w:noProof/>
          <w:szCs w:val="22"/>
          <w:lang w:val="it-IT"/>
        </w:rPr>
        <w:pPrChange w:id="10184" w:author="Author">
          <w:pPr>
            <w:tabs>
              <w:tab w:val="left" w:pos="700"/>
            </w:tabs>
            <w:ind w:left="360" w:hanging="502"/>
          </w:pPr>
        </w:pPrChange>
      </w:pPr>
      <w:r>
        <w:rPr>
          <w:rFonts w:eastAsia="SimSun"/>
          <w:noProof/>
          <w:lang w:val="it-IT" w:eastAsia="zh-CN"/>
        </w:rPr>
        <w:lastRenderedPageBreak/>
        <w:sym w:font="Symbol" w:char="F0B7"/>
      </w:r>
      <w:r>
        <w:rPr>
          <w:rFonts w:eastAsia="SimSun"/>
          <w:noProof/>
          <w:lang w:val="it-IT" w:eastAsia="zh-CN"/>
        </w:rPr>
        <w:tab/>
      </w:r>
      <w:r>
        <w:rPr>
          <w:bCs/>
          <w:noProof/>
          <w:szCs w:val="22"/>
          <w:lang w:val="it-IT"/>
        </w:rPr>
        <w:t>reazioni allergiche (ipersensibilità)</w:t>
      </w:r>
    </w:p>
    <w:p>
      <w:pPr>
        <w:tabs>
          <w:tab w:val="left" w:pos="700"/>
        </w:tabs>
        <w:ind w:left="567" w:hanging="567"/>
        <w:rPr>
          <w:noProof/>
          <w:szCs w:val="22"/>
          <w:lang w:val="it-IT"/>
        </w:rPr>
        <w:pPrChange w:id="10185" w:author="Author">
          <w:pPr>
            <w:tabs>
              <w:tab w:val="left" w:pos="700"/>
            </w:tabs>
            <w:ind w:left="360" w:hanging="502"/>
          </w:pPr>
        </w:pPrChange>
      </w:pPr>
      <w:r>
        <w:rPr>
          <w:rFonts w:eastAsia="SimSun"/>
          <w:noProof/>
          <w:lang w:val="it-IT" w:eastAsia="zh-CN"/>
        </w:rPr>
        <w:sym w:font="Symbol" w:char="F0B7"/>
      </w:r>
      <w:r>
        <w:rPr>
          <w:rFonts w:eastAsia="SimSun"/>
          <w:noProof/>
          <w:lang w:val="it-IT" w:eastAsia="zh-CN"/>
        </w:rPr>
        <w:tab/>
      </w:r>
      <w:r>
        <w:rPr>
          <w:noProof/>
          <w:szCs w:val="22"/>
          <w:lang w:val="it-IT"/>
        </w:rPr>
        <w:t>infezione agli occhi (congiuntivite)</w:t>
      </w:r>
    </w:p>
    <w:p>
      <w:pPr>
        <w:tabs>
          <w:tab w:val="left" w:pos="700"/>
        </w:tabs>
        <w:ind w:left="567" w:hanging="567"/>
        <w:rPr>
          <w:noProof/>
          <w:szCs w:val="22"/>
          <w:lang w:val="it-IT"/>
        </w:rPr>
        <w:pPrChange w:id="10186" w:author="Author">
          <w:pPr>
            <w:tabs>
              <w:tab w:val="left" w:pos="700"/>
            </w:tabs>
            <w:ind w:left="360" w:hanging="502"/>
          </w:pPr>
        </w:pPrChange>
      </w:pPr>
      <w:r>
        <w:rPr>
          <w:rFonts w:eastAsia="SimSun"/>
          <w:noProof/>
          <w:lang w:val="it-IT" w:eastAsia="zh-CN"/>
        </w:rPr>
        <w:sym w:font="Symbol" w:char="F0B7"/>
      </w:r>
      <w:r>
        <w:rPr>
          <w:rFonts w:eastAsia="SimSun"/>
          <w:noProof/>
          <w:lang w:val="it-IT" w:eastAsia="zh-CN"/>
        </w:rPr>
        <w:tab/>
      </w:r>
      <w:r>
        <w:rPr>
          <w:noProof/>
          <w:szCs w:val="22"/>
          <w:lang w:val="it-IT"/>
        </w:rPr>
        <w:t>mal di testa, capogiri, pressione sanguigna elevata</w:t>
      </w:r>
    </w:p>
    <w:p>
      <w:pPr>
        <w:tabs>
          <w:tab w:val="left" w:pos="700"/>
        </w:tabs>
        <w:ind w:left="567" w:hanging="567"/>
        <w:rPr>
          <w:noProof/>
          <w:szCs w:val="22"/>
          <w:lang w:val="it-IT"/>
        </w:rPr>
        <w:pPrChange w:id="10187" w:author="Author">
          <w:pPr>
            <w:tabs>
              <w:tab w:val="left" w:pos="700"/>
            </w:tabs>
            <w:ind w:left="360" w:hanging="502"/>
          </w:pPr>
        </w:pPrChange>
      </w:pPr>
      <w:r>
        <w:rPr>
          <w:rFonts w:eastAsia="SimSun"/>
          <w:noProof/>
          <w:lang w:val="it-IT" w:eastAsia="zh-CN"/>
        </w:rPr>
        <w:sym w:font="Symbol" w:char="F0B7"/>
      </w:r>
      <w:r>
        <w:rPr>
          <w:rFonts w:eastAsia="SimSun"/>
          <w:noProof/>
          <w:lang w:val="it-IT" w:eastAsia="zh-CN"/>
        </w:rPr>
        <w:tab/>
      </w:r>
      <w:r>
        <w:rPr>
          <w:noProof/>
          <w:szCs w:val="22"/>
          <w:lang w:val="it-IT"/>
        </w:rPr>
        <w:t>ulcere della bocca, mal di stomaco</w:t>
      </w:r>
    </w:p>
    <w:p>
      <w:pPr>
        <w:tabs>
          <w:tab w:val="left" w:pos="700"/>
        </w:tabs>
        <w:ind w:left="567" w:hanging="567"/>
        <w:rPr>
          <w:noProof/>
          <w:szCs w:val="22"/>
          <w:lang w:val="it-IT"/>
        </w:rPr>
        <w:pPrChange w:id="10188" w:author="Author">
          <w:pPr>
            <w:tabs>
              <w:tab w:val="left" w:pos="700"/>
            </w:tabs>
            <w:ind w:left="360" w:hanging="502"/>
          </w:pPr>
        </w:pPrChange>
      </w:pPr>
      <w:r>
        <w:rPr>
          <w:rFonts w:eastAsia="SimSun"/>
          <w:noProof/>
          <w:lang w:val="it-IT" w:eastAsia="zh-CN"/>
        </w:rPr>
        <w:sym w:font="Symbol" w:char="F0B7"/>
      </w:r>
      <w:r>
        <w:rPr>
          <w:rFonts w:eastAsia="SimSun"/>
          <w:noProof/>
          <w:lang w:val="it-IT" w:eastAsia="zh-CN"/>
        </w:rPr>
        <w:tab/>
      </w:r>
      <w:r>
        <w:rPr>
          <w:noProof/>
          <w:szCs w:val="22"/>
          <w:lang w:val="it-IT"/>
        </w:rPr>
        <w:t xml:space="preserve">ritenzione idrica (edema) nella parte inferiore delle gambe, aumento del peso </w:t>
      </w:r>
    </w:p>
    <w:p>
      <w:pPr>
        <w:tabs>
          <w:tab w:val="left" w:pos="700"/>
        </w:tabs>
        <w:ind w:left="567" w:hanging="567"/>
        <w:rPr>
          <w:noProof/>
          <w:szCs w:val="22"/>
          <w:lang w:val="it-IT"/>
        </w:rPr>
        <w:pPrChange w:id="10189" w:author="Author">
          <w:pPr>
            <w:tabs>
              <w:tab w:val="left" w:pos="700"/>
            </w:tabs>
            <w:ind w:left="360" w:hanging="502"/>
          </w:pPr>
        </w:pPrChange>
      </w:pPr>
      <w:r>
        <w:rPr>
          <w:rFonts w:eastAsia="SimSun"/>
          <w:noProof/>
          <w:lang w:val="it-IT" w:eastAsia="zh-CN"/>
        </w:rPr>
        <w:sym w:font="Symbol" w:char="F0B7"/>
      </w:r>
      <w:r>
        <w:rPr>
          <w:rFonts w:eastAsia="SimSun"/>
          <w:noProof/>
          <w:lang w:val="it-IT" w:eastAsia="zh-CN"/>
        </w:rPr>
        <w:tab/>
      </w:r>
      <w:r>
        <w:rPr>
          <w:noProof/>
          <w:szCs w:val="22"/>
          <w:lang w:val="it-IT"/>
        </w:rPr>
        <w:t>tosse, respiro corto</w:t>
      </w:r>
    </w:p>
    <w:p>
      <w:pPr>
        <w:tabs>
          <w:tab w:val="left" w:pos="700"/>
        </w:tabs>
        <w:ind w:left="567" w:hanging="567"/>
        <w:rPr>
          <w:noProof/>
          <w:szCs w:val="22"/>
          <w:lang w:val="it-IT"/>
        </w:rPr>
        <w:pPrChange w:id="10190" w:author="Author">
          <w:pPr>
            <w:tabs>
              <w:tab w:val="left" w:pos="700"/>
            </w:tabs>
            <w:ind w:left="360" w:hanging="502"/>
          </w:pPr>
        </w:pPrChange>
      </w:pPr>
      <w:r>
        <w:rPr>
          <w:rFonts w:eastAsia="SimSun"/>
          <w:noProof/>
          <w:lang w:val="it-IT" w:eastAsia="zh-CN"/>
        </w:rPr>
        <w:sym w:font="Symbol" w:char="F0B7"/>
      </w:r>
      <w:r>
        <w:rPr>
          <w:rFonts w:eastAsia="SimSun"/>
          <w:noProof/>
          <w:lang w:val="it-IT" w:eastAsia="zh-CN"/>
        </w:rPr>
        <w:tab/>
      </w:r>
      <w:r>
        <w:rPr>
          <w:noProof/>
          <w:szCs w:val="22"/>
          <w:lang w:val="it-IT"/>
        </w:rPr>
        <w:t>basso numero dei globuli bianchi (neutropenia, leucopenia) rilevato tramite gli esami del sangue</w:t>
      </w:r>
    </w:p>
    <w:p>
      <w:pPr>
        <w:tabs>
          <w:tab w:val="left" w:pos="700"/>
        </w:tabs>
        <w:ind w:left="567" w:hanging="567"/>
        <w:rPr>
          <w:noProof/>
          <w:szCs w:val="22"/>
          <w:lang w:val="it-IT"/>
        </w:rPr>
        <w:pPrChange w:id="10191" w:author="Author">
          <w:pPr>
            <w:tabs>
              <w:tab w:val="left" w:pos="700"/>
            </w:tabs>
            <w:ind w:left="360" w:hanging="502"/>
          </w:pPr>
        </w:pPrChange>
      </w:pPr>
      <w:r>
        <w:rPr>
          <w:rFonts w:eastAsia="SimSun"/>
          <w:noProof/>
          <w:lang w:val="it-IT" w:eastAsia="zh-CN"/>
        </w:rPr>
        <w:sym w:font="Symbol" w:char="F0B7"/>
      </w:r>
      <w:r>
        <w:rPr>
          <w:rFonts w:eastAsia="SimSun"/>
          <w:noProof/>
          <w:lang w:val="it-IT" w:eastAsia="zh-CN"/>
        </w:rPr>
        <w:tab/>
      </w:r>
      <w:r>
        <w:rPr>
          <w:noProof/>
          <w:szCs w:val="22"/>
          <w:lang w:val="it-IT"/>
        </w:rPr>
        <w:t>anomalie nei test di funzionalità del fegato (aumento delle transaminasi)</w:t>
      </w:r>
    </w:p>
    <w:p>
      <w:pPr>
        <w:tabs>
          <w:tab w:val="left" w:pos="700"/>
        </w:tabs>
        <w:ind w:left="567" w:hanging="567"/>
        <w:rPr>
          <w:noProof/>
          <w:szCs w:val="22"/>
          <w:lang w:val="it-IT"/>
        </w:rPr>
        <w:pPrChange w:id="10192" w:author="Author">
          <w:pPr>
            <w:tabs>
              <w:tab w:val="left" w:pos="700"/>
            </w:tabs>
            <w:ind w:left="360" w:hanging="502"/>
          </w:pPr>
        </w:pPrChange>
      </w:pPr>
      <w:r>
        <w:rPr>
          <w:rFonts w:eastAsia="SimSun"/>
          <w:noProof/>
          <w:lang w:val="it-IT" w:eastAsia="zh-CN"/>
        </w:rPr>
        <w:sym w:font="Symbol" w:char="F0B7"/>
      </w:r>
      <w:r>
        <w:rPr>
          <w:rFonts w:eastAsia="SimSun"/>
          <w:noProof/>
          <w:lang w:val="it-IT" w:eastAsia="zh-CN"/>
        </w:rPr>
        <w:tab/>
      </w:r>
      <w:r>
        <w:rPr>
          <w:noProof/>
          <w:szCs w:val="22"/>
          <w:lang w:val="it-IT"/>
        </w:rPr>
        <w:t>aumento della bilirubina come evidenziato negli esami del sangue</w:t>
      </w:r>
    </w:p>
    <w:p>
      <w:pPr>
        <w:tabs>
          <w:tab w:val="left" w:pos="700"/>
        </w:tabs>
        <w:ind w:left="567" w:hanging="567"/>
        <w:rPr>
          <w:noProof/>
          <w:szCs w:val="22"/>
          <w:lang w:val="it-IT"/>
        </w:rPr>
        <w:pPrChange w:id="10193" w:author="Author">
          <w:pPr>
            <w:tabs>
              <w:tab w:val="left" w:pos="700"/>
            </w:tabs>
            <w:ind w:left="360" w:hanging="502"/>
          </w:pPr>
        </w:pPrChange>
      </w:pPr>
      <w:r>
        <w:rPr>
          <w:rFonts w:eastAsia="SimSun"/>
          <w:noProof/>
          <w:lang w:val="it-IT" w:eastAsia="zh-CN"/>
        </w:rPr>
        <w:sym w:font="Symbol" w:char="F0B7"/>
      </w:r>
      <w:r>
        <w:rPr>
          <w:rFonts w:eastAsia="SimSun"/>
          <w:noProof/>
          <w:lang w:val="it-IT" w:eastAsia="zh-CN"/>
        </w:rPr>
        <w:tab/>
        <w:t>bassi livelli di fibrinogeno nel sangue (una proteina coinvolta nella coagulazione del sangue).</w:t>
      </w:r>
    </w:p>
    <w:p>
      <w:pPr>
        <w:keepNext/>
        <w:keepLines/>
        <w:tabs>
          <w:tab w:val="left" w:pos="180"/>
          <w:tab w:val="left" w:pos="700"/>
        </w:tabs>
        <w:rPr>
          <w:noProof/>
          <w:szCs w:val="22"/>
          <w:lang w:val="it-IT"/>
        </w:rPr>
      </w:pPr>
    </w:p>
    <w:p>
      <w:pPr>
        <w:keepNext/>
        <w:keepLines/>
        <w:tabs>
          <w:tab w:val="left" w:pos="180"/>
          <w:tab w:val="left" w:pos="567"/>
        </w:tabs>
        <w:rPr>
          <w:noProof/>
          <w:szCs w:val="22"/>
          <w:lang w:val="it-IT"/>
        </w:rPr>
      </w:pPr>
      <w:r>
        <w:rPr>
          <w:b/>
          <w:noProof/>
          <w:szCs w:val="22"/>
          <w:lang w:val="it-IT"/>
        </w:rPr>
        <w:t>Effetti indesiderati non comuni</w:t>
      </w:r>
      <w:ins w:id="10194" w:author="Author">
        <w:r>
          <w:rPr>
            <w:b/>
            <w:noProof/>
            <w:szCs w:val="22"/>
            <w:lang w:val="it-IT"/>
          </w:rPr>
          <w:t>:</w:t>
        </w:r>
      </w:ins>
    </w:p>
    <w:p>
      <w:pPr>
        <w:keepNext/>
        <w:keepLines/>
        <w:tabs>
          <w:tab w:val="left" w:pos="180"/>
          <w:tab w:val="left" w:pos="567"/>
        </w:tabs>
        <w:rPr>
          <w:i/>
          <w:noProof/>
          <w:szCs w:val="22"/>
          <w:lang w:val="it-IT"/>
        </w:rPr>
      </w:pPr>
      <w:bookmarkStart w:id="10195" w:name="_Hlk12053312"/>
      <w:r>
        <w:rPr>
          <w:i/>
          <w:noProof/>
          <w:szCs w:val="22"/>
          <w:lang w:val="it-IT"/>
        </w:rPr>
        <w:t>Questi possono colpire fino a 1 persona</w:t>
      </w:r>
      <w:ins w:id="10196" w:author="Author">
        <w:r>
          <w:rPr>
            <w:i/>
            <w:noProof/>
            <w:szCs w:val="22"/>
            <w:lang w:val="it-IT"/>
          </w:rPr>
          <w:t xml:space="preserve"> </w:t>
        </w:r>
      </w:ins>
      <w:r>
        <w:rPr>
          <w:i/>
          <w:noProof/>
          <w:szCs w:val="22"/>
          <w:lang w:val="it-IT"/>
        </w:rPr>
        <w:t>su 100</w:t>
      </w:r>
      <w:bookmarkEnd w:id="10195"/>
    </w:p>
    <w:p>
      <w:pPr>
        <w:keepNext/>
        <w:keepLines/>
        <w:ind w:left="567" w:hanging="567"/>
        <w:rPr>
          <w:noProof/>
          <w:szCs w:val="22"/>
          <w:lang w:val="it-IT"/>
        </w:rPr>
        <w:pPrChange w:id="10197" w:author="Author">
          <w:pPr>
            <w:keepNext/>
            <w:keepLines/>
            <w:tabs>
              <w:tab w:val="left" w:pos="180"/>
            </w:tabs>
            <w:ind w:left="686" w:hanging="828"/>
          </w:pPr>
        </w:pPrChange>
      </w:pPr>
      <w:r>
        <w:rPr>
          <w:rFonts w:eastAsia="SimSun"/>
          <w:noProof/>
          <w:lang w:val="it-IT" w:eastAsia="zh-CN"/>
        </w:rPr>
        <w:sym w:font="Symbol" w:char="F0B7"/>
      </w:r>
      <w:r>
        <w:rPr>
          <w:rFonts w:eastAsia="SimSun"/>
          <w:noProof/>
          <w:lang w:val="it-IT" w:eastAsia="zh-CN"/>
        </w:rPr>
        <w:tab/>
      </w:r>
      <w:r>
        <w:rPr>
          <w:bCs/>
          <w:noProof/>
          <w:szCs w:val="22"/>
          <w:lang w:val="it-IT"/>
        </w:rPr>
        <w:t>diverticolite (febbre, nausea, diarrea, stipsi, mal di stomaco)</w:t>
      </w:r>
    </w:p>
    <w:p>
      <w:pPr>
        <w:keepNext/>
        <w:keepLines/>
        <w:ind w:left="567" w:hanging="567"/>
        <w:rPr>
          <w:noProof/>
          <w:szCs w:val="22"/>
          <w:lang w:val="it-IT"/>
        </w:rPr>
        <w:pPrChange w:id="10198" w:author="Author">
          <w:pPr>
            <w:keepNext/>
            <w:keepLines/>
            <w:tabs>
              <w:tab w:val="left" w:pos="180"/>
            </w:tabs>
            <w:ind w:left="680" w:hanging="828"/>
          </w:pPr>
        </w:pPrChange>
      </w:pPr>
      <w:r>
        <w:rPr>
          <w:rFonts w:eastAsia="SimSun"/>
          <w:noProof/>
          <w:lang w:val="it-IT" w:eastAsia="zh-CN"/>
        </w:rPr>
        <w:sym w:font="Symbol" w:char="F0B7"/>
      </w:r>
      <w:r>
        <w:rPr>
          <w:rFonts w:eastAsia="SimSun"/>
          <w:noProof/>
          <w:lang w:val="it-IT" w:eastAsia="zh-CN"/>
        </w:rPr>
        <w:tab/>
      </w:r>
      <w:r>
        <w:rPr>
          <w:bCs/>
          <w:noProof/>
          <w:szCs w:val="22"/>
          <w:lang w:val="it-IT"/>
        </w:rPr>
        <w:t>aree arrossate e gonfie nella bocca</w:t>
      </w:r>
    </w:p>
    <w:p>
      <w:pPr>
        <w:keepNext/>
        <w:keepLines/>
        <w:ind w:left="567" w:hanging="567"/>
        <w:rPr>
          <w:noProof/>
          <w:szCs w:val="22"/>
          <w:lang w:val="it-IT"/>
        </w:rPr>
        <w:pPrChange w:id="10199" w:author="Author">
          <w:pPr>
            <w:keepNext/>
            <w:keepLines/>
            <w:tabs>
              <w:tab w:val="left" w:pos="180"/>
            </w:tabs>
            <w:ind w:left="680" w:hanging="828"/>
          </w:pPr>
        </w:pPrChange>
      </w:pPr>
      <w:r>
        <w:rPr>
          <w:rFonts w:eastAsia="SimSun"/>
          <w:noProof/>
          <w:lang w:val="it-IT" w:eastAsia="zh-CN"/>
        </w:rPr>
        <w:sym w:font="Symbol" w:char="F0B7"/>
      </w:r>
      <w:r>
        <w:rPr>
          <w:rFonts w:eastAsia="SimSun"/>
          <w:noProof/>
          <w:lang w:val="it-IT" w:eastAsia="zh-CN"/>
        </w:rPr>
        <w:tab/>
      </w:r>
      <w:r>
        <w:rPr>
          <w:bCs/>
          <w:noProof/>
          <w:szCs w:val="22"/>
          <w:lang w:val="it-IT"/>
        </w:rPr>
        <w:t>elevati livelli di grassi nel sangue (trigliceridi)</w:t>
      </w:r>
    </w:p>
    <w:p>
      <w:pPr>
        <w:ind w:left="567" w:hanging="567"/>
        <w:rPr>
          <w:noProof/>
          <w:szCs w:val="22"/>
          <w:lang w:val="it-IT"/>
        </w:rPr>
        <w:pPrChange w:id="10200" w:author="Author">
          <w:pPr>
            <w:tabs>
              <w:tab w:val="left" w:pos="180"/>
            </w:tabs>
            <w:ind w:left="680" w:hanging="828"/>
          </w:pPr>
        </w:pPrChange>
      </w:pPr>
      <w:r>
        <w:rPr>
          <w:rFonts w:eastAsia="SimSun"/>
          <w:noProof/>
          <w:lang w:val="it-IT" w:eastAsia="zh-CN"/>
        </w:rPr>
        <w:sym w:font="Symbol" w:char="F0B7"/>
      </w:r>
      <w:r>
        <w:rPr>
          <w:rFonts w:eastAsia="SimSun"/>
          <w:noProof/>
          <w:lang w:val="it-IT" w:eastAsia="zh-CN"/>
        </w:rPr>
        <w:tab/>
      </w:r>
      <w:r>
        <w:rPr>
          <w:bCs/>
          <w:noProof/>
          <w:szCs w:val="22"/>
          <w:lang w:val="it-IT"/>
        </w:rPr>
        <w:t>ulcera gastrica</w:t>
      </w:r>
    </w:p>
    <w:p>
      <w:pPr>
        <w:ind w:left="567" w:hanging="567"/>
        <w:rPr>
          <w:noProof/>
          <w:szCs w:val="22"/>
          <w:lang w:val="it-IT"/>
        </w:rPr>
        <w:pPrChange w:id="10201" w:author="Author">
          <w:pPr>
            <w:tabs>
              <w:tab w:val="left" w:pos="180"/>
            </w:tabs>
            <w:ind w:left="680" w:hanging="828"/>
          </w:pPr>
        </w:pPrChange>
      </w:pPr>
      <w:r>
        <w:rPr>
          <w:rFonts w:eastAsia="SimSun"/>
          <w:noProof/>
          <w:lang w:val="it-IT" w:eastAsia="zh-CN"/>
        </w:rPr>
        <w:sym w:font="Symbol" w:char="F0B7"/>
      </w:r>
      <w:r>
        <w:rPr>
          <w:rFonts w:eastAsia="SimSun"/>
          <w:noProof/>
          <w:lang w:val="it-IT" w:eastAsia="zh-CN"/>
        </w:rPr>
        <w:tab/>
      </w:r>
      <w:r>
        <w:rPr>
          <w:bCs/>
          <w:noProof/>
          <w:szCs w:val="22"/>
          <w:lang w:val="it-IT"/>
        </w:rPr>
        <w:t>calcoli renali</w:t>
      </w:r>
    </w:p>
    <w:p>
      <w:pPr>
        <w:ind w:left="567" w:hanging="567"/>
        <w:rPr>
          <w:noProof/>
          <w:szCs w:val="22"/>
          <w:lang w:val="it-IT"/>
        </w:rPr>
        <w:pPrChange w:id="10202" w:author="Author">
          <w:pPr>
            <w:tabs>
              <w:tab w:val="left" w:pos="180"/>
            </w:tabs>
            <w:ind w:left="680" w:hanging="828"/>
          </w:pPr>
        </w:pPrChange>
      </w:pPr>
      <w:r>
        <w:rPr>
          <w:rFonts w:eastAsia="SimSun"/>
          <w:noProof/>
          <w:lang w:val="it-IT" w:eastAsia="zh-CN"/>
        </w:rPr>
        <w:sym w:font="Symbol" w:char="F0B7"/>
      </w:r>
      <w:r>
        <w:rPr>
          <w:rFonts w:eastAsia="SimSun"/>
          <w:noProof/>
          <w:lang w:val="it-IT" w:eastAsia="zh-CN"/>
        </w:rPr>
        <w:tab/>
      </w:r>
      <w:r>
        <w:rPr>
          <w:bCs/>
          <w:noProof/>
          <w:szCs w:val="22"/>
          <w:lang w:val="it-IT"/>
        </w:rPr>
        <w:t>ipotiroidismo</w:t>
      </w:r>
    </w:p>
    <w:p>
      <w:pPr>
        <w:tabs>
          <w:tab w:val="left" w:pos="180"/>
          <w:tab w:val="left" w:pos="567"/>
        </w:tabs>
        <w:rPr>
          <w:noProof/>
          <w:szCs w:val="22"/>
          <w:lang w:val="it-IT"/>
        </w:rPr>
      </w:pPr>
    </w:p>
    <w:p>
      <w:pPr>
        <w:pStyle w:val="Standard"/>
        <w:keepNext/>
        <w:keepLines/>
        <w:rPr>
          <w:b/>
          <w:noProof/>
          <w:szCs w:val="22"/>
          <w:lang w:val="it-IT"/>
        </w:rPr>
      </w:pPr>
      <w:r>
        <w:rPr>
          <w:b/>
          <w:noProof/>
          <w:szCs w:val="22"/>
          <w:lang w:val="it-IT"/>
        </w:rPr>
        <w:t>Effetti indesiderati rari</w:t>
      </w:r>
      <w:ins w:id="10203" w:author="Author">
        <w:r>
          <w:rPr>
            <w:b/>
            <w:noProof/>
            <w:szCs w:val="22"/>
            <w:lang w:val="it-IT"/>
          </w:rPr>
          <w:t>:</w:t>
        </w:r>
      </w:ins>
    </w:p>
    <w:p>
      <w:pPr>
        <w:pStyle w:val="Standard"/>
        <w:keepNext/>
        <w:keepLines/>
        <w:rPr>
          <w:i/>
          <w:noProof/>
          <w:lang w:val="it-IT"/>
        </w:rPr>
      </w:pPr>
      <w:r>
        <w:rPr>
          <w:i/>
          <w:noProof/>
          <w:lang w:val="it-IT"/>
        </w:rPr>
        <w:t>Questi possono colpire fino a 1 persona</w:t>
      </w:r>
      <w:ins w:id="10204" w:author="Author">
        <w:r>
          <w:rPr>
            <w:i/>
            <w:noProof/>
            <w:lang w:val="it-IT"/>
          </w:rPr>
          <w:t xml:space="preserve"> </w:t>
        </w:r>
      </w:ins>
      <w:r>
        <w:rPr>
          <w:i/>
          <w:noProof/>
          <w:lang w:val="it-IT"/>
        </w:rPr>
        <w:t>su 1</w:t>
      </w:r>
      <w:ins w:id="10205" w:author="Author">
        <w:r>
          <w:rPr>
            <w:i/>
            <w:noProof/>
            <w:lang w:val="it-IT"/>
          </w:rPr>
          <w:t> </w:t>
        </w:r>
      </w:ins>
      <w:r>
        <w:rPr>
          <w:i/>
          <w:noProof/>
          <w:lang w:val="it-IT"/>
        </w:rPr>
        <w:t>000</w:t>
      </w:r>
    </w:p>
    <w:p>
      <w:pPr>
        <w:pStyle w:val="Standard"/>
        <w:ind w:left="567" w:hanging="567"/>
        <w:rPr>
          <w:noProof/>
          <w:lang w:val="it-IT"/>
        </w:rPr>
        <w:pPrChange w:id="10206" w:author="Author">
          <w:pPr>
            <w:pStyle w:val="Standard"/>
            <w:ind w:left="561" w:hanging="561"/>
          </w:pPr>
        </w:pPrChange>
      </w:pPr>
      <w:r>
        <w:rPr>
          <w:noProof/>
          <w:lang w:val="it-IT"/>
          <w:rPrChange w:id="10207" w:author="Author">
            <w:rPr>
              <w:rFonts w:ascii="Symbol" w:hAnsi="Symbol"/>
              <w:lang w:val="it-IT"/>
            </w:rPr>
          </w:rPrChange>
        </w:rPr>
        <w:sym w:font="Symbol" w:char="F0B7"/>
      </w:r>
      <w:r>
        <w:rPr>
          <w:noProof/>
          <w:lang w:val="it-IT"/>
        </w:rPr>
        <w:tab/>
        <w:t>sindrome di Stevens-Johnson (eruzione cutanea, che può comportare formazione di vesciche gravi e desquamazione della pelle)</w:t>
      </w:r>
    </w:p>
    <w:p>
      <w:pPr>
        <w:pStyle w:val="Standard"/>
        <w:ind w:left="567" w:hanging="567"/>
        <w:rPr>
          <w:noProof/>
          <w:lang w:val="it-IT"/>
          <w:rPrChange w:id="10208" w:author="Author">
            <w:rPr>
              <w:rFonts w:ascii="Symbol" w:hAnsi="Symbol"/>
              <w:lang w:val="it-IT"/>
            </w:rPr>
          </w:rPrChange>
        </w:rPr>
        <w:pPrChange w:id="10209" w:author="Author">
          <w:pPr>
            <w:pStyle w:val="Standard"/>
            <w:ind w:left="561" w:hanging="561"/>
          </w:pPr>
        </w:pPrChange>
      </w:pPr>
      <w:r>
        <w:rPr>
          <w:noProof/>
          <w:lang w:val="it-IT"/>
          <w:rPrChange w:id="10210" w:author="Author">
            <w:rPr>
              <w:rFonts w:ascii="Symbol" w:hAnsi="Symbol"/>
              <w:lang w:val="it-IT"/>
            </w:rPr>
          </w:rPrChange>
        </w:rPr>
        <w:sym w:font="Symbol" w:char="F0B7"/>
      </w:r>
      <w:r>
        <w:rPr>
          <w:noProof/>
          <w:lang w:val="it-IT"/>
        </w:rPr>
        <w:tab/>
        <w:t>reazioni allergiche fatali (anafilassi</w:t>
      </w:r>
      <w:ins w:id="10211" w:author="Author">
        <w:r>
          <w:rPr>
            <w:noProof/>
            <w:lang w:val="it-IT"/>
          </w:rPr>
          <w:t>)</w:t>
        </w:r>
      </w:ins>
      <w:r>
        <w:rPr>
          <w:noProof/>
          <w:lang w:val="it-IT"/>
        </w:rPr>
        <w:t xml:space="preserve"> </w:t>
      </w:r>
    </w:p>
    <w:p>
      <w:pPr>
        <w:pStyle w:val="Standard"/>
        <w:ind w:left="567" w:hanging="567"/>
        <w:rPr>
          <w:noProof/>
          <w:lang w:val="it-IT"/>
        </w:rPr>
        <w:pPrChange w:id="10212" w:author="Author">
          <w:pPr>
            <w:pStyle w:val="Standard"/>
            <w:ind w:left="561" w:hanging="561"/>
          </w:pPr>
        </w:pPrChange>
      </w:pPr>
      <w:r>
        <w:rPr>
          <w:noProof/>
          <w:lang w:val="it-IT"/>
          <w:rPrChange w:id="10213" w:author="Author">
            <w:rPr>
              <w:rFonts w:ascii="Symbol" w:hAnsi="Symbol"/>
              <w:lang w:val="it-IT"/>
            </w:rPr>
          </w:rPrChange>
        </w:rPr>
        <w:sym w:font="Symbol" w:char="F0B7"/>
      </w:r>
      <w:r>
        <w:rPr>
          <w:noProof/>
          <w:lang w:val="it-IT"/>
        </w:rPr>
        <w:tab/>
        <w:t>infiammazione del fegato (epatite), ittero</w:t>
      </w:r>
    </w:p>
    <w:p>
      <w:pPr>
        <w:tabs>
          <w:tab w:val="left" w:pos="180"/>
          <w:tab w:val="left" w:pos="567"/>
        </w:tabs>
        <w:rPr>
          <w:noProof/>
          <w:szCs w:val="22"/>
          <w:lang w:val="it-IT"/>
        </w:rPr>
      </w:pPr>
    </w:p>
    <w:p>
      <w:pPr>
        <w:keepNext/>
        <w:keepLines/>
        <w:tabs>
          <w:tab w:val="left" w:pos="180"/>
          <w:tab w:val="left" w:pos="567"/>
        </w:tabs>
        <w:rPr>
          <w:noProof/>
          <w:szCs w:val="22"/>
          <w:lang w:val="it-IT"/>
        </w:rPr>
      </w:pPr>
      <w:r>
        <w:rPr>
          <w:b/>
          <w:noProof/>
          <w:szCs w:val="22"/>
          <w:lang w:val="it-IT"/>
        </w:rPr>
        <w:t>Effetti indesiderati molto rari</w:t>
      </w:r>
      <w:ins w:id="10214" w:author="Author">
        <w:r>
          <w:rPr>
            <w:b/>
            <w:noProof/>
            <w:szCs w:val="22"/>
            <w:lang w:val="it-IT"/>
          </w:rPr>
          <w:t>:</w:t>
        </w:r>
      </w:ins>
    </w:p>
    <w:p>
      <w:pPr>
        <w:keepNext/>
        <w:keepLines/>
        <w:tabs>
          <w:tab w:val="left" w:pos="180"/>
          <w:tab w:val="left" w:pos="567"/>
        </w:tabs>
        <w:rPr>
          <w:i/>
          <w:noProof/>
          <w:szCs w:val="22"/>
          <w:lang w:val="it-IT"/>
        </w:rPr>
      </w:pPr>
      <w:r>
        <w:rPr>
          <w:i/>
          <w:noProof/>
          <w:szCs w:val="22"/>
          <w:lang w:val="it-IT"/>
        </w:rPr>
        <w:t>Questi possono colpire fino a 1 personasu 10</w:t>
      </w:r>
      <w:ins w:id="10215" w:author="Author">
        <w:r>
          <w:rPr>
            <w:i/>
            <w:noProof/>
            <w:szCs w:val="22"/>
            <w:lang w:val="it-IT"/>
          </w:rPr>
          <w:t> </w:t>
        </w:r>
      </w:ins>
      <w:del w:id="10216" w:author="Author">
        <w:r>
          <w:rPr>
            <w:i/>
            <w:noProof/>
            <w:szCs w:val="22"/>
            <w:lang w:val="it-IT"/>
          </w:rPr>
          <w:delText>.</w:delText>
        </w:r>
      </w:del>
      <w:r>
        <w:rPr>
          <w:i/>
          <w:noProof/>
          <w:szCs w:val="22"/>
          <w:lang w:val="it-IT"/>
        </w:rPr>
        <w:t>000</w:t>
      </w:r>
    </w:p>
    <w:p>
      <w:pPr>
        <w:keepNext/>
        <w:keepLines/>
        <w:ind w:left="567" w:hanging="567"/>
        <w:rPr>
          <w:noProof/>
          <w:szCs w:val="22"/>
          <w:lang w:val="it-IT"/>
        </w:rPr>
        <w:pPrChange w:id="10217" w:author="Author">
          <w:pPr>
            <w:keepNext/>
            <w:keepLines/>
            <w:tabs>
              <w:tab w:val="left" w:pos="180"/>
            </w:tabs>
            <w:ind w:left="680" w:hanging="323"/>
          </w:pPr>
        </w:pPrChange>
      </w:pPr>
      <w:r>
        <w:rPr>
          <w:rFonts w:eastAsia="SimSun"/>
          <w:noProof/>
          <w:lang w:val="it-IT" w:eastAsia="zh-CN"/>
        </w:rPr>
        <w:sym w:font="Symbol" w:char="F0B7"/>
      </w:r>
      <w:r>
        <w:rPr>
          <w:rFonts w:eastAsia="SimSun"/>
          <w:noProof/>
          <w:lang w:val="it-IT" w:eastAsia="zh-CN"/>
        </w:rPr>
        <w:tab/>
      </w:r>
      <w:r>
        <w:rPr>
          <w:noProof/>
          <w:szCs w:val="22"/>
          <w:lang w:val="it-IT"/>
        </w:rPr>
        <w:t>basso numero dei globuli bianchi, dei globuli rossi e delle piastrine negli esami del sangue</w:t>
      </w:r>
    </w:p>
    <w:p>
      <w:pPr>
        <w:keepNext/>
        <w:keepLines/>
        <w:ind w:left="567" w:hanging="567"/>
        <w:rPr>
          <w:noProof/>
          <w:szCs w:val="22"/>
          <w:lang w:val="it-IT" w:eastAsia="it-IT" w:bidi="it-IT"/>
        </w:rPr>
        <w:pPrChange w:id="10218" w:author="Author">
          <w:pPr>
            <w:keepNext/>
            <w:keepLines/>
            <w:tabs>
              <w:tab w:val="left" w:pos="180"/>
            </w:tabs>
            <w:ind w:left="680" w:hanging="323"/>
          </w:pPr>
        </w:pPrChange>
      </w:pPr>
      <w:r>
        <w:rPr>
          <w:rFonts w:eastAsia="SimSun"/>
          <w:noProof/>
          <w:lang w:val="it-IT" w:eastAsia="zh-CN"/>
        </w:rPr>
        <w:sym w:font="Symbol" w:char="F0B7"/>
      </w:r>
      <w:r>
        <w:rPr>
          <w:rFonts w:eastAsia="SimSun"/>
          <w:noProof/>
          <w:lang w:val="it-IT" w:eastAsia="zh-CN"/>
        </w:rPr>
        <w:tab/>
      </w:r>
      <w:r>
        <w:rPr>
          <w:noProof/>
          <w:szCs w:val="22"/>
          <w:lang w:val="it-IT"/>
        </w:rPr>
        <w:t>insufficienza epatica</w:t>
      </w:r>
    </w:p>
    <w:p>
      <w:pPr>
        <w:tabs>
          <w:tab w:val="left" w:pos="180"/>
        </w:tabs>
        <w:ind w:left="680" w:hanging="323"/>
        <w:rPr>
          <w:noProof/>
          <w:szCs w:val="22"/>
          <w:lang w:val="it-IT" w:eastAsia="it-IT" w:bidi="it-IT"/>
        </w:rPr>
      </w:pPr>
    </w:p>
    <w:p>
      <w:pPr>
        <w:keepNext/>
        <w:keepLines/>
        <w:tabs>
          <w:tab w:val="left" w:pos="180"/>
          <w:tab w:val="left" w:pos="6300"/>
        </w:tabs>
        <w:rPr>
          <w:b/>
          <w:noProof/>
          <w:szCs w:val="22"/>
          <w:lang w:val="it-IT"/>
        </w:rPr>
      </w:pPr>
      <w:r>
        <w:rPr>
          <w:b/>
          <w:noProof/>
          <w:szCs w:val="22"/>
          <w:lang w:val="it-IT"/>
        </w:rPr>
        <w:t>Segnalazione degli effetti indesiderati</w:t>
      </w:r>
    </w:p>
    <w:p>
      <w:pPr>
        <w:tabs>
          <w:tab w:val="left" w:pos="180"/>
        </w:tabs>
        <w:suppressAutoHyphens/>
        <w:rPr>
          <w:noProof/>
          <w:szCs w:val="22"/>
          <w:lang w:val="it-IT"/>
        </w:rPr>
      </w:pPr>
      <w:r>
        <w:rPr>
          <w:noProof/>
          <w:szCs w:val="22"/>
          <w:lang w:val="it-IT"/>
        </w:rPr>
        <w:t xml:space="preserve">Se manifesta un qualsiasi effetto indesiderato, compresi quelli non elencati in questo foglio, si rivolga al medico, al farmacista o all’infermiere. Lei può inoltre segnalare gli effetti indesiderati direttamente tramite </w:t>
      </w:r>
      <w:r>
        <w:rPr>
          <w:noProof/>
          <w:szCs w:val="22"/>
          <w:highlight w:val="lightGray"/>
          <w:lang w:val="it-IT"/>
        </w:rPr>
        <w:t>il sistema nazionale di segnalazione riportato nell’</w:t>
      </w:r>
      <w:del w:id="10219" w:author="Author">
        <w:r>
          <w:rPr>
            <w:noProof/>
            <w:szCs w:val="22"/>
            <w:highlight w:val="lightGray"/>
            <w:lang w:val="it-IT"/>
            <w:rPrChange w:id="10220" w:author="Author">
              <w:rPr>
                <w:szCs w:val="22"/>
                <w:lang w:val="it-IT"/>
              </w:rPr>
            </w:rPrChange>
          </w:rPr>
          <w:delText xml:space="preserve"> </w:delText>
        </w:r>
      </w:del>
      <w:r>
        <w:rPr>
          <w:noProof/>
          <w:highlight w:val="lightGray"/>
          <w:lang w:val="it-IT"/>
          <w:rPrChange w:id="10221" w:author="Author">
            <w:rPr/>
          </w:rPrChange>
        </w:rPr>
        <w:fldChar w:fldCharType="begin"/>
      </w:r>
      <w:ins w:id="10222" w:author="Author">
        <w:r>
          <w:rPr>
            <w:noProof/>
            <w:highlight w:val="lightGray"/>
            <w:lang w:val="it-IT"/>
          </w:rPr>
          <w:instrText>HYPERLINK "https://www.ema.europa.eu/documents/template-form/qrd-appendix-v-adverse-drug-reaction-reporting-details_en.docx"</w:instrText>
        </w:r>
      </w:ins>
      <w:del w:id="10223" w:author="Author">
        <w:r>
          <w:rPr>
            <w:noProof/>
            <w:highlight w:val="lightGray"/>
            <w:lang w:val="it-IT"/>
            <w:rPrChange w:id="10224" w:author="Author">
              <w:rPr/>
            </w:rPrChange>
          </w:rPr>
          <w:delInstrText>HYPERLINK "https://www.ema.europa.eu/documents/template-form/qrd-appendix-v-adverse-drug-reaction-reporting-details_en.docx"</w:delInstrText>
        </w:r>
      </w:del>
      <w:r>
        <w:rPr>
          <w:noProof/>
          <w:highlight w:val="lightGray"/>
          <w:lang w:val="it-IT"/>
          <w:rPrChange w:id="10225" w:author="Author">
            <w:rPr/>
          </w:rPrChange>
        </w:rPr>
        <w:fldChar w:fldCharType="separate"/>
      </w:r>
      <w:del w:id="10226" w:author="Author">
        <w:r>
          <w:rPr>
            <w:rStyle w:val="Hyperlink"/>
            <w:noProof/>
            <w:szCs w:val="22"/>
            <w:highlight w:val="lightGray"/>
            <w:lang w:val="it-IT"/>
          </w:rPr>
          <w:delText>allegato V</w:delText>
        </w:r>
        <w:r>
          <w:rPr>
            <w:rStyle w:val="Hyperlink"/>
            <w:noProof/>
            <w:szCs w:val="22"/>
            <w:highlight w:val="lightGray"/>
            <w:lang w:val="it-IT"/>
            <w:rPrChange w:id="10227" w:author="Author">
              <w:rPr>
                <w:rStyle w:val="Hyperlink"/>
                <w:szCs w:val="22"/>
                <w:lang w:val="it-IT"/>
              </w:rPr>
            </w:rPrChange>
          </w:rPr>
          <w:delText>.</w:delText>
        </w:r>
      </w:del>
      <w:ins w:id="10228" w:author="Author">
        <w:r>
          <w:rPr>
            <w:rStyle w:val="Hyperlink"/>
            <w:noProof/>
            <w:szCs w:val="22"/>
            <w:highlight w:val="lightGray"/>
            <w:lang w:val="it-IT"/>
            <w:rPrChange w:id="10229" w:author="Author">
              <w:rPr>
                <w:rStyle w:val="Hyperlink"/>
                <w:szCs w:val="22"/>
                <w:lang w:val="it-IT"/>
              </w:rPr>
            </w:rPrChange>
          </w:rPr>
          <w:t>allegato V</w:t>
        </w:r>
      </w:ins>
      <w:r>
        <w:rPr>
          <w:noProof/>
          <w:highlight w:val="lightGray"/>
          <w:lang w:val="it-IT"/>
          <w:rPrChange w:id="10230" w:author="Author">
            <w:rPr/>
          </w:rPrChange>
        </w:rPr>
        <w:fldChar w:fldCharType="end"/>
      </w:r>
      <w:ins w:id="10231" w:author="Author">
        <w:r>
          <w:rPr>
            <w:noProof/>
            <w:lang w:val="it-IT"/>
          </w:rPr>
          <w:t>.</w:t>
        </w:r>
      </w:ins>
    </w:p>
    <w:p>
      <w:pPr>
        <w:tabs>
          <w:tab w:val="left" w:pos="180"/>
        </w:tabs>
        <w:suppressAutoHyphens/>
        <w:rPr>
          <w:noProof/>
          <w:szCs w:val="22"/>
          <w:lang w:val="it-IT"/>
        </w:rPr>
      </w:pPr>
    </w:p>
    <w:p>
      <w:pPr>
        <w:tabs>
          <w:tab w:val="left" w:pos="180"/>
        </w:tabs>
        <w:suppressAutoHyphens/>
        <w:rPr>
          <w:noProof/>
          <w:szCs w:val="22"/>
          <w:lang w:val="it-IT"/>
        </w:rPr>
      </w:pPr>
      <w:r>
        <w:rPr>
          <w:noProof/>
          <w:szCs w:val="22"/>
          <w:lang w:val="it-IT"/>
        </w:rPr>
        <w:t>Segnalando gli effetti indesiderati lei può contribuire a fornire maggiori informazioni sulla sicurezza di questo medicinale.</w:t>
      </w:r>
    </w:p>
    <w:p>
      <w:pPr>
        <w:keepNext/>
        <w:keepLines/>
        <w:tabs>
          <w:tab w:val="left" w:pos="180"/>
        </w:tabs>
        <w:rPr>
          <w:b/>
          <w:noProof/>
          <w:u w:val="single"/>
          <w:lang w:val="it-IT"/>
        </w:rPr>
      </w:pPr>
    </w:p>
    <w:p>
      <w:pPr>
        <w:keepNext/>
        <w:keepLines/>
        <w:tabs>
          <w:tab w:val="left" w:pos="180"/>
        </w:tabs>
        <w:rPr>
          <w:del w:id="10232" w:author="Author"/>
          <w:b/>
          <w:noProof/>
          <w:lang w:val="it-IT"/>
          <w:rPrChange w:id="10233" w:author="Author">
            <w:rPr>
              <w:del w:id="10234" w:author="Author"/>
              <w:b/>
              <w:u w:val="single"/>
              <w:lang w:val="it-IT"/>
            </w:rPr>
          </w:rPrChange>
        </w:rPr>
      </w:pPr>
      <w:r>
        <w:rPr>
          <w:b/>
          <w:noProof/>
          <w:lang w:val="it-IT"/>
          <w:rPrChange w:id="10235" w:author="Author">
            <w:rPr>
              <w:b/>
              <w:u w:val="single"/>
              <w:lang w:val="it-IT"/>
            </w:rPr>
          </w:rPrChange>
        </w:rPr>
        <w:t>Bambini affetti da AIGs</w:t>
      </w:r>
    </w:p>
    <w:p>
      <w:pPr>
        <w:keepNext/>
        <w:keepLines/>
        <w:tabs>
          <w:tab w:val="left" w:pos="180"/>
        </w:tabs>
        <w:rPr>
          <w:b/>
          <w:noProof/>
          <w:u w:val="single"/>
          <w:lang w:val="it-IT"/>
        </w:rPr>
      </w:pPr>
    </w:p>
    <w:p>
      <w:pPr>
        <w:tabs>
          <w:tab w:val="left" w:pos="180"/>
        </w:tabs>
        <w:rPr>
          <w:noProof/>
          <w:lang w:val="it-IT"/>
        </w:rPr>
      </w:pPr>
      <w:r>
        <w:rPr>
          <w:noProof/>
          <w:lang w:val="it-IT"/>
        </w:rPr>
        <w:t>In generale, nei pazienti affetti da AIGs sono stati osservati effetti indesiderati di tipo simile a quelli nei pazienti adulti affetti da AR. Alcuni effetti indesiderati sono stati osservati più frequentemente: infiammazione di naso e gola, diarrea, bassi globuli bianchi e aumento delle transaminasi del fegato.</w:t>
      </w:r>
    </w:p>
    <w:p>
      <w:pPr>
        <w:tabs>
          <w:tab w:val="left" w:pos="180"/>
        </w:tabs>
        <w:rPr>
          <w:noProof/>
          <w:lang w:val="it-IT"/>
        </w:rPr>
      </w:pPr>
    </w:p>
    <w:p>
      <w:pPr>
        <w:keepNext/>
        <w:tabs>
          <w:tab w:val="left" w:pos="180"/>
        </w:tabs>
        <w:rPr>
          <w:del w:id="10236" w:author="Author"/>
          <w:b/>
          <w:noProof/>
          <w:lang w:val="it-IT"/>
          <w:rPrChange w:id="10237" w:author="Author">
            <w:rPr>
              <w:del w:id="10238" w:author="Author"/>
              <w:b/>
              <w:u w:val="single"/>
              <w:lang w:val="it-IT"/>
            </w:rPr>
          </w:rPrChange>
        </w:rPr>
      </w:pPr>
      <w:r>
        <w:rPr>
          <w:b/>
          <w:noProof/>
          <w:lang w:val="it-IT"/>
          <w:rPrChange w:id="10239" w:author="Author">
            <w:rPr>
              <w:b/>
              <w:u w:val="single"/>
              <w:lang w:val="it-IT"/>
            </w:rPr>
          </w:rPrChange>
        </w:rPr>
        <w:t>Bambini affetti da AIGp</w:t>
      </w:r>
    </w:p>
    <w:p>
      <w:pPr>
        <w:keepNext/>
        <w:tabs>
          <w:tab w:val="left" w:pos="180"/>
        </w:tabs>
        <w:rPr>
          <w:b/>
          <w:noProof/>
          <w:u w:val="single"/>
          <w:lang w:val="it-IT"/>
        </w:rPr>
      </w:pPr>
    </w:p>
    <w:p>
      <w:pPr>
        <w:keepNext/>
        <w:tabs>
          <w:tab w:val="left" w:pos="180"/>
        </w:tabs>
        <w:rPr>
          <w:noProof/>
          <w:lang w:val="it-IT"/>
        </w:rPr>
      </w:pPr>
      <w:r>
        <w:rPr>
          <w:noProof/>
          <w:lang w:val="it-IT"/>
        </w:rPr>
        <w:t>In generale, gli effetti indesiderati nei pazienti AIGp erano di tipo simile a quelli osservati nei pazienti adulti con AR. Alcuni effetti indesiderati sono stati osservati più frequentemente: infiammazione di naso e gola, mal di testa, sensazione di malessere (nausea) e bass</w:t>
      </w:r>
      <w:ins w:id="10240" w:author="Author">
        <w:r>
          <w:rPr>
            <w:noProof/>
            <w:lang w:val="it-IT"/>
          </w:rPr>
          <w:t>o numero dei</w:t>
        </w:r>
      </w:ins>
      <w:del w:id="10241" w:author="Author">
        <w:r>
          <w:rPr>
            <w:noProof/>
            <w:lang w:val="it-IT"/>
          </w:rPr>
          <w:delText>i</w:delText>
        </w:r>
      </w:del>
      <w:r>
        <w:rPr>
          <w:noProof/>
          <w:lang w:val="it-IT"/>
        </w:rPr>
        <w:t xml:space="preserve"> globuli bianchi.</w:t>
      </w:r>
    </w:p>
    <w:p>
      <w:pPr>
        <w:tabs>
          <w:tab w:val="left" w:pos="180"/>
        </w:tabs>
        <w:rPr>
          <w:noProof/>
          <w:szCs w:val="22"/>
          <w:lang w:val="it-IT"/>
        </w:rPr>
      </w:pPr>
    </w:p>
    <w:p>
      <w:pPr>
        <w:tabs>
          <w:tab w:val="left" w:pos="180"/>
        </w:tabs>
        <w:rPr>
          <w:noProof/>
          <w:szCs w:val="22"/>
          <w:lang w:val="it-IT"/>
        </w:rPr>
      </w:pPr>
    </w:p>
    <w:p>
      <w:pPr>
        <w:keepNext/>
        <w:keepLines/>
        <w:tabs>
          <w:tab w:val="left" w:pos="180"/>
        </w:tabs>
        <w:ind w:left="567" w:hanging="567"/>
        <w:rPr>
          <w:noProof/>
          <w:szCs w:val="22"/>
          <w:lang w:val="it-IT"/>
        </w:rPr>
      </w:pPr>
      <w:r>
        <w:rPr>
          <w:b/>
          <w:noProof/>
          <w:szCs w:val="22"/>
          <w:lang w:val="it-IT"/>
        </w:rPr>
        <w:lastRenderedPageBreak/>
        <w:t>5.</w:t>
      </w:r>
      <w:r>
        <w:rPr>
          <w:b/>
          <w:noProof/>
          <w:szCs w:val="22"/>
          <w:lang w:val="it-IT"/>
        </w:rPr>
        <w:tab/>
      </w:r>
      <w:r>
        <w:rPr>
          <w:b/>
          <w:noProof/>
          <w:szCs w:val="22"/>
          <w:lang w:val="it-IT"/>
        </w:rPr>
        <w:tab/>
        <w:t>Come conservare RoActemra</w:t>
      </w:r>
    </w:p>
    <w:p>
      <w:pPr>
        <w:keepNext/>
        <w:keepLines/>
        <w:tabs>
          <w:tab w:val="left" w:pos="180"/>
        </w:tabs>
        <w:rPr>
          <w:noProof/>
          <w:szCs w:val="22"/>
          <w:lang w:val="it-IT"/>
        </w:rPr>
      </w:pPr>
    </w:p>
    <w:p>
      <w:pPr>
        <w:keepNext/>
        <w:keepLines/>
        <w:tabs>
          <w:tab w:val="left" w:pos="180"/>
        </w:tabs>
        <w:rPr>
          <w:noProof/>
          <w:szCs w:val="22"/>
          <w:lang w:val="it-IT"/>
        </w:rPr>
      </w:pPr>
      <w:del w:id="10242" w:author="Author">
        <w:r>
          <w:rPr>
            <w:noProof/>
            <w:szCs w:val="22"/>
            <w:lang w:val="it-IT"/>
          </w:rPr>
          <w:delText xml:space="preserve">Tenere </w:delText>
        </w:r>
      </w:del>
      <w:ins w:id="10243" w:author="Author">
        <w:r>
          <w:rPr>
            <w:noProof/>
            <w:szCs w:val="22"/>
            <w:lang w:val="it-IT"/>
          </w:rPr>
          <w:t xml:space="preserve">Conservi </w:t>
        </w:r>
      </w:ins>
      <w:r>
        <w:rPr>
          <w:noProof/>
          <w:szCs w:val="22"/>
          <w:lang w:val="it-IT"/>
        </w:rPr>
        <w:t>questo medicinale</w:t>
      </w:r>
      <w:ins w:id="10244" w:author="Author">
        <w:r>
          <w:rPr>
            <w:noProof/>
            <w:szCs w:val="22"/>
            <w:lang w:val="it-IT"/>
          </w:rPr>
          <w:t xml:space="preserve"> </w:t>
        </w:r>
      </w:ins>
      <w:r>
        <w:rPr>
          <w:noProof/>
          <w:szCs w:val="22"/>
          <w:lang w:val="it-IT"/>
        </w:rPr>
        <w:t>fuori dalla vista e dalla portata dei bambini.</w:t>
      </w:r>
    </w:p>
    <w:p>
      <w:pPr>
        <w:keepNext/>
        <w:keepLines/>
        <w:tabs>
          <w:tab w:val="left" w:pos="180"/>
        </w:tabs>
        <w:rPr>
          <w:noProof/>
          <w:szCs w:val="22"/>
          <w:lang w:val="it-IT"/>
        </w:rPr>
      </w:pPr>
    </w:p>
    <w:p>
      <w:pPr>
        <w:keepNext/>
        <w:keepLines/>
        <w:tabs>
          <w:tab w:val="left" w:pos="180"/>
        </w:tabs>
        <w:rPr>
          <w:noProof/>
          <w:szCs w:val="22"/>
          <w:lang w:val="it-IT"/>
        </w:rPr>
      </w:pPr>
      <w:r>
        <w:rPr>
          <w:noProof/>
          <w:lang w:val="it-IT"/>
        </w:rPr>
        <w:t xml:space="preserve">Non usi questo medicinale dopo la data di scadenza che è riportata sulla </w:t>
      </w:r>
      <w:del w:id="10245" w:author="Author">
        <w:r>
          <w:rPr>
            <w:noProof/>
            <w:lang w:val="it-IT"/>
          </w:rPr>
          <w:delText xml:space="preserve">scatola </w:delText>
        </w:r>
      </w:del>
      <w:ins w:id="10246" w:author="Author">
        <w:r>
          <w:rPr>
            <w:noProof/>
            <w:lang w:val="it-IT"/>
          </w:rPr>
          <w:t xml:space="preserve">confezione </w:t>
        </w:r>
      </w:ins>
      <w:r>
        <w:rPr>
          <w:noProof/>
          <w:lang w:val="it-IT"/>
        </w:rPr>
        <w:t>dopo “Scad.”. La data di scadenza si riferisce all’ultimo giorno di quel mese.</w:t>
      </w:r>
    </w:p>
    <w:p>
      <w:pPr>
        <w:keepNext/>
        <w:keepLines/>
        <w:tabs>
          <w:tab w:val="left" w:pos="180"/>
        </w:tabs>
        <w:rPr>
          <w:noProof/>
          <w:szCs w:val="22"/>
          <w:lang w:val="it-IT"/>
        </w:rPr>
      </w:pPr>
    </w:p>
    <w:p>
      <w:pPr>
        <w:keepNext/>
        <w:keepLines/>
        <w:tabs>
          <w:tab w:val="left" w:pos="180"/>
        </w:tabs>
        <w:rPr>
          <w:noProof/>
          <w:szCs w:val="22"/>
          <w:lang w:val="it-IT"/>
        </w:rPr>
      </w:pPr>
      <w:r>
        <w:rPr>
          <w:noProof/>
          <w:szCs w:val="22"/>
          <w:lang w:val="it-IT"/>
        </w:rPr>
        <w:t>Conservare in frigorifero (2 °C – 8 °C). Non congelare.</w:t>
      </w:r>
    </w:p>
    <w:p>
      <w:pPr>
        <w:keepNext/>
        <w:keepLines/>
        <w:tabs>
          <w:tab w:val="left" w:pos="180"/>
        </w:tabs>
        <w:rPr>
          <w:noProof/>
          <w:szCs w:val="22"/>
          <w:lang w:val="it-IT"/>
        </w:rPr>
      </w:pPr>
    </w:p>
    <w:p>
      <w:pPr>
        <w:keepNext/>
        <w:keepLines/>
        <w:tabs>
          <w:tab w:val="left" w:pos="180"/>
        </w:tabs>
        <w:rPr>
          <w:noProof/>
          <w:szCs w:val="22"/>
          <w:lang w:val="it-IT"/>
        </w:rPr>
      </w:pPr>
      <w:r>
        <w:rPr>
          <w:noProof/>
          <w:szCs w:val="22"/>
          <w:lang w:val="it-IT"/>
        </w:rPr>
        <w:t>Tenere il flaconcino nell’imballaggio esterno per proteggere il medicinale dalla luce.</w:t>
      </w:r>
    </w:p>
    <w:p>
      <w:pPr>
        <w:tabs>
          <w:tab w:val="left" w:pos="180"/>
        </w:tabs>
        <w:rPr>
          <w:b/>
          <w:noProof/>
          <w:szCs w:val="22"/>
          <w:lang w:val="it-IT"/>
        </w:rPr>
      </w:pPr>
    </w:p>
    <w:p>
      <w:pPr>
        <w:tabs>
          <w:tab w:val="left" w:pos="180"/>
        </w:tabs>
        <w:rPr>
          <w:b/>
          <w:noProof/>
          <w:szCs w:val="22"/>
          <w:lang w:val="it-IT"/>
        </w:rPr>
      </w:pPr>
    </w:p>
    <w:p>
      <w:pPr>
        <w:keepNext/>
        <w:keepLines/>
        <w:tabs>
          <w:tab w:val="left" w:pos="180"/>
        </w:tabs>
        <w:ind w:left="567" w:hanging="567"/>
        <w:rPr>
          <w:b/>
          <w:noProof/>
          <w:szCs w:val="22"/>
          <w:lang w:val="it-IT"/>
        </w:rPr>
      </w:pPr>
      <w:r>
        <w:rPr>
          <w:b/>
          <w:noProof/>
          <w:szCs w:val="22"/>
          <w:lang w:val="it-IT"/>
        </w:rPr>
        <w:t>6.</w:t>
      </w:r>
      <w:r>
        <w:rPr>
          <w:b/>
          <w:noProof/>
          <w:szCs w:val="22"/>
          <w:lang w:val="it-IT"/>
        </w:rPr>
        <w:tab/>
      </w:r>
      <w:r>
        <w:rPr>
          <w:b/>
          <w:noProof/>
          <w:szCs w:val="22"/>
          <w:lang w:val="it-IT"/>
        </w:rPr>
        <w:tab/>
        <w:t>Contenuto della confezione ed altre informazioni</w:t>
      </w:r>
    </w:p>
    <w:p>
      <w:pPr>
        <w:keepNext/>
        <w:keepLines/>
        <w:tabs>
          <w:tab w:val="left" w:pos="180"/>
        </w:tabs>
        <w:rPr>
          <w:b/>
          <w:noProof/>
          <w:szCs w:val="22"/>
          <w:lang w:val="it-IT"/>
        </w:rPr>
      </w:pPr>
    </w:p>
    <w:p>
      <w:pPr>
        <w:keepNext/>
        <w:keepLines/>
        <w:tabs>
          <w:tab w:val="left" w:pos="180"/>
        </w:tabs>
        <w:rPr>
          <w:b/>
          <w:noProof/>
          <w:szCs w:val="22"/>
          <w:lang w:val="it-IT"/>
        </w:rPr>
      </w:pPr>
      <w:r>
        <w:rPr>
          <w:b/>
          <w:noProof/>
          <w:szCs w:val="22"/>
          <w:lang w:val="it-IT"/>
        </w:rPr>
        <w:t>Cosa contiene RoActemra</w:t>
      </w:r>
    </w:p>
    <w:p>
      <w:pPr>
        <w:keepNext/>
        <w:keepLines/>
        <w:ind w:left="567" w:hanging="567"/>
        <w:rPr>
          <w:b/>
          <w:noProof/>
          <w:szCs w:val="22"/>
          <w:lang w:val="it-IT"/>
        </w:rPr>
        <w:pPrChange w:id="10247" w:author="Author">
          <w:pPr>
            <w:keepNext/>
            <w:keepLines/>
            <w:tabs>
              <w:tab w:val="left" w:pos="426"/>
            </w:tabs>
            <w:ind w:left="567" w:hanging="567"/>
          </w:pPr>
        </w:pPrChange>
      </w:pPr>
      <w:r>
        <w:rPr>
          <w:noProof/>
          <w:lang w:val="it-IT"/>
        </w:rPr>
        <w:sym w:font="Symbol" w:char="00B7"/>
      </w:r>
      <w:r>
        <w:rPr>
          <w:noProof/>
          <w:lang w:val="it-IT"/>
        </w:rPr>
        <w:tab/>
      </w:r>
      <w:r>
        <w:rPr>
          <w:noProof/>
          <w:szCs w:val="22"/>
          <w:lang w:val="it-IT"/>
        </w:rPr>
        <w:t xml:space="preserve">Il principio attivo è tocilizumab. </w:t>
      </w:r>
    </w:p>
    <w:p>
      <w:pPr>
        <w:tabs>
          <w:tab w:val="left" w:pos="426"/>
        </w:tabs>
        <w:ind w:left="567" w:hanging="567"/>
        <w:rPr>
          <w:noProof/>
          <w:szCs w:val="22"/>
          <w:lang w:val="it-IT"/>
        </w:rPr>
      </w:pPr>
      <w:r>
        <w:rPr>
          <w:noProof/>
          <w:szCs w:val="22"/>
          <w:lang w:val="it-IT"/>
        </w:rPr>
        <w:tab/>
      </w:r>
      <w:r>
        <w:rPr>
          <w:noProof/>
          <w:szCs w:val="22"/>
          <w:lang w:val="it-IT"/>
        </w:rPr>
        <w:tab/>
        <w:t>Ciascun flaconcino da 4 mL contiene 80 mg di tocilizumab (20 mg/mL).</w:t>
      </w:r>
    </w:p>
    <w:p>
      <w:pPr>
        <w:tabs>
          <w:tab w:val="left" w:pos="426"/>
        </w:tabs>
        <w:ind w:left="567" w:hanging="567"/>
        <w:rPr>
          <w:noProof/>
          <w:szCs w:val="22"/>
          <w:lang w:val="it-IT"/>
        </w:rPr>
      </w:pPr>
      <w:r>
        <w:rPr>
          <w:noProof/>
          <w:szCs w:val="22"/>
          <w:lang w:val="it-IT"/>
        </w:rPr>
        <w:tab/>
      </w:r>
      <w:r>
        <w:rPr>
          <w:noProof/>
          <w:szCs w:val="22"/>
          <w:lang w:val="it-IT"/>
        </w:rPr>
        <w:tab/>
        <w:t>Ciascun flaconcino da 10 mL contiene 200 mg di tocilizumab (20 mg/mL).</w:t>
      </w:r>
    </w:p>
    <w:p>
      <w:pPr>
        <w:tabs>
          <w:tab w:val="left" w:pos="426"/>
        </w:tabs>
        <w:ind w:left="567" w:hanging="567"/>
        <w:rPr>
          <w:ins w:id="10248" w:author="Author"/>
          <w:noProof/>
          <w:szCs w:val="22"/>
          <w:lang w:val="it-IT"/>
        </w:rPr>
      </w:pPr>
      <w:r>
        <w:rPr>
          <w:noProof/>
          <w:szCs w:val="22"/>
          <w:lang w:val="it-IT"/>
        </w:rPr>
        <w:tab/>
      </w:r>
      <w:r>
        <w:rPr>
          <w:noProof/>
          <w:szCs w:val="22"/>
          <w:lang w:val="it-IT"/>
        </w:rPr>
        <w:tab/>
        <w:t>Ciascun flaconcino da 20 mL contiene 400 mg di tocilizumab (20 mg/mL).</w:t>
      </w:r>
    </w:p>
    <w:p>
      <w:pPr>
        <w:rPr>
          <w:noProof/>
          <w:szCs w:val="22"/>
          <w:lang w:val="it-IT"/>
        </w:rPr>
        <w:pPrChange w:id="10249" w:author="Author">
          <w:pPr>
            <w:tabs>
              <w:tab w:val="left" w:pos="426"/>
            </w:tabs>
            <w:ind w:left="567" w:hanging="567"/>
          </w:pPr>
        </w:pPrChange>
      </w:pPr>
    </w:p>
    <w:p>
      <w:pPr>
        <w:ind w:left="567" w:hanging="567"/>
        <w:rPr>
          <w:noProof/>
          <w:szCs w:val="22"/>
          <w:lang w:val="it-IT"/>
        </w:rPr>
        <w:pPrChange w:id="10250" w:author="Author">
          <w:pPr>
            <w:tabs>
              <w:tab w:val="left" w:pos="426"/>
            </w:tabs>
            <w:ind w:left="567" w:hanging="567"/>
          </w:pPr>
        </w:pPrChange>
      </w:pPr>
      <w:r>
        <w:rPr>
          <w:noProof/>
          <w:lang w:val="it-IT"/>
        </w:rPr>
        <w:sym w:font="Symbol" w:char="00B7"/>
      </w:r>
      <w:r>
        <w:rPr>
          <w:noProof/>
          <w:lang w:val="it-IT"/>
        </w:rPr>
        <w:tab/>
      </w:r>
      <w:r>
        <w:rPr>
          <w:noProof/>
          <w:szCs w:val="22"/>
          <w:lang w:val="it-IT"/>
        </w:rPr>
        <w:t>Gli eccipienti sono saccarosio, polisorbato 80</w:t>
      </w:r>
      <w:ins w:id="10251" w:author="Author">
        <w:r>
          <w:rPr>
            <w:noProof/>
            <w:szCs w:val="22"/>
            <w:lang w:val="it-IT"/>
          </w:rPr>
          <w:t xml:space="preserve"> (E 433)</w:t>
        </w:r>
      </w:ins>
      <w:r>
        <w:rPr>
          <w:noProof/>
          <w:szCs w:val="22"/>
          <w:lang w:val="it-IT"/>
        </w:rPr>
        <w:t xml:space="preserve">, </w:t>
      </w:r>
      <w:ins w:id="10252" w:author="Author">
        <w:r>
          <w:rPr>
            <w:noProof/>
            <w:szCs w:val="22"/>
            <w:lang w:val="it-IT"/>
          </w:rPr>
          <w:t>sodio dibasico</w:t>
        </w:r>
      </w:ins>
      <w:del w:id="10253" w:author="Author">
        <w:r>
          <w:rPr>
            <w:noProof/>
            <w:szCs w:val="22"/>
            <w:lang w:val="it-IT"/>
          </w:rPr>
          <w:delText>fosfato disodico</w:delText>
        </w:r>
      </w:del>
      <w:r>
        <w:rPr>
          <w:noProof/>
          <w:szCs w:val="22"/>
          <w:lang w:val="it-IT"/>
        </w:rPr>
        <w:t xml:space="preserve"> dodecaidrato, sodio </w:t>
      </w:r>
      <w:del w:id="10254" w:author="Author">
        <w:r>
          <w:rPr>
            <w:noProof/>
            <w:szCs w:val="22"/>
            <w:lang w:val="it-IT"/>
          </w:rPr>
          <w:delText xml:space="preserve">diidrogeno </w:delText>
        </w:r>
      </w:del>
      <w:r>
        <w:rPr>
          <w:noProof/>
          <w:szCs w:val="22"/>
          <w:lang w:val="it-IT"/>
        </w:rPr>
        <w:t>fosfato</w:t>
      </w:r>
      <w:ins w:id="10255" w:author="Author">
        <w:r>
          <w:rPr>
            <w:noProof/>
            <w:szCs w:val="22"/>
            <w:lang w:val="it-IT"/>
          </w:rPr>
          <w:t xml:space="preserve"> monobasico</w:t>
        </w:r>
      </w:ins>
      <w:r>
        <w:rPr>
          <w:noProof/>
          <w:szCs w:val="22"/>
          <w:lang w:val="it-IT"/>
        </w:rPr>
        <w:t xml:space="preserve"> diidrato e acqua per preparazioni iniettabili (vedere paragrafo 2 “RoActemra contiene sodio” e “RoActemra contiene polisorbato</w:t>
      </w:r>
      <w:ins w:id="10256" w:author="Author">
        <w:r>
          <w:rPr>
            <w:noProof/>
            <w:szCs w:val="22"/>
            <w:lang w:val="it-IT"/>
          </w:rPr>
          <w:t> 80 (E 433)</w:t>
        </w:r>
      </w:ins>
      <w:r>
        <w:rPr>
          <w:noProof/>
          <w:szCs w:val="22"/>
          <w:lang w:val="it-IT"/>
        </w:rPr>
        <w:t>”).</w:t>
      </w:r>
    </w:p>
    <w:p>
      <w:pPr>
        <w:tabs>
          <w:tab w:val="left" w:pos="180"/>
        </w:tabs>
        <w:rPr>
          <w:b/>
          <w:noProof/>
          <w:szCs w:val="22"/>
          <w:lang w:val="it-IT"/>
        </w:rPr>
      </w:pPr>
    </w:p>
    <w:p>
      <w:pPr>
        <w:keepNext/>
        <w:tabs>
          <w:tab w:val="left" w:pos="180"/>
        </w:tabs>
        <w:rPr>
          <w:b/>
          <w:noProof/>
          <w:szCs w:val="22"/>
          <w:lang w:val="it-IT"/>
        </w:rPr>
      </w:pPr>
      <w:r>
        <w:rPr>
          <w:b/>
          <w:noProof/>
          <w:szCs w:val="22"/>
          <w:lang w:val="it-IT"/>
        </w:rPr>
        <w:t>Descrizione dell’aspetto di RoActemra e contenuto della confezione</w:t>
      </w:r>
    </w:p>
    <w:p>
      <w:pPr>
        <w:tabs>
          <w:tab w:val="left" w:pos="180"/>
        </w:tabs>
        <w:rPr>
          <w:noProof/>
          <w:szCs w:val="22"/>
          <w:lang w:val="it-IT"/>
        </w:rPr>
      </w:pPr>
      <w:r>
        <w:rPr>
          <w:noProof/>
          <w:szCs w:val="22"/>
          <w:lang w:val="it-IT"/>
        </w:rPr>
        <w:t>RoActemra è un concentrato per soluzione per infusione. Il concentrato è un liquido di aspetto da limpido a opalescente, da incolore a giallo chiaro.</w:t>
      </w:r>
    </w:p>
    <w:p>
      <w:pPr>
        <w:tabs>
          <w:tab w:val="left" w:pos="180"/>
        </w:tabs>
        <w:rPr>
          <w:noProof/>
          <w:szCs w:val="22"/>
          <w:lang w:val="it-IT"/>
        </w:rPr>
      </w:pPr>
      <w:r>
        <w:rPr>
          <w:noProof/>
          <w:szCs w:val="22"/>
          <w:lang w:val="it-IT"/>
        </w:rPr>
        <w:t>RoActemra è fornito in flaconcini contenenti 4 mL, 10 mL e 20 mL di concentrato per soluzione per infusione. Confezioni da 1 e 4 flaconcini. È possibile che non tutte le confezioni siano commercializzate.</w:t>
      </w:r>
    </w:p>
    <w:p>
      <w:pPr>
        <w:tabs>
          <w:tab w:val="left" w:pos="180"/>
        </w:tabs>
        <w:rPr>
          <w:noProof/>
          <w:szCs w:val="22"/>
          <w:u w:val="single"/>
          <w:lang w:val="it-IT"/>
        </w:rPr>
      </w:pPr>
    </w:p>
    <w:p>
      <w:pPr>
        <w:keepNext/>
        <w:tabs>
          <w:tab w:val="left" w:pos="180"/>
        </w:tabs>
        <w:rPr>
          <w:b/>
          <w:noProof/>
          <w:snapToGrid w:val="0"/>
          <w:lang w:val="it-IT"/>
        </w:rPr>
      </w:pPr>
      <w:r>
        <w:rPr>
          <w:b/>
          <w:noProof/>
          <w:szCs w:val="22"/>
          <w:lang w:val="it-IT"/>
        </w:rPr>
        <w:t xml:space="preserve">Titolare dell'autorizzazione all'immissione in commercio </w:t>
      </w:r>
    </w:p>
    <w:p>
      <w:pPr>
        <w:keepNext/>
        <w:rPr>
          <w:noProof/>
          <w:lang w:val="it-IT"/>
        </w:rPr>
      </w:pPr>
      <w:r>
        <w:rPr>
          <w:noProof/>
          <w:lang w:val="it-IT"/>
        </w:rPr>
        <w:t xml:space="preserve">Roche Registration GmbH </w:t>
      </w:r>
    </w:p>
    <w:p>
      <w:pPr>
        <w:keepNext/>
        <w:rPr>
          <w:noProof/>
          <w:lang w:val="de-DE"/>
          <w:rPrChange w:id="10257" w:author="Author">
            <w:rPr>
              <w:noProof/>
              <w:lang w:val="it-IT"/>
            </w:rPr>
          </w:rPrChange>
        </w:rPr>
      </w:pPr>
      <w:r>
        <w:rPr>
          <w:noProof/>
          <w:lang w:val="de-DE"/>
          <w:rPrChange w:id="10258" w:author="Author">
            <w:rPr>
              <w:noProof/>
              <w:lang w:val="it-IT"/>
            </w:rPr>
          </w:rPrChange>
        </w:rPr>
        <w:t>Emil-Barell-Strasse 1</w:t>
      </w:r>
    </w:p>
    <w:p>
      <w:pPr>
        <w:keepNext/>
        <w:rPr>
          <w:noProof/>
          <w:lang w:val="de-DE"/>
          <w:rPrChange w:id="10259" w:author="Author">
            <w:rPr>
              <w:noProof/>
              <w:lang w:val="it-IT"/>
            </w:rPr>
          </w:rPrChange>
        </w:rPr>
      </w:pPr>
      <w:r>
        <w:rPr>
          <w:noProof/>
          <w:lang w:val="de-DE"/>
          <w:rPrChange w:id="10260" w:author="Author">
            <w:rPr>
              <w:noProof/>
              <w:lang w:val="it-IT"/>
            </w:rPr>
          </w:rPrChange>
        </w:rPr>
        <w:t>79639 Grenzach-Wyhlen</w:t>
      </w:r>
    </w:p>
    <w:p>
      <w:pPr>
        <w:rPr>
          <w:noProof/>
          <w:lang w:val="de-DE"/>
          <w:rPrChange w:id="10261" w:author="Author">
            <w:rPr>
              <w:noProof/>
              <w:lang w:val="it-IT"/>
            </w:rPr>
          </w:rPrChange>
        </w:rPr>
      </w:pPr>
      <w:r>
        <w:rPr>
          <w:noProof/>
          <w:lang w:val="de-DE"/>
          <w:rPrChange w:id="10262" w:author="Author">
            <w:rPr>
              <w:noProof/>
              <w:lang w:val="it-IT"/>
            </w:rPr>
          </w:rPrChange>
        </w:rPr>
        <w:t>Germania</w:t>
      </w:r>
    </w:p>
    <w:p>
      <w:pPr>
        <w:tabs>
          <w:tab w:val="left" w:pos="180"/>
        </w:tabs>
        <w:rPr>
          <w:b/>
          <w:noProof/>
          <w:szCs w:val="22"/>
          <w:lang w:val="de-DE"/>
          <w:rPrChange w:id="10263" w:author="Author">
            <w:rPr>
              <w:b/>
              <w:noProof/>
              <w:szCs w:val="22"/>
              <w:lang w:val="it-IT"/>
            </w:rPr>
          </w:rPrChange>
        </w:rPr>
      </w:pPr>
    </w:p>
    <w:p>
      <w:pPr>
        <w:keepNext/>
        <w:keepLines/>
        <w:tabs>
          <w:tab w:val="left" w:pos="180"/>
        </w:tabs>
        <w:rPr>
          <w:b/>
          <w:noProof/>
          <w:szCs w:val="22"/>
          <w:lang w:val="de-DE"/>
          <w:rPrChange w:id="10264" w:author="Author">
            <w:rPr>
              <w:b/>
              <w:noProof/>
              <w:szCs w:val="22"/>
              <w:lang w:val="it-IT"/>
            </w:rPr>
          </w:rPrChange>
        </w:rPr>
      </w:pPr>
      <w:r>
        <w:rPr>
          <w:b/>
          <w:noProof/>
          <w:szCs w:val="22"/>
          <w:lang w:val="de-DE"/>
          <w:rPrChange w:id="10265" w:author="Author">
            <w:rPr>
              <w:b/>
              <w:noProof/>
              <w:szCs w:val="22"/>
              <w:lang w:val="it-IT"/>
            </w:rPr>
          </w:rPrChange>
        </w:rPr>
        <w:t>Produttore</w:t>
      </w:r>
    </w:p>
    <w:p>
      <w:pPr>
        <w:keepNext/>
        <w:keepLines/>
        <w:tabs>
          <w:tab w:val="left" w:pos="180"/>
        </w:tabs>
        <w:rPr>
          <w:noProof/>
          <w:szCs w:val="22"/>
          <w:lang w:val="de-DE"/>
          <w:rPrChange w:id="10266" w:author="Author">
            <w:rPr>
              <w:szCs w:val="22"/>
            </w:rPr>
          </w:rPrChange>
        </w:rPr>
      </w:pPr>
      <w:r>
        <w:rPr>
          <w:noProof/>
          <w:szCs w:val="22"/>
          <w:lang w:val="de-DE"/>
          <w:rPrChange w:id="10267" w:author="Author">
            <w:rPr>
              <w:szCs w:val="22"/>
            </w:rPr>
          </w:rPrChange>
        </w:rPr>
        <w:t>Roche Pharma AG</w:t>
      </w:r>
    </w:p>
    <w:p>
      <w:pPr>
        <w:keepNext/>
        <w:keepLines/>
        <w:tabs>
          <w:tab w:val="left" w:pos="180"/>
        </w:tabs>
        <w:rPr>
          <w:noProof/>
          <w:szCs w:val="22"/>
          <w:lang w:val="de-DE"/>
          <w:rPrChange w:id="10268" w:author="Author">
            <w:rPr>
              <w:szCs w:val="22"/>
            </w:rPr>
          </w:rPrChange>
        </w:rPr>
      </w:pPr>
      <w:r>
        <w:rPr>
          <w:noProof/>
          <w:szCs w:val="22"/>
          <w:lang w:val="de-DE"/>
          <w:rPrChange w:id="10269" w:author="Author">
            <w:rPr>
              <w:szCs w:val="22"/>
            </w:rPr>
          </w:rPrChange>
        </w:rPr>
        <w:t>Emil-Barell-Str. 1</w:t>
      </w:r>
    </w:p>
    <w:p>
      <w:pPr>
        <w:keepNext/>
        <w:keepLines/>
        <w:tabs>
          <w:tab w:val="left" w:pos="180"/>
        </w:tabs>
        <w:rPr>
          <w:noProof/>
          <w:szCs w:val="22"/>
          <w:lang w:val="de-DE"/>
          <w:rPrChange w:id="10270" w:author="Author">
            <w:rPr>
              <w:szCs w:val="22"/>
            </w:rPr>
          </w:rPrChange>
        </w:rPr>
      </w:pPr>
      <w:r>
        <w:rPr>
          <w:noProof/>
          <w:szCs w:val="22"/>
          <w:lang w:val="de-DE"/>
          <w:rPrChange w:id="10271" w:author="Author">
            <w:rPr>
              <w:szCs w:val="22"/>
            </w:rPr>
          </w:rPrChange>
        </w:rPr>
        <w:t>79639 Grenzach-Wyhlen</w:t>
      </w:r>
    </w:p>
    <w:p>
      <w:pPr>
        <w:keepNext/>
        <w:keepLines/>
        <w:tabs>
          <w:tab w:val="left" w:pos="180"/>
        </w:tabs>
        <w:rPr>
          <w:noProof/>
          <w:szCs w:val="22"/>
          <w:lang w:val="it-IT"/>
        </w:rPr>
      </w:pPr>
      <w:r>
        <w:rPr>
          <w:noProof/>
          <w:szCs w:val="22"/>
          <w:lang w:val="it-IT"/>
        </w:rPr>
        <w:t>Germania</w:t>
      </w:r>
    </w:p>
    <w:p>
      <w:pPr>
        <w:tabs>
          <w:tab w:val="left" w:pos="180"/>
        </w:tabs>
        <w:rPr>
          <w:noProof/>
          <w:szCs w:val="22"/>
          <w:lang w:val="it-IT"/>
        </w:rPr>
      </w:pPr>
    </w:p>
    <w:p>
      <w:pPr>
        <w:keepNext/>
        <w:keepLines/>
        <w:tabs>
          <w:tab w:val="left" w:pos="180"/>
        </w:tabs>
        <w:rPr>
          <w:noProof/>
          <w:szCs w:val="22"/>
          <w:lang w:val="it-IT"/>
        </w:rPr>
      </w:pPr>
      <w:r>
        <w:rPr>
          <w:noProof/>
          <w:szCs w:val="22"/>
          <w:lang w:val="it-IT"/>
        </w:rPr>
        <w:t>Per ulteriori informazioni su questo medicinale, contatti il rappresentante locale del titolare dell’autorizzazione all'immissione in commercio:</w:t>
      </w:r>
    </w:p>
    <w:p>
      <w:pPr>
        <w:keepNext/>
        <w:keepLines/>
        <w:tabs>
          <w:tab w:val="left" w:pos="180"/>
        </w:tabs>
        <w:rPr>
          <w:noProof/>
          <w:szCs w:val="22"/>
          <w:lang w:val="it-IT"/>
        </w:rPr>
      </w:pPr>
    </w:p>
    <w:tbl>
      <w:tblPr>
        <w:tblW w:w="9180" w:type="dxa"/>
        <w:tblLayout w:type="fixed"/>
        <w:tblLook w:val="0000" w:firstRow="0" w:lastRow="0" w:firstColumn="0" w:lastColumn="0" w:noHBand="0" w:noVBand="0"/>
      </w:tblPr>
      <w:tblGrid>
        <w:gridCol w:w="4590"/>
        <w:gridCol w:w="4590"/>
      </w:tblGrid>
      <w:tr>
        <w:trPr>
          <w:cantSplit/>
          <w:del w:id="10272" w:author="Author"/>
        </w:trPr>
        <w:tc>
          <w:tcPr>
            <w:tcW w:w="4590" w:type="dxa"/>
          </w:tcPr>
          <w:p>
            <w:pPr>
              <w:keepNext/>
              <w:keepLines/>
              <w:tabs>
                <w:tab w:val="left" w:pos="180"/>
              </w:tabs>
              <w:rPr>
                <w:del w:id="10273" w:author="Author"/>
                <w:rFonts w:asciiTheme="majorBidi" w:hAnsiTheme="majorBidi" w:cstheme="majorBidi"/>
                <w:noProof/>
                <w:szCs w:val="22"/>
                <w:lang w:val="it-IT"/>
                <w:rPrChange w:id="10274" w:author="Author">
                  <w:rPr>
                    <w:del w:id="10275" w:author="Author"/>
                    <w:szCs w:val="22"/>
                    <w:lang w:val="fr-FR"/>
                  </w:rPr>
                </w:rPrChange>
              </w:rPr>
            </w:pPr>
            <w:del w:id="10276" w:author="Author">
              <w:r>
                <w:rPr>
                  <w:rFonts w:asciiTheme="majorBidi" w:hAnsiTheme="majorBidi" w:cstheme="majorBidi"/>
                  <w:b/>
                  <w:noProof/>
                  <w:szCs w:val="22"/>
                  <w:lang w:val="it-IT"/>
                  <w:rPrChange w:id="10277" w:author="Author">
                    <w:rPr>
                      <w:b/>
                      <w:szCs w:val="22"/>
                      <w:lang w:val="fr-FR"/>
                    </w:rPr>
                  </w:rPrChange>
                </w:rPr>
                <w:delText>België/Belgique/Belgien</w:delText>
              </w:r>
            </w:del>
          </w:p>
          <w:p>
            <w:pPr>
              <w:keepNext/>
              <w:keepLines/>
              <w:tabs>
                <w:tab w:val="left" w:pos="180"/>
              </w:tabs>
              <w:rPr>
                <w:del w:id="10278" w:author="Author"/>
                <w:rFonts w:asciiTheme="majorBidi" w:hAnsiTheme="majorBidi" w:cstheme="majorBidi"/>
                <w:noProof/>
                <w:szCs w:val="22"/>
                <w:lang w:val="it-IT"/>
                <w:rPrChange w:id="10279" w:author="Author">
                  <w:rPr>
                    <w:del w:id="10280" w:author="Author"/>
                    <w:szCs w:val="22"/>
                    <w:lang w:val="fr-FR"/>
                  </w:rPr>
                </w:rPrChange>
              </w:rPr>
            </w:pPr>
            <w:del w:id="10281" w:author="Author">
              <w:r>
                <w:rPr>
                  <w:rFonts w:asciiTheme="majorBidi" w:hAnsiTheme="majorBidi" w:cstheme="majorBidi"/>
                  <w:noProof/>
                  <w:szCs w:val="22"/>
                  <w:lang w:val="it-IT"/>
                  <w:rPrChange w:id="10282" w:author="Author">
                    <w:rPr>
                      <w:szCs w:val="22"/>
                      <w:lang w:val="fr-FR"/>
                    </w:rPr>
                  </w:rPrChange>
                </w:rPr>
                <w:delText>N.V. Roche S.A.</w:delText>
              </w:r>
            </w:del>
          </w:p>
          <w:p>
            <w:pPr>
              <w:keepNext/>
              <w:keepLines/>
              <w:tabs>
                <w:tab w:val="left" w:pos="180"/>
              </w:tabs>
              <w:rPr>
                <w:del w:id="10283" w:author="Author"/>
                <w:rFonts w:asciiTheme="majorBidi" w:hAnsiTheme="majorBidi" w:cstheme="majorBidi"/>
                <w:noProof/>
                <w:szCs w:val="22"/>
                <w:lang w:val="it-IT"/>
                <w:rPrChange w:id="10284" w:author="Author">
                  <w:rPr>
                    <w:del w:id="10285" w:author="Author"/>
                    <w:szCs w:val="22"/>
                    <w:lang w:val="it-IT"/>
                  </w:rPr>
                </w:rPrChange>
              </w:rPr>
            </w:pPr>
            <w:del w:id="10286" w:author="Author">
              <w:r>
                <w:rPr>
                  <w:rFonts w:asciiTheme="majorBidi" w:hAnsiTheme="majorBidi" w:cstheme="majorBidi"/>
                  <w:noProof/>
                  <w:szCs w:val="22"/>
                  <w:lang w:val="it-IT"/>
                  <w:rPrChange w:id="10287" w:author="Author">
                    <w:rPr>
                      <w:szCs w:val="22"/>
                      <w:lang w:val="it-IT"/>
                    </w:rPr>
                  </w:rPrChange>
                </w:rPr>
                <w:delText>Tél/Tel: +32 (0) 2 525 82 11</w:delText>
              </w:r>
            </w:del>
          </w:p>
          <w:p>
            <w:pPr>
              <w:keepNext/>
              <w:keepLines/>
              <w:tabs>
                <w:tab w:val="left" w:pos="180"/>
              </w:tabs>
              <w:rPr>
                <w:del w:id="10288" w:author="Author"/>
                <w:rFonts w:asciiTheme="majorBidi" w:hAnsiTheme="majorBidi" w:cstheme="majorBidi"/>
                <w:b/>
                <w:noProof/>
                <w:szCs w:val="22"/>
                <w:lang w:val="it-IT"/>
                <w:rPrChange w:id="10289" w:author="Author">
                  <w:rPr>
                    <w:del w:id="10290" w:author="Author"/>
                    <w:b/>
                    <w:szCs w:val="22"/>
                    <w:lang w:val="it-IT"/>
                  </w:rPr>
                </w:rPrChange>
              </w:rPr>
            </w:pPr>
          </w:p>
        </w:tc>
        <w:tc>
          <w:tcPr>
            <w:tcW w:w="4590" w:type="dxa"/>
          </w:tcPr>
          <w:p>
            <w:pPr>
              <w:keepNext/>
              <w:keepLines/>
              <w:tabs>
                <w:tab w:val="left" w:pos="180"/>
              </w:tabs>
              <w:suppressAutoHyphens/>
              <w:rPr>
                <w:del w:id="10291" w:author="Author"/>
                <w:rFonts w:asciiTheme="majorBidi" w:hAnsiTheme="majorBidi" w:cstheme="majorBidi"/>
                <w:noProof/>
                <w:szCs w:val="22"/>
                <w:lang w:val="it-IT"/>
                <w:rPrChange w:id="10292" w:author="Author">
                  <w:rPr>
                    <w:del w:id="10293" w:author="Author"/>
                    <w:szCs w:val="22"/>
                    <w:lang w:val="fr-FR"/>
                  </w:rPr>
                </w:rPrChange>
              </w:rPr>
            </w:pPr>
            <w:del w:id="10294" w:author="Author">
              <w:r>
                <w:rPr>
                  <w:rFonts w:asciiTheme="majorBidi" w:hAnsiTheme="majorBidi" w:cstheme="majorBidi"/>
                  <w:b/>
                  <w:noProof/>
                  <w:szCs w:val="22"/>
                  <w:lang w:val="it-IT"/>
                  <w:rPrChange w:id="10295" w:author="Author">
                    <w:rPr>
                      <w:b/>
                      <w:szCs w:val="22"/>
                      <w:lang w:val="fr-FR"/>
                    </w:rPr>
                  </w:rPrChange>
                </w:rPr>
                <w:delText>Luxembourg/Luxemburg</w:delText>
              </w:r>
            </w:del>
          </w:p>
          <w:p>
            <w:pPr>
              <w:keepNext/>
              <w:keepLines/>
              <w:tabs>
                <w:tab w:val="left" w:pos="180"/>
              </w:tabs>
              <w:rPr>
                <w:del w:id="10296" w:author="Author"/>
                <w:rFonts w:asciiTheme="majorBidi" w:hAnsiTheme="majorBidi" w:cstheme="majorBidi"/>
                <w:noProof/>
                <w:szCs w:val="22"/>
                <w:lang w:val="it-IT"/>
                <w:rPrChange w:id="10297" w:author="Author">
                  <w:rPr>
                    <w:del w:id="10298" w:author="Author"/>
                    <w:szCs w:val="22"/>
                    <w:lang w:val="fr-FR"/>
                  </w:rPr>
                </w:rPrChange>
              </w:rPr>
            </w:pPr>
            <w:del w:id="10299" w:author="Author">
              <w:r>
                <w:rPr>
                  <w:rFonts w:asciiTheme="majorBidi" w:hAnsiTheme="majorBidi" w:cstheme="majorBidi"/>
                  <w:noProof/>
                  <w:szCs w:val="22"/>
                  <w:lang w:val="it-IT"/>
                  <w:rPrChange w:id="10300" w:author="Author">
                    <w:rPr>
                      <w:szCs w:val="22"/>
                      <w:lang w:val="fr-FR"/>
                    </w:rPr>
                  </w:rPrChange>
                </w:rPr>
                <w:delText>(Voir/siehe Belgique/Belgien)</w:delText>
              </w:r>
            </w:del>
          </w:p>
          <w:p>
            <w:pPr>
              <w:keepNext/>
              <w:keepLines/>
              <w:tabs>
                <w:tab w:val="left" w:pos="180"/>
              </w:tabs>
              <w:suppressAutoHyphens/>
              <w:rPr>
                <w:del w:id="10301" w:author="Author"/>
                <w:rFonts w:asciiTheme="majorBidi" w:hAnsiTheme="majorBidi" w:cstheme="majorBidi"/>
                <w:b/>
                <w:noProof/>
                <w:szCs w:val="22"/>
                <w:lang w:val="it-IT"/>
                <w:rPrChange w:id="10302" w:author="Author">
                  <w:rPr>
                    <w:del w:id="10303" w:author="Author"/>
                    <w:b/>
                    <w:szCs w:val="22"/>
                    <w:lang w:val="fr-FR"/>
                  </w:rPr>
                </w:rPrChange>
              </w:rPr>
            </w:pPr>
          </w:p>
        </w:tc>
      </w:tr>
      <w:tr>
        <w:trPr>
          <w:cantSplit/>
          <w:del w:id="10304" w:author="Author"/>
        </w:trPr>
        <w:tc>
          <w:tcPr>
            <w:tcW w:w="4590" w:type="dxa"/>
          </w:tcPr>
          <w:p>
            <w:pPr>
              <w:keepNext/>
              <w:keepLines/>
              <w:tabs>
                <w:tab w:val="left" w:pos="180"/>
              </w:tabs>
              <w:autoSpaceDE w:val="0"/>
              <w:autoSpaceDN w:val="0"/>
              <w:adjustRightInd w:val="0"/>
              <w:rPr>
                <w:del w:id="10305" w:author="Author"/>
                <w:rFonts w:asciiTheme="majorBidi" w:hAnsiTheme="majorBidi" w:cstheme="majorBidi"/>
                <w:b/>
                <w:noProof/>
                <w:szCs w:val="22"/>
                <w:lang w:val="it-IT"/>
                <w:rPrChange w:id="10306" w:author="Author">
                  <w:rPr>
                    <w:del w:id="10307" w:author="Author"/>
                    <w:b/>
                    <w:szCs w:val="22"/>
                    <w:lang w:val="fr-FR"/>
                  </w:rPr>
                </w:rPrChange>
              </w:rPr>
            </w:pPr>
            <w:del w:id="10308" w:author="Author">
              <w:r>
                <w:rPr>
                  <w:rFonts w:asciiTheme="majorBidi" w:hAnsiTheme="majorBidi" w:cstheme="majorBidi"/>
                  <w:b/>
                  <w:noProof/>
                  <w:szCs w:val="22"/>
                  <w:lang w:val="it-IT"/>
                  <w:rPrChange w:id="10309" w:author="Author">
                    <w:rPr>
                      <w:b/>
                      <w:szCs w:val="22"/>
                      <w:lang w:val="it-IT"/>
                    </w:rPr>
                  </w:rPrChange>
                </w:rPr>
                <w:delText>България</w:delText>
              </w:r>
            </w:del>
          </w:p>
          <w:p>
            <w:pPr>
              <w:keepNext/>
              <w:keepLines/>
              <w:tabs>
                <w:tab w:val="left" w:pos="180"/>
              </w:tabs>
              <w:suppressAutoHyphens/>
              <w:rPr>
                <w:del w:id="10310" w:author="Author"/>
                <w:rFonts w:asciiTheme="majorBidi" w:hAnsiTheme="majorBidi" w:cstheme="majorBidi"/>
                <w:noProof/>
                <w:szCs w:val="22"/>
                <w:lang w:val="it-IT"/>
                <w:rPrChange w:id="10311" w:author="Author">
                  <w:rPr>
                    <w:del w:id="10312" w:author="Author"/>
                    <w:szCs w:val="22"/>
                    <w:lang w:val="fr-FR"/>
                  </w:rPr>
                </w:rPrChange>
              </w:rPr>
            </w:pPr>
            <w:del w:id="10313" w:author="Author">
              <w:r>
                <w:rPr>
                  <w:rFonts w:asciiTheme="majorBidi" w:hAnsiTheme="majorBidi" w:cstheme="majorBidi"/>
                  <w:noProof/>
                  <w:szCs w:val="22"/>
                  <w:lang w:val="it-IT"/>
                  <w:rPrChange w:id="10314" w:author="Author">
                    <w:rPr>
                      <w:szCs w:val="22"/>
                      <w:lang w:val="it-IT"/>
                    </w:rPr>
                  </w:rPrChange>
                </w:rPr>
                <w:delText>Рош</w:delText>
              </w:r>
              <w:r>
                <w:rPr>
                  <w:rFonts w:asciiTheme="majorBidi" w:hAnsiTheme="majorBidi" w:cstheme="majorBidi"/>
                  <w:noProof/>
                  <w:szCs w:val="22"/>
                  <w:lang w:val="it-IT"/>
                  <w:rPrChange w:id="10315" w:author="Author">
                    <w:rPr>
                      <w:szCs w:val="22"/>
                      <w:lang w:val="fr-FR"/>
                    </w:rPr>
                  </w:rPrChange>
                </w:rPr>
                <w:delText xml:space="preserve"> </w:delText>
              </w:r>
              <w:r>
                <w:rPr>
                  <w:rFonts w:asciiTheme="majorBidi" w:hAnsiTheme="majorBidi" w:cstheme="majorBidi"/>
                  <w:noProof/>
                  <w:szCs w:val="22"/>
                  <w:lang w:val="it-IT"/>
                  <w:rPrChange w:id="10316" w:author="Author">
                    <w:rPr>
                      <w:szCs w:val="22"/>
                      <w:lang w:val="it-IT"/>
                    </w:rPr>
                  </w:rPrChange>
                </w:rPr>
                <w:delText>България</w:delText>
              </w:r>
              <w:r>
                <w:rPr>
                  <w:rFonts w:asciiTheme="majorBidi" w:hAnsiTheme="majorBidi" w:cstheme="majorBidi"/>
                  <w:noProof/>
                  <w:szCs w:val="22"/>
                  <w:lang w:val="it-IT"/>
                  <w:rPrChange w:id="10317" w:author="Author">
                    <w:rPr>
                      <w:szCs w:val="22"/>
                      <w:lang w:val="fr-FR"/>
                    </w:rPr>
                  </w:rPrChange>
                </w:rPr>
                <w:delText xml:space="preserve"> </w:delText>
              </w:r>
              <w:r>
                <w:rPr>
                  <w:rFonts w:asciiTheme="majorBidi" w:hAnsiTheme="majorBidi" w:cstheme="majorBidi"/>
                  <w:noProof/>
                  <w:szCs w:val="22"/>
                  <w:lang w:val="it-IT"/>
                  <w:rPrChange w:id="10318" w:author="Author">
                    <w:rPr>
                      <w:szCs w:val="22"/>
                      <w:lang w:val="it-IT"/>
                    </w:rPr>
                  </w:rPrChange>
                </w:rPr>
                <w:delText>ЕООД</w:delText>
              </w:r>
            </w:del>
          </w:p>
          <w:p>
            <w:pPr>
              <w:keepNext/>
              <w:keepLines/>
              <w:tabs>
                <w:tab w:val="left" w:pos="180"/>
              </w:tabs>
              <w:suppressAutoHyphens/>
              <w:rPr>
                <w:del w:id="10319" w:author="Author"/>
                <w:rFonts w:asciiTheme="majorBidi" w:hAnsiTheme="majorBidi" w:cstheme="majorBidi"/>
                <w:noProof/>
                <w:szCs w:val="22"/>
                <w:lang w:val="it-IT"/>
                <w:rPrChange w:id="10320" w:author="Author">
                  <w:rPr>
                    <w:del w:id="10321" w:author="Author"/>
                    <w:szCs w:val="22"/>
                    <w:lang w:val="fr-FR"/>
                  </w:rPr>
                </w:rPrChange>
              </w:rPr>
            </w:pPr>
            <w:del w:id="10322" w:author="Author">
              <w:r>
                <w:rPr>
                  <w:rFonts w:asciiTheme="majorBidi" w:hAnsiTheme="majorBidi" w:cstheme="majorBidi"/>
                  <w:noProof/>
                  <w:szCs w:val="22"/>
                  <w:lang w:val="it-IT"/>
                  <w:rPrChange w:id="10323" w:author="Author">
                    <w:rPr>
                      <w:noProof/>
                      <w:szCs w:val="22"/>
                      <w:lang w:val="en-GB"/>
                    </w:rPr>
                  </w:rPrChange>
                </w:rPr>
                <w:delText>Тел</w:delText>
              </w:r>
              <w:r>
                <w:rPr>
                  <w:rFonts w:asciiTheme="majorBidi" w:hAnsiTheme="majorBidi" w:cstheme="majorBidi"/>
                  <w:noProof/>
                  <w:szCs w:val="22"/>
                  <w:lang w:val="it-IT"/>
                  <w:rPrChange w:id="10324" w:author="Author">
                    <w:rPr>
                      <w:noProof/>
                      <w:szCs w:val="22"/>
                      <w:lang w:val="fr-FR"/>
                    </w:rPr>
                  </w:rPrChange>
                </w:rPr>
                <w:delText>: +359 2 474 5444</w:delText>
              </w:r>
            </w:del>
          </w:p>
        </w:tc>
        <w:tc>
          <w:tcPr>
            <w:tcW w:w="4590" w:type="dxa"/>
          </w:tcPr>
          <w:p>
            <w:pPr>
              <w:keepNext/>
              <w:keepLines/>
              <w:tabs>
                <w:tab w:val="left" w:pos="180"/>
              </w:tabs>
              <w:rPr>
                <w:del w:id="10325" w:author="Author"/>
                <w:rFonts w:asciiTheme="majorBidi" w:hAnsiTheme="majorBidi" w:cstheme="majorBidi"/>
                <w:b/>
                <w:noProof/>
                <w:szCs w:val="22"/>
                <w:lang w:val="it-IT"/>
                <w:rPrChange w:id="10326" w:author="Author">
                  <w:rPr>
                    <w:del w:id="10327" w:author="Author"/>
                    <w:b/>
                    <w:szCs w:val="22"/>
                    <w:lang w:val="en-GB"/>
                  </w:rPr>
                </w:rPrChange>
              </w:rPr>
            </w:pPr>
            <w:del w:id="10328" w:author="Author">
              <w:r>
                <w:rPr>
                  <w:rFonts w:asciiTheme="majorBidi" w:hAnsiTheme="majorBidi" w:cstheme="majorBidi"/>
                  <w:b/>
                  <w:noProof/>
                  <w:szCs w:val="22"/>
                  <w:lang w:val="it-IT"/>
                  <w:rPrChange w:id="10329" w:author="Author">
                    <w:rPr>
                      <w:b/>
                      <w:szCs w:val="22"/>
                      <w:lang w:val="en-GB"/>
                    </w:rPr>
                  </w:rPrChange>
                </w:rPr>
                <w:delText>Magyarország</w:delText>
              </w:r>
            </w:del>
          </w:p>
          <w:p>
            <w:pPr>
              <w:keepNext/>
              <w:keepLines/>
              <w:tabs>
                <w:tab w:val="left" w:pos="180"/>
              </w:tabs>
              <w:rPr>
                <w:del w:id="10330" w:author="Author"/>
                <w:rFonts w:asciiTheme="majorBidi" w:hAnsiTheme="majorBidi" w:cstheme="majorBidi"/>
                <w:noProof/>
                <w:szCs w:val="22"/>
                <w:lang w:val="it-IT"/>
                <w:rPrChange w:id="10331" w:author="Author">
                  <w:rPr>
                    <w:del w:id="10332" w:author="Author"/>
                    <w:szCs w:val="22"/>
                    <w:lang w:val="en-GB"/>
                  </w:rPr>
                </w:rPrChange>
              </w:rPr>
            </w:pPr>
            <w:del w:id="10333" w:author="Author">
              <w:r>
                <w:rPr>
                  <w:rFonts w:asciiTheme="majorBidi" w:hAnsiTheme="majorBidi" w:cstheme="majorBidi"/>
                  <w:noProof/>
                  <w:szCs w:val="22"/>
                  <w:lang w:val="it-IT"/>
                  <w:rPrChange w:id="10334" w:author="Author">
                    <w:rPr>
                      <w:szCs w:val="22"/>
                      <w:lang w:val="en-GB"/>
                    </w:rPr>
                  </w:rPrChange>
                </w:rPr>
                <w:delText>Roche (Magyarország) Kft.</w:delText>
              </w:r>
            </w:del>
          </w:p>
          <w:p>
            <w:pPr>
              <w:keepNext/>
              <w:keepLines/>
              <w:tabs>
                <w:tab w:val="left" w:pos="180"/>
              </w:tabs>
              <w:rPr>
                <w:del w:id="10335" w:author="Author"/>
                <w:rFonts w:asciiTheme="majorBidi" w:hAnsiTheme="majorBidi" w:cstheme="majorBidi"/>
                <w:noProof/>
                <w:szCs w:val="22"/>
                <w:lang w:val="it-IT"/>
                <w:rPrChange w:id="10336" w:author="Author">
                  <w:rPr>
                    <w:del w:id="10337" w:author="Author"/>
                    <w:szCs w:val="22"/>
                    <w:lang w:val="en-GB"/>
                  </w:rPr>
                </w:rPrChange>
              </w:rPr>
            </w:pPr>
            <w:del w:id="10338" w:author="Author">
              <w:r>
                <w:rPr>
                  <w:rFonts w:asciiTheme="majorBidi" w:hAnsiTheme="majorBidi" w:cstheme="majorBidi"/>
                  <w:noProof/>
                  <w:szCs w:val="22"/>
                  <w:lang w:val="it-IT"/>
                  <w:rPrChange w:id="10339" w:author="Author">
                    <w:rPr>
                      <w:szCs w:val="22"/>
                      <w:lang w:val="en-GB"/>
                    </w:rPr>
                  </w:rPrChange>
                </w:rPr>
                <w:delText>Tel: +36 - 1 279 4500</w:delText>
              </w:r>
            </w:del>
          </w:p>
          <w:p>
            <w:pPr>
              <w:keepNext/>
              <w:keepLines/>
              <w:tabs>
                <w:tab w:val="left" w:pos="180"/>
              </w:tabs>
              <w:rPr>
                <w:del w:id="10340" w:author="Author"/>
                <w:rFonts w:asciiTheme="majorBidi" w:hAnsiTheme="majorBidi" w:cstheme="majorBidi"/>
                <w:noProof/>
                <w:szCs w:val="22"/>
                <w:lang w:val="it-IT"/>
                <w:rPrChange w:id="10341" w:author="Author">
                  <w:rPr>
                    <w:del w:id="10342" w:author="Author"/>
                    <w:szCs w:val="22"/>
                    <w:lang w:val="en-GB"/>
                  </w:rPr>
                </w:rPrChange>
              </w:rPr>
            </w:pPr>
          </w:p>
        </w:tc>
      </w:tr>
      <w:tr>
        <w:trPr>
          <w:cantSplit/>
          <w:trHeight w:val="1230"/>
          <w:del w:id="10343" w:author="Author"/>
        </w:trPr>
        <w:tc>
          <w:tcPr>
            <w:tcW w:w="4590" w:type="dxa"/>
          </w:tcPr>
          <w:p>
            <w:pPr>
              <w:tabs>
                <w:tab w:val="left" w:pos="180"/>
              </w:tabs>
              <w:rPr>
                <w:del w:id="10344" w:author="Author"/>
                <w:rFonts w:asciiTheme="majorBidi" w:hAnsiTheme="majorBidi" w:cstheme="majorBidi"/>
                <w:b/>
                <w:noProof/>
                <w:szCs w:val="22"/>
                <w:lang w:val="it-IT"/>
                <w:rPrChange w:id="10345" w:author="Author">
                  <w:rPr>
                    <w:del w:id="10346" w:author="Author"/>
                    <w:b/>
                    <w:szCs w:val="22"/>
                    <w:lang w:val="it-IT"/>
                  </w:rPr>
                </w:rPrChange>
              </w:rPr>
            </w:pPr>
            <w:del w:id="10347" w:author="Author">
              <w:r>
                <w:rPr>
                  <w:rFonts w:asciiTheme="majorBidi" w:hAnsiTheme="majorBidi" w:cstheme="majorBidi"/>
                  <w:b/>
                  <w:noProof/>
                  <w:szCs w:val="22"/>
                  <w:lang w:val="it-IT"/>
                  <w:rPrChange w:id="10348" w:author="Author">
                    <w:rPr>
                      <w:b/>
                      <w:szCs w:val="22"/>
                      <w:lang w:val="it-IT"/>
                    </w:rPr>
                  </w:rPrChange>
                </w:rPr>
                <w:delText>Česká republika</w:delText>
              </w:r>
            </w:del>
          </w:p>
          <w:p>
            <w:pPr>
              <w:tabs>
                <w:tab w:val="left" w:pos="180"/>
              </w:tabs>
              <w:rPr>
                <w:del w:id="10349" w:author="Author"/>
                <w:rFonts w:asciiTheme="majorBidi" w:hAnsiTheme="majorBidi" w:cstheme="majorBidi"/>
                <w:bCs/>
                <w:noProof/>
                <w:szCs w:val="22"/>
                <w:lang w:val="it-IT"/>
                <w:rPrChange w:id="10350" w:author="Author">
                  <w:rPr>
                    <w:del w:id="10351" w:author="Author"/>
                    <w:bCs/>
                    <w:szCs w:val="22"/>
                    <w:lang w:val="it-IT"/>
                  </w:rPr>
                </w:rPrChange>
              </w:rPr>
            </w:pPr>
            <w:del w:id="10352" w:author="Author">
              <w:r>
                <w:rPr>
                  <w:rFonts w:asciiTheme="majorBidi" w:hAnsiTheme="majorBidi" w:cstheme="majorBidi"/>
                  <w:bCs/>
                  <w:noProof/>
                  <w:szCs w:val="22"/>
                  <w:lang w:val="it-IT"/>
                  <w:rPrChange w:id="10353" w:author="Author">
                    <w:rPr>
                      <w:bCs/>
                      <w:szCs w:val="22"/>
                      <w:lang w:val="it-IT"/>
                    </w:rPr>
                  </w:rPrChange>
                </w:rPr>
                <w:delText>Roche s. r. o.</w:delText>
              </w:r>
            </w:del>
          </w:p>
          <w:p>
            <w:pPr>
              <w:tabs>
                <w:tab w:val="left" w:pos="180"/>
              </w:tabs>
              <w:rPr>
                <w:del w:id="10354" w:author="Author"/>
                <w:rFonts w:asciiTheme="majorBidi" w:hAnsiTheme="majorBidi" w:cstheme="majorBidi"/>
                <w:noProof/>
                <w:szCs w:val="22"/>
                <w:lang w:val="it-IT"/>
                <w:rPrChange w:id="10355" w:author="Author">
                  <w:rPr>
                    <w:del w:id="10356" w:author="Author"/>
                    <w:szCs w:val="22"/>
                    <w:lang w:val="it-IT"/>
                  </w:rPr>
                </w:rPrChange>
              </w:rPr>
            </w:pPr>
            <w:del w:id="10357" w:author="Author">
              <w:r>
                <w:rPr>
                  <w:rFonts w:asciiTheme="majorBidi" w:hAnsiTheme="majorBidi" w:cstheme="majorBidi"/>
                  <w:noProof/>
                  <w:szCs w:val="22"/>
                  <w:lang w:val="it-IT"/>
                  <w:rPrChange w:id="10358" w:author="Author">
                    <w:rPr>
                      <w:szCs w:val="22"/>
                      <w:lang w:val="it-IT"/>
                    </w:rPr>
                  </w:rPrChange>
                </w:rPr>
                <w:delText>Tel: +420 - 2 20382111</w:delText>
              </w:r>
            </w:del>
          </w:p>
        </w:tc>
        <w:tc>
          <w:tcPr>
            <w:tcW w:w="4590" w:type="dxa"/>
          </w:tcPr>
          <w:p>
            <w:pPr>
              <w:tabs>
                <w:tab w:val="left" w:pos="180"/>
              </w:tabs>
              <w:rPr>
                <w:del w:id="10359" w:author="Author"/>
                <w:rFonts w:asciiTheme="majorBidi" w:hAnsiTheme="majorBidi" w:cstheme="majorBidi"/>
                <w:b/>
                <w:noProof/>
                <w:szCs w:val="22"/>
                <w:lang w:val="it-IT"/>
                <w:rPrChange w:id="10360" w:author="Author">
                  <w:rPr>
                    <w:del w:id="10361" w:author="Author"/>
                    <w:b/>
                    <w:szCs w:val="22"/>
                    <w:lang w:val="it-IT"/>
                  </w:rPr>
                </w:rPrChange>
              </w:rPr>
            </w:pPr>
            <w:del w:id="10362" w:author="Author">
              <w:r>
                <w:rPr>
                  <w:rFonts w:asciiTheme="majorBidi" w:hAnsiTheme="majorBidi" w:cstheme="majorBidi"/>
                  <w:b/>
                  <w:noProof/>
                  <w:szCs w:val="22"/>
                  <w:lang w:val="it-IT"/>
                  <w:rPrChange w:id="10363" w:author="Author">
                    <w:rPr>
                      <w:b/>
                      <w:szCs w:val="22"/>
                      <w:lang w:val="it-IT"/>
                    </w:rPr>
                  </w:rPrChange>
                </w:rPr>
                <w:delText>Malta</w:delText>
              </w:r>
            </w:del>
          </w:p>
          <w:p>
            <w:pPr>
              <w:tabs>
                <w:tab w:val="left" w:pos="180"/>
              </w:tabs>
              <w:autoSpaceDE w:val="0"/>
              <w:autoSpaceDN w:val="0"/>
              <w:adjustRightInd w:val="0"/>
              <w:rPr>
                <w:del w:id="10364" w:author="Author"/>
                <w:rFonts w:asciiTheme="majorBidi" w:hAnsiTheme="majorBidi" w:cstheme="majorBidi"/>
                <w:noProof/>
                <w:szCs w:val="22"/>
                <w:lang w:val="it-IT"/>
                <w:rPrChange w:id="10365" w:author="Author">
                  <w:rPr>
                    <w:del w:id="10366" w:author="Author"/>
                    <w:szCs w:val="22"/>
                    <w:lang w:val="it-IT"/>
                  </w:rPr>
                </w:rPrChange>
              </w:rPr>
            </w:pPr>
            <w:del w:id="10367" w:author="Author">
              <w:r>
                <w:rPr>
                  <w:rFonts w:asciiTheme="majorBidi" w:hAnsiTheme="majorBidi" w:cstheme="majorBidi"/>
                  <w:noProof/>
                  <w:szCs w:val="22"/>
                  <w:lang w:val="it-IT"/>
                  <w:rPrChange w:id="10368" w:author="Author">
                    <w:rPr>
                      <w:lang w:val="it-IT"/>
                    </w:rPr>
                  </w:rPrChange>
                </w:rPr>
                <w:delText>(See Ireland)</w:delText>
              </w:r>
            </w:del>
          </w:p>
          <w:p>
            <w:pPr>
              <w:tabs>
                <w:tab w:val="left" w:pos="180"/>
              </w:tabs>
              <w:autoSpaceDE w:val="0"/>
              <w:autoSpaceDN w:val="0"/>
              <w:adjustRightInd w:val="0"/>
              <w:rPr>
                <w:del w:id="10369" w:author="Author"/>
                <w:rFonts w:asciiTheme="majorBidi" w:hAnsiTheme="majorBidi" w:cstheme="majorBidi"/>
                <w:noProof/>
                <w:szCs w:val="22"/>
                <w:lang w:val="it-IT"/>
                <w:rPrChange w:id="10370" w:author="Author">
                  <w:rPr>
                    <w:del w:id="10371" w:author="Author"/>
                    <w:szCs w:val="22"/>
                    <w:lang w:val="it-IT"/>
                  </w:rPr>
                </w:rPrChange>
              </w:rPr>
            </w:pPr>
          </w:p>
        </w:tc>
      </w:tr>
      <w:tr>
        <w:trPr>
          <w:cantSplit/>
          <w:del w:id="10372" w:author="Author"/>
        </w:trPr>
        <w:tc>
          <w:tcPr>
            <w:tcW w:w="4590" w:type="dxa"/>
          </w:tcPr>
          <w:p>
            <w:pPr>
              <w:tabs>
                <w:tab w:val="left" w:pos="180"/>
              </w:tabs>
              <w:rPr>
                <w:del w:id="10373" w:author="Author"/>
                <w:rFonts w:asciiTheme="majorBidi" w:hAnsiTheme="majorBidi" w:cstheme="majorBidi"/>
                <w:noProof/>
                <w:szCs w:val="22"/>
                <w:lang w:val="it-IT"/>
                <w:rPrChange w:id="10374" w:author="Author">
                  <w:rPr>
                    <w:del w:id="10375" w:author="Author"/>
                    <w:szCs w:val="22"/>
                    <w:lang w:val="en-GB"/>
                  </w:rPr>
                </w:rPrChange>
              </w:rPr>
            </w:pPr>
            <w:del w:id="10376" w:author="Author">
              <w:r>
                <w:rPr>
                  <w:rFonts w:asciiTheme="majorBidi" w:hAnsiTheme="majorBidi" w:cstheme="majorBidi"/>
                  <w:b/>
                  <w:noProof/>
                  <w:szCs w:val="22"/>
                  <w:lang w:val="it-IT"/>
                  <w:rPrChange w:id="10377" w:author="Author">
                    <w:rPr>
                      <w:b/>
                      <w:szCs w:val="22"/>
                      <w:lang w:val="en-GB"/>
                    </w:rPr>
                  </w:rPrChange>
                </w:rPr>
                <w:delText>Danmark</w:delText>
              </w:r>
            </w:del>
          </w:p>
          <w:p>
            <w:pPr>
              <w:tabs>
                <w:tab w:val="left" w:pos="180"/>
              </w:tabs>
              <w:rPr>
                <w:del w:id="10378" w:author="Author"/>
                <w:rFonts w:asciiTheme="majorBidi" w:hAnsiTheme="majorBidi" w:cstheme="majorBidi"/>
                <w:noProof/>
                <w:szCs w:val="22"/>
                <w:lang w:val="it-IT"/>
                <w:rPrChange w:id="10379" w:author="Author">
                  <w:rPr>
                    <w:del w:id="10380" w:author="Author"/>
                    <w:szCs w:val="22"/>
                    <w:lang w:val="en-GB"/>
                  </w:rPr>
                </w:rPrChange>
              </w:rPr>
            </w:pPr>
            <w:del w:id="10381" w:author="Author">
              <w:r>
                <w:rPr>
                  <w:rFonts w:asciiTheme="majorBidi" w:hAnsiTheme="majorBidi" w:cstheme="majorBidi"/>
                  <w:noProof/>
                  <w:szCs w:val="22"/>
                  <w:lang w:val="it-IT"/>
                  <w:rPrChange w:id="10382" w:author="Author">
                    <w:rPr>
                      <w:szCs w:val="22"/>
                      <w:lang w:val="en-GB"/>
                    </w:rPr>
                  </w:rPrChange>
                </w:rPr>
                <w:delText xml:space="preserve">Roche </w:delText>
              </w:r>
              <w:r>
                <w:rPr>
                  <w:rFonts w:asciiTheme="majorBidi" w:hAnsiTheme="majorBidi" w:cstheme="majorBidi"/>
                  <w:noProof/>
                  <w:szCs w:val="22"/>
                  <w:lang w:val="it-IT"/>
                  <w:rPrChange w:id="10383" w:author="Author">
                    <w:rPr>
                      <w:noProof/>
                    </w:rPr>
                  </w:rPrChange>
                </w:rPr>
                <w:delText>Pharmaceuticals A/S</w:delText>
              </w:r>
            </w:del>
          </w:p>
          <w:p>
            <w:pPr>
              <w:tabs>
                <w:tab w:val="left" w:pos="180"/>
              </w:tabs>
              <w:rPr>
                <w:del w:id="10384" w:author="Author"/>
                <w:rFonts w:asciiTheme="majorBidi" w:hAnsiTheme="majorBidi" w:cstheme="majorBidi"/>
                <w:noProof/>
                <w:szCs w:val="22"/>
                <w:lang w:val="it-IT"/>
                <w:rPrChange w:id="10385" w:author="Author">
                  <w:rPr>
                    <w:del w:id="10386" w:author="Author"/>
                    <w:szCs w:val="22"/>
                    <w:lang w:val="en-GB"/>
                  </w:rPr>
                </w:rPrChange>
              </w:rPr>
            </w:pPr>
            <w:del w:id="10387" w:author="Author">
              <w:r>
                <w:rPr>
                  <w:rFonts w:asciiTheme="majorBidi" w:hAnsiTheme="majorBidi" w:cstheme="majorBidi"/>
                  <w:noProof/>
                  <w:szCs w:val="22"/>
                  <w:lang w:val="it-IT"/>
                  <w:rPrChange w:id="10388" w:author="Author">
                    <w:rPr>
                      <w:szCs w:val="22"/>
                      <w:lang w:val="en-GB"/>
                    </w:rPr>
                  </w:rPrChange>
                </w:rPr>
                <w:delText>Tlf.: +45 - 36 39 99 99</w:delText>
              </w:r>
            </w:del>
          </w:p>
          <w:p>
            <w:pPr>
              <w:tabs>
                <w:tab w:val="left" w:pos="180"/>
              </w:tabs>
              <w:rPr>
                <w:del w:id="10389" w:author="Author"/>
                <w:rFonts w:asciiTheme="majorBidi" w:hAnsiTheme="majorBidi" w:cstheme="majorBidi"/>
                <w:b/>
                <w:noProof/>
                <w:szCs w:val="22"/>
                <w:lang w:val="it-IT"/>
                <w:rPrChange w:id="10390" w:author="Author">
                  <w:rPr>
                    <w:del w:id="10391" w:author="Author"/>
                    <w:b/>
                    <w:szCs w:val="22"/>
                    <w:lang w:val="en-GB"/>
                  </w:rPr>
                </w:rPrChange>
              </w:rPr>
            </w:pPr>
          </w:p>
        </w:tc>
        <w:tc>
          <w:tcPr>
            <w:tcW w:w="4590" w:type="dxa"/>
          </w:tcPr>
          <w:p>
            <w:pPr>
              <w:tabs>
                <w:tab w:val="left" w:pos="180"/>
              </w:tabs>
              <w:rPr>
                <w:del w:id="10392" w:author="Author"/>
                <w:rFonts w:asciiTheme="majorBidi" w:hAnsiTheme="majorBidi" w:cstheme="majorBidi"/>
                <w:noProof/>
                <w:szCs w:val="22"/>
                <w:lang w:val="it-IT"/>
                <w:rPrChange w:id="10393" w:author="Author">
                  <w:rPr>
                    <w:del w:id="10394" w:author="Author"/>
                    <w:szCs w:val="22"/>
                    <w:lang w:val="it-IT"/>
                  </w:rPr>
                </w:rPrChange>
              </w:rPr>
            </w:pPr>
            <w:del w:id="10395" w:author="Author">
              <w:r>
                <w:rPr>
                  <w:rFonts w:asciiTheme="majorBidi" w:hAnsiTheme="majorBidi" w:cstheme="majorBidi"/>
                  <w:b/>
                  <w:noProof/>
                  <w:szCs w:val="22"/>
                  <w:lang w:val="it-IT"/>
                  <w:rPrChange w:id="10396" w:author="Author">
                    <w:rPr>
                      <w:b/>
                      <w:szCs w:val="22"/>
                      <w:lang w:val="it-IT"/>
                    </w:rPr>
                  </w:rPrChange>
                </w:rPr>
                <w:delText>Nederland</w:delText>
              </w:r>
            </w:del>
          </w:p>
          <w:p>
            <w:pPr>
              <w:tabs>
                <w:tab w:val="left" w:pos="180"/>
              </w:tabs>
              <w:rPr>
                <w:del w:id="10397" w:author="Author"/>
                <w:rFonts w:asciiTheme="majorBidi" w:hAnsiTheme="majorBidi" w:cstheme="majorBidi"/>
                <w:noProof/>
                <w:szCs w:val="22"/>
                <w:lang w:val="it-IT"/>
                <w:rPrChange w:id="10398" w:author="Author">
                  <w:rPr>
                    <w:del w:id="10399" w:author="Author"/>
                    <w:szCs w:val="22"/>
                    <w:lang w:val="it-IT"/>
                  </w:rPr>
                </w:rPrChange>
              </w:rPr>
            </w:pPr>
            <w:del w:id="10400" w:author="Author">
              <w:r>
                <w:rPr>
                  <w:rFonts w:asciiTheme="majorBidi" w:hAnsiTheme="majorBidi" w:cstheme="majorBidi"/>
                  <w:noProof/>
                  <w:szCs w:val="22"/>
                  <w:lang w:val="it-IT"/>
                  <w:rPrChange w:id="10401" w:author="Author">
                    <w:rPr>
                      <w:szCs w:val="22"/>
                      <w:lang w:val="it-IT"/>
                    </w:rPr>
                  </w:rPrChange>
                </w:rPr>
                <w:delText>Roche Nederland B.V.</w:delText>
              </w:r>
            </w:del>
          </w:p>
          <w:p>
            <w:pPr>
              <w:tabs>
                <w:tab w:val="left" w:pos="180"/>
              </w:tabs>
              <w:rPr>
                <w:del w:id="10402" w:author="Author"/>
                <w:rFonts w:asciiTheme="majorBidi" w:hAnsiTheme="majorBidi" w:cstheme="majorBidi"/>
                <w:noProof/>
                <w:szCs w:val="22"/>
                <w:lang w:val="it-IT"/>
                <w:rPrChange w:id="10403" w:author="Author">
                  <w:rPr>
                    <w:del w:id="10404" w:author="Author"/>
                    <w:szCs w:val="22"/>
                    <w:lang w:val="it-IT"/>
                  </w:rPr>
                </w:rPrChange>
              </w:rPr>
            </w:pPr>
            <w:del w:id="10405" w:author="Author">
              <w:r>
                <w:rPr>
                  <w:rFonts w:asciiTheme="majorBidi" w:hAnsiTheme="majorBidi" w:cstheme="majorBidi"/>
                  <w:noProof/>
                  <w:szCs w:val="22"/>
                  <w:lang w:val="it-IT"/>
                  <w:rPrChange w:id="10406" w:author="Author">
                    <w:rPr>
                      <w:szCs w:val="22"/>
                      <w:lang w:val="it-IT"/>
                    </w:rPr>
                  </w:rPrChange>
                </w:rPr>
                <w:delText>Tel: +31 (0) 348 438050</w:delText>
              </w:r>
            </w:del>
          </w:p>
          <w:p>
            <w:pPr>
              <w:tabs>
                <w:tab w:val="left" w:pos="180"/>
              </w:tabs>
              <w:rPr>
                <w:del w:id="10407" w:author="Author"/>
                <w:rFonts w:asciiTheme="majorBidi" w:hAnsiTheme="majorBidi" w:cstheme="majorBidi"/>
                <w:noProof/>
                <w:szCs w:val="22"/>
                <w:lang w:val="it-IT"/>
                <w:rPrChange w:id="10408" w:author="Author">
                  <w:rPr>
                    <w:del w:id="10409" w:author="Author"/>
                    <w:szCs w:val="22"/>
                    <w:lang w:val="it-IT"/>
                  </w:rPr>
                </w:rPrChange>
              </w:rPr>
            </w:pPr>
          </w:p>
        </w:tc>
      </w:tr>
      <w:tr>
        <w:trPr>
          <w:cantSplit/>
          <w:del w:id="10410" w:author="Author"/>
        </w:trPr>
        <w:tc>
          <w:tcPr>
            <w:tcW w:w="4590" w:type="dxa"/>
          </w:tcPr>
          <w:p>
            <w:pPr>
              <w:tabs>
                <w:tab w:val="left" w:pos="180"/>
              </w:tabs>
              <w:rPr>
                <w:del w:id="10411" w:author="Author"/>
                <w:rFonts w:asciiTheme="majorBidi" w:hAnsiTheme="majorBidi" w:cstheme="majorBidi"/>
                <w:noProof/>
                <w:szCs w:val="22"/>
                <w:lang w:val="it-IT"/>
                <w:rPrChange w:id="10412" w:author="Author">
                  <w:rPr>
                    <w:del w:id="10413" w:author="Author"/>
                    <w:szCs w:val="22"/>
                    <w:lang w:val="en-GB"/>
                  </w:rPr>
                </w:rPrChange>
              </w:rPr>
            </w:pPr>
            <w:del w:id="10414" w:author="Author">
              <w:r>
                <w:rPr>
                  <w:rFonts w:asciiTheme="majorBidi" w:hAnsiTheme="majorBidi" w:cstheme="majorBidi"/>
                  <w:b/>
                  <w:noProof/>
                  <w:szCs w:val="22"/>
                  <w:lang w:val="it-IT"/>
                  <w:rPrChange w:id="10415" w:author="Author">
                    <w:rPr>
                      <w:b/>
                      <w:szCs w:val="22"/>
                      <w:lang w:val="en-GB"/>
                    </w:rPr>
                  </w:rPrChange>
                </w:rPr>
                <w:delText>Deutschland</w:delText>
              </w:r>
            </w:del>
          </w:p>
          <w:p>
            <w:pPr>
              <w:tabs>
                <w:tab w:val="left" w:pos="180"/>
              </w:tabs>
              <w:rPr>
                <w:del w:id="10416" w:author="Author"/>
                <w:rFonts w:asciiTheme="majorBidi" w:hAnsiTheme="majorBidi" w:cstheme="majorBidi"/>
                <w:noProof/>
                <w:szCs w:val="22"/>
                <w:lang w:val="it-IT"/>
                <w:rPrChange w:id="10417" w:author="Author">
                  <w:rPr>
                    <w:del w:id="10418" w:author="Author"/>
                    <w:szCs w:val="22"/>
                    <w:lang w:val="en-GB"/>
                  </w:rPr>
                </w:rPrChange>
              </w:rPr>
            </w:pPr>
            <w:del w:id="10419" w:author="Author">
              <w:r>
                <w:rPr>
                  <w:rFonts w:asciiTheme="majorBidi" w:hAnsiTheme="majorBidi" w:cstheme="majorBidi"/>
                  <w:noProof/>
                  <w:szCs w:val="22"/>
                  <w:lang w:val="it-IT"/>
                  <w:rPrChange w:id="10420" w:author="Author">
                    <w:rPr>
                      <w:szCs w:val="22"/>
                      <w:lang w:val="en-GB"/>
                    </w:rPr>
                  </w:rPrChange>
                </w:rPr>
                <w:delText>Roche Pharma AG</w:delText>
              </w:r>
            </w:del>
          </w:p>
          <w:p>
            <w:pPr>
              <w:tabs>
                <w:tab w:val="left" w:pos="180"/>
              </w:tabs>
              <w:rPr>
                <w:del w:id="10421" w:author="Author"/>
                <w:rFonts w:asciiTheme="majorBidi" w:hAnsiTheme="majorBidi" w:cstheme="majorBidi"/>
                <w:noProof/>
                <w:szCs w:val="22"/>
                <w:lang w:val="it-IT"/>
                <w:rPrChange w:id="10422" w:author="Author">
                  <w:rPr>
                    <w:del w:id="10423" w:author="Author"/>
                    <w:szCs w:val="22"/>
                    <w:lang w:val="en-GB"/>
                  </w:rPr>
                </w:rPrChange>
              </w:rPr>
            </w:pPr>
            <w:del w:id="10424" w:author="Author">
              <w:r>
                <w:rPr>
                  <w:rFonts w:asciiTheme="majorBidi" w:hAnsiTheme="majorBidi" w:cstheme="majorBidi"/>
                  <w:noProof/>
                  <w:szCs w:val="22"/>
                  <w:lang w:val="it-IT"/>
                  <w:rPrChange w:id="10425" w:author="Author">
                    <w:rPr>
                      <w:szCs w:val="22"/>
                      <w:lang w:val="en-GB"/>
                    </w:rPr>
                  </w:rPrChange>
                </w:rPr>
                <w:delText>Tel: +49 (0) 7624 140</w:delText>
              </w:r>
            </w:del>
          </w:p>
          <w:p>
            <w:pPr>
              <w:tabs>
                <w:tab w:val="left" w:pos="180"/>
              </w:tabs>
              <w:autoSpaceDE w:val="0"/>
              <w:autoSpaceDN w:val="0"/>
              <w:adjustRightInd w:val="0"/>
              <w:rPr>
                <w:del w:id="10426" w:author="Author"/>
                <w:rFonts w:asciiTheme="majorBidi" w:eastAsia="SimSun" w:hAnsiTheme="majorBidi" w:cstheme="majorBidi"/>
                <w:noProof/>
                <w:szCs w:val="22"/>
                <w:lang w:val="it-IT" w:eastAsia="zh-CN"/>
                <w:rPrChange w:id="10427" w:author="Author">
                  <w:rPr>
                    <w:del w:id="10428" w:author="Author"/>
                    <w:rFonts w:eastAsia="SimSun"/>
                    <w:szCs w:val="22"/>
                    <w:lang w:val="en-GB" w:eastAsia="zh-CN"/>
                  </w:rPr>
                </w:rPrChange>
              </w:rPr>
            </w:pPr>
            <w:del w:id="10429" w:author="Author">
              <w:r>
                <w:rPr>
                  <w:rFonts w:asciiTheme="majorBidi" w:eastAsia="SimSun" w:hAnsiTheme="majorBidi" w:cstheme="majorBidi"/>
                  <w:noProof/>
                  <w:szCs w:val="22"/>
                  <w:lang w:val="it-IT" w:eastAsia="zh-CN"/>
                  <w:rPrChange w:id="10430" w:author="Author">
                    <w:rPr>
                      <w:rFonts w:eastAsia="SimSun"/>
                      <w:szCs w:val="22"/>
                      <w:lang w:val="en-GB" w:eastAsia="zh-CN"/>
                    </w:rPr>
                  </w:rPrChange>
                </w:rPr>
                <w:delText>oder</w:delText>
              </w:r>
            </w:del>
          </w:p>
          <w:p>
            <w:pPr>
              <w:tabs>
                <w:tab w:val="left" w:pos="180"/>
              </w:tabs>
              <w:autoSpaceDE w:val="0"/>
              <w:autoSpaceDN w:val="0"/>
              <w:adjustRightInd w:val="0"/>
              <w:rPr>
                <w:del w:id="10431" w:author="Author"/>
                <w:rFonts w:asciiTheme="majorBidi" w:eastAsia="SimSun" w:hAnsiTheme="majorBidi" w:cstheme="majorBidi"/>
                <w:noProof/>
                <w:szCs w:val="22"/>
                <w:lang w:val="it-IT" w:eastAsia="zh-CN"/>
                <w:rPrChange w:id="10432" w:author="Author">
                  <w:rPr>
                    <w:del w:id="10433" w:author="Author"/>
                    <w:rFonts w:eastAsia="SimSun"/>
                    <w:szCs w:val="22"/>
                    <w:lang w:val="en-GB" w:eastAsia="zh-CN"/>
                  </w:rPr>
                </w:rPrChange>
              </w:rPr>
            </w:pPr>
            <w:del w:id="10434" w:author="Author">
              <w:r>
                <w:rPr>
                  <w:rFonts w:asciiTheme="majorBidi" w:eastAsia="SimSun" w:hAnsiTheme="majorBidi" w:cstheme="majorBidi"/>
                  <w:noProof/>
                  <w:szCs w:val="22"/>
                  <w:lang w:val="it-IT" w:eastAsia="zh-CN"/>
                  <w:rPrChange w:id="10435" w:author="Author">
                    <w:rPr>
                      <w:rFonts w:eastAsia="SimSun"/>
                      <w:szCs w:val="22"/>
                      <w:lang w:val="en-GB" w:eastAsia="zh-CN"/>
                    </w:rPr>
                  </w:rPrChange>
                </w:rPr>
                <w:delText>Chugai Pharma Europe Ltd.</w:delText>
              </w:r>
            </w:del>
          </w:p>
          <w:p>
            <w:pPr>
              <w:tabs>
                <w:tab w:val="left" w:pos="180"/>
              </w:tabs>
              <w:autoSpaceDE w:val="0"/>
              <w:autoSpaceDN w:val="0"/>
              <w:adjustRightInd w:val="0"/>
              <w:rPr>
                <w:del w:id="10436" w:author="Author"/>
                <w:rFonts w:asciiTheme="majorBidi" w:eastAsia="SimSun" w:hAnsiTheme="majorBidi" w:cstheme="majorBidi"/>
                <w:noProof/>
                <w:szCs w:val="22"/>
                <w:lang w:val="it-IT" w:eastAsia="zh-CN"/>
                <w:rPrChange w:id="10437" w:author="Author">
                  <w:rPr>
                    <w:del w:id="10438" w:author="Author"/>
                    <w:rFonts w:eastAsia="SimSun"/>
                    <w:szCs w:val="22"/>
                    <w:lang w:val="en-GB" w:eastAsia="zh-CN"/>
                  </w:rPr>
                </w:rPrChange>
              </w:rPr>
            </w:pPr>
            <w:del w:id="10439" w:author="Author">
              <w:r>
                <w:rPr>
                  <w:rFonts w:asciiTheme="majorBidi" w:eastAsia="SimSun" w:hAnsiTheme="majorBidi" w:cstheme="majorBidi"/>
                  <w:noProof/>
                  <w:szCs w:val="22"/>
                  <w:lang w:val="it-IT" w:eastAsia="zh-CN"/>
                  <w:rPrChange w:id="10440" w:author="Author">
                    <w:rPr>
                      <w:rFonts w:eastAsia="SimSun"/>
                      <w:szCs w:val="22"/>
                      <w:lang w:val="en-GB" w:eastAsia="zh-CN"/>
                    </w:rPr>
                  </w:rPrChange>
                </w:rPr>
                <w:delText>Zweigniederlassung Deutschland</w:delText>
              </w:r>
            </w:del>
          </w:p>
          <w:p>
            <w:pPr>
              <w:tabs>
                <w:tab w:val="left" w:pos="180"/>
              </w:tabs>
              <w:rPr>
                <w:del w:id="10441" w:author="Author"/>
                <w:rFonts w:asciiTheme="majorBidi" w:eastAsia="SimSun" w:hAnsiTheme="majorBidi" w:cstheme="majorBidi"/>
                <w:noProof/>
                <w:szCs w:val="22"/>
                <w:lang w:val="it-IT" w:eastAsia="zh-CN"/>
                <w:rPrChange w:id="10442" w:author="Author">
                  <w:rPr>
                    <w:del w:id="10443" w:author="Author"/>
                    <w:rFonts w:eastAsia="SimSun"/>
                    <w:szCs w:val="22"/>
                    <w:lang w:val="en-GB" w:eastAsia="zh-CN"/>
                  </w:rPr>
                </w:rPrChange>
              </w:rPr>
            </w:pPr>
            <w:del w:id="10444" w:author="Author">
              <w:r>
                <w:rPr>
                  <w:rFonts w:asciiTheme="majorBidi" w:eastAsia="SimSun" w:hAnsiTheme="majorBidi" w:cstheme="majorBidi"/>
                  <w:noProof/>
                  <w:szCs w:val="22"/>
                  <w:lang w:val="it-IT" w:eastAsia="zh-CN"/>
                  <w:rPrChange w:id="10445" w:author="Author">
                    <w:rPr>
                      <w:rFonts w:eastAsia="SimSun"/>
                      <w:szCs w:val="22"/>
                      <w:lang w:val="en-GB" w:eastAsia="zh-CN"/>
                    </w:rPr>
                  </w:rPrChange>
                </w:rPr>
                <w:delText>Tel: +49 (0) 69 663000 0</w:delText>
              </w:r>
            </w:del>
          </w:p>
          <w:p>
            <w:pPr>
              <w:tabs>
                <w:tab w:val="left" w:pos="180"/>
              </w:tabs>
              <w:rPr>
                <w:del w:id="10446" w:author="Author"/>
                <w:rFonts w:asciiTheme="majorBidi" w:hAnsiTheme="majorBidi" w:cstheme="majorBidi"/>
                <w:b/>
                <w:noProof/>
                <w:szCs w:val="22"/>
                <w:lang w:val="it-IT"/>
                <w:rPrChange w:id="10447" w:author="Author">
                  <w:rPr>
                    <w:del w:id="10448" w:author="Author"/>
                    <w:b/>
                    <w:szCs w:val="22"/>
                    <w:lang w:val="en-GB"/>
                  </w:rPr>
                </w:rPrChange>
              </w:rPr>
            </w:pPr>
          </w:p>
        </w:tc>
        <w:tc>
          <w:tcPr>
            <w:tcW w:w="4590" w:type="dxa"/>
          </w:tcPr>
          <w:p>
            <w:pPr>
              <w:tabs>
                <w:tab w:val="left" w:pos="180"/>
              </w:tabs>
              <w:rPr>
                <w:del w:id="10449" w:author="Author"/>
                <w:rFonts w:asciiTheme="majorBidi" w:hAnsiTheme="majorBidi" w:cstheme="majorBidi"/>
                <w:b/>
                <w:noProof/>
                <w:szCs w:val="22"/>
                <w:lang w:val="it-IT"/>
                <w:rPrChange w:id="10450" w:author="Author">
                  <w:rPr>
                    <w:del w:id="10451" w:author="Author"/>
                    <w:b/>
                    <w:szCs w:val="22"/>
                    <w:lang w:val="en-GB"/>
                  </w:rPr>
                </w:rPrChange>
              </w:rPr>
            </w:pPr>
            <w:del w:id="10452" w:author="Author">
              <w:r>
                <w:rPr>
                  <w:rFonts w:asciiTheme="majorBidi" w:hAnsiTheme="majorBidi" w:cstheme="majorBidi"/>
                  <w:b/>
                  <w:noProof/>
                  <w:szCs w:val="22"/>
                  <w:lang w:val="it-IT"/>
                  <w:rPrChange w:id="10453" w:author="Author">
                    <w:rPr>
                      <w:b/>
                      <w:szCs w:val="22"/>
                      <w:lang w:val="en-GB"/>
                    </w:rPr>
                  </w:rPrChange>
                </w:rPr>
                <w:delText>Norge</w:delText>
              </w:r>
            </w:del>
          </w:p>
          <w:p>
            <w:pPr>
              <w:tabs>
                <w:tab w:val="left" w:pos="180"/>
              </w:tabs>
              <w:rPr>
                <w:del w:id="10454" w:author="Author"/>
                <w:rFonts w:asciiTheme="majorBidi" w:hAnsiTheme="majorBidi" w:cstheme="majorBidi"/>
                <w:noProof/>
                <w:szCs w:val="22"/>
                <w:lang w:val="it-IT"/>
                <w:rPrChange w:id="10455" w:author="Author">
                  <w:rPr>
                    <w:del w:id="10456" w:author="Author"/>
                    <w:szCs w:val="22"/>
                    <w:lang w:val="en-GB"/>
                  </w:rPr>
                </w:rPrChange>
              </w:rPr>
            </w:pPr>
            <w:del w:id="10457" w:author="Author">
              <w:r>
                <w:rPr>
                  <w:rFonts w:asciiTheme="majorBidi" w:hAnsiTheme="majorBidi" w:cstheme="majorBidi"/>
                  <w:noProof/>
                  <w:szCs w:val="22"/>
                  <w:lang w:val="it-IT"/>
                  <w:rPrChange w:id="10458" w:author="Author">
                    <w:rPr>
                      <w:szCs w:val="22"/>
                      <w:lang w:val="en-GB"/>
                    </w:rPr>
                  </w:rPrChange>
                </w:rPr>
                <w:delText>Roche Norge AS</w:delText>
              </w:r>
            </w:del>
          </w:p>
          <w:p>
            <w:pPr>
              <w:tabs>
                <w:tab w:val="left" w:pos="180"/>
              </w:tabs>
              <w:rPr>
                <w:del w:id="10459" w:author="Author"/>
                <w:rFonts w:asciiTheme="majorBidi" w:hAnsiTheme="majorBidi" w:cstheme="majorBidi"/>
                <w:noProof/>
                <w:szCs w:val="22"/>
                <w:lang w:val="it-IT"/>
                <w:rPrChange w:id="10460" w:author="Author">
                  <w:rPr>
                    <w:del w:id="10461" w:author="Author"/>
                    <w:szCs w:val="22"/>
                    <w:lang w:val="en-GB"/>
                  </w:rPr>
                </w:rPrChange>
              </w:rPr>
            </w:pPr>
            <w:del w:id="10462" w:author="Author">
              <w:r>
                <w:rPr>
                  <w:rFonts w:asciiTheme="majorBidi" w:hAnsiTheme="majorBidi" w:cstheme="majorBidi"/>
                  <w:noProof/>
                  <w:szCs w:val="22"/>
                  <w:lang w:val="it-IT"/>
                  <w:rPrChange w:id="10463" w:author="Author">
                    <w:rPr>
                      <w:szCs w:val="22"/>
                      <w:lang w:val="en-GB"/>
                    </w:rPr>
                  </w:rPrChange>
                </w:rPr>
                <w:delText>Tlf: +47 - 22 78 90 00</w:delText>
              </w:r>
            </w:del>
          </w:p>
          <w:p>
            <w:pPr>
              <w:tabs>
                <w:tab w:val="left" w:pos="180"/>
              </w:tabs>
              <w:rPr>
                <w:del w:id="10464" w:author="Author"/>
                <w:rFonts w:asciiTheme="majorBidi" w:hAnsiTheme="majorBidi" w:cstheme="majorBidi"/>
                <w:noProof/>
                <w:szCs w:val="22"/>
                <w:lang w:val="it-IT"/>
                <w:rPrChange w:id="10465" w:author="Author">
                  <w:rPr>
                    <w:del w:id="10466" w:author="Author"/>
                    <w:szCs w:val="22"/>
                    <w:lang w:val="en-GB"/>
                  </w:rPr>
                </w:rPrChange>
              </w:rPr>
            </w:pPr>
          </w:p>
        </w:tc>
      </w:tr>
      <w:tr>
        <w:trPr>
          <w:cantSplit/>
          <w:del w:id="10467" w:author="Author"/>
        </w:trPr>
        <w:tc>
          <w:tcPr>
            <w:tcW w:w="4590" w:type="dxa"/>
          </w:tcPr>
          <w:p>
            <w:pPr>
              <w:tabs>
                <w:tab w:val="left" w:pos="180"/>
              </w:tabs>
              <w:rPr>
                <w:del w:id="10468" w:author="Author"/>
                <w:rFonts w:asciiTheme="majorBidi" w:hAnsiTheme="majorBidi" w:cstheme="majorBidi"/>
                <w:b/>
                <w:noProof/>
                <w:szCs w:val="22"/>
                <w:lang w:val="it-IT"/>
                <w:rPrChange w:id="10469" w:author="Author">
                  <w:rPr>
                    <w:del w:id="10470" w:author="Author"/>
                    <w:b/>
                    <w:szCs w:val="22"/>
                    <w:lang w:val="it-IT"/>
                  </w:rPr>
                </w:rPrChange>
              </w:rPr>
            </w:pPr>
            <w:del w:id="10471" w:author="Author">
              <w:r>
                <w:rPr>
                  <w:rFonts w:asciiTheme="majorBidi" w:hAnsiTheme="majorBidi" w:cstheme="majorBidi"/>
                  <w:b/>
                  <w:noProof/>
                  <w:szCs w:val="22"/>
                  <w:lang w:val="it-IT"/>
                  <w:rPrChange w:id="10472" w:author="Author">
                    <w:rPr>
                      <w:b/>
                      <w:szCs w:val="22"/>
                      <w:lang w:val="it-IT"/>
                    </w:rPr>
                  </w:rPrChange>
                </w:rPr>
                <w:delText>Eesti</w:delText>
              </w:r>
            </w:del>
          </w:p>
          <w:p>
            <w:pPr>
              <w:tabs>
                <w:tab w:val="left" w:pos="180"/>
              </w:tabs>
              <w:rPr>
                <w:del w:id="10473" w:author="Author"/>
                <w:rFonts w:asciiTheme="majorBidi" w:hAnsiTheme="majorBidi" w:cstheme="majorBidi"/>
                <w:bCs/>
                <w:noProof/>
                <w:szCs w:val="22"/>
                <w:lang w:val="it-IT"/>
                <w:rPrChange w:id="10474" w:author="Author">
                  <w:rPr>
                    <w:del w:id="10475" w:author="Author"/>
                    <w:bCs/>
                    <w:szCs w:val="22"/>
                    <w:lang w:val="it-IT"/>
                  </w:rPr>
                </w:rPrChange>
              </w:rPr>
            </w:pPr>
            <w:del w:id="10476" w:author="Author">
              <w:r>
                <w:rPr>
                  <w:rFonts w:asciiTheme="majorBidi" w:hAnsiTheme="majorBidi" w:cstheme="majorBidi"/>
                  <w:bCs/>
                  <w:noProof/>
                  <w:szCs w:val="22"/>
                  <w:lang w:val="it-IT"/>
                  <w:rPrChange w:id="10477" w:author="Author">
                    <w:rPr>
                      <w:bCs/>
                      <w:szCs w:val="22"/>
                      <w:lang w:val="it-IT"/>
                    </w:rPr>
                  </w:rPrChange>
                </w:rPr>
                <w:delText>Roche Eesti OÜ</w:delText>
              </w:r>
            </w:del>
          </w:p>
          <w:p>
            <w:pPr>
              <w:tabs>
                <w:tab w:val="left" w:pos="180"/>
              </w:tabs>
              <w:rPr>
                <w:del w:id="10478" w:author="Author"/>
                <w:rFonts w:asciiTheme="majorBidi" w:hAnsiTheme="majorBidi" w:cstheme="majorBidi"/>
                <w:noProof/>
                <w:szCs w:val="22"/>
                <w:lang w:val="it-IT"/>
                <w:rPrChange w:id="10479" w:author="Author">
                  <w:rPr>
                    <w:del w:id="10480" w:author="Author"/>
                    <w:szCs w:val="22"/>
                    <w:lang w:val="it-IT"/>
                  </w:rPr>
                </w:rPrChange>
              </w:rPr>
            </w:pPr>
            <w:del w:id="10481" w:author="Author">
              <w:r>
                <w:rPr>
                  <w:rFonts w:asciiTheme="majorBidi" w:hAnsiTheme="majorBidi" w:cstheme="majorBidi"/>
                  <w:noProof/>
                  <w:szCs w:val="22"/>
                  <w:lang w:val="it-IT"/>
                  <w:rPrChange w:id="10482" w:author="Author">
                    <w:rPr>
                      <w:szCs w:val="22"/>
                      <w:lang w:val="it-IT"/>
                    </w:rPr>
                  </w:rPrChange>
                </w:rPr>
                <w:delText>Tel: + 372 - 6 177 380</w:delText>
              </w:r>
            </w:del>
          </w:p>
          <w:p>
            <w:pPr>
              <w:tabs>
                <w:tab w:val="left" w:pos="180"/>
              </w:tabs>
              <w:rPr>
                <w:del w:id="10483" w:author="Author"/>
                <w:rFonts w:asciiTheme="majorBidi" w:hAnsiTheme="majorBidi" w:cstheme="majorBidi"/>
                <w:noProof/>
                <w:szCs w:val="22"/>
                <w:lang w:val="it-IT"/>
                <w:rPrChange w:id="10484" w:author="Author">
                  <w:rPr>
                    <w:del w:id="10485" w:author="Author"/>
                    <w:szCs w:val="22"/>
                    <w:lang w:val="it-IT"/>
                  </w:rPr>
                </w:rPrChange>
              </w:rPr>
            </w:pPr>
          </w:p>
        </w:tc>
        <w:tc>
          <w:tcPr>
            <w:tcW w:w="4590" w:type="dxa"/>
          </w:tcPr>
          <w:p>
            <w:pPr>
              <w:tabs>
                <w:tab w:val="left" w:pos="180"/>
              </w:tabs>
              <w:rPr>
                <w:del w:id="10486" w:author="Author"/>
                <w:rFonts w:asciiTheme="majorBidi" w:hAnsiTheme="majorBidi" w:cstheme="majorBidi"/>
                <w:noProof/>
                <w:szCs w:val="22"/>
                <w:lang w:val="it-IT"/>
                <w:rPrChange w:id="10487" w:author="Author">
                  <w:rPr>
                    <w:del w:id="10488" w:author="Author"/>
                    <w:szCs w:val="22"/>
                    <w:lang w:val="it-IT"/>
                  </w:rPr>
                </w:rPrChange>
              </w:rPr>
            </w:pPr>
            <w:del w:id="10489" w:author="Author">
              <w:r>
                <w:rPr>
                  <w:rFonts w:asciiTheme="majorBidi" w:hAnsiTheme="majorBidi" w:cstheme="majorBidi"/>
                  <w:b/>
                  <w:noProof/>
                  <w:szCs w:val="22"/>
                  <w:lang w:val="it-IT"/>
                  <w:rPrChange w:id="10490" w:author="Author">
                    <w:rPr>
                      <w:b/>
                      <w:szCs w:val="22"/>
                      <w:lang w:val="it-IT"/>
                    </w:rPr>
                  </w:rPrChange>
                </w:rPr>
                <w:delText>Österreich</w:delText>
              </w:r>
            </w:del>
          </w:p>
          <w:p>
            <w:pPr>
              <w:tabs>
                <w:tab w:val="left" w:pos="180"/>
              </w:tabs>
              <w:rPr>
                <w:del w:id="10491" w:author="Author"/>
                <w:rFonts w:asciiTheme="majorBidi" w:hAnsiTheme="majorBidi" w:cstheme="majorBidi"/>
                <w:noProof/>
                <w:szCs w:val="22"/>
                <w:lang w:val="it-IT"/>
                <w:rPrChange w:id="10492" w:author="Author">
                  <w:rPr>
                    <w:del w:id="10493" w:author="Author"/>
                    <w:szCs w:val="22"/>
                    <w:lang w:val="it-IT"/>
                  </w:rPr>
                </w:rPrChange>
              </w:rPr>
            </w:pPr>
            <w:del w:id="10494" w:author="Author">
              <w:r>
                <w:rPr>
                  <w:rFonts w:asciiTheme="majorBidi" w:hAnsiTheme="majorBidi" w:cstheme="majorBidi"/>
                  <w:noProof/>
                  <w:szCs w:val="22"/>
                  <w:lang w:val="it-IT"/>
                  <w:rPrChange w:id="10495" w:author="Author">
                    <w:rPr>
                      <w:szCs w:val="22"/>
                      <w:lang w:val="it-IT"/>
                    </w:rPr>
                  </w:rPrChange>
                </w:rPr>
                <w:delText>Roche Austria GmbH</w:delText>
              </w:r>
            </w:del>
          </w:p>
          <w:p>
            <w:pPr>
              <w:tabs>
                <w:tab w:val="left" w:pos="180"/>
              </w:tabs>
              <w:rPr>
                <w:del w:id="10496" w:author="Author"/>
                <w:rFonts w:asciiTheme="majorBidi" w:hAnsiTheme="majorBidi" w:cstheme="majorBidi"/>
                <w:noProof/>
                <w:szCs w:val="22"/>
                <w:lang w:val="it-IT"/>
                <w:rPrChange w:id="10497" w:author="Author">
                  <w:rPr>
                    <w:del w:id="10498" w:author="Author"/>
                    <w:szCs w:val="22"/>
                    <w:lang w:val="it-IT"/>
                  </w:rPr>
                </w:rPrChange>
              </w:rPr>
            </w:pPr>
            <w:del w:id="10499" w:author="Author">
              <w:r>
                <w:rPr>
                  <w:rFonts w:asciiTheme="majorBidi" w:hAnsiTheme="majorBidi" w:cstheme="majorBidi"/>
                  <w:noProof/>
                  <w:szCs w:val="22"/>
                  <w:lang w:val="it-IT"/>
                  <w:rPrChange w:id="10500" w:author="Author">
                    <w:rPr>
                      <w:szCs w:val="22"/>
                      <w:lang w:val="it-IT"/>
                    </w:rPr>
                  </w:rPrChange>
                </w:rPr>
                <w:delText>Tel: +43 (0) 1 27739</w:delText>
              </w:r>
            </w:del>
          </w:p>
          <w:p>
            <w:pPr>
              <w:tabs>
                <w:tab w:val="left" w:pos="180"/>
              </w:tabs>
              <w:rPr>
                <w:del w:id="10501" w:author="Author"/>
                <w:rFonts w:asciiTheme="majorBidi" w:hAnsiTheme="majorBidi" w:cstheme="majorBidi"/>
                <w:noProof/>
                <w:szCs w:val="22"/>
                <w:lang w:val="it-IT"/>
                <w:rPrChange w:id="10502" w:author="Author">
                  <w:rPr>
                    <w:del w:id="10503" w:author="Author"/>
                    <w:szCs w:val="22"/>
                    <w:lang w:val="it-IT"/>
                  </w:rPr>
                </w:rPrChange>
              </w:rPr>
            </w:pPr>
          </w:p>
        </w:tc>
      </w:tr>
      <w:tr>
        <w:trPr>
          <w:cantSplit/>
          <w:del w:id="10504" w:author="Author"/>
        </w:trPr>
        <w:tc>
          <w:tcPr>
            <w:tcW w:w="4590" w:type="dxa"/>
          </w:tcPr>
          <w:p>
            <w:pPr>
              <w:tabs>
                <w:tab w:val="left" w:pos="180"/>
              </w:tabs>
              <w:rPr>
                <w:del w:id="10505" w:author="Author"/>
                <w:rFonts w:asciiTheme="majorBidi" w:hAnsiTheme="majorBidi" w:cstheme="majorBidi"/>
                <w:noProof/>
                <w:szCs w:val="22"/>
                <w:lang w:val="it-IT"/>
                <w:rPrChange w:id="10506" w:author="Author">
                  <w:rPr>
                    <w:del w:id="10507" w:author="Author"/>
                    <w:szCs w:val="22"/>
                    <w:lang w:val="en-GB"/>
                  </w:rPr>
                </w:rPrChange>
              </w:rPr>
            </w:pPr>
            <w:del w:id="10508" w:author="Author">
              <w:r>
                <w:rPr>
                  <w:rFonts w:asciiTheme="majorBidi" w:hAnsiTheme="majorBidi" w:cstheme="majorBidi"/>
                  <w:b/>
                  <w:noProof/>
                  <w:szCs w:val="22"/>
                  <w:lang w:val="it-IT"/>
                  <w:rPrChange w:id="10509" w:author="Author">
                    <w:rPr>
                      <w:b/>
                      <w:szCs w:val="22"/>
                      <w:lang w:val="it-IT"/>
                    </w:rPr>
                  </w:rPrChange>
                </w:rPr>
                <w:delText>Ελλάδα</w:delText>
              </w:r>
            </w:del>
          </w:p>
          <w:p>
            <w:pPr>
              <w:tabs>
                <w:tab w:val="left" w:pos="180"/>
              </w:tabs>
              <w:rPr>
                <w:del w:id="10510" w:author="Author"/>
                <w:rFonts w:asciiTheme="majorBidi" w:hAnsiTheme="majorBidi" w:cstheme="majorBidi"/>
                <w:noProof/>
                <w:szCs w:val="22"/>
                <w:lang w:val="it-IT"/>
                <w:rPrChange w:id="10511" w:author="Author">
                  <w:rPr>
                    <w:del w:id="10512" w:author="Author"/>
                    <w:szCs w:val="22"/>
                    <w:lang w:val="en-GB"/>
                  </w:rPr>
                </w:rPrChange>
              </w:rPr>
            </w:pPr>
            <w:del w:id="10513" w:author="Author">
              <w:r>
                <w:rPr>
                  <w:rFonts w:asciiTheme="majorBidi" w:hAnsiTheme="majorBidi" w:cstheme="majorBidi"/>
                  <w:noProof/>
                  <w:szCs w:val="22"/>
                  <w:lang w:val="it-IT"/>
                  <w:rPrChange w:id="10514" w:author="Author">
                    <w:rPr>
                      <w:szCs w:val="22"/>
                      <w:lang w:val="en-GB"/>
                    </w:rPr>
                  </w:rPrChange>
                </w:rPr>
                <w:delText xml:space="preserve">Roche (Hellas) A.E. </w:delText>
              </w:r>
            </w:del>
          </w:p>
          <w:p>
            <w:pPr>
              <w:tabs>
                <w:tab w:val="left" w:pos="180"/>
              </w:tabs>
              <w:rPr>
                <w:del w:id="10515" w:author="Author"/>
                <w:rFonts w:asciiTheme="majorBidi" w:hAnsiTheme="majorBidi" w:cstheme="majorBidi"/>
                <w:noProof/>
                <w:szCs w:val="22"/>
                <w:lang w:val="it-IT"/>
                <w:rPrChange w:id="10516" w:author="Author">
                  <w:rPr>
                    <w:del w:id="10517" w:author="Author"/>
                    <w:szCs w:val="22"/>
                    <w:lang w:val="it-IT"/>
                  </w:rPr>
                </w:rPrChange>
              </w:rPr>
            </w:pPr>
            <w:del w:id="10518" w:author="Author">
              <w:r>
                <w:rPr>
                  <w:rFonts w:asciiTheme="majorBidi" w:hAnsiTheme="majorBidi" w:cstheme="majorBidi"/>
                  <w:noProof/>
                  <w:szCs w:val="22"/>
                  <w:lang w:val="it-IT"/>
                  <w:rPrChange w:id="10519" w:author="Author">
                    <w:rPr>
                      <w:szCs w:val="22"/>
                      <w:lang w:val="it-IT"/>
                    </w:rPr>
                  </w:rPrChange>
                </w:rPr>
                <w:delText>Τηλ: +30 210 61 66 100</w:delText>
              </w:r>
            </w:del>
          </w:p>
          <w:p>
            <w:pPr>
              <w:tabs>
                <w:tab w:val="left" w:pos="180"/>
              </w:tabs>
              <w:rPr>
                <w:del w:id="10520" w:author="Author"/>
                <w:rFonts w:asciiTheme="majorBidi" w:hAnsiTheme="majorBidi" w:cstheme="majorBidi"/>
                <w:noProof/>
                <w:szCs w:val="22"/>
                <w:lang w:val="it-IT"/>
                <w:rPrChange w:id="10521" w:author="Author">
                  <w:rPr>
                    <w:del w:id="10522" w:author="Author"/>
                    <w:szCs w:val="22"/>
                    <w:lang w:val="it-IT"/>
                  </w:rPr>
                </w:rPrChange>
              </w:rPr>
            </w:pPr>
          </w:p>
        </w:tc>
        <w:tc>
          <w:tcPr>
            <w:tcW w:w="4590" w:type="dxa"/>
          </w:tcPr>
          <w:p>
            <w:pPr>
              <w:tabs>
                <w:tab w:val="left" w:pos="180"/>
              </w:tabs>
              <w:rPr>
                <w:del w:id="10523" w:author="Author"/>
                <w:rFonts w:asciiTheme="majorBidi" w:hAnsiTheme="majorBidi" w:cstheme="majorBidi"/>
                <w:b/>
                <w:noProof/>
                <w:szCs w:val="22"/>
                <w:lang w:val="it-IT"/>
                <w:rPrChange w:id="10524" w:author="Author">
                  <w:rPr>
                    <w:del w:id="10525" w:author="Author"/>
                    <w:b/>
                    <w:szCs w:val="22"/>
                    <w:lang w:val="it-IT"/>
                  </w:rPr>
                </w:rPrChange>
              </w:rPr>
            </w:pPr>
            <w:del w:id="10526" w:author="Author">
              <w:r>
                <w:rPr>
                  <w:rFonts w:asciiTheme="majorBidi" w:hAnsiTheme="majorBidi" w:cstheme="majorBidi"/>
                  <w:b/>
                  <w:noProof/>
                  <w:szCs w:val="22"/>
                  <w:lang w:val="it-IT"/>
                  <w:rPrChange w:id="10527" w:author="Author">
                    <w:rPr>
                      <w:b/>
                      <w:szCs w:val="22"/>
                      <w:lang w:val="it-IT"/>
                    </w:rPr>
                  </w:rPrChange>
                </w:rPr>
                <w:delText>Polska</w:delText>
              </w:r>
            </w:del>
          </w:p>
          <w:p>
            <w:pPr>
              <w:tabs>
                <w:tab w:val="left" w:pos="180"/>
              </w:tabs>
              <w:rPr>
                <w:del w:id="10528" w:author="Author"/>
                <w:rFonts w:asciiTheme="majorBidi" w:hAnsiTheme="majorBidi" w:cstheme="majorBidi"/>
                <w:noProof/>
                <w:szCs w:val="22"/>
                <w:lang w:val="it-IT"/>
                <w:rPrChange w:id="10529" w:author="Author">
                  <w:rPr>
                    <w:del w:id="10530" w:author="Author"/>
                    <w:szCs w:val="22"/>
                    <w:lang w:val="it-IT"/>
                  </w:rPr>
                </w:rPrChange>
              </w:rPr>
            </w:pPr>
            <w:del w:id="10531" w:author="Author">
              <w:r>
                <w:rPr>
                  <w:rFonts w:asciiTheme="majorBidi" w:hAnsiTheme="majorBidi" w:cstheme="majorBidi"/>
                  <w:noProof/>
                  <w:szCs w:val="22"/>
                  <w:lang w:val="it-IT"/>
                  <w:rPrChange w:id="10532" w:author="Author">
                    <w:rPr>
                      <w:szCs w:val="22"/>
                      <w:lang w:val="it-IT"/>
                    </w:rPr>
                  </w:rPrChange>
                </w:rPr>
                <w:delText>Roche Polska Sp.z o.o.</w:delText>
              </w:r>
            </w:del>
          </w:p>
          <w:p>
            <w:pPr>
              <w:tabs>
                <w:tab w:val="left" w:pos="180"/>
              </w:tabs>
              <w:rPr>
                <w:del w:id="10533" w:author="Author"/>
                <w:rFonts w:asciiTheme="majorBidi" w:hAnsiTheme="majorBidi" w:cstheme="majorBidi"/>
                <w:noProof/>
                <w:szCs w:val="22"/>
                <w:lang w:val="it-IT"/>
                <w:rPrChange w:id="10534" w:author="Author">
                  <w:rPr>
                    <w:del w:id="10535" w:author="Author"/>
                    <w:szCs w:val="22"/>
                    <w:lang w:val="it-IT"/>
                  </w:rPr>
                </w:rPrChange>
              </w:rPr>
            </w:pPr>
            <w:del w:id="10536" w:author="Author">
              <w:r>
                <w:rPr>
                  <w:rFonts w:asciiTheme="majorBidi" w:hAnsiTheme="majorBidi" w:cstheme="majorBidi"/>
                  <w:noProof/>
                  <w:szCs w:val="22"/>
                  <w:lang w:val="it-IT"/>
                  <w:rPrChange w:id="10537" w:author="Author">
                    <w:rPr>
                      <w:szCs w:val="22"/>
                      <w:lang w:val="it-IT"/>
                    </w:rPr>
                  </w:rPrChange>
                </w:rPr>
                <w:delText>Tel: +48 - 22 345 18 88</w:delText>
              </w:r>
            </w:del>
          </w:p>
          <w:p>
            <w:pPr>
              <w:tabs>
                <w:tab w:val="left" w:pos="180"/>
              </w:tabs>
              <w:rPr>
                <w:del w:id="10538" w:author="Author"/>
                <w:rFonts w:asciiTheme="majorBidi" w:hAnsiTheme="majorBidi" w:cstheme="majorBidi"/>
                <w:noProof/>
                <w:szCs w:val="22"/>
                <w:lang w:val="it-IT"/>
                <w:rPrChange w:id="10539" w:author="Author">
                  <w:rPr>
                    <w:del w:id="10540" w:author="Author"/>
                    <w:szCs w:val="22"/>
                    <w:lang w:val="it-IT"/>
                  </w:rPr>
                </w:rPrChange>
              </w:rPr>
            </w:pPr>
          </w:p>
        </w:tc>
      </w:tr>
      <w:tr>
        <w:trPr>
          <w:cantSplit/>
          <w:del w:id="10541" w:author="Author"/>
        </w:trPr>
        <w:tc>
          <w:tcPr>
            <w:tcW w:w="4590" w:type="dxa"/>
          </w:tcPr>
          <w:p>
            <w:pPr>
              <w:tabs>
                <w:tab w:val="left" w:pos="180"/>
              </w:tabs>
              <w:rPr>
                <w:del w:id="10542" w:author="Author"/>
                <w:rFonts w:asciiTheme="majorBidi" w:hAnsiTheme="majorBidi" w:cstheme="majorBidi"/>
                <w:b/>
                <w:noProof/>
                <w:szCs w:val="22"/>
                <w:lang w:val="it-IT"/>
                <w:rPrChange w:id="10543" w:author="Author">
                  <w:rPr>
                    <w:del w:id="10544" w:author="Author"/>
                    <w:b/>
                    <w:szCs w:val="22"/>
                    <w:lang w:val="it-IT"/>
                  </w:rPr>
                </w:rPrChange>
              </w:rPr>
            </w:pPr>
            <w:del w:id="10545" w:author="Author">
              <w:r>
                <w:rPr>
                  <w:rFonts w:asciiTheme="majorBidi" w:hAnsiTheme="majorBidi" w:cstheme="majorBidi"/>
                  <w:b/>
                  <w:noProof/>
                  <w:szCs w:val="22"/>
                  <w:lang w:val="it-IT"/>
                  <w:rPrChange w:id="10546" w:author="Author">
                    <w:rPr>
                      <w:b/>
                      <w:szCs w:val="22"/>
                      <w:lang w:val="it-IT"/>
                    </w:rPr>
                  </w:rPrChange>
                </w:rPr>
                <w:delText>España</w:delText>
              </w:r>
            </w:del>
          </w:p>
          <w:p>
            <w:pPr>
              <w:tabs>
                <w:tab w:val="left" w:pos="180"/>
              </w:tabs>
              <w:rPr>
                <w:del w:id="10547" w:author="Author"/>
                <w:rFonts w:asciiTheme="majorBidi" w:hAnsiTheme="majorBidi" w:cstheme="majorBidi"/>
                <w:noProof/>
                <w:szCs w:val="22"/>
                <w:lang w:val="it-IT"/>
                <w:rPrChange w:id="10548" w:author="Author">
                  <w:rPr>
                    <w:del w:id="10549" w:author="Author"/>
                    <w:szCs w:val="22"/>
                    <w:lang w:val="it-IT"/>
                  </w:rPr>
                </w:rPrChange>
              </w:rPr>
            </w:pPr>
            <w:del w:id="10550" w:author="Author">
              <w:r>
                <w:rPr>
                  <w:rFonts w:asciiTheme="majorBidi" w:hAnsiTheme="majorBidi" w:cstheme="majorBidi"/>
                  <w:noProof/>
                  <w:szCs w:val="22"/>
                  <w:lang w:val="it-IT"/>
                  <w:rPrChange w:id="10551" w:author="Author">
                    <w:rPr>
                      <w:szCs w:val="22"/>
                      <w:lang w:val="it-IT"/>
                    </w:rPr>
                  </w:rPrChange>
                </w:rPr>
                <w:delText>Roche Farma S.A.</w:delText>
              </w:r>
            </w:del>
          </w:p>
          <w:p>
            <w:pPr>
              <w:tabs>
                <w:tab w:val="left" w:pos="180"/>
              </w:tabs>
              <w:rPr>
                <w:del w:id="10552" w:author="Author"/>
                <w:rFonts w:asciiTheme="majorBidi" w:hAnsiTheme="majorBidi" w:cstheme="majorBidi"/>
                <w:noProof/>
                <w:szCs w:val="22"/>
                <w:lang w:val="it-IT"/>
                <w:rPrChange w:id="10553" w:author="Author">
                  <w:rPr>
                    <w:del w:id="10554" w:author="Author"/>
                    <w:szCs w:val="22"/>
                    <w:lang w:val="it-IT"/>
                  </w:rPr>
                </w:rPrChange>
              </w:rPr>
            </w:pPr>
            <w:del w:id="10555" w:author="Author">
              <w:r>
                <w:rPr>
                  <w:rFonts w:asciiTheme="majorBidi" w:hAnsiTheme="majorBidi" w:cstheme="majorBidi"/>
                  <w:noProof/>
                  <w:szCs w:val="22"/>
                  <w:lang w:val="it-IT"/>
                  <w:rPrChange w:id="10556" w:author="Author">
                    <w:rPr>
                      <w:szCs w:val="22"/>
                      <w:lang w:val="it-IT"/>
                    </w:rPr>
                  </w:rPrChange>
                </w:rPr>
                <w:delText>Tel: +34 - 91 324 81 00</w:delText>
              </w:r>
            </w:del>
          </w:p>
          <w:p>
            <w:pPr>
              <w:tabs>
                <w:tab w:val="left" w:pos="180"/>
              </w:tabs>
              <w:rPr>
                <w:del w:id="10557" w:author="Author"/>
                <w:rFonts w:asciiTheme="majorBidi" w:hAnsiTheme="majorBidi" w:cstheme="majorBidi"/>
                <w:noProof/>
                <w:szCs w:val="22"/>
                <w:lang w:val="it-IT"/>
                <w:rPrChange w:id="10558" w:author="Author">
                  <w:rPr>
                    <w:del w:id="10559" w:author="Author"/>
                    <w:szCs w:val="22"/>
                    <w:lang w:val="it-IT"/>
                  </w:rPr>
                </w:rPrChange>
              </w:rPr>
            </w:pPr>
          </w:p>
        </w:tc>
        <w:tc>
          <w:tcPr>
            <w:tcW w:w="4590" w:type="dxa"/>
          </w:tcPr>
          <w:p>
            <w:pPr>
              <w:tabs>
                <w:tab w:val="left" w:pos="180"/>
              </w:tabs>
              <w:rPr>
                <w:del w:id="10560" w:author="Author"/>
                <w:rFonts w:asciiTheme="majorBidi" w:hAnsiTheme="majorBidi" w:cstheme="majorBidi"/>
                <w:noProof/>
                <w:szCs w:val="22"/>
                <w:lang w:val="it-IT"/>
                <w:rPrChange w:id="10561" w:author="Author">
                  <w:rPr>
                    <w:del w:id="10562" w:author="Author"/>
                    <w:szCs w:val="22"/>
                    <w:lang w:val="it-IT"/>
                  </w:rPr>
                </w:rPrChange>
              </w:rPr>
            </w:pPr>
            <w:del w:id="10563" w:author="Author">
              <w:r>
                <w:rPr>
                  <w:rFonts w:asciiTheme="majorBidi" w:hAnsiTheme="majorBidi" w:cstheme="majorBidi"/>
                  <w:b/>
                  <w:noProof/>
                  <w:szCs w:val="22"/>
                  <w:lang w:val="it-IT"/>
                  <w:rPrChange w:id="10564" w:author="Author">
                    <w:rPr>
                      <w:b/>
                      <w:szCs w:val="22"/>
                      <w:lang w:val="it-IT"/>
                    </w:rPr>
                  </w:rPrChange>
                </w:rPr>
                <w:delText>Portugal</w:delText>
              </w:r>
            </w:del>
          </w:p>
          <w:p>
            <w:pPr>
              <w:tabs>
                <w:tab w:val="left" w:pos="180"/>
              </w:tabs>
              <w:rPr>
                <w:del w:id="10565" w:author="Author"/>
                <w:rFonts w:asciiTheme="majorBidi" w:hAnsiTheme="majorBidi" w:cstheme="majorBidi"/>
                <w:noProof/>
                <w:szCs w:val="22"/>
                <w:lang w:val="it-IT"/>
                <w:rPrChange w:id="10566" w:author="Author">
                  <w:rPr>
                    <w:del w:id="10567" w:author="Author"/>
                    <w:szCs w:val="22"/>
                    <w:lang w:val="it-IT"/>
                  </w:rPr>
                </w:rPrChange>
              </w:rPr>
            </w:pPr>
            <w:del w:id="10568" w:author="Author">
              <w:r>
                <w:rPr>
                  <w:rFonts w:asciiTheme="majorBidi" w:hAnsiTheme="majorBidi" w:cstheme="majorBidi"/>
                  <w:noProof/>
                  <w:szCs w:val="22"/>
                  <w:lang w:val="it-IT"/>
                  <w:rPrChange w:id="10569" w:author="Author">
                    <w:rPr>
                      <w:szCs w:val="22"/>
                      <w:lang w:val="it-IT"/>
                    </w:rPr>
                  </w:rPrChange>
                </w:rPr>
                <w:delText>Roche Farmacêutica Química, Lda</w:delText>
              </w:r>
            </w:del>
          </w:p>
          <w:p>
            <w:pPr>
              <w:tabs>
                <w:tab w:val="left" w:pos="180"/>
              </w:tabs>
              <w:rPr>
                <w:del w:id="10570" w:author="Author"/>
                <w:rFonts w:asciiTheme="majorBidi" w:hAnsiTheme="majorBidi" w:cstheme="majorBidi"/>
                <w:noProof/>
                <w:szCs w:val="22"/>
                <w:lang w:val="it-IT"/>
                <w:rPrChange w:id="10571" w:author="Author">
                  <w:rPr>
                    <w:del w:id="10572" w:author="Author"/>
                    <w:szCs w:val="22"/>
                    <w:lang w:val="it-IT"/>
                  </w:rPr>
                </w:rPrChange>
              </w:rPr>
            </w:pPr>
            <w:del w:id="10573" w:author="Author">
              <w:r>
                <w:rPr>
                  <w:rFonts w:asciiTheme="majorBidi" w:hAnsiTheme="majorBidi" w:cstheme="majorBidi"/>
                  <w:noProof/>
                  <w:szCs w:val="22"/>
                  <w:lang w:val="it-IT"/>
                  <w:rPrChange w:id="10574" w:author="Author">
                    <w:rPr>
                      <w:szCs w:val="22"/>
                      <w:lang w:val="it-IT"/>
                    </w:rPr>
                  </w:rPrChange>
                </w:rPr>
                <w:delText>Tel: +351 - 21 425 70 00</w:delText>
              </w:r>
            </w:del>
          </w:p>
          <w:p>
            <w:pPr>
              <w:tabs>
                <w:tab w:val="left" w:pos="180"/>
              </w:tabs>
              <w:rPr>
                <w:del w:id="10575" w:author="Author"/>
                <w:rFonts w:asciiTheme="majorBidi" w:hAnsiTheme="majorBidi" w:cstheme="majorBidi"/>
                <w:noProof/>
                <w:szCs w:val="22"/>
                <w:lang w:val="it-IT"/>
                <w:rPrChange w:id="10576" w:author="Author">
                  <w:rPr>
                    <w:del w:id="10577" w:author="Author"/>
                    <w:szCs w:val="22"/>
                    <w:lang w:val="it-IT"/>
                  </w:rPr>
                </w:rPrChange>
              </w:rPr>
            </w:pPr>
          </w:p>
        </w:tc>
      </w:tr>
      <w:tr>
        <w:trPr>
          <w:cantSplit/>
          <w:del w:id="10578" w:author="Author"/>
        </w:trPr>
        <w:tc>
          <w:tcPr>
            <w:tcW w:w="4590" w:type="dxa"/>
          </w:tcPr>
          <w:p>
            <w:pPr>
              <w:tabs>
                <w:tab w:val="left" w:pos="180"/>
              </w:tabs>
              <w:rPr>
                <w:del w:id="10579" w:author="Author"/>
                <w:rFonts w:asciiTheme="majorBidi" w:hAnsiTheme="majorBidi" w:cstheme="majorBidi"/>
                <w:noProof/>
                <w:szCs w:val="22"/>
                <w:lang w:val="it-IT"/>
                <w:rPrChange w:id="10580" w:author="Author">
                  <w:rPr>
                    <w:del w:id="10581" w:author="Author"/>
                    <w:szCs w:val="22"/>
                    <w:lang w:val="fr-FR"/>
                  </w:rPr>
                </w:rPrChange>
              </w:rPr>
            </w:pPr>
            <w:del w:id="10582" w:author="Author">
              <w:r>
                <w:rPr>
                  <w:rFonts w:asciiTheme="majorBidi" w:hAnsiTheme="majorBidi" w:cstheme="majorBidi"/>
                  <w:b/>
                  <w:noProof/>
                  <w:szCs w:val="22"/>
                  <w:lang w:val="it-IT"/>
                  <w:rPrChange w:id="10583" w:author="Author">
                    <w:rPr>
                      <w:b/>
                      <w:szCs w:val="22"/>
                      <w:lang w:val="fr-FR"/>
                    </w:rPr>
                  </w:rPrChange>
                </w:rPr>
                <w:delText>France</w:delText>
              </w:r>
            </w:del>
          </w:p>
          <w:p>
            <w:pPr>
              <w:tabs>
                <w:tab w:val="left" w:pos="180"/>
              </w:tabs>
              <w:rPr>
                <w:del w:id="10584" w:author="Author"/>
                <w:rFonts w:asciiTheme="majorBidi" w:hAnsiTheme="majorBidi" w:cstheme="majorBidi"/>
                <w:noProof/>
                <w:szCs w:val="22"/>
                <w:lang w:val="it-IT"/>
                <w:rPrChange w:id="10585" w:author="Author">
                  <w:rPr>
                    <w:del w:id="10586" w:author="Author"/>
                    <w:szCs w:val="22"/>
                    <w:lang w:val="fr-FR"/>
                  </w:rPr>
                </w:rPrChange>
              </w:rPr>
            </w:pPr>
            <w:del w:id="10587" w:author="Author">
              <w:r>
                <w:rPr>
                  <w:rFonts w:asciiTheme="majorBidi" w:hAnsiTheme="majorBidi" w:cstheme="majorBidi"/>
                  <w:noProof/>
                  <w:szCs w:val="22"/>
                  <w:lang w:val="it-IT"/>
                  <w:rPrChange w:id="10588" w:author="Author">
                    <w:rPr>
                      <w:szCs w:val="22"/>
                      <w:lang w:val="fr-FR"/>
                    </w:rPr>
                  </w:rPrChange>
                </w:rPr>
                <w:delText>Roche</w:delText>
              </w:r>
            </w:del>
          </w:p>
          <w:p>
            <w:pPr>
              <w:tabs>
                <w:tab w:val="left" w:pos="180"/>
              </w:tabs>
              <w:rPr>
                <w:del w:id="10589" w:author="Author"/>
                <w:rFonts w:asciiTheme="majorBidi" w:hAnsiTheme="majorBidi" w:cstheme="majorBidi"/>
                <w:noProof/>
                <w:szCs w:val="22"/>
                <w:lang w:val="it-IT"/>
                <w:rPrChange w:id="10590" w:author="Author">
                  <w:rPr>
                    <w:del w:id="10591" w:author="Author"/>
                    <w:szCs w:val="22"/>
                    <w:lang w:val="fr-FR"/>
                  </w:rPr>
                </w:rPrChange>
              </w:rPr>
            </w:pPr>
            <w:del w:id="10592" w:author="Author">
              <w:r>
                <w:rPr>
                  <w:rFonts w:asciiTheme="majorBidi" w:hAnsiTheme="majorBidi" w:cstheme="majorBidi"/>
                  <w:noProof/>
                  <w:szCs w:val="22"/>
                  <w:lang w:val="it-IT"/>
                  <w:rPrChange w:id="10593" w:author="Author">
                    <w:rPr>
                      <w:szCs w:val="22"/>
                      <w:lang w:val="fr-FR"/>
                    </w:rPr>
                  </w:rPrChange>
                </w:rPr>
                <w:delText>Tél: +33 (0) 1 47 61 40 00</w:delText>
              </w:r>
            </w:del>
          </w:p>
          <w:p>
            <w:pPr>
              <w:tabs>
                <w:tab w:val="left" w:pos="180"/>
              </w:tabs>
              <w:autoSpaceDE w:val="0"/>
              <w:autoSpaceDN w:val="0"/>
              <w:adjustRightInd w:val="0"/>
              <w:rPr>
                <w:del w:id="10594" w:author="Author"/>
                <w:rFonts w:asciiTheme="majorBidi" w:eastAsia="SimSun" w:hAnsiTheme="majorBidi" w:cstheme="majorBidi"/>
                <w:noProof/>
                <w:szCs w:val="22"/>
                <w:lang w:val="it-IT" w:eastAsia="zh-CN"/>
                <w:rPrChange w:id="10595" w:author="Author">
                  <w:rPr>
                    <w:del w:id="10596" w:author="Author"/>
                    <w:rFonts w:eastAsia="SimSun"/>
                    <w:szCs w:val="22"/>
                    <w:lang w:val="fr-FR" w:eastAsia="zh-CN"/>
                  </w:rPr>
                </w:rPrChange>
              </w:rPr>
            </w:pPr>
            <w:del w:id="10597" w:author="Author">
              <w:r>
                <w:rPr>
                  <w:rFonts w:asciiTheme="majorBidi" w:eastAsia="SimSun" w:hAnsiTheme="majorBidi" w:cstheme="majorBidi"/>
                  <w:noProof/>
                  <w:szCs w:val="22"/>
                  <w:lang w:val="it-IT" w:eastAsia="zh-CN"/>
                  <w:rPrChange w:id="10598" w:author="Author">
                    <w:rPr>
                      <w:rFonts w:eastAsia="SimSun"/>
                      <w:szCs w:val="22"/>
                      <w:lang w:val="fr-FR" w:eastAsia="zh-CN"/>
                    </w:rPr>
                  </w:rPrChange>
                </w:rPr>
                <w:delText>ou</w:delText>
              </w:r>
            </w:del>
          </w:p>
          <w:p>
            <w:pPr>
              <w:tabs>
                <w:tab w:val="left" w:pos="180"/>
              </w:tabs>
              <w:autoSpaceDE w:val="0"/>
              <w:autoSpaceDN w:val="0"/>
              <w:adjustRightInd w:val="0"/>
              <w:rPr>
                <w:del w:id="10599" w:author="Author"/>
                <w:rFonts w:asciiTheme="majorBidi" w:eastAsia="SimSun" w:hAnsiTheme="majorBidi" w:cstheme="majorBidi"/>
                <w:noProof/>
                <w:szCs w:val="22"/>
                <w:lang w:val="it-IT" w:eastAsia="zh-CN"/>
                <w:rPrChange w:id="10600" w:author="Author">
                  <w:rPr>
                    <w:del w:id="10601" w:author="Author"/>
                    <w:rFonts w:eastAsia="SimSun"/>
                    <w:szCs w:val="22"/>
                    <w:lang w:val="fr-FR" w:eastAsia="zh-CN"/>
                  </w:rPr>
                </w:rPrChange>
              </w:rPr>
            </w:pPr>
            <w:del w:id="10602" w:author="Author">
              <w:r>
                <w:rPr>
                  <w:rFonts w:asciiTheme="majorBidi" w:eastAsia="SimSun" w:hAnsiTheme="majorBidi" w:cstheme="majorBidi"/>
                  <w:noProof/>
                  <w:szCs w:val="22"/>
                  <w:lang w:val="it-IT" w:eastAsia="zh-CN"/>
                  <w:rPrChange w:id="10603" w:author="Author">
                    <w:rPr>
                      <w:rFonts w:eastAsia="SimSun"/>
                      <w:szCs w:val="22"/>
                      <w:lang w:val="fr-FR" w:eastAsia="zh-CN"/>
                    </w:rPr>
                  </w:rPrChange>
                </w:rPr>
                <w:delText>Chugai Pharma France</w:delText>
              </w:r>
            </w:del>
          </w:p>
          <w:p>
            <w:pPr>
              <w:tabs>
                <w:tab w:val="left" w:pos="180"/>
              </w:tabs>
              <w:rPr>
                <w:del w:id="10604" w:author="Author"/>
                <w:rFonts w:asciiTheme="majorBidi" w:eastAsia="SimSun" w:hAnsiTheme="majorBidi" w:cstheme="majorBidi"/>
                <w:noProof/>
                <w:szCs w:val="22"/>
                <w:lang w:val="it-IT" w:eastAsia="zh-CN"/>
                <w:rPrChange w:id="10605" w:author="Author">
                  <w:rPr>
                    <w:del w:id="10606" w:author="Author"/>
                    <w:rFonts w:eastAsia="SimSun"/>
                    <w:szCs w:val="22"/>
                    <w:lang w:val="fr-FR" w:eastAsia="zh-CN"/>
                  </w:rPr>
                </w:rPrChange>
              </w:rPr>
            </w:pPr>
            <w:del w:id="10607" w:author="Author">
              <w:r>
                <w:rPr>
                  <w:rFonts w:asciiTheme="majorBidi" w:eastAsia="SimSun" w:hAnsiTheme="majorBidi" w:cstheme="majorBidi"/>
                  <w:noProof/>
                  <w:szCs w:val="22"/>
                  <w:lang w:val="it-IT" w:eastAsia="zh-CN"/>
                  <w:rPrChange w:id="10608" w:author="Author">
                    <w:rPr>
                      <w:rFonts w:eastAsia="SimSun"/>
                      <w:szCs w:val="22"/>
                      <w:lang w:val="fr-FR" w:eastAsia="zh-CN"/>
                    </w:rPr>
                  </w:rPrChange>
                </w:rPr>
                <w:delText>Tél: +33 (0) 1 56 37 05 20</w:delText>
              </w:r>
            </w:del>
          </w:p>
          <w:p>
            <w:pPr>
              <w:tabs>
                <w:tab w:val="left" w:pos="180"/>
              </w:tabs>
              <w:rPr>
                <w:del w:id="10609" w:author="Author"/>
                <w:rFonts w:asciiTheme="majorBidi" w:eastAsia="SimSun" w:hAnsiTheme="majorBidi" w:cstheme="majorBidi"/>
                <w:noProof/>
                <w:szCs w:val="22"/>
                <w:lang w:val="it-IT" w:eastAsia="zh-CN"/>
                <w:rPrChange w:id="10610" w:author="Author">
                  <w:rPr>
                    <w:del w:id="10611" w:author="Author"/>
                    <w:rFonts w:eastAsia="SimSun"/>
                    <w:szCs w:val="22"/>
                    <w:lang w:val="fr-FR" w:eastAsia="zh-CN"/>
                  </w:rPr>
                </w:rPrChange>
              </w:rPr>
            </w:pPr>
          </w:p>
          <w:p>
            <w:pPr>
              <w:tabs>
                <w:tab w:val="left" w:pos="180"/>
              </w:tabs>
              <w:rPr>
                <w:del w:id="10612" w:author="Author"/>
                <w:rFonts w:asciiTheme="majorBidi" w:hAnsiTheme="majorBidi" w:cstheme="majorBidi"/>
                <w:b/>
                <w:noProof/>
                <w:szCs w:val="22"/>
                <w:lang w:val="it-IT"/>
                <w:rPrChange w:id="10613" w:author="Author">
                  <w:rPr>
                    <w:del w:id="10614" w:author="Author"/>
                    <w:b/>
                    <w:lang w:val="fr-FR"/>
                  </w:rPr>
                </w:rPrChange>
              </w:rPr>
            </w:pPr>
            <w:del w:id="10615" w:author="Author">
              <w:r>
                <w:rPr>
                  <w:rFonts w:asciiTheme="majorBidi" w:hAnsiTheme="majorBidi" w:cstheme="majorBidi"/>
                  <w:b/>
                  <w:noProof/>
                  <w:szCs w:val="22"/>
                  <w:lang w:val="it-IT"/>
                  <w:rPrChange w:id="10616" w:author="Author">
                    <w:rPr>
                      <w:b/>
                      <w:lang w:val="fr-FR"/>
                    </w:rPr>
                  </w:rPrChange>
                </w:rPr>
                <w:delText>Hrvatska</w:delText>
              </w:r>
            </w:del>
          </w:p>
          <w:p>
            <w:pPr>
              <w:tabs>
                <w:tab w:val="left" w:pos="180"/>
              </w:tabs>
              <w:rPr>
                <w:del w:id="10617" w:author="Author"/>
                <w:rFonts w:asciiTheme="majorBidi" w:hAnsiTheme="majorBidi" w:cstheme="majorBidi"/>
                <w:noProof/>
                <w:szCs w:val="22"/>
                <w:lang w:val="it-IT"/>
                <w:rPrChange w:id="10618" w:author="Author">
                  <w:rPr>
                    <w:del w:id="10619" w:author="Author"/>
                    <w:lang w:val="fr-FR"/>
                  </w:rPr>
                </w:rPrChange>
              </w:rPr>
            </w:pPr>
            <w:del w:id="10620" w:author="Author">
              <w:r>
                <w:rPr>
                  <w:rFonts w:asciiTheme="majorBidi" w:hAnsiTheme="majorBidi" w:cstheme="majorBidi"/>
                  <w:noProof/>
                  <w:szCs w:val="22"/>
                  <w:lang w:val="it-IT"/>
                  <w:rPrChange w:id="10621" w:author="Author">
                    <w:rPr>
                      <w:lang w:val="fr-FR"/>
                    </w:rPr>
                  </w:rPrChange>
                </w:rPr>
                <w:delText>Roche d.o.o</w:delText>
              </w:r>
            </w:del>
          </w:p>
          <w:p>
            <w:pPr>
              <w:tabs>
                <w:tab w:val="left" w:pos="180"/>
              </w:tabs>
              <w:rPr>
                <w:del w:id="10622" w:author="Author"/>
                <w:rFonts w:asciiTheme="majorBidi" w:eastAsia="SimSun" w:hAnsiTheme="majorBidi" w:cstheme="majorBidi"/>
                <w:noProof/>
                <w:szCs w:val="22"/>
                <w:lang w:val="it-IT" w:eastAsia="zh-CN"/>
                <w:rPrChange w:id="10623" w:author="Author">
                  <w:rPr>
                    <w:del w:id="10624" w:author="Author"/>
                    <w:rFonts w:eastAsia="SimSun"/>
                    <w:szCs w:val="22"/>
                    <w:lang w:val="it-IT" w:eastAsia="zh-CN"/>
                  </w:rPr>
                </w:rPrChange>
              </w:rPr>
            </w:pPr>
            <w:del w:id="10625" w:author="Author">
              <w:r>
                <w:rPr>
                  <w:rFonts w:asciiTheme="majorBidi" w:hAnsiTheme="majorBidi" w:cstheme="majorBidi"/>
                  <w:noProof/>
                  <w:szCs w:val="22"/>
                  <w:lang w:val="it-IT"/>
                  <w:rPrChange w:id="10626" w:author="Author">
                    <w:rPr>
                      <w:lang w:val="it-IT"/>
                    </w:rPr>
                  </w:rPrChange>
                </w:rPr>
                <w:delText>Tel: +385 1 47 22 333</w:delText>
              </w:r>
            </w:del>
          </w:p>
          <w:p>
            <w:pPr>
              <w:tabs>
                <w:tab w:val="left" w:pos="180"/>
              </w:tabs>
              <w:rPr>
                <w:del w:id="10627" w:author="Author"/>
                <w:rFonts w:asciiTheme="majorBidi" w:hAnsiTheme="majorBidi" w:cstheme="majorBidi"/>
                <w:b/>
                <w:noProof/>
                <w:szCs w:val="22"/>
                <w:lang w:val="it-IT"/>
                <w:rPrChange w:id="10628" w:author="Author">
                  <w:rPr>
                    <w:del w:id="10629" w:author="Author"/>
                    <w:b/>
                    <w:szCs w:val="22"/>
                    <w:lang w:val="it-IT"/>
                  </w:rPr>
                </w:rPrChange>
              </w:rPr>
            </w:pPr>
          </w:p>
        </w:tc>
        <w:tc>
          <w:tcPr>
            <w:tcW w:w="4590" w:type="dxa"/>
          </w:tcPr>
          <w:p>
            <w:pPr>
              <w:tabs>
                <w:tab w:val="left" w:pos="-720"/>
                <w:tab w:val="left" w:pos="180"/>
                <w:tab w:val="left" w:pos="567"/>
                <w:tab w:val="left" w:pos="4536"/>
              </w:tabs>
              <w:suppressAutoHyphens/>
              <w:rPr>
                <w:del w:id="10630" w:author="Author"/>
                <w:rFonts w:asciiTheme="majorBidi" w:hAnsiTheme="majorBidi" w:cstheme="majorBidi"/>
                <w:b/>
                <w:noProof/>
                <w:szCs w:val="22"/>
                <w:lang w:val="it-IT"/>
                <w:rPrChange w:id="10631" w:author="Author">
                  <w:rPr>
                    <w:del w:id="10632" w:author="Author"/>
                    <w:b/>
                    <w:szCs w:val="22"/>
                    <w:lang w:val="it-IT"/>
                  </w:rPr>
                </w:rPrChange>
              </w:rPr>
            </w:pPr>
            <w:del w:id="10633" w:author="Author">
              <w:r>
                <w:rPr>
                  <w:rFonts w:asciiTheme="majorBidi" w:hAnsiTheme="majorBidi" w:cstheme="majorBidi"/>
                  <w:b/>
                  <w:noProof/>
                  <w:szCs w:val="22"/>
                  <w:lang w:val="it-IT"/>
                  <w:rPrChange w:id="10634" w:author="Author">
                    <w:rPr>
                      <w:b/>
                      <w:szCs w:val="22"/>
                      <w:lang w:val="it-IT"/>
                    </w:rPr>
                  </w:rPrChange>
                </w:rPr>
                <w:delText>România</w:delText>
              </w:r>
            </w:del>
          </w:p>
          <w:p>
            <w:pPr>
              <w:tabs>
                <w:tab w:val="left" w:pos="-720"/>
                <w:tab w:val="left" w:pos="180"/>
                <w:tab w:val="left" w:pos="4536"/>
              </w:tabs>
              <w:suppressAutoHyphens/>
              <w:rPr>
                <w:del w:id="10635" w:author="Author"/>
                <w:rFonts w:asciiTheme="majorBidi" w:hAnsiTheme="majorBidi" w:cstheme="majorBidi"/>
                <w:noProof/>
                <w:szCs w:val="22"/>
                <w:lang w:val="it-IT"/>
                <w:rPrChange w:id="10636" w:author="Author">
                  <w:rPr>
                    <w:del w:id="10637" w:author="Author"/>
                    <w:szCs w:val="22"/>
                    <w:lang w:val="it-IT"/>
                  </w:rPr>
                </w:rPrChange>
              </w:rPr>
            </w:pPr>
            <w:del w:id="10638" w:author="Author">
              <w:r>
                <w:rPr>
                  <w:rFonts w:asciiTheme="majorBidi" w:hAnsiTheme="majorBidi" w:cstheme="majorBidi"/>
                  <w:noProof/>
                  <w:szCs w:val="22"/>
                  <w:lang w:val="it-IT"/>
                  <w:rPrChange w:id="10639" w:author="Author">
                    <w:rPr>
                      <w:szCs w:val="22"/>
                      <w:lang w:val="it-IT"/>
                    </w:rPr>
                  </w:rPrChange>
                </w:rPr>
                <w:delText>Roche România S.R.L.</w:delText>
              </w:r>
            </w:del>
          </w:p>
          <w:p>
            <w:pPr>
              <w:tabs>
                <w:tab w:val="left" w:pos="-720"/>
                <w:tab w:val="left" w:pos="180"/>
                <w:tab w:val="left" w:pos="4536"/>
              </w:tabs>
              <w:suppressAutoHyphens/>
              <w:rPr>
                <w:del w:id="10640" w:author="Author"/>
                <w:rFonts w:asciiTheme="majorBidi" w:hAnsiTheme="majorBidi" w:cstheme="majorBidi"/>
                <w:noProof/>
                <w:szCs w:val="22"/>
                <w:lang w:val="it-IT"/>
                <w:rPrChange w:id="10641" w:author="Author">
                  <w:rPr>
                    <w:del w:id="10642" w:author="Author"/>
                    <w:szCs w:val="22"/>
                    <w:lang w:val="it-IT"/>
                  </w:rPr>
                </w:rPrChange>
              </w:rPr>
            </w:pPr>
            <w:del w:id="10643" w:author="Author">
              <w:r>
                <w:rPr>
                  <w:rFonts w:asciiTheme="majorBidi" w:hAnsiTheme="majorBidi" w:cstheme="majorBidi"/>
                  <w:noProof/>
                  <w:szCs w:val="22"/>
                  <w:lang w:val="it-IT"/>
                  <w:rPrChange w:id="10644" w:author="Author">
                    <w:rPr>
                      <w:szCs w:val="22"/>
                      <w:lang w:val="it-IT"/>
                    </w:rPr>
                  </w:rPrChange>
                </w:rPr>
                <w:delText>Tel: +40 21 206 47 01</w:delText>
              </w:r>
            </w:del>
          </w:p>
          <w:p>
            <w:pPr>
              <w:tabs>
                <w:tab w:val="left" w:pos="-720"/>
                <w:tab w:val="left" w:pos="180"/>
                <w:tab w:val="left" w:pos="4536"/>
              </w:tabs>
              <w:suppressAutoHyphens/>
              <w:rPr>
                <w:del w:id="10645" w:author="Author"/>
                <w:rFonts w:asciiTheme="majorBidi" w:hAnsiTheme="majorBidi" w:cstheme="majorBidi"/>
                <w:noProof/>
                <w:szCs w:val="22"/>
                <w:lang w:val="it-IT"/>
                <w:rPrChange w:id="10646" w:author="Author">
                  <w:rPr>
                    <w:del w:id="10647" w:author="Author"/>
                    <w:szCs w:val="22"/>
                    <w:lang w:val="it-IT"/>
                  </w:rPr>
                </w:rPrChange>
              </w:rPr>
            </w:pPr>
          </w:p>
        </w:tc>
      </w:tr>
      <w:tr>
        <w:trPr>
          <w:cantSplit/>
          <w:del w:id="10648" w:author="Author"/>
        </w:trPr>
        <w:tc>
          <w:tcPr>
            <w:tcW w:w="4590" w:type="dxa"/>
          </w:tcPr>
          <w:p>
            <w:pPr>
              <w:tabs>
                <w:tab w:val="left" w:pos="180"/>
              </w:tabs>
              <w:rPr>
                <w:del w:id="10649" w:author="Author"/>
                <w:rFonts w:asciiTheme="majorBidi" w:hAnsiTheme="majorBidi" w:cstheme="majorBidi"/>
                <w:b/>
                <w:noProof/>
                <w:szCs w:val="22"/>
                <w:lang w:val="it-IT"/>
                <w:rPrChange w:id="10650" w:author="Author">
                  <w:rPr>
                    <w:del w:id="10651" w:author="Author"/>
                    <w:b/>
                    <w:szCs w:val="22"/>
                    <w:lang w:val="en-GB"/>
                  </w:rPr>
                </w:rPrChange>
              </w:rPr>
            </w:pPr>
            <w:del w:id="10652" w:author="Author">
              <w:r>
                <w:rPr>
                  <w:rFonts w:asciiTheme="majorBidi" w:hAnsiTheme="majorBidi" w:cstheme="majorBidi"/>
                  <w:b/>
                  <w:noProof/>
                  <w:szCs w:val="22"/>
                  <w:lang w:val="it-IT"/>
                  <w:rPrChange w:id="10653" w:author="Author">
                    <w:rPr>
                      <w:b/>
                      <w:szCs w:val="22"/>
                      <w:lang w:val="en-GB"/>
                    </w:rPr>
                  </w:rPrChange>
                </w:rPr>
                <w:delText>Ireland</w:delText>
              </w:r>
            </w:del>
          </w:p>
          <w:p>
            <w:pPr>
              <w:tabs>
                <w:tab w:val="left" w:pos="180"/>
              </w:tabs>
              <w:rPr>
                <w:del w:id="10654" w:author="Author"/>
                <w:rFonts w:asciiTheme="majorBidi" w:hAnsiTheme="majorBidi" w:cstheme="majorBidi"/>
                <w:noProof/>
                <w:szCs w:val="22"/>
                <w:lang w:val="it-IT"/>
                <w:rPrChange w:id="10655" w:author="Author">
                  <w:rPr>
                    <w:del w:id="10656" w:author="Author"/>
                    <w:szCs w:val="22"/>
                    <w:lang w:val="en-GB"/>
                  </w:rPr>
                </w:rPrChange>
              </w:rPr>
            </w:pPr>
            <w:del w:id="10657" w:author="Author">
              <w:r>
                <w:rPr>
                  <w:rFonts w:asciiTheme="majorBidi" w:hAnsiTheme="majorBidi" w:cstheme="majorBidi"/>
                  <w:noProof/>
                  <w:szCs w:val="22"/>
                  <w:lang w:val="it-IT"/>
                  <w:rPrChange w:id="10658" w:author="Author">
                    <w:rPr>
                      <w:szCs w:val="22"/>
                      <w:lang w:val="en-GB"/>
                    </w:rPr>
                  </w:rPrChange>
                </w:rPr>
                <w:delText>Roche Products (Ireland) Ltd.</w:delText>
              </w:r>
            </w:del>
          </w:p>
          <w:p>
            <w:pPr>
              <w:tabs>
                <w:tab w:val="left" w:pos="180"/>
              </w:tabs>
              <w:rPr>
                <w:del w:id="10659" w:author="Author"/>
                <w:rFonts w:asciiTheme="majorBidi" w:hAnsiTheme="majorBidi" w:cstheme="majorBidi"/>
                <w:noProof/>
                <w:szCs w:val="22"/>
                <w:lang w:val="it-IT"/>
                <w:rPrChange w:id="10660" w:author="Author">
                  <w:rPr>
                    <w:del w:id="10661" w:author="Author"/>
                    <w:szCs w:val="22"/>
                    <w:lang w:val="it-IT"/>
                  </w:rPr>
                </w:rPrChange>
              </w:rPr>
            </w:pPr>
            <w:del w:id="10662" w:author="Author">
              <w:r>
                <w:rPr>
                  <w:rFonts w:asciiTheme="majorBidi" w:hAnsiTheme="majorBidi" w:cstheme="majorBidi"/>
                  <w:noProof/>
                  <w:szCs w:val="22"/>
                  <w:lang w:val="it-IT"/>
                  <w:rPrChange w:id="10663" w:author="Author">
                    <w:rPr>
                      <w:szCs w:val="22"/>
                      <w:lang w:val="it-IT"/>
                    </w:rPr>
                  </w:rPrChange>
                </w:rPr>
                <w:delText>Tel: +353 (0) 1 469 0700</w:delText>
              </w:r>
            </w:del>
          </w:p>
          <w:p>
            <w:pPr>
              <w:tabs>
                <w:tab w:val="left" w:pos="180"/>
              </w:tabs>
              <w:rPr>
                <w:del w:id="10664" w:author="Author"/>
                <w:rFonts w:asciiTheme="majorBidi" w:hAnsiTheme="majorBidi" w:cstheme="majorBidi"/>
                <w:noProof/>
                <w:szCs w:val="22"/>
                <w:lang w:val="it-IT"/>
                <w:rPrChange w:id="10665" w:author="Author">
                  <w:rPr>
                    <w:del w:id="10666" w:author="Author"/>
                    <w:szCs w:val="22"/>
                    <w:lang w:val="it-IT"/>
                  </w:rPr>
                </w:rPrChange>
              </w:rPr>
            </w:pPr>
          </w:p>
        </w:tc>
        <w:tc>
          <w:tcPr>
            <w:tcW w:w="4590" w:type="dxa"/>
          </w:tcPr>
          <w:p>
            <w:pPr>
              <w:tabs>
                <w:tab w:val="left" w:pos="180"/>
              </w:tabs>
              <w:rPr>
                <w:del w:id="10667" w:author="Author"/>
                <w:rFonts w:asciiTheme="majorBidi" w:hAnsiTheme="majorBidi" w:cstheme="majorBidi"/>
                <w:b/>
                <w:noProof/>
                <w:szCs w:val="22"/>
                <w:lang w:val="it-IT"/>
                <w:rPrChange w:id="10668" w:author="Author">
                  <w:rPr>
                    <w:del w:id="10669" w:author="Author"/>
                    <w:b/>
                    <w:szCs w:val="22"/>
                    <w:lang w:val="it-IT"/>
                  </w:rPr>
                </w:rPrChange>
              </w:rPr>
            </w:pPr>
            <w:del w:id="10670" w:author="Author">
              <w:r>
                <w:rPr>
                  <w:rFonts w:asciiTheme="majorBidi" w:hAnsiTheme="majorBidi" w:cstheme="majorBidi"/>
                  <w:b/>
                  <w:noProof/>
                  <w:szCs w:val="22"/>
                  <w:lang w:val="it-IT"/>
                  <w:rPrChange w:id="10671" w:author="Author">
                    <w:rPr>
                      <w:b/>
                      <w:szCs w:val="22"/>
                      <w:lang w:val="it-IT"/>
                    </w:rPr>
                  </w:rPrChange>
                </w:rPr>
                <w:delText>Slovenija</w:delText>
              </w:r>
            </w:del>
          </w:p>
          <w:p>
            <w:pPr>
              <w:tabs>
                <w:tab w:val="left" w:pos="180"/>
              </w:tabs>
              <w:rPr>
                <w:del w:id="10672" w:author="Author"/>
                <w:rFonts w:asciiTheme="majorBidi" w:hAnsiTheme="majorBidi" w:cstheme="majorBidi"/>
                <w:noProof/>
                <w:szCs w:val="22"/>
                <w:lang w:val="it-IT"/>
                <w:rPrChange w:id="10673" w:author="Author">
                  <w:rPr>
                    <w:del w:id="10674" w:author="Author"/>
                    <w:szCs w:val="22"/>
                    <w:lang w:val="it-IT"/>
                  </w:rPr>
                </w:rPrChange>
              </w:rPr>
            </w:pPr>
            <w:del w:id="10675" w:author="Author">
              <w:r>
                <w:rPr>
                  <w:rFonts w:asciiTheme="majorBidi" w:hAnsiTheme="majorBidi" w:cstheme="majorBidi"/>
                  <w:noProof/>
                  <w:szCs w:val="22"/>
                  <w:lang w:val="it-IT"/>
                  <w:rPrChange w:id="10676" w:author="Author">
                    <w:rPr>
                      <w:szCs w:val="22"/>
                      <w:lang w:val="it-IT"/>
                    </w:rPr>
                  </w:rPrChange>
                </w:rPr>
                <w:delText>Roche farmacevtska družba d.o.o.</w:delText>
              </w:r>
            </w:del>
          </w:p>
          <w:p>
            <w:pPr>
              <w:tabs>
                <w:tab w:val="left" w:pos="180"/>
              </w:tabs>
              <w:rPr>
                <w:del w:id="10677" w:author="Author"/>
                <w:rFonts w:asciiTheme="majorBidi" w:hAnsiTheme="majorBidi" w:cstheme="majorBidi"/>
                <w:noProof/>
                <w:szCs w:val="22"/>
                <w:lang w:val="it-IT"/>
                <w:rPrChange w:id="10678" w:author="Author">
                  <w:rPr>
                    <w:del w:id="10679" w:author="Author"/>
                    <w:szCs w:val="22"/>
                    <w:lang w:val="it-IT"/>
                  </w:rPr>
                </w:rPrChange>
              </w:rPr>
            </w:pPr>
            <w:del w:id="10680" w:author="Author">
              <w:r>
                <w:rPr>
                  <w:rFonts w:asciiTheme="majorBidi" w:hAnsiTheme="majorBidi" w:cstheme="majorBidi"/>
                  <w:noProof/>
                  <w:szCs w:val="22"/>
                  <w:lang w:val="it-IT"/>
                  <w:rPrChange w:id="10681" w:author="Author">
                    <w:rPr>
                      <w:szCs w:val="22"/>
                      <w:lang w:val="it-IT"/>
                    </w:rPr>
                  </w:rPrChange>
                </w:rPr>
                <w:delText>Tel: +386 - 1 360 26 00</w:delText>
              </w:r>
            </w:del>
          </w:p>
          <w:p>
            <w:pPr>
              <w:tabs>
                <w:tab w:val="left" w:pos="180"/>
              </w:tabs>
              <w:rPr>
                <w:del w:id="10682" w:author="Author"/>
                <w:rFonts w:asciiTheme="majorBidi" w:hAnsiTheme="majorBidi" w:cstheme="majorBidi"/>
                <w:noProof/>
                <w:szCs w:val="22"/>
                <w:lang w:val="it-IT"/>
                <w:rPrChange w:id="10683" w:author="Author">
                  <w:rPr>
                    <w:del w:id="10684" w:author="Author"/>
                    <w:szCs w:val="22"/>
                    <w:lang w:val="it-IT"/>
                  </w:rPr>
                </w:rPrChange>
              </w:rPr>
            </w:pPr>
          </w:p>
        </w:tc>
      </w:tr>
      <w:tr>
        <w:trPr>
          <w:cantSplit/>
          <w:del w:id="10685" w:author="Author"/>
        </w:trPr>
        <w:tc>
          <w:tcPr>
            <w:tcW w:w="4590" w:type="dxa"/>
          </w:tcPr>
          <w:p>
            <w:pPr>
              <w:tabs>
                <w:tab w:val="left" w:pos="180"/>
                <w:tab w:val="left" w:pos="720"/>
              </w:tabs>
              <w:rPr>
                <w:del w:id="10686" w:author="Author"/>
                <w:rFonts w:asciiTheme="majorBidi" w:hAnsiTheme="majorBidi" w:cstheme="majorBidi"/>
                <w:b/>
                <w:noProof/>
                <w:szCs w:val="22"/>
                <w:lang w:val="it-IT"/>
                <w:rPrChange w:id="10687" w:author="Author">
                  <w:rPr>
                    <w:del w:id="10688" w:author="Author"/>
                    <w:b/>
                    <w:szCs w:val="22"/>
                  </w:rPr>
                </w:rPrChange>
              </w:rPr>
            </w:pPr>
            <w:del w:id="10689" w:author="Author">
              <w:r>
                <w:rPr>
                  <w:rFonts w:asciiTheme="majorBidi" w:hAnsiTheme="majorBidi" w:cstheme="majorBidi"/>
                  <w:b/>
                  <w:noProof/>
                  <w:szCs w:val="22"/>
                  <w:lang w:val="it-IT"/>
                  <w:rPrChange w:id="10690" w:author="Author">
                    <w:rPr>
                      <w:b/>
                      <w:szCs w:val="22"/>
                    </w:rPr>
                  </w:rPrChange>
                </w:rPr>
                <w:delText xml:space="preserve">Ísland </w:delText>
              </w:r>
            </w:del>
          </w:p>
          <w:p>
            <w:pPr>
              <w:tabs>
                <w:tab w:val="left" w:pos="180"/>
                <w:tab w:val="left" w:pos="720"/>
              </w:tabs>
              <w:rPr>
                <w:del w:id="10691" w:author="Author"/>
                <w:rFonts w:asciiTheme="majorBidi" w:hAnsiTheme="majorBidi" w:cstheme="majorBidi"/>
                <w:noProof/>
                <w:szCs w:val="22"/>
                <w:lang w:val="it-IT"/>
                <w:rPrChange w:id="10692" w:author="Author">
                  <w:rPr>
                    <w:del w:id="10693" w:author="Author"/>
                    <w:szCs w:val="22"/>
                  </w:rPr>
                </w:rPrChange>
              </w:rPr>
            </w:pPr>
            <w:del w:id="10694" w:author="Author">
              <w:r>
                <w:rPr>
                  <w:rFonts w:asciiTheme="majorBidi" w:hAnsiTheme="majorBidi" w:cstheme="majorBidi"/>
                  <w:noProof/>
                  <w:szCs w:val="22"/>
                  <w:lang w:val="it-IT"/>
                  <w:rPrChange w:id="10695" w:author="Author">
                    <w:rPr>
                      <w:szCs w:val="22"/>
                    </w:rPr>
                  </w:rPrChange>
                </w:rPr>
                <w:delText xml:space="preserve">Roche </w:delText>
              </w:r>
              <w:r>
                <w:rPr>
                  <w:rFonts w:asciiTheme="majorBidi" w:hAnsiTheme="majorBidi" w:cstheme="majorBidi"/>
                  <w:noProof/>
                  <w:szCs w:val="22"/>
                  <w:lang w:val="it-IT"/>
                  <w:rPrChange w:id="10696" w:author="Author">
                    <w:rPr>
                      <w:noProof/>
                    </w:rPr>
                  </w:rPrChange>
                </w:rPr>
                <w:delText>Pharmaceuticals A/S</w:delText>
              </w:r>
            </w:del>
          </w:p>
          <w:p>
            <w:pPr>
              <w:tabs>
                <w:tab w:val="left" w:pos="180"/>
                <w:tab w:val="left" w:pos="720"/>
              </w:tabs>
              <w:rPr>
                <w:del w:id="10697" w:author="Author"/>
                <w:rFonts w:asciiTheme="majorBidi" w:hAnsiTheme="majorBidi" w:cstheme="majorBidi"/>
                <w:noProof/>
                <w:szCs w:val="22"/>
                <w:lang w:val="it-IT"/>
                <w:rPrChange w:id="10698" w:author="Author">
                  <w:rPr>
                    <w:del w:id="10699" w:author="Author"/>
                    <w:szCs w:val="22"/>
                  </w:rPr>
                </w:rPrChange>
              </w:rPr>
            </w:pPr>
            <w:del w:id="10700" w:author="Author">
              <w:r>
                <w:rPr>
                  <w:rFonts w:asciiTheme="majorBidi" w:hAnsiTheme="majorBidi" w:cstheme="majorBidi"/>
                  <w:noProof/>
                  <w:szCs w:val="22"/>
                  <w:lang w:val="it-IT"/>
                  <w:rPrChange w:id="10701" w:author="Author">
                    <w:rPr>
                      <w:szCs w:val="22"/>
                    </w:rPr>
                  </w:rPrChange>
                </w:rPr>
                <w:delText>c/o Icepharma hf</w:delText>
              </w:r>
            </w:del>
          </w:p>
          <w:p>
            <w:pPr>
              <w:tabs>
                <w:tab w:val="left" w:pos="180"/>
              </w:tabs>
              <w:rPr>
                <w:del w:id="10702" w:author="Author"/>
                <w:rFonts w:asciiTheme="majorBidi" w:hAnsiTheme="majorBidi" w:cstheme="majorBidi"/>
                <w:noProof/>
                <w:szCs w:val="22"/>
                <w:lang w:val="it-IT"/>
                <w:rPrChange w:id="10703" w:author="Author">
                  <w:rPr>
                    <w:del w:id="10704" w:author="Author"/>
                    <w:szCs w:val="22"/>
                    <w:lang w:val="it-IT"/>
                  </w:rPr>
                </w:rPrChange>
              </w:rPr>
            </w:pPr>
            <w:del w:id="10705" w:author="Author">
              <w:r>
                <w:rPr>
                  <w:rFonts w:asciiTheme="majorBidi" w:hAnsiTheme="majorBidi" w:cstheme="majorBidi"/>
                  <w:noProof/>
                  <w:szCs w:val="22"/>
                  <w:lang w:val="it-IT"/>
                  <w:rPrChange w:id="10706" w:author="Author">
                    <w:rPr>
                      <w:szCs w:val="22"/>
                      <w:lang w:val="it-IT"/>
                    </w:rPr>
                  </w:rPrChange>
                </w:rPr>
                <w:delText>Sími: +354 540 8000</w:delText>
              </w:r>
            </w:del>
          </w:p>
          <w:p>
            <w:pPr>
              <w:tabs>
                <w:tab w:val="left" w:pos="180"/>
                <w:tab w:val="left" w:pos="720"/>
              </w:tabs>
              <w:autoSpaceDE w:val="0"/>
              <w:autoSpaceDN w:val="0"/>
              <w:adjustRightInd w:val="0"/>
              <w:rPr>
                <w:del w:id="10707" w:author="Author"/>
                <w:rFonts w:asciiTheme="majorBidi" w:hAnsiTheme="majorBidi" w:cstheme="majorBidi"/>
                <w:b/>
                <w:noProof/>
                <w:szCs w:val="22"/>
                <w:lang w:val="it-IT"/>
                <w:rPrChange w:id="10708" w:author="Author">
                  <w:rPr>
                    <w:del w:id="10709" w:author="Author"/>
                    <w:b/>
                    <w:szCs w:val="22"/>
                    <w:lang w:val="it-IT"/>
                  </w:rPr>
                </w:rPrChange>
              </w:rPr>
            </w:pPr>
          </w:p>
        </w:tc>
        <w:tc>
          <w:tcPr>
            <w:tcW w:w="4590" w:type="dxa"/>
          </w:tcPr>
          <w:p>
            <w:pPr>
              <w:tabs>
                <w:tab w:val="left" w:pos="180"/>
              </w:tabs>
              <w:rPr>
                <w:del w:id="10710" w:author="Author"/>
                <w:rFonts w:asciiTheme="majorBidi" w:hAnsiTheme="majorBidi" w:cstheme="majorBidi"/>
                <w:b/>
                <w:noProof/>
                <w:szCs w:val="22"/>
                <w:lang w:val="it-IT"/>
                <w:rPrChange w:id="10711" w:author="Author">
                  <w:rPr>
                    <w:del w:id="10712" w:author="Author"/>
                    <w:b/>
                    <w:szCs w:val="22"/>
                    <w:lang w:val="it-IT"/>
                  </w:rPr>
                </w:rPrChange>
              </w:rPr>
            </w:pPr>
            <w:del w:id="10713" w:author="Author">
              <w:r>
                <w:rPr>
                  <w:rFonts w:asciiTheme="majorBidi" w:hAnsiTheme="majorBidi" w:cstheme="majorBidi"/>
                  <w:b/>
                  <w:noProof/>
                  <w:szCs w:val="22"/>
                  <w:lang w:val="it-IT"/>
                  <w:rPrChange w:id="10714" w:author="Author">
                    <w:rPr>
                      <w:b/>
                      <w:szCs w:val="22"/>
                      <w:lang w:val="it-IT"/>
                    </w:rPr>
                  </w:rPrChange>
                </w:rPr>
                <w:delText xml:space="preserve">Slovenská republika </w:delText>
              </w:r>
            </w:del>
          </w:p>
          <w:p>
            <w:pPr>
              <w:tabs>
                <w:tab w:val="left" w:pos="180"/>
              </w:tabs>
              <w:rPr>
                <w:del w:id="10715" w:author="Author"/>
                <w:rFonts w:asciiTheme="majorBidi" w:hAnsiTheme="majorBidi" w:cstheme="majorBidi"/>
                <w:noProof/>
                <w:szCs w:val="22"/>
                <w:lang w:val="it-IT"/>
                <w:rPrChange w:id="10716" w:author="Author">
                  <w:rPr>
                    <w:del w:id="10717" w:author="Author"/>
                    <w:szCs w:val="22"/>
                    <w:lang w:val="it-IT"/>
                  </w:rPr>
                </w:rPrChange>
              </w:rPr>
            </w:pPr>
            <w:del w:id="10718" w:author="Author">
              <w:r>
                <w:rPr>
                  <w:rFonts w:asciiTheme="majorBidi" w:hAnsiTheme="majorBidi" w:cstheme="majorBidi"/>
                  <w:noProof/>
                  <w:szCs w:val="22"/>
                  <w:lang w:val="it-IT"/>
                  <w:rPrChange w:id="10719" w:author="Author">
                    <w:rPr>
                      <w:szCs w:val="22"/>
                      <w:lang w:val="it-IT"/>
                    </w:rPr>
                  </w:rPrChange>
                </w:rPr>
                <w:delText>Roche Slovensko, s.r.o.</w:delText>
              </w:r>
            </w:del>
          </w:p>
          <w:p>
            <w:pPr>
              <w:tabs>
                <w:tab w:val="left" w:pos="180"/>
              </w:tabs>
              <w:rPr>
                <w:del w:id="10720" w:author="Author"/>
                <w:rFonts w:asciiTheme="majorBidi" w:hAnsiTheme="majorBidi" w:cstheme="majorBidi"/>
                <w:noProof/>
                <w:szCs w:val="22"/>
                <w:lang w:val="it-IT"/>
                <w:rPrChange w:id="10721" w:author="Author">
                  <w:rPr>
                    <w:del w:id="10722" w:author="Author"/>
                    <w:szCs w:val="22"/>
                    <w:lang w:val="it-IT"/>
                  </w:rPr>
                </w:rPrChange>
              </w:rPr>
            </w:pPr>
            <w:del w:id="10723" w:author="Author">
              <w:r>
                <w:rPr>
                  <w:rFonts w:asciiTheme="majorBidi" w:hAnsiTheme="majorBidi" w:cstheme="majorBidi"/>
                  <w:noProof/>
                  <w:szCs w:val="22"/>
                  <w:lang w:val="it-IT"/>
                  <w:rPrChange w:id="10724" w:author="Author">
                    <w:rPr>
                      <w:szCs w:val="22"/>
                      <w:lang w:val="it-IT"/>
                    </w:rPr>
                  </w:rPrChange>
                </w:rPr>
                <w:delText>Tel: +421 - 2 52638201</w:delText>
              </w:r>
            </w:del>
          </w:p>
          <w:p>
            <w:pPr>
              <w:tabs>
                <w:tab w:val="left" w:pos="180"/>
              </w:tabs>
              <w:rPr>
                <w:del w:id="10725" w:author="Author"/>
                <w:rFonts w:asciiTheme="majorBidi" w:hAnsiTheme="majorBidi" w:cstheme="majorBidi"/>
                <w:b/>
                <w:noProof/>
                <w:szCs w:val="22"/>
                <w:lang w:val="it-IT"/>
                <w:rPrChange w:id="10726" w:author="Author">
                  <w:rPr>
                    <w:del w:id="10727" w:author="Author"/>
                    <w:b/>
                    <w:szCs w:val="22"/>
                    <w:lang w:val="it-IT"/>
                  </w:rPr>
                </w:rPrChange>
              </w:rPr>
            </w:pPr>
          </w:p>
        </w:tc>
      </w:tr>
      <w:tr>
        <w:trPr>
          <w:cantSplit/>
          <w:del w:id="10728" w:author="Author"/>
        </w:trPr>
        <w:tc>
          <w:tcPr>
            <w:tcW w:w="4590" w:type="dxa"/>
          </w:tcPr>
          <w:p>
            <w:pPr>
              <w:tabs>
                <w:tab w:val="left" w:pos="180"/>
              </w:tabs>
              <w:rPr>
                <w:del w:id="10729" w:author="Author"/>
                <w:rFonts w:asciiTheme="majorBidi" w:hAnsiTheme="majorBidi" w:cstheme="majorBidi"/>
                <w:noProof/>
                <w:szCs w:val="22"/>
                <w:lang w:val="it-IT"/>
                <w:rPrChange w:id="10730" w:author="Author">
                  <w:rPr>
                    <w:del w:id="10731" w:author="Author"/>
                    <w:szCs w:val="22"/>
                    <w:lang w:val="it-IT"/>
                  </w:rPr>
                </w:rPrChange>
              </w:rPr>
            </w:pPr>
            <w:del w:id="10732" w:author="Author">
              <w:r>
                <w:rPr>
                  <w:rFonts w:asciiTheme="majorBidi" w:hAnsiTheme="majorBidi" w:cstheme="majorBidi"/>
                  <w:b/>
                  <w:noProof/>
                  <w:szCs w:val="22"/>
                  <w:lang w:val="it-IT"/>
                  <w:rPrChange w:id="10733" w:author="Author">
                    <w:rPr>
                      <w:b/>
                      <w:szCs w:val="22"/>
                      <w:lang w:val="it-IT"/>
                    </w:rPr>
                  </w:rPrChange>
                </w:rPr>
                <w:delText>Italia</w:delText>
              </w:r>
            </w:del>
          </w:p>
          <w:p>
            <w:pPr>
              <w:tabs>
                <w:tab w:val="left" w:pos="180"/>
              </w:tabs>
              <w:rPr>
                <w:del w:id="10734" w:author="Author"/>
                <w:rFonts w:asciiTheme="majorBidi" w:hAnsiTheme="majorBidi" w:cstheme="majorBidi"/>
                <w:noProof/>
                <w:szCs w:val="22"/>
                <w:lang w:val="it-IT"/>
                <w:rPrChange w:id="10735" w:author="Author">
                  <w:rPr>
                    <w:del w:id="10736" w:author="Author"/>
                    <w:szCs w:val="22"/>
                    <w:lang w:val="it-IT"/>
                  </w:rPr>
                </w:rPrChange>
              </w:rPr>
            </w:pPr>
            <w:del w:id="10737" w:author="Author">
              <w:r>
                <w:rPr>
                  <w:rFonts w:asciiTheme="majorBidi" w:hAnsiTheme="majorBidi" w:cstheme="majorBidi"/>
                  <w:noProof/>
                  <w:szCs w:val="22"/>
                  <w:lang w:val="it-IT"/>
                  <w:rPrChange w:id="10738" w:author="Author">
                    <w:rPr>
                      <w:szCs w:val="22"/>
                      <w:lang w:val="it-IT"/>
                    </w:rPr>
                  </w:rPrChange>
                </w:rPr>
                <w:delText>Roche S.p.A.</w:delText>
              </w:r>
            </w:del>
          </w:p>
          <w:p>
            <w:pPr>
              <w:tabs>
                <w:tab w:val="left" w:pos="180"/>
              </w:tabs>
              <w:rPr>
                <w:del w:id="10739" w:author="Author"/>
                <w:rFonts w:asciiTheme="majorBidi" w:hAnsiTheme="majorBidi" w:cstheme="majorBidi"/>
                <w:b/>
                <w:noProof/>
                <w:szCs w:val="22"/>
                <w:lang w:val="it-IT"/>
                <w:rPrChange w:id="10740" w:author="Author">
                  <w:rPr>
                    <w:del w:id="10741" w:author="Author"/>
                    <w:b/>
                    <w:szCs w:val="22"/>
                    <w:lang w:val="it-IT"/>
                  </w:rPr>
                </w:rPrChange>
              </w:rPr>
            </w:pPr>
            <w:del w:id="10742" w:author="Author">
              <w:r>
                <w:rPr>
                  <w:rFonts w:asciiTheme="majorBidi" w:hAnsiTheme="majorBidi" w:cstheme="majorBidi"/>
                  <w:noProof/>
                  <w:szCs w:val="22"/>
                  <w:lang w:val="it-IT"/>
                  <w:rPrChange w:id="10743" w:author="Author">
                    <w:rPr>
                      <w:szCs w:val="22"/>
                      <w:lang w:val="it-IT"/>
                    </w:rPr>
                  </w:rPrChange>
                </w:rPr>
                <w:delText>Tel: +39 - 039 2471</w:delText>
              </w:r>
            </w:del>
          </w:p>
        </w:tc>
        <w:tc>
          <w:tcPr>
            <w:tcW w:w="4590" w:type="dxa"/>
          </w:tcPr>
          <w:p>
            <w:pPr>
              <w:tabs>
                <w:tab w:val="left" w:pos="180"/>
              </w:tabs>
              <w:rPr>
                <w:del w:id="10744" w:author="Author"/>
                <w:rFonts w:asciiTheme="majorBidi" w:hAnsiTheme="majorBidi" w:cstheme="majorBidi"/>
                <w:b/>
                <w:noProof/>
                <w:szCs w:val="22"/>
                <w:lang w:val="it-IT"/>
                <w:rPrChange w:id="10745" w:author="Author">
                  <w:rPr>
                    <w:del w:id="10746" w:author="Author"/>
                    <w:b/>
                    <w:szCs w:val="22"/>
                    <w:lang w:val="it-IT"/>
                  </w:rPr>
                </w:rPrChange>
              </w:rPr>
            </w:pPr>
            <w:del w:id="10747" w:author="Author">
              <w:r>
                <w:rPr>
                  <w:rFonts w:asciiTheme="majorBidi" w:hAnsiTheme="majorBidi" w:cstheme="majorBidi"/>
                  <w:b/>
                  <w:noProof/>
                  <w:szCs w:val="22"/>
                  <w:lang w:val="it-IT"/>
                  <w:rPrChange w:id="10748" w:author="Author">
                    <w:rPr>
                      <w:b/>
                      <w:szCs w:val="22"/>
                      <w:lang w:val="it-IT"/>
                    </w:rPr>
                  </w:rPrChange>
                </w:rPr>
                <w:delText>Suomi/Finland</w:delText>
              </w:r>
            </w:del>
          </w:p>
          <w:p>
            <w:pPr>
              <w:tabs>
                <w:tab w:val="left" w:pos="180"/>
              </w:tabs>
              <w:rPr>
                <w:del w:id="10749" w:author="Author"/>
                <w:rFonts w:asciiTheme="majorBidi" w:hAnsiTheme="majorBidi" w:cstheme="majorBidi"/>
                <w:noProof/>
                <w:szCs w:val="22"/>
                <w:lang w:val="it-IT"/>
                <w:rPrChange w:id="10750" w:author="Author">
                  <w:rPr>
                    <w:del w:id="10751" w:author="Author"/>
                    <w:szCs w:val="22"/>
                    <w:lang w:val="it-IT"/>
                  </w:rPr>
                </w:rPrChange>
              </w:rPr>
            </w:pPr>
            <w:del w:id="10752" w:author="Author">
              <w:r>
                <w:rPr>
                  <w:rFonts w:asciiTheme="majorBidi" w:hAnsiTheme="majorBidi" w:cstheme="majorBidi"/>
                  <w:noProof/>
                  <w:szCs w:val="22"/>
                  <w:lang w:val="it-IT"/>
                  <w:rPrChange w:id="10753" w:author="Author">
                    <w:rPr>
                      <w:szCs w:val="22"/>
                      <w:lang w:val="it-IT"/>
                    </w:rPr>
                  </w:rPrChange>
                </w:rPr>
                <w:delText xml:space="preserve">Roche Oy </w:delText>
              </w:r>
            </w:del>
          </w:p>
          <w:p>
            <w:pPr>
              <w:tabs>
                <w:tab w:val="left" w:pos="180"/>
              </w:tabs>
              <w:rPr>
                <w:del w:id="10754" w:author="Author"/>
                <w:rFonts w:asciiTheme="majorBidi" w:hAnsiTheme="majorBidi" w:cstheme="majorBidi"/>
                <w:noProof/>
                <w:szCs w:val="22"/>
                <w:lang w:val="it-IT"/>
                <w:rPrChange w:id="10755" w:author="Author">
                  <w:rPr>
                    <w:del w:id="10756" w:author="Author"/>
                    <w:szCs w:val="22"/>
                    <w:lang w:val="it-IT"/>
                  </w:rPr>
                </w:rPrChange>
              </w:rPr>
            </w:pPr>
            <w:del w:id="10757" w:author="Author">
              <w:r>
                <w:rPr>
                  <w:rFonts w:asciiTheme="majorBidi" w:hAnsiTheme="majorBidi" w:cstheme="majorBidi"/>
                  <w:noProof/>
                  <w:szCs w:val="22"/>
                  <w:lang w:val="it-IT"/>
                  <w:rPrChange w:id="10758" w:author="Author">
                    <w:rPr>
                      <w:szCs w:val="22"/>
                      <w:lang w:val="it-IT"/>
                    </w:rPr>
                  </w:rPrChange>
                </w:rPr>
                <w:delText>Puh/Tel: +358 (0) 10 554 500</w:delText>
              </w:r>
            </w:del>
          </w:p>
          <w:p>
            <w:pPr>
              <w:tabs>
                <w:tab w:val="left" w:pos="180"/>
              </w:tabs>
              <w:rPr>
                <w:del w:id="10759" w:author="Author"/>
                <w:rFonts w:asciiTheme="majorBidi" w:hAnsiTheme="majorBidi" w:cstheme="majorBidi"/>
                <w:noProof/>
                <w:szCs w:val="22"/>
                <w:lang w:val="it-IT"/>
                <w:rPrChange w:id="10760" w:author="Author">
                  <w:rPr>
                    <w:del w:id="10761" w:author="Author"/>
                    <w:szCs w:val="22"/>
                    <w:lang w:val="it-IT"/>
                  </w:rPr>
                </w:rPrChange>
              </w:rPr>
            </w:pPr>
          </w:p>
        </w:tc>
      </w:tr>
      <w:tr>
        <w:trPr>
          <w:cantSplit/>
          <w:del w:id="10762" w:author="Author"/>
        </w:trPr>
        <w:tc>
          <w:tcPr>
            <w:tcW w:w="4590" w:type="dxa"/>
          </w:tcPr>
          <w:p>
            <w:pPr>
              <w:tabs>
                <w:tab w:val="left" w:pos="180"/>
              </w:tabs>
              <w:rPr>
                <w:del w:id="10763" w:author="Author"/>
                <w:rFonts w:asciiTheme="majorBidi" w:hAnsiTheme="majorBidi" w:cstheme="majorBidi"/>
                <w:noProof/>
                <w:szCs w:val="22"/>
                <w:lang w:val="it-IT"/>
                <w:rPrChange w:id="10764" w:author="Author">
                  <w:rPr>
                    <w:del w:id="10765" w:author="Author"/>
                    <w:szCs w:val="22"/>
                  </w:rPr>
                </w:rPrChange>
              </w:rPr>
            </w:pPr>
            <w:del w:id="10766" w:author="Author">
              <w:r>
                <w:rPr>
                  <w:rFonts w:asciiTheme="majorBidi" w:hAnsiTheme="majorBidi" w:cstheme="majorBidi"/>
                  <w:b/>
                  <w:noProof/>
                  <w:szCs w:val="22"/>
                  <w:lang w:val="it-IT"/>
                  <w:rPrChange w:id="10767" w:author="Author">
                    <w:rPr>
                      <w:b/>
                      <w:szCs w:val="22"/>
                    </w:rPr>
                  </w:rPrChange>
                </w:rPr>
                <w:delText>K</w:delText>
              </w:r>
              <w:r>
                <w:rPr>
                  <w:rFonts w:asciiTheme="majorBidi" w:hAnsiTheme="majorBidi" w:cstheme="majorBidi"/>
                  <w:b/>
                  <w:noProof/>
                  <w:szCs w:val="22"/>
                  <w:lang w:val="it-IT"/>
                  <w:rPrChange w:id="10768" w:author="Author">
                    <w:rPr>
                      <w:b/>
                      <w:szCs w:val="22"/>
                      <w:lang w:val="it-IT"/>
                    </w:rPr>
                  </w:rPrChange>
                </w:rPr>
                <w:delText>ύπρος</w:delText>
              </w:r>
              <w:r>
                <w:rPr>
                  <w:rFonts w:asciiTheme="majorBidi" w:hAnsiTheme="majorBidi" w:cstheme="majorBidi"/>
                  <w:noProof/>
                  <w:szCs w:val="22"/>
                  <w:lang w:val="it-IT"/>
                  <w:rPrChange w:id="10769" w:author="Author">
                    <w:rPr>
                      <w:szCs w:val="22"/>
                    </w:rPr>
                  </w:rPrChange>
                </w:rPr>
                <w:delText xml:space="preserve"> </w:delText>
              </w:r>
            </w:del>
          </w:p>
          <w:p>
            <w:pPr>
              <w:tabs>
                <w:tab w:val="left" w:pos="180"/>
              </w:tabs>
              <w:rPr>
                <w:del w:id="10770" w:author="Author"/>
                <w:rFonts w:asciiTheme="majorBidi" w:hAnsiTheme="majorBidi" w:cstheme="majorBidi"/>
                <w:noProof/>
                <w:szCs w:val="22"/>
                <w:lang w:val="it-IT"/>
                <w:rPrChange w:id="10771" w:author="Author">
                  <w:rPr>
                    <w:del w:id="10772" w:author="Author"/>
                    <w:szCs w:val="22"/>
                  </w:rPr>
                </w:rPrChange>
              </w:rPr>
            </w:pPr>
            <w:del w:id="10773" w:author="Author">
              <w:r>
                <w:rPr>
                  <w:rFonts w:asciiTheme="majorBidi" w:hAnsiTheme="majorBidi" w:cstheme="majorBidi"/>
                  <w:noProof/>
                  <w:szCs w:val="22"/>
                  <w:lang w:val="it-IT"/>
                  <w:rPrChange w:id="10774" w:author="Author">
                    <w:rPr>
                      <w:szCs w:val="22"/>
                    </w:rPr>
                  </w:rPrChange>
                </w:rPr>
                <w:delText>Roche (Hellas) A.E.</w:delText>
              </w:r>
            </w:del>
          </w:p>
          <w:p>
            <w:pPr>
              <w:tabs>
                <w:tab w:val="left" w:pos="180"/>
              </w:tabs>
              <w:rPr>
                <w:del w:id="10775" w:author="Author"/>
                <w:rFonts w:asciiTheme="majorBidi" w:hAnsiTheme="majorBidi" w:cstheme="majorBidi"/>
                <w:noProof/>
                <w:szCs w:val="22"/>
                <w:lang w:val="it-IT"/>
                <w:rPrChange w:id="10776" w:author="Author">
                  <w:rPr>
                    <w:del w:id="10777" w:author="Author"/>
                    <w:szCs w:val="22"/>
                  </w:rPr>
                </w:rPrChange>
              </w:rPr>
            </w:pPr>
            <w:del w:id="10778" w:author="Author">
              <w:r>
                <w:rPr>
                  <w:rFonts w:asciiTheme="majorBidi" w:hAnsiTheme="majorBidi" w:cstheme="majorBidi"/>
                  <w:noProof/>
                  <w:szCs w:val="22"/>
                  <w:lang w:val="it-IT"/>
                  <w:rPrChange w:id="10779" w:author="Author">
                    <w:rPr>
                      <w:szCs w:val="22"/>
                      <w:lang w:val="it-IT"/>
                    </w:rPr>
                  </w:rPrChange>
                </w:rPr>
                <w:delText>Τηλ</w:delText>
              </w:r>
              <w:r>
                <w:rPr>
                  <w:rFonts w:asciiTheme="majorBidi" w:hAnsiTheme="majorBidi" w:cstheme="majorBidi"/>
                  <w:noProof/>
                  <w:szCs w:val="22"/>
                  <w:lang w:val="it-IT"/>
                  <w:rPrChange w:id="10780" w:author="Author">
                    <w:rPr>
                      <w:szCs w:val="22"/>
                    </w:rPr>
                  </w:rPrChange>
                </w:rPr>
                <w:delText>: +30 210 61 66 100</w:delText>
              </w:r>
            </w:del>
          </w:p>
        </w:tc>
        <w:tc>
          <w:tcPr>
            <w:tcW w:w="4590" w:type="dxa"/>
          </w:tcPr>
          <w:p>
            <w:pPr>
              <w:tabs>
                <w:tab w:val="left" w:pos="180"/>
              </w:tabs>
              <w:rPr>
                <w:del w:id="10781" w:author="Author"/>
                <w:rFonts w:asciiTheme="majorBidi" w:hAnsiTheme="majorBidi" w:cstheme="majorBidi"/>
                <w:noProof/>
                <w:szCs w:val="22"/>
                <w:lang w:val="it-IT"/>
                <w:rPrChange w:id="10782" w:author="Author">
                  <w:rPr>
                    <w:del w:id="10783" w:author="Author"/>
                    <w:szCs w:val="22"/>
                    <w:lang w:val="it-IT"/>
                  </w:rPr>
                </w:rPrChange>
              </w:rPr>
            </w:pPr>
            <w:del w:id="10784" w:author="Author">
              <w:r>
                <w:rPr>
                  <w:rFonts w:asciiTheme="majorBidi" w:hAnsiTheme="majorBidi" w:cstheme="majorBidi"/>
                  <w:b/>
                  <w:noProof/>
                  <w:szCs w:val="22"/>
                  <w:lang w:val="it-IT"/>
                  <w:rPrChange w:id="10785" w:author="Author">
                    <w:rPr>
                      <w:b/>
                      <w:szCs w:val="22"/>
                      <w:lang w:val="it-IT"/>
                    </w:rPr>
                  </w:rPrChange>
                </w:rPr>
                <w:delText>Sverige</w:delText>
              </w:r>
            </w:del>
          </w:p>
          <w:p>
            <w:pPr>
              <w:tabs>
                <w:tab w:val="left" w:pos="180"/>
              </w:tabs>
              <w:rPr>
                <w:del w:id="10786" w:author="Author"/>
                <w:rFonts w:asciiTheme="majorBidi" w:hAnsiTheme="majorBidi" w:cstheme="majorBidi"/>
                <w:noProof/>
                <w:szCs w:val="22"/>
                <w:lang w:val="it-IT"/>
                <w:rPrChange w:id="10787" w:author="Author">
                  <w:rPr>
                    <w:del w:id="10788" w:author="Author"/>
                    <w:szCs w:val="22"/>
                    <w:lang w:val="it-IT"/>
                  </w:rPr>
                </w:rPrChange>
              </w:rPr>
            </w:pPr>
            <w:del w:id="10789" w:author="Author">
              <w:r>
                <w:rPr>
                  <w:rFonts w:asciiTheme="majorBidi" w:hAnsiTheme="majorBidi" w:cstheme="majorBidi"/>
                  <w:noProof/>
                  <w:szCs w:val="22"/>
                  <w:lang w:val="it-IT"/>
                  <w:rPrChange w:id="10790" w:author="Author">
                    <w:rPr>
                      <w:szCs w:val="22"/>
                      <w:lang w:val="it-IT"/>
                    </w:rPr>
                  </w:rPrChange>
                </w:rPr>
                <w:delText>Roche AB</w:delText>
              </w:r>
            </w:del>
          </w:p>
          <w:p>
            <w:pPr>
              <w:tabs>
                <w:tab w:val="left" w:pos="180"/>
              </w:tabs>
              <w:suppressAutoHyphens/>
              <w:rPr>
                <w:del w:id="10791" w:author="Author"/>
                <w:rFonts w:asciiTheme="majorBidi" w:hAnsiTheme="majorBidi" w:cstheme="majorBidi"/>
                <w:noProof/>
                <w:szCs w:val="22"/>
                <w:lang w:val="it-IT"/>
                <w:rPrChange w:id="10792" w:author="Author">
                  <w:rPr>
                    <w:del w:id="10793" w:author="Author"/>
                    <w:szCs w:val="22"/>
                    <w:lang w:val="it-IT"/>
                  </w:rPr>
                </w:rPrChange>
              </w:rPr>
            </w:pPr>
            <w:del w:id="10794" w:author="Author">
              <w:r>
                <w:rPr>
                  <w:rFonts w:asciiTheme="majorBidi" w:hAnsiTheme="majorBidi" w:cstheme="majorBidi"/>
                  <w:noProof/>
                  <w:szCs w:val="22"/>
                  <w:lang w:val="it-IT"/>
                  <w:rPrChange w:id="10795" w:author="Author">
                    <w:rPr>
                      <w:szCs w:val="22"/>
                      <w:lang w:val="it-IT"/>
                    </w:rPr>
                  </w:rPrChange>
                </w:rPr>
                <w:delText>Tel: +46 (0) 8 726 1200</w:delText>
              </w:r>
            </w:del>
          </w:p>
          <w:p>
            <w:pPr>
              <w:tabs>
                <w:tab w:val="left" w:pos="180"/>
              </w:tabs>
              <w:rPr>
                <w:del w:id="10796" w:author="Author"/>
                <w:rFonts w:asciiTheme="majorBidi" w:hAnsiTheme="majorBidi" w:cstheme="majorBidi"/>
                <w:noProof/>
                <w:szCs w:val="22"/>
                <w:lang w:val="it-IT"/>
                <w:rPrChange w:id="10797" w:author="Author">
                  <w:rPr>
                    <w:del w:id="10798" w:author="Author"/>
                    <w:szCs w:val="22"/>
                    <w:lang w:val="it-IT"/>
                  </w:rPr>
                </w:rPrChange>
              </w:rPr>
            </w:pPr>
          </w:p>
        </w:tc>
      </w:tr>
      <w:tr>
        <w:trPr>
          <w:cantSplit/>
          <w:del w:id="10799" w:author="Author"/>
        </w:trPr>
        <w:tc>
          <w:tcPr>
            <w:tcW w:w="4590" w:type="dxa"/>
          </w:tcPr>
          <w:p>
            <w:pPr>
              <w:tabs>
                <w:tab w:val="left" w:pos="180"/>
              </w:tabs>
              <w:rPr>
                <w:del w:id="10800" w:author="Author"/>
                <w:rFonts w:asciiTheme="majorBidi" w:hAnsiTheme="majorBidi" w:cstheme="majorBidi"/>
                <w:b/>
                <w:noProof/>
                <w:szCs w:val="22"/>
                <w:lang w:val="it-IT"/>
                <w:rPrChange w:id="10801" w:author="Author">
                  <w:rPr>
                    <w:del w:id="10802" w:author="Author"/>
                    <w:b/>
                    <w:szCs w:val="22"/>
                    <w:lang w:val="it-IT"/>
                  </w:rPr>
                </w:rPrChange>
              </w:rPr>
            </w:pPr>
            <w:del w:id="10803" w:author="Author">
              <w:r>
                <w:rPr>
                  <w:rFonts w:asciiTheme="majorBidi" w:hAnsiTheme="majorBidi" w:cstheme="majorBidi"/>
                  <w:b/>
                  <w:noProof/>
                  <w:szCs w:val="22"/>
                  <w:lang w:val="it-IT"/>
                  <w:rPrChange w:id="10804" w:author="Author">
                    <w:rPr>
                      <w:b/>
                      <w:szCs w:val="22"/>
                      <w:lang w:val="it-IT"/>
                    </w:rPr>
                  </w:rPrChange>
                </w:rPr>
                <w:delText>Latvija</w:delText>
              </w:r>
            </w:del>
          </w:p>
          <w:p>
            <w:pPr>
              <w:tabs>
                <w:tab w:val="left" w:pos="180"/>
              </w:tabs>
              <w:rPr>
                <w:del w:id="10805" w:author="Author"/>
                <w:rFonts w:asciiTheme="majorBidi" w:hAnsiTheme="majorBidi" w:cstheme="majorBidi"/>
                <w:bCs/>
                <w:noProof/>
                <w:szCs w:val="22"/>
                <w:lang w:val="it-IT"/>
                <w:rPrChange w:id="10806" w:author="Author">
                  <w:rPr>
                    <w:del w:id="10807" w:author="Author"/>
                    <w:bCs/>
                    <w:szCs w:val="22"/>
                    <w:lang w:val="it-IT"/>
                  </w:rPr>
                </w:rPrChange>
              </w:rPr>
            </w:pPr>
            <w:del w:id="10808" w:author="Author">
              <w:r>
                <w:rPr>
                  <w:rFonts w:asciiTheme="majorBidi" w:hAnsiTheme="majorBidi" w:cstheme="majorBidi"/>
                  <w:bCs/>
                  <w:noProof/>
                  <w:szCs w:val="22"/>
                  <w:lang w:val="it-IT"/>
                  <w:rPrChange w:id="10809" w:author="Author">
                    <w:rPr>
                      <w:bCs/>
                      <w:szCs w:val="22"/>
                      <w:lang w:val="it-IT"/>
                    </w:rPr>
                  </w:rPrChange>
                </w:rPr>
                <w:delText>Roche Latvija SIA</w:delText>
              </w:r>
            </w:del>
          </w:p>
          <w:p>
            <w:pPr>
              <w:tabs>
                <w:tab w:val="left" w:pos="180"/>
              </w:tabs>
              <w:rPr>
                <w:del w:id="10810" w:author="Author"/>
                <w:rFonts w:asciiTheme="majorBidi" w:hAnsiTheme="majorBidi" w:cstheme="majorBidi"/>
                <w:noProof/>
                <w:szCs w:val="22"/>
                <w:lang w:val="it-IT"/>
                <w:rPrChange w:id="10811" w:author="Author">
                  <w:rPr>
                    <w:del w:id="10812" w:author="Author"/>
                    <w:szCs w:val="22"/>
                    <w:lang w:val="it-IT"/>
                  </w:rPr>
                </w:rPrChange>
              </w:rPr>
            </w:pPr>
            <w:del w:id="10813" w:author="Author">
              <w:r>
                <w:rPr>
                  <w:rFonts w:asciiTheme="majorBidi" w:hAnsiTheme="majorBidi" w:cstheme="majorBidi"/>
                  <w:noProof/>
                  <w:szCs w:val="22"/>
                  <w:lang w:val="it-IT"/>
                  <w:rPrChange w:id="10814" w:author="Author">
                    <w:rPr>
                      <w:szCs w:val="22"/>
                      <w:lang w:val="it-IT"/>
                    </w:rPr>
                  </w:rPrChange>
                </w:rPr>
                <w:delText>Tel: +371 - 6 7039831</w:delText>
              </w:r>
            </w:del>
          </w:p>
          <w:p>
            <w:pPr>
              <w:tabs>
                <w:tab w:val="left" w:pos="180"/>
              </w:tabs>
              <w:rPr>
                <w:del w:id="10815" w:author="Author"/>
                <w:rFonts w:asciiTheme="majorBidi" w:hAnsiTheme="majorBidi" w:cstheme="majorBidi"/>
                <w:b/>
                <w:noProof/>
                <w:szCs w:val="22"/>
                <w:lang w:val="it-IT"/>
                <w:rPrChange w:id="10816" w:author="Author">
                  <w:rPr>
                    <w:del w:id="10817" w:author="Author"/>
                    <w:b/>
                    <w:szCs w:val="22"/>
                    <w:lang w:val="it-IT"/>
                  </w:rPr>
                </w:rPrChange>
              </w:rPr>
            </w:pPr>
          </w:p>
        </w:tc>
        <w:tc>
          <w:tcPr>
            <w:tcW w:w="4590" w:type="dxa"/>
          </w:tcPr>
          <w:p>
            <w:pPr>
              <w:tabs>
                <w:tab w:val="left" w:pos="180"/>
              </w:tabs>
              <w:suppressAutoHyphens/>
              <w:rPr>
                <w:del w:id="10818" w:author="Author"/>
                <w:rFonts w:asciiTheme="majorBidi" w:hAnsiTheme="majorBidi" w:cstheme="majorBidi"/>
                <w:noProof/>
                <w:szCs w:val="22"/>
                <w:lang w:val="it-IT"/>
                <w:rPrChange w:id="10819" w:author="Author">
                  <w:rPr>
                    <w:del w:id="10820" w:author="Author"/>
                    <w:szCs w:val="22"/>
                    <w:lang w:val="it-IT"/>
                  </w:rPr>
                </w:rPrChange>
              </w:rPr>
            </w:pPr>
          </w:p>
        </w:tc>
      </w:tr>
      <w:tr>
        <w:trPr>
          <w:cantSplit/>
          <w:del w:id="10821" w:author="Author"/>
        </w:trPr>
        <w:tc>
          <w:tcPr>
            <w:tcW w:w="4590" w:type="dxa"/>
          </w:tcPr>
          <w:p>
            <w:pPr>
              <w:tabs>
                <w:tab w:val="left" w:pos="180"/>
              </w:tabs>
              <w:suppressAutoHyphens/>
              <w:rPr>
                <w:del w:id="10822" w:author="Author"/>
                <w:rFonts w:asciiTheme="majorBidi" w:hAnsiTheme="majorBidi" w:cstheme="majorBidi"/>
                <w:b/>
                <w:noProof/>
                <w:szCs w:val="22"/>
                <w:lang w:val="it-IT"/>
                <w:rPrChange w:id="10823" w:author="Author">
                  <w:rPr>
                    <w:del w:id="10824" w:author="Author"/>
                    <w:b/>
                    <w:szCs w:val="22"/>
                    <w:lang w:val="it-IT"/>
                  </w:rPr>
                </w:rPrChange>
              </w:rPr>
            </w:pPr>
            <w:del w:id="10825" w:author="Author">
              <w:r>
                <w:rPr>
                  <w:rFonts w:asciiTheme="majorBidi" w:hAnsiTheme="majorBidi" w:cstheme="majorBidi"/>
                  <w:b/>
                  <w:noProof/>
                  <w:szCs w:val="22"/>
                  <w:lang w:val="it-IT"/>
                  <w:rPrChange w:id="10826" w:author="Author">
                    <w:rPr>
                      <w:b/>
                      <w:szCs w:val="22"/>
                      <w:lang w:val="it-IT"/>
                    </w:rPr>
                  </w:rPrChange>
                </w:rPr>
                <w:delText>Lietuva</w:delText>
              </w:r>
            </w:del>
          </w:p>
          <w:p>
            <w:pPr>
              <w:tabs>
                <w:tab w:val="left" w:pos="180"/>
              </w:tabs>
              <w:suppressAutoHyphens/>
              <w:rPr>
                <w:del w:id="10827" w:author="Author"/>
                <w:rFonts w:asciiTheme="majorBidi" w:hAnsiTheme="majorBidi" w:cstheme="majorBidi"/>
                <w:noProof/>
                <w:szCs w:val="22"/>
                <w:lang w:val="it-IT"/>
                <w:rPrChange w:id="10828" w:author="Author">
                  <w:rPr>
                    <w:del w:id="10829" w:author="Author"/>
                    <w:szCs w:val="22"/>
                    <w:lang w:val="it-IT"/>
                  </w:rPr>
                </w:rPrChange>
              </w:rPr>
            </w:pPr>
            <w:del w:id="10830" w:author="Author">
              <w:r>
                <w:rPr>
                  <w:rFonts w:asciiTheme="majorBidi" w:hAnsiTheme="majorBidi" w:cstheme="majorBidi"/>
                  <w:noProof/>
                  <w:szCs w:val="22"/>
                  <w:lang w:val="it-IT"/>
                  <w:rPrChange w:id="10831" w:author="Author">
                    <w:rPr>
                      <w:szCs w:val="22"/>
                      <w:lang w:val="it-IT"/>
                    </w:rPr>
                  </w:rPrChange>
                </w:rPr>
                <w:delText>UAB “Roche Lietuva”</w:delText>
              </w:r>
            </w:del>
          </w:p>
          <w:p>
            <w:pPr>
              <w:tabs>
                <w:tab w:val="left" w:pos="180"/>
              </w:tabs>
              <w:suppressAutoHyphens/>
              <w:rPr>
                <w:del w:id="10832" w:author="Author"/>
                <w:rFonts w:asciiTheme="majorBidi" w:hAnsiTheme="majorBidi" w:cstheme="majorBidi"/>
                <w:noProof/>
                <w:szCs w:val="22"/>
                <w:lang w:val="it-IT"/>
                <w:rPrChange w:id="10833" w:author="Author">
                  <w:rPr>
                    <w:del w:id="10834" w:author="Author"/>
                    <w:szCs w:val="22"/>
                    <w:lang w:val="it-IT"/>
                  </w:rPr>
                </w:rPrChange>
              </w:rPr>
            </w:pPr>
            <w:del w:id="10835" w:author="Author">
              <w:r>
                <w:rPr>
                  <w:rFonts w:asciiTheme="majorBidi" w:hAnsiTheme="majorBidi" w:cstheme="majorBidi"/>
                  <w:noProof/>
                  <w:szCs w:val="22"/>
                  <w:lang w:val="it-IT"/>
                  <w:rPrChange w:id="10836" w:author="Author">
                    <w:rPr>
                      <w:szCs w:val="22"/>
                      <w:lang w:val="it-IT"/>
                    </w:rPr>
                  </w:rPrChange>
                </w:rPr>
                <w:delText>Tel: +370 5 2546799</w:delText>
              </w:r>
            </w:del>
          </w:p>
          <w:p>
            <w:pPr>
              <w:tabs>
                <w:tab w:val="left" w:pos="180"/>
              </w:tabs>
              <w:rPr>
                <w:del w:id="10837" w:author="Author"/>
                <w:rFonts w:asciiTheme="majorBidi" w:hAnsiTheme="majorBidi" w:cstheme="majorBidi"/>
                <w:noProof/>
                <w:szCs w:val="22"/>
                <w:lang w:val="it-IT"/>
                <w:rPrChange w:id="10838" w:author="Author">
                  <w:rPr>
                    <w:del w:id="10839" w:author="Author"/>
                    <w:szCs w:val="22"/>
                    <w:lang w:val="it-IT"/>
                  </w:rPr>
                </w:rPrChange>
              </w:rPr>
            </w:pPr>
          </w:p>
        </w:tc>
        <w:tc>
          <w:tcPr>
            <w:tcW w:w="4590" w:type="dxa"/>
          </w:tcPr>
          <w:p>
            <w:pPr>
              <w:tabs>
                <w:tab w:val="left" w:pos="180"/>
              </w:tabs>
              <w:suppressAutoHyphens/>
              <w:rPr>
                <w:del w:id="10840" w:author="Author"/>
                <w:rFonts w:asciiTheme="majorBidi" w:hAnsiTheme="majorBidi" w:cstheme="majorBidi"/>
                <w:noProof/>
                <w:szCs w:val="22"/>
                <w:lang w:val="it-IT"/>
                <w:rPrChange w:id="10841" w:author="Author">
                  <w:rPr>
                    <w:del w:id="10842" w:author="Author"/>
                    <w:szCs w:val="22"/>
                    <w:lang w:val="it-IT"/>
                  </w:rPr>
                </w:rPrChange>
              </w:rPr>
            </w:pPr>
          </w:p>
        </w:tc>
      </w:tr>
      <w:tr>
        <w:trPr>
          <w:cantSplit/>
          <w:trHeight w:val="1152"/>
          <w:ins w:id="10843" w:author="Author"/>
        </w:trPr>
        <w:tc>
          <w:tcPr>
            <w:tcW w:w="4590" w:type="dxa"/>
          </w:tcPr>
          <w:p>
            <w:pPr>
              <w:pStyle w:val="Standard1"/>
              <w:rPr>
                <w:ins w:id="10844" w:author="Author"/>
                <w:rFonts w:ascii="Times New Roman" w:hAnsi="Times New Roman"/>
                <w:b/>
                <w:noProof/>
                <w:sz w:val="22"/>
                <w:szCs w:val="22"/>
                <w:lang w:val="de-DE"/>
                <w:rPrChange w:id="10845" w:author="TCS" w:date="2026-03-20T13:59:00Z">
                  <w:rPr>
                    <w:ins w:id="10846" w:author="Author"/>
                    <w:b/>
                    <w:lang w:val="de-DE"/>
                  </w:rPr>
                </w:rPrChange>
              </w:rPr>
            </w:pPr>
            <w:bookmarkStart w:id="10847" w:name="_Hlk204168037"/>
            <w:ins w:id="10848" w:author="Author">
              <w:r>
                <w:rPr>
                  <w:rFonts w:ascii="Times New Roman" w:hAnsi="Times New Roman"/>
                  <w:b/>
                  <w:noProof/>
                  <w:sz w:val="22"/>
                  <w:szCs w:val="22"/>
                  <w:lang w:val="de-DE"/>
                  <w:rPrChange w:id="10849" w:author="TCS" w:date="2026-03-20T13:59:00Z">
                    <w:rPr>
                      <w:b/>
                      <w:lang w:val="de-DE"/>
                    </w:rPr>
                  </w:rPrChange>
                </w:rPr>
                <w:t>België/Belgique/Belgien</w:t>
              </w:r>
              <w:r>
                <w:rPr>
                  <w:rFonts w:ascii="Times New Roman" w:hAnsi="Times New Roman"/>
                  <w:b/>
                  <w:noProof/>
                  <w:sz w:val="22"/>
                  <w:szCs w:val="22"/>
                  <w:lang w:val="de-DE"/>
                  <w:rPrChange w:id="10850" w:author="TCS" w:date="2026-03-20T13:59:00Z">
                    <w:rPr>
                      <w:b/>
                      <w:szCs w:val="22"/>
                      <w:lang w:val="de-DE"/>
                    </w:rPr>
                  </w:rPrChange>
                </w:rPr>
                <w:t>,</w:t>
              </w:r>
            </w:ins>
          </w:p>
          <w:p>
            <w:pPr>
              <w:pStyle w:val="Standard1"/>
              <w:suppressAutoHyphens/>
              <w:rPr>
                <w:ins w:id="10851" w:author="Author"/>
                <w:rFonts w:ascii="Times New Roman" w:hAnsi="Times New Roman"/>
                <w:noProof/>
                <w:sz w:val="22"/>
                <w:szCs w:val="22"/>
                <w:lang w:val="de-DE"/>
                <w:rPrChange w:id="10852" w:author="TCS" w:date="2026-03-20T13:59:00Z">
                  <w:rPr>
                    <w:ins w:id="10853" w:author="Author"/>
                    <w:lang w:val="de-DE"/>
                  </w:rPr>
                </w:rPrChange>
              </w:rPr>
            </w:pPr>
            <w:ins w:id="10854" w:author="Author">
              <w:r>
                <w:rPr>
                  <w:rFonts w:ascii="Times New Roman" w:hAnsi="Times New Roman"/>
                  <w:b/>
                  <w:noProof/>
                  <w:sz w:val="22"/>
                  <w:szCs w:val="22"/>
                  <w:lang w:val="de-DE"/>
                  <w:rPrChange w:id="10855" w:author="TCS" w:date="2026-03-20T13:59:00Z">
                    <w:rPr>
                      <w:b/>
                      <w:lang w:val="de-DE"/>
                    </w:rPr>
                  </w:rPrChange>
                </w:rPr>
                <w:t>Luxembourg/Luxemburg</w:t>
              </w:r>
            </w:ins>
          </w:p>
          <w:p>
            <w:pPr>
              <w:pStyle w:val="Standard1"/>
              <w:rPr>
                <w:ins w:id="10856" w:author="Author"/>
                <w:rFonts w:ascii="Times New Roman" w:hAnsi="Times New Roman"/>
                <w:noProof/>
                <w:sz w:val="22"/>
                <w:szCs w:val="22"/>
                <w:lang w:val="de-DE"/>
                <w:rPrChange w:id="10857" w:author="TCS" w:date="2026-03-20T13:59:00Z">
                  <w:rPr>
                    <w:ins w:id="10858" w:author="Author"/>
                    <w:lang w:val="de-DE"/>
                  </w:rPr>
                </w:rPrChange>
              </w:rPr>
            </w:pPr>
            <w:ins w:id="10859" w:author="Author">
              <w:r>
                <w:rPr>
                  <w:rFonts w:ascii="Times New Roman" w:hAnsi="Times New Roman"/>
                  <w:noProof/>
                  <w:sz w:val="22"/>
                  <w:szCs w:val="22"/>
                  <w:lang w:val="de-DE"/>
                  <w:rPrChange w:id="10860" w:author="TCS" w:date="2026-03-20T13:59:00Z">
                    <w:rPr>
                      <w:lang w:val="de-DE"/>
                    </w:rPr>
                  </w:rPrChange>
                </w:rPr>
                <w:t>N.V. Roche S.A.</w:t>
              </w:r>
            </w:ins>
          </w:p>
          <w:p>
            <w:pPr>
              <w:pStyle w:val="Standard1"/>
              <w:rPr>
                <w:ins w:id="10861" w:author="Author"/>
                <w:rFonts w:ascii="Times New Roman" w:hAnsi="Times New Roman"/>
                <w:bCs/>
                <w:noProof/>
                <w:sz w:val="22"/>
                <w:szCs w:val="22"/>
                <w:lang w:val="fr-FR"/>
                <w:rPrChange w:id="10862" w:author="TCS" w:date="2026-03-20T13:59:00Z">
                  <w:rPr>
                    <w:ins w:id="10863" w:author="Author"/>
                    <w:bCs/>
                    <w:noProof/>
                    <w:szCs w:val="22"/>
                    <w:lang w:val="fr-FR"/>
                  </w:rPr>
                </w:rPrChange>
              </w:rPr>
            </w:pPr>
            <w:ins w:id="10864" w:author="Author">
              <w:r>
                <w:rPr>
                  <w:rFonts w:ascii="Times New Roman" w:hAnsi="Times New Roman"/>
                  <w:bCs/>
                  <w:noProof/>
                  <w:sz w:val="22"/>
                  <w:szCs w:val="22"/>
                  <w:lang w:val="fr-FR"/>
                  <w:rPrChange w:id="10865" w:author="TCS" w:date="2026-03-20T13:59:00Z">
                    <w:rPr>
                      <w:bCs/>
                      <w:noProof/>
                      <w:szCs w:val="22"/>
                      <w:lang w:val="fr-FR"/>
                    </w:rPr>
                  </w:rPrChange>
                </w:rPr>
                <w:t>België/Belgique/Belgien</w:t>
              </w:r>
            </w:ins>
          </w:p>
          <w:p>
            <w:pPr>
              <w:pStyle w:val="Standard1"/>
              <w:rPr>
                <w:ins w:id="10866" w:author="Author"/>
                <w:rFonts w:ascii="Times New Roman" w:hAnsi="Times New Roman"/>
                <w:noProof/>
                <w:sz w:val="22"/>
                <w:szCs w:val="22"/>
                <w:lang w:val="fr-FR"/>
                <w:rPrChange w:id="10867" w:author="TCS" w:date="2026-03-20T13:59:00Z">
                  <w:rPr>
                    <w:ins w:id="10868" w:author="Author"/>
                    <w:lang w:val="fr-FR"/>
                  </w:rPr>
                </w:rPrChange>
              </w:rPr>
            </w:pPr>
            <w:ins w:id="10869" w:author="Author">
              <w:r>
                <w:rPr>
                  <w:rFonts w:ascii="Times New Roman" w:hAnsi="Times New Roman"/>
                  <w:noProof/>
                  <w:sz w:val="22"/>
                  <w:szCs w:val="22"/>
                  <w:lang w:val="fr-FR"/>
                  <w:rPrChange w:id="10870" w:author="TCS" w:date="2026-03-20T13:59:00Z">
                    <w:rPr>
                      <w:lang w:val="fr-FR"/>
                    </w:rPr>
                  </w:rPrChange>
                </w:rPr>
                <w:t>Tél/Tel: +32 (0) 2 525 82 11</w:t>
              </w:r>
            </w:ins>
          </w:p>
          <w:p>
            <w:pPr>
              <w:pStyle w:val="Standard1"/>
              <w:rPr>
                <w:ins w:id="10871" w:author="Author"/>
                <w:rFonts w:ascii="Times New Roman" w:hAnsi="Times New Roman"/>
                <w:b/>
                <w:noProof/>
                <w:sz w:val="22"/>
                <w:szCs w:val="22"/>
                <w:lang w:val="fr-FR"/>
                <w:rPrChange w:id="10872" w:author="TCS" w:date="2026-03-20T13:59:00Z">
                  <w:rPr>
                    <w:ins w:id="10873" w:author="Author"/>
                    <w:b/>
                    <w:lang w:val="fr-FR"/>
                  </w:rPr>
                </w:rPrChange>
              </w:rPr>
            </w:pPr>
          </w:p>
        </w:tc>
        <w:tc>
          <w:tcPr>
            <w:tcW w:w="4590" w:type="dxa"/>
          </w:tcPr>
          <w:p>
            <w:pPr>
              <w:pStyle w:val="Standard1"/>
              <w:rPr>
                <w:ins w:id="10874" w:author="Author"/>
                <w:rFonts w:ascii="Times New Roman" w:hAnsi="Times New Roman"/>
                <w:b/>
                <w:noProof/>
                <w:sz w:val="22"/>
                <w:szCs w:val="22"/>
                <w:rPrChange w:id="10875" w:author="TCS" w:date="2026-03-20T13:59:00Z">
                  <w:rPr>
                    <w:ins w:id="10876" w:author="Author"/>
                    <w:b/>
                    <w:noProof/>
                    <w:szCs w:val="22"/>
                  </w:rPr>
                </w:rPrChange>
              </w:rPr>
            </w:pPr>
            <w:ins w:id="10877" w:author="Author">
              <w:r>
                <w:rPr>
                  <w:rFonts w:ascii="Times New Roman" w:hAnsi="Times New Roman"/>
                  <w:b/>
                  <w:noProof/>
                  <w:sz w:val="22"/>
                  <w:szCs w:val="22"/>
                  <w:rPrChange w:id="10878" w:author="TCS" w:date="2026-03-20T13:59:00Z">
                    <w:rPr>
                      <w:b/>
                      <w:noProof/>
                      <w:szCs w:val="22"/>
                    </w:rPr>
                  </w:rPrChange>
                </w:rPr>
                <w:t>Latvija</w:t>
              </w:r>
            </w:ins>
          </w:p>
          <w:p>
            <w:pPr>
              <w:pStyle w:val="Standard1"/>
              <w:rPr>
                <w:ins w:id="10879" w:author="Author"/>
                <w:rFonts w:ascii="Times New Roman" w:hAnsi="Times New Roman"/>
                <w:noProof/>
                <w:sz w:val="22"/>
                <w:szCs w:val="22"/>
                <w:rPrChange w:id="10880" w:author="TCS" w:date="2026-03-20T13:59:00Z">
                  <w:rPr>
                    <w:ins w:id="10881" w:author="Author"/>
                    <w:noProof/>
                    <w:szCs w:val="22"/>
                  </w:rPr>
                </w:rPrChange>
              </w:rPr>
            </w:pPr>
            <w:ins w:id="10882" w:author="Author">
              <w:r>
                <w:rPr>
                  <w:rFonts w:ascii="Times New Roman" w:hAnsi="Times New Roman"/>
                  <w:bCs/>
                  <w:noProof/>
                  <w:sz w:val="22"/>
                  <w:szCs w:val="22"/>
                  <w:rPrChange w:id="10883" w:author="TCS" w:date="2026-03-20T13:59:00Z">
                    <w:rPr>
                      <w:bCs/>
                      <w:noProof/>
                      <w:szCs w:val="22"/>
                    </w:rPr>
                  </w:rPrChange>
                </w:rPr>
                <w:t>Roche Latvija SIA</w:t>
              </w:r>
            </w:ins>
          </w:p>
          <w:p>
            <w:pPr>
              <w:pStyle w:val="Standard1"/>
              <w:rPr>
                <w:ins w:id="10884" w:author="Author"/>
                <w:rFonts w:ascii="Times New Roman" w:hAnsi="Times New Roman"/>
                <w:noProof/>
                <w:sz w:val="22"/>
                <w:szCs w:val="22"/>
                <w:rPrChange w:id="10885" w:author="TCS" w:date="2026-03-20T13:59:00Z">
                  <w:rPr>
                    <w:ins w:id="10886" w:author="Author"/>
                    <w:noProof/>
                    <w:szCs w:val="22"/>
                  </w:rPr>
                </w:rPrChange>
              </w:rPr>
            </w:pPr>
            <w:ins w:id="10887" w:author="Author">
              <w:r>
                <w:rPr>
                  <w:rFonts w:ascii="Times New Roman" w:hAnsi="Times New Roman"/>
                  <w:noProof/>
                  <w:sz w:val="22"/>
                  <w:szCs w:val="22"/>
                  <w:rPrChange w:id="10888" w:author="TCS" w:date="2026-03-20T13:59:00Z">
                    <w:rPr>
                      <w:noProof/>
                      <w:szCs w:val="22"/>
                    </w:rPr>
                  </w:rPrChange>
                </w:rPr>
                <w:t>Tel: +371 - 6 7039831</w:t>
              </w:r>
            </w:ins>
          </w:p>
          <w:p>
            <w:pPr>
              <w:pStyle w:val="Standard1"/>
              <w:suppressAutoHyphens/>
              <w:rPr>
                <w:ins w:id="10889" w:author="Author"/>
                <w:rFonts w:ascii="Times New Roman" w:hAnsi="Times New Roman"/>
                <w:b/>
                <w:noProof/>
                <w:sz w:val="22"/>
                <w:szCs w:val="22"/>
                <w:rPrChange w:id="10890" w:author="TCS" w:date="2026-03-20T13:59:00Z">
                  <w:rPr>
                    <w:ins w:id="10891" w:author="Author"/>
                    <w:b/>
                  </w:rPr>
                </w:rPrChange>
              </w:rPr>
            </w:pPr>
          </w:p>
        </w:tc>
      </w:tr>
      <w:tr>
        <w:trPr>
          <w:cantSplit/>
          <w:ins w:id="10892" w:author="Author"/>
        </w:trPr>
        <w:tc>
          <w:tcPr>
            <w:tcW w:w="4590" w:type="dxa"/>
          </w:tcPr>
          <w:p>
            <w:pPr>
              <w:pStyle w:val="Standard1"/>
              <w:rPr>
                <w:ins w:id="10893" w:author="Author"/>
                <w:rFonts w:ascii="Times New Roman" w:hAnsi="Times New Roman"/>
                <w:b/>
                <w:noProof/>
                <w:sz w:val="22"/>
                <w:szCs w:val="22"/>
                <w:rPrChange w:id="10894" w:author="TCS" w:date="2026-03-20T13:59:00Z">
                  <w:rPr>
                    <w:ins w:id="10895" w:author="Author"/>
                    <w:b/>
                  </w:rPr>
                </w:rPrChange>
              </w:rPr>
            </w:pPr>
            <w:ins w:id="10896" w:author="Author">
              <w:r>
                <w:rPr>
                  <w:rFonts w:ascii="Times New Roman" w:hAnsi="Times New Roman"/>
                  <w:b/>
                  <w:bCs/>
                  <w:noProof/>
                  <w:sz w:val="22"/>
                  <w:szCs w:val="22"/>
                  <w:rPrChange w:id="10897" w:author="TCS" w:date="2026-03-20T13:59:00Z">
                    <w:rPr>
                      <w:b/>
                      <w:bCs/>
                      <w:szCs w:val="22"/>
                      <w:lang w:val="en-GB"/>
                    </w:rPr>
                  </w:rPrChange>
                </w:rPr>
                <w:t>България</w:t>
              </w:r>
            </w:ins>
          </w:p>
          <w:p>
            <w:pPr>
              <w:pStyle w:val="Standard1"/>
              <w:suppressAutoHyphens/>
              <w:rPr>
                <w:ins w:id="10898" w:author="Author"/>
                <w:rFonts w:ascii="Times New Roman" w:hAnsi="Times New Roman"/>
                <w:noProof/>
                <w:sz w:val="22"/>
                <w:szCs w:val="22"/>
                <w:rPrChange w:id="10899" w:author="TCS" w:date="2026-03-20T13:59:00Z">
                  <w:rPr>
                    <w:ins w:id="10900" w:author="Author"/>
                  </w:rPr>
                </w:rPrChange>
              </w:rPr>
            </w:pPr>
            <w:ins w:id="10901" w:author="Author">
              <w:r>
                <w:rPr>
                  <w:rFonts w:ascii="Times New Roman" w:hAnsi="Times New Roman"/>
                  <w:noProof/>
                  <w:sz w:val="22"/>
                  <w:szCs w:val="22"/>
                  <w:rPrChange w:id="10902" w:author="TCS" w:date="2026-03-20T13:59:00Z">
                    <w:rPr>
                      <w:noProof/>
                      <w:szCs w:val="22"/>
                      <w:lang w:val="en-GB"/>
                    </w:rPr>
                  </w:rPrChange>
                </w:rPr>
                <w:t>Рош</w:t>
              </w:r>
              <w:r>
                <w:rPr>
                  <w:rFonts w:ascii="Times New Roman" w:hAnsi="Times New Roman"/>
                  <w:noProof/>
                  <w:sz w:val="22"/>
                  <w:szCs w:val="22"/>
                  <w:rPrChange w:id="10903" w:author="TCS" w:date="2026-03-20T13:59:00Z">
                    <w:rPr/>
                  </w:rPrChange>
                </w:rPr>
                <w:t xml:space="preserve"> </w:t>
              </w:r>
              <w:r>
                <w:rPr>
                  <w:rFonts w:ascii="Times New Roman" w:hAnsi="Times New Roman"/>
                  <w:noProof/>
                  <w:sz w:val="22"/>
                  <w:szCs w:val="22"/>
                  <w:rPrChange w:id="10904" w:author="TCS" w:date="2026-03-20T13:59:00Z">
                    <w:rPr>
                      <w:noProof/>
                      <w:szCs w:val="22"/>
                      <w:lang w:val="en-GB"/>
                    </w:rPr>
                  </w:rPrChange>
                </w:rPr>
                <w:t>България</w:t>
              </w:r>
              <w:r>
                <w:rPr>
                  <w:rFonts w:ascii="Times New Roman" w:hAnsi="Times New Roman"/>
                  <w:noProof/>
                  <w:sz w:val="22"/>
                  <w:szCs w:val="22"/>
                  <w:rPrChange w:id="10905" w:author="TCS" w:date="2026-03-20T13:59:00Z">
                    <w:rPr/>
                  </w:rPrChange>
                </w:rPr>
                <w:t xml:space="preserve"> </w:t>
              </w:r>
              <w:r>
                <w:rPr>
                  <w:rFonts w:ascii="Times New Roman" w:hAnsi="Times New Roman"/>
                  <w:noProof/>
                  <w:sz w:val="22"/>
                  <w:szCs w:val="22"/>
                  <w:rPrChange w:id="10906" w:author="TCS" w:date="2026-03-20T13:59:00Z">
                    <w:rPr>
                      <w:noProof/>
                      <w:szCs w:val="22"/>
                      <w:lang w:val="en-GB"/>
                    </w:rPr>
                  </w:rPrChange>
                </w:rPr>
                <w:t>ЕООД</w:t>
              </w:r>
            </w:ins>
          </w:p>
          <w:p>
            <w:pPr>
              <w:pStyle w:val="Standard1"/>
              <w:suppressAutoHyphens/>
              <w:rPr>
                <w:ins w:id="10907" w:author="Author"/>
                <w:rFonts w:ascii="Times New Roman" w:hAnsi="Times New Roman"/>
                <w:noProof/>
                <w:sz w:val="22"/>
                <w:szCs w:val="22"/>
                <w:rPrChange w:id="10908" w:author="TCS" w:date="2026-03-20T13:59:00Z">
                  <w:rPr>
                    <w:ins w:id="10909" w:author="Author"/>
                    <w:szCs w:val="22"/>
                  </w:rPr>
                </w:rPrChange>
              </w:rPr>
            </w:pPr>
            <w:ins w:id="10910" w:author="Author">
              <w:r>
                <w:rPr>
                  <w:rFonts w:ascii="Times New Roman" w:hAnsi="Times New Roman"/>
                  <w:noProof/>
                  <w:sz w:val="22"/>
                  <w:szCs w:val="22"/>
                  <w:rPrChange w:id="10911" w:author="TCS" w:date="2026-03-20T13:59:00Z">
                    <w:rPr>
                      <w:noProof/>
                      <w:szCs w:val="22"/>
                      <w:lang w:val="en-GB"/>
                    </w:rPr>
                  </w:rPrChange>
                </w:rPr>
                <w:t>Тел</w:t>
              </w:r>
              <w:r>
                <w:rPr>
                  <w:rFonts w:ascii="Times New Roman" w:hAnsi="Times New Roman"/>
                  <w:noProof/>
                  <w:sz w:val="22"/>
                  <w:szCs w:val="22"/>
                  <w:rPrChange w:id="10912" w:author="TCS" w:date="2026-03-20T13:59:00Z">
                    <w:rPr/>
                  </w:rPrChange>
                </w:rPr>
                <w:t>: +359 2 474 5444</w:t>
              </w:r>
            </w:ins>
          </w:p>
          <w:p>
            <w:pPr>
              <w:pStyle w:val="Standard1"/>
              <w:suppressAutoHyphens/>
              <w:rPr>
                <w:ins w:id="10913" w:author="Author"/>
                <w:rFonts w:ascii="Times New Roman" w:hAnsi="Times New Roman"/>
                <w:noProof/>
                <w:sz w:val="22"/>
                <w:szCs w:val="22"/>
                <w:rPrChange w:id="10914" w:author="TCS" w:date="2026-03-20T13:59:00Z">
                  <w:rPr>
                    <w:ins w:id="10915" w:author="Author"/>
                  </w:rPr>
                </w:rPrChange>
              </w:rPr>
            </w:pPr>
          </w:p>
        </w:tc>
        <w:tc>
          <w:tcPr>
            <w:tcW w:w="4590" w:type="dxa"/>
          </w:tcPr>
          <w:p>
            <w:pPr>
              <w:pStyle w:val="Standard1"/>
              <w:suppressAutoHyphens/>
              <w:rPr>
                <w:ins w:id="10916" w:author="Author"/>
                <w:rFonts w:ascii="Times New Roman" w:hAnsi="Times New Roman"/>
                <w:b/>
                <w:noProof/>
                <w:sz w:val="22"/>
                <w:szCs w:val="22"/>
                <w:rPrChange w:id="10917" w:author="TCS" w:date="2026-03-20T13:59:00Z">
                  <w:rPr>
                    <w:ins w:id="10918" w:author="Author"/>
                    <w:b/>
                    <w:noProof/>
                    <w:szCs w:val="22"/>
                    <w:lang w:val="fr-FR"/>
                  </w:rPr>
                </w:rPrChange>
              </w:rPr>
            </w:pPr>
            <w:ins w:id="10919" w:author="Author">
              <w:r>
                <w:rPr>
                  <w:rFonts w:ascii="Times New Roman" w:hAnsi="Times New Roman"/>
                  <w:b/>
                  <w:noProof/>
                  <w:sz w:val="22"/>
                  <w:szCs w:val="22"/>
                  <w:rPrChange w:id="10920" w:author="TCS" w:date="2026-03-20T13:59:00Z">
                    <w:rPr>
                      <w:b/>
                      <w:noProof/>
                      <w:szCs w:val="22"/>
                      <w:lang w:val="fr-FR"/>
                    </w:rPr>
                  </w:rPrChange>
                </w:rPr>
                <w:t>Lietuva</w:t>
              </w:r>
            </w:ins>
          </w:p>
          <w:p>
            <w:pPr>
              <w:pStyle w:val="Standard1"/>
              <w:suppressAutoHyphens/>
              <w:rPr>
                <w:ins w:id="10921" w:author="Author"/>
                <w:rFonts w:ascii="Times New Roman" w:hAnsi="Times New Roman"/>
                <w:noProof/>
                <w:sz w:val="22"/>
                <w:szCs w:val="22"/>
                <w:rPrChange w:id="10922" w:author="TCS" w:date="2026-03-20T13:59:00Z">
                  <w:rPr>
                    <w:ins w:id="10923" w:author="Author"/>
                    <w:lang w:val="fr-FR"/>
                  </w:rPr>
                </w:rPrChange>
              </w:rPr>
            </w:pPr>
            <w:ins w:id="10924" w:author="Author">
              <w:r>
                <w:rPr>
                  <w:rFonts w:ascii="Times New Roman" w:hAnsi="Times New Roman"/>
                  <w:noProof/>
                  <w:sz w:val="22"/>
                  <w:szCs w:val="22"/>
                  <w:rPrChange w:id="10925" w:author="TCS" w:date="2026-03-20T13:59:00Z">
                    <w:rPr>
                      <w:noProof/>
                      <w:szCs w:val="22"/>
                      <w:lang w:val="fr-FR"/>
                    </w:rPr>
                  </w:rPrChange>
                </w:rPr>
                <w:t>UAB “</w:t>
              </w:r>
              <w:r>
                <w:rPr>
                  <w:rFonts w:ascii="Times New Roman" w:hAnsi="Times New Roman"/>
                  <w:noProof/>
                  <w:sz w:val="22"/>
                  <w:szCs w:val="22"/>
                  <w:rPrChange w:id="10926" w:author="TCS" w:date="2026-03-20T13:59:00Z">
                    <w:rPr>
                      <w:lang w:val="fr-FR"/>
                    </w:rPr>
                  </w:rPrChange>
                </w:rPr>
                <w:t xml:space="preserve">Roche </w:t>
              </w:r>
              <w:r>
                <w:rPr>
                  <w:rFonts w:ascii="Times New Roman" w:hAnsi="Times New Roman"/>
                  <w:noProof/>
                  <w:sz w:val="22"/>
                  <w:szCs w:val="22"/>
                  <w:rPrChange w:id="10927" w:author="TCS" w:date="2026-03-20T13:59:00Z">
                    <w:rPr>
                      <w:noProof/>
                      <w:szCs w:val="22"/>
                      <w:lang w:val="fr-FR"/>
                    </w:rPr>
                  </w:rPrChange>
                </w:rPr>
                <w:t>Lietuva”</w:t>
              </w:r>
            </w:ins>
          </w:p>
          <w:p>
            <w:pPr>
              <w:pStyle w:val="Standard1"/>
              <w:rPr>
                <w:ins w:id="10928" w:author="Author"/>
                <w:rFonts w:ascii="Times New Roman" w:hAnsi="Times New Roman"/>
                <w:b/>
                <w:noProof/>
                <w:sz w:val="22"/>
                <w:szCs w:val="22"/>
                <w:rPrChange w:id="10929" w:author="TCS" w:date="2026-03-20T13:59:00Z">
                  <w:rPr>
                    <w:ins w:id="10930" w:author="Author"/>
                    <w:b/>
                    <w:lang w:val="fr-FR"/>
                  </w:rPr>
                </w:rPrChange>
              </w:rPr>
            </w:pPr>
            <w:ins w:id="10931" w:author="Author">
              <w:r>
                <w:rPr>
                  <w:rFonts w:ascii="Times New Roman" w:hAnsi="Times New Roman"/>
                  <w:noProof/>
                  <w:sz w:val="22"/>
                  <w:szCs w:val="22"/>
                  <w:rPrChange w:id="10932" w:author="TCS" w:date="2026-03-20T13:59:00Z">
                    <w:rPr>
                      <w:lang w:val="fr-FR"/>
                    </w:rPr>
                  </w:rPrChange>
                </w:rPr>
                <w:t>Tel: +</w:t>
              </w:r>
              <w:r>
                <w:rPr>
                  <w:rFonts w:ascii="Times New Roman" w:hAnsi="Times New Roman"/>
                  <w:noProof/>
                  <w:sz w:val="22"/>
                  <w:szCs w:val="22"/>
                  <w:rPrChange w:id="10933" w:author="TCS" w:date="2026-03-20T13:59:00Z">
                    <w:rPr>
                      <w:noProof/>
                      <w:szCs w:val="22"/>
                      <w:lang w:val="fr-FR"/>
                    </w:rPr>
                  </w:rPrChange>
                </w:rPr>
                <w:t>370 5 2546799</w:t>
              </w:r>
            </w:ins>
          </w:p>
          <w:p>
            <w:pPr>
              <w:pStyle w:val="Standard1"/>
              <w:rPr>
                <w:ins w:id="10934" w:author="Author"/>
                <w:rFonts w:ascii="Times New Roman" w:hAnsi="Times New Roman"/>
                <w:noProof/>
                <w:sz w:val="22"/>
                <w:szCs w:val="22"/>
                <w:rPrChange w:id="10935" w:author="TCS" w:date="2026-03-20T13:59:00Z">
                  <w:rPr>
                    <w:ins w:id="10936" w:author="Author"/>
                    <w:lang w:val="fr-FR"/>
                  </w:rPr>
                </w:rPrChange>
              </w:rPr>
            </w:pPr>
          </w:p>
        </w:tc>
      </w:tr>
      <w:tr>
        <w:trPr>
          <w:cantSplit/>
          <w:ins w:id="10937" w:author="Author"/>
        </w:trPr>
        <w:tc>
          <w:tcPr>
            <w:tcW w:w="4590" w:type="dxa"/>
          </w:tcPr>
          <w:p>
            <w:pPr>
              <w:pStyle w:val="Standard1"/>
              <w:rPr>
                <w:ins w:id="10938" w:author="Author"/>
                <w:rFonts w:ascii="Times New Roman" w:hAnsi="Times New Roman"/>
                <w:b/>
                <w:noProof/>
                <w:sz w:val="22"/>
                <w:szCs w:val="22"/>
                <w:lang w:val="de-DE"/>
                <w:rPrChange w:id="10939" w:author="TCS" w:date="2026-03-20T13:59:00Z">
                  <w:rPr>
                    <w:ins w:id="10940" w:author="Author"/>
                    <w:b/>
                    <w:lang w:val="pl-PL"/>
                  </w:rPr>
                </w:rPrChange>
              </w:rPr>
            </w:pPr>
            <w:ins w:id="10941" w:author="Author">
              <w:r>
                <w:rPr>
                  <w:rFonts w:ascii="Times New Roman" w:hAnsi="Times New Roman"/>
                  <w:b/>
                  <w:noProof/>
                  <w:sz w:val="22"/>
                  <w:szCs w:val="22"/>
                  <w:lang w:val="de-DE"/>
                  <w:rPrChange w:id="10942" w:author="TCS" w:date="2026-03-20T13:59:00Z">
                    <w:rPr>
                      <w:b/>
                      <w:lang w:val="pl-PL"/>
                    </w:rPr>
                  </w:rPrChange>
                </w:rPr>
                <w:lastRenderedPageBreak/>
                <w:t>Česká republika</w:t>
              </w:r>
            </w:ins>
          </w:p>
          <w:p>
            <w:pPr>
              <w:pStyle w:val="Standard1"/>
              <w:rPr>
                <w:ins w:id="10943" w:author="Author"/>
                <w:rFonts w:ascii="Times New Roman" w:hAnsi="Times New Roman"/>
                <w:noProof/>
                <w:sz w:val="22"/>
                <w:szCs w:val="22"/>
                <w:lang w:val="de-DE"/>
                <w:rPrChange w:id="10944" w:author="TCS" w:date="2026-03-20T13:59:00Z">
                  <w:rPr>
                    <w:ins w:id="10945" w:author="Author"/>
                    <w:lang w:val="pl-PL"/>
                  </w:rPr>
                </w:rPrChange>
              </w:rPr>
            </w:pPr>
            <w:ins w:id="10946" w:author="Author">
              <w:r>
                <w:rPr>
                  <w:rFonts w:ascii="Times New Roman" w:hAnsi="Times New Roman"/>
                  <w:noProof/>
                  <w:sz w:val="22"/>
                  <w:szCs w:val="22"/>
                  <w:lang w:val="de-DE"/>
                  <w:rPrChange w:id="10947" w:author="TCS" w:date="2026-03-20T13:59:00Z">
                    <w:rPr>
                      <w:lang w:val="pl-PL"/>
                    </w:rPr>
                  </w:rPrChange>
                </w:rPr>
                <w:t>Roche s. r. o.</w:t>
              </w:r>
            </w:ins>
          </w:p>
          <w:p>
            <w:pPr>
              <w:pStyle w:val="Standard1"/>
              <w:rPr>
                <w:ins w:id="10948" w:author="Author"/>
                <w:rFonts w:ascii="Times New Roman" w:hAnsi="Times New Roman"/>
                <w:noProof/>
                <w:sz w:val="22"/>
                <w:szCs w:val="22"/>
                <w:lang w:val="de-DE"/>
                <w:rPrChange w:id="10949" w:author="TCS" w:date="2026-03-20T13:59:00Z">
                  <w:rPr>
                    <w:ins w:id="10950" w:author="Author"/>
                    <w:noProof/>
                    <w:szCs w:val="22"/>
                    <w:lang w:val="de-DE"/>
                  </w:rPr>
                </w:rPrChange>
              </w:rPr>
            </w:pPr>
            <w:ins w:id="10951" w:author="Author">
              <w:r>
                <w:rPr>
                  <w:rFonts w:ascii="Times New Roman" w:hAnsi="Times New Roman"/>
                  <w:noProof/>
                  <w:sz w:val="22"/>
                  <w:szCs w:val="22"/>
                  <w:lang w:val="de-DE"/>
                  <w:rPrChange w:id="10952" w:author="TCS" w:date="2026-03-20T13:59:00Z">
                    <w:rPr>
                      <w:lang w:val="de-DE"/>
                    </w:rPr>
                  </w:rPrChange>
                </w:rPr>
                <w:t>Tel: +420 - 2 20382111</w:t>
              </w:r>
            </w:ins>
          </w:p>
          <w:p>
            <w:pPr>
              <w:pStyle w:val="Standard1"/>
              <w:rPr>
                <w:ins w:id="10953" w:author="Author"/>
                <w:rFonts w:ascii="Times New Roman" w:hAnsi="Times New Roman"/>
                <w:noProof/>
                <w:sz w:val="22"/>
                <w:szCs w:val="22"/>
                <w:lang w:val="de-DE"/>
                <w:rPrChange w:id="10954" w:author="TCS" w:date="2026-03-20T13:59:00Z">
                  <w:rPr>
                    <w:ins w:id="10955" w:author="Author"/>
                    <w:lang w:val="de-DE"/>
                  </w:rPr>
                </w:rPrChange>
              </w:rPr>
            </w:pPr>
          </w:p>
        </w:tc>
        <w:tc>
          <w:tcPr>
            <w:tcW w:w="4590" w:type="dxa"/>
          </w:tcPr>
          <w:p>
            <w:pPr>
              <w:pStyle w:val="Standard1"/>
              <w:rPr>
                <w:ins w:id="10956" w:author="Author"/>
                <w:rFonts w:ascii="Times New Roman" w:hAnsi="Times New Roman"/>
                <w:b/>
                <w:noProof/>
                <w:sz w:val="22"/>
                <w:szCs w:val="22"/>
                <w:lang w:val="en-US"/>
                <w:rPrChange w:id="10957" w:author="TCS" w:date="2026-03-20T13:59:00Z">
                  <w:rPr>
                    <w:ins w:id="10958" w:author="Author"/>
                    <w:b/>
                  </w:rPr>
                </w:rPrChange>
              </w:rPr>
            </w:pPr>
            <w:ins w:id="10959" w:author="Author">
              <w:r>
                <w:rPr>
                  <w:rFonts w:ascii="Times New Roman" w:hAnsi="Times New Roman"/>
                  <w:b/>
                  <w:noProof/>
                  <w:sz w:val="22"/>
                  <w:szCs w:val="22"/>
                  <w:lang w:val="en-US"/>
                  <w:rPrChange w:id="10960" w:author="TCS" w:date="2026-03-20T13:59:00Z">
                    <w:rPr>
                      <w:b/>
                    </w:rPr>
                  </w:rPrChange>
                </w:rPr>
                <w:t>Magyarország</w:t>
              </w:r>
            </w:ins>
          </w:p>
          <w:p>
            <w:pPr>
              <w:pStyle w:val="Standard1"/>
              <w:rPr>
                <w:ins w:id="10961" w:author="Author"/>
                <w:rFonts w:ascii="Times New Roman" w:hAnsi="Times New Roman"/>
                <w:noProof/>
                <w:sz w:val="22"/>
                <w:szCs w:val="22"/>
                <w:lang w:val="en-US"/>
                <w:rPrChange w:id="10962" w:author="TCS" w:date="2026-03-20T13:59:00Z">
                  <w:rPr>
                    <w:ins w:id="10963" w:author="Author"/>
                  </w:rPr>
                </w:rPrChange>
              </w:rPr>
            </w:pPr>
            <w:ins w:id="10964" w:author="Author">
              <w:r>
                <w:rPr>
                  <w:rFonts w:ascii="Times New Roman" w:hAnsi="Times New Roman"/>
                  <w:noProof/>
                  <w:sz w:val="22"/>
                  <w:szCs w:val="22"/>
                  <w:lang w:val="en-US"/>
                  <w:rPrChange w:id="10965" w:author="TCS" w:date="2026-03-20T13:59:00Z">
                    <w:rPr/>
                  </w:rPrChange>
                </w:rPr>
                <w:t>Roche (Magyarország) Kft.</w:t>
              </w:r>
            </w:ins>
          </w:p>
          <w:p>
            <w:pPr>
              <w:pStyle w:val="Standard1"/>
              <w:rPr>
                <w:ins w:id="10966" w:author="Author"/>
                <w:rFonts w:ascii="Times New Roman" w:hAnsi="Times New Roman"/>
                <w:noProof/>
                <w:sz w:val="22"/>
                <w:szCs w:val="22"/>
                <w:lang w:val="en-US"/>
                <w:rPrChange w:id="10967" w:author="TCS" w:date="2026-03-20T13:59:00Z">
                  <w:rPr>
                    <w:ins w:id="10968" w:author="Author"/>
                    <w:noProof/>
                    <w:szCs w:val="22"/>
                  </w:rPr>
                </w:rPrChange>
              </w:rPr>
            </w:pPr>
            <w:ins w:id="10969" w:author="Author">
              <w:r>
                <w:rPr>
                  <w:rFonts w:ascii="Times New Roman" w:hAnsi="Times New Roman"/>
                  <w:noProof/>
                  <w:sz w:val="22"/>
                  <w:szCs w:val="22"/>
                  <w:lang w:val="en-US"/>
                  <w:rPrChange w:id="10970" w:author="TCS" w:date="2026-03-20T13:59:00Z">
                    <w:rPr>
                      <w:szCs w:val="22"/>
                    </w:rPr>
                  </w:rPrChange>
                </w:rPr>
                <w:t>Tel: +36 - 1 279 4500</w:t>
              </w:r>
            </w:ins>
          </w:p>
          <w:p>
            <w:pPr>
              <w:pStyle w:val="Standard1"/>
              <w:rPr>
                <w:ins w:id="10971" w:author="Author"/>
                <w:rFonts w:ascii="Times New Roman" w:hAnsi="Times New Roman"/>
                <w:noProof/>
                <w:sz w:val="22"/>
                <w:szCs w:val="22"/>
                <w:lang w:val="en-US"/>
                <w:rPrChange w:id="10972" w:author="TCS" w:date="2026-03-20T13:59:00Z">
                  <w:rPr>
                    <w:ins w:id="10973" w:author="Author"/>
                  </w:rPr>
                </w:rPrChange>
              </w:rPr>
            </w:pPr>
          </w:p>
        </w:tc>
      </w:tr>
      <w:tr>
        <w:trPr>
          <w:cantSplit/>
          <w:ins w:id="10974" w:author="Author"/>
        </w:trPr>
        <w:tc>
          <w:tcPr>
            <w:tcW w:w="4590" w:type="dxa"/>
          </w:tcPr>
          <w:p>
            <w:pPr>
              <w:pStyle w:val="Standard1"/>
              <w:rPr>
                <w:ins w:id="10975" w:author="Author"/>
                <w:rFonts w:ascii="Times New Roman" w:hAnsi="Times New Roman"/>
                <w:noProof/>
                <w:sz w:val="22"/>
                <w:szCs w:val="22"/>
                <w:lang w:val="en-US"/>
                <w:rPrChange w:id="10976" w:author="TCS" w:date="2026-03-20T13:59:00Z">
                  <w:rPr>
                    <w:ins w:id="10977" w:author="Author"/>
                    <w:noProof/>
                    <w:szCs w:val="22"/>
                    <w:lang w:val="en-GB"/>
                  </w:rPr>
                </w:rPrChange>
              </w:rPr>
            </w:pPr>
            <w:ins w:id="10978" w:author="Author">
              <w:r>
                <w:rPr>
                  <w:rFonts w:ascii="Times New Roman" w:hAnsi="Times New Roman"/>
                  <w:b/>
                  <w:noProof/>
                  <w:sz w:val="22"/>
                  <w:szCs w:val="22"/>
                  <w:lang w:val="en-US"/>
                  <w:rPrChange w:id="10979" w:author="TCS" w:date="2026-03-20T13:59:00Z">
                    <w:rPr>
                      <w:b/>
                      <w:noProof/>
                      <w:szCs w:val="22"/>
                      <w:lang w:val="en-GB"/>
                    </w:rPr>
                  </w:rPrChange>
                </w:rPr>
                <w:t>Danmark</w:t>
              </w:r>
            </w:ins>
          </w:p>
          <w:p>
            <w:pPr>
              <w:pStyle w:val="Standard1"/>
              <w:rPr>
                <w:ins w:id="10980" w:author="Author"/>
                <w:rFonts w:ascii="Times New Roman" w:hAnsi="Times New Roman"/>
                <w:noProof/>
                <w:sz w:val="22"/>
                <w:szCs w:val="22"/>
                <w:lang w:val="en-US"/>
                <w:rPrChange w:id="10981" w:author="TCS" w:date="2026-03-20T13:59:00Z">
                  <w:rPr>
                    <w:ins w:id="10982" w:author="Author"/>
                    <w:noProof/>
                    <w:szCs w:val="22"/>
                    <w:lang w:val="en-GB"/>
                  </w:rPr>
                </w:rPrChange>
              </w:rPr>
            </w:pPr>
            <w:ins w:id="10983" w:author="Author">
              <w:r>
                <w:rPr>
                  <w:rFonts w:ascii="Times New Roman" w:hAnsi="Times New Roman"/>
                  <w:noProof/>
                  <w:sz w:val="22"/>
                  <w:szCs w:val="22"/>
                  <w:lang w:val="en-US"/>
                  <w:rPrChange w:id="10984" w:author="TCS" w:date="2026-03-20T13:59:00Z">
                    <w:rPr>
                      <w:lang w:val="en-GB"/>
                    </w:rPr>
                  </w:rPrChange>
                </w:rPr>
                <w:t>Roche Pharmaceuticals A/S</w:t>
              </w:r>
            </w:ins>
          </w:p>
          <w:p>
            <w:pPr>
              <w:pStyle w:val="Standard1"/>
              <w:rPr>
                <w:ins w:id="10985" w:author="Author"/>
                <w:rFonts w:ascii="Times New Roman" w:hAnsi="Times New Roman"/>
                <w:noProof/>
                <w:sz w:val="22"/>
                <w:szCs w:val="22"/>
                <w:lang w:val="en-US"/>
                <w:rPrChange w:id="10986" w:author="TCS" w:date="2026-03-20T13:59:00Z">
                  <w:rPr>
                    <w:ins w:id="10987" w:author="Author"/>
                    <w:noProof/>
                    <w:szCs w:val="22"/>
                    <w:lang w:val="en-GB"/>
                  </w:rPr>
                </w:rPrChange>
              </w:rPr>
            </w:pPr>
            <w:ins w:id="10988" w:author="Author">
              <w:r>
                <w:rPr>
                  <w:rFonts w:ascii="Times New Roman" w:hAnsi="Times New Roman"/>
                  <w:noProof/>
                  <w:sz w:val="22"/>
                  <w:szCs w:val="22"/>
                  <w:lang w:val="en-US"/>
                  <w:rPrChange w:id="10989" w:author="TCS" w:date="2026-03-20T13:59:00Z">
                    <w:rPr>
                      <w:noProof/>
                      <w:szCs w:val="22"/>
                      <w:lang w:val="en-GB"/>
                    </w:rPr>
                  </w:rPrChange>
                </w:rPr>
                <w:t>Tlf.: +45 - 36 39 99 99</w:t>
              </w:r>
            </w:ins>
          </w:p>
          <w:p>
            <w:pPr>
              <w:pStyle w:val="Standard1"/>
              <w:rPr>
                <w:ins w:id="10990" w:author="Author"/>
                <w:rFonts w:ascii="Times New Roman" w:hAnsi="Times New Roman"/>
                <w:b/>
                <w:noProof/>
                <w:sz w:val="22"/>
                <w:szCs w:val="22"/>
                <w:lang w:val="en-US"/>
                <w:rPrChange w:id="10991" w:author="TCS" w:date="2026-03-20T13:59:00Z">
                  <w:rPr>
                    <w:ins w:id="10992" w:author="Author"/>
                    <w:b/>
                    <w:noProof/>
                    <w:szCs w:val="22"/>
                    <w:lang w:val="en-GB"/>
                  </w:rPr>
                </w:rPrChange>
              </w:rPr>
            </w:pPr>
          </w:p>
        </w:tc>
        <w:tc>
          <w:tcPr>
            <w:tcW w:w="4590" w:type="dxa"/>
          </w:tcPr>
          <w:p>
            <w:pPr>
              <w:pStyle w:val="Standard1"/>
              <w:rPr>
                <w:ins w:id="10993" w:author="Author"/>
                <w:rFonts w:ascii="Times New Roman" w:hAnsi="Times New Roman"/>
                <w:noProof/>
                <w:sz w:val="22"/>
                <w:szCs w:val="22"/>
                <w:lang w:val="nl-NL"/>
                <w:rPrChange w:id="10994" w:author="TCS" w:date="2026-03-20T13:59:00Z">
                  <w:rPr>
                    <w:ins w:id="10995" w:author="Author"/>
                    <w:lang w:val="de-DE"/>
                  </w:rPr>
                </w:rPrChange>
              </w:rPr>
            </w:pPr>
            <w:ins w:id="10996" w:author="Author">
              <w:r>
                <w:rPr>
                  <w:rFonts w:ascii="Times New Roman" w:hAnsi="Times New Roman"/>
                  <w:b/>
                  <w:noProof/>
                  <w:sz w:val="22"/>
                  <w:szCs w:val="22"/>
                  <w:lang w:val="nl-NL"/>
                  <w:rPrChange w:id="10997" w:author="TCS" w:date="2026-03-20T13:59:00Z">
                    <w:rPr>
                      <w:b/>
                      <w:lang w:val="de-DE"/>
                    </w:rPr>
                  </w:rPrChange>
                </w:rPr>
                <w:t>Nederland</w:t>
              </w:r>
            </w:ins>
          </w:p>
          <w:p>
            <w:pPr>
              <w:pStyle w:val="Standard1"/>
              <w:rPr>
                <w:ins w:id="10998" w:author="Author"/>
                <w:rFonts w:ascii="Times New Roman" w:hAnsi="Times New Roman"/>
                <w:noProof/>
                <w:sz w:val="22"/>
                <w:szCs w:val="22"/>
                <w:lang w:val="nl-NL"/>
                <w:rPrChange w:id="10999" w:author="TCS" w:date="2026-03-20T13:59:00Z">
                  <w:rPr>
                    <w:ins w:id="11000" w:author="Author"/>
                    <w:lang w:val="de-DE"/>
                  </w:rPr>
                </w:rPrChange>
              </w:rPr>
            </w:pPr>
            <w:ins w:id="11001" w:author="Author">
              <w:r>
                <w:rPr>
                  <w:rFonts w:ascii="Times New Roman" w:hAnsi="Times New Roman"/>
                  <w:noProof/>
                  <w:sz w:val="22"/>
                  <w:szCs w:val="22"/>
                  <w:lang w:val="nl-NL"/>
                  <w:rPrChange w:id="11002" w:author="TCS" w:date="2026-03-20T13:59:00Z">
                    <w:rPr>
                      <w:lang w:val="de-DE"/>
                    </w:rPr>
                  </w:rPrChange>
                </w:rPr>
                <w:t>Roche Nederland B.V.</w:t>
              </w:r>
            </w:ins>
          </w:p>
          <w:p>
            <w:pPr>
              <w:pStyle w:val="Standard1"/>
              <w:rPr>
                <w:ins w:id="11003" w:author="Author"/>
                <w:rFonts w:ascii="Times New Roman" w:hAnsi="Times New Roman"/>
                <w:noProof/>
                <w:sz w:val="22"/>
                <w:szCs w:val="22"/>
                <w:rPrChange w:id="11004" w:author="TCS" w:date="2026-03-20T13:59:00Z">
                  <w:rPr>
                    <w:ins w:id="11005" w:author="Author"/>
                    <w:noProof/>
                    <w:szCs w:val="22"/>
                    <w:lang w:val="en-GB"/>
                  </w:rPr>
                </w:rPrChange>
              </w:rPr>
            </w:pPr>
            <w:ins w:id="11006" w:author="Author">
              <w:r>
                <w:rPr>
                  <w:rFonts w:ascii="Times New Roman" w:hAnsi="Times New Roman"/>
                  <w:noProof/>
                  <w:sz w:val="22"/>
                  <w:szCs w:val="22"/>
                  <w:rPrChange w:id="11007" w:author="TCS" w:date="2026-03-20T13:59:00Z">
                    <w:rPr>
                      <w:noProof/>
                      <w:szCs w:val="22"/>
                      <w:lang w:val="en-GB"/>
                    </w:rPr>
                  </w:rPrChange>
                </w:rPr>
                <w:t>Tel: +31 (</w:t>
              </w:r>
              <w:r>
                <w:rPr>
                  <w:rFonts w:ascii="Times New Roman" w:hAnsi="Times New Roman"/>
                  <w:noProof/>
                  <w:snapToGrid w:val="0"/>
                  <w:sz w:val="22"/>
                  <w:szCs w:val="22"/>
                  <w:rPrChange w:id="11008" w:author="TCS" w:date="2026-03-20T13:59:00Z">
                    <w:rPr>
                      <w:noProof/>
                      <w:snapToGrid w:val="0"/>
                      <w:szCs w:val="22"/>
                      <w:lang w:val="en-GB"/>
                    </w:rPr>
                  </w:rPrChange>
                </w:rPr>
                <w:t>0) 348 438050</w:t>
              </w:r>
            </w:ins>
          </w:p>
          <w:p>
            <w:pPr>
              <w:pStyle w:val="Standard1"/>
              <w:rPr>
                <w:ins w:id="11009" w:author="Author"/>
                <w:rFonts w:ascii="Times New Roman" w:hAnsi="Times New Roman"/>
                <w:noProof/>
                <w:sz w:val="22"/>
                <w:szCs w:val="22"/>
                <w:rPrChange w:id="11010" w:author="TCS" w:date="2026-03-20T13:59:00Z">
                  <w:rPr>
                    <w:ins w:id="11011" w:author="Author"/>
                    <w:noProof/>
                    <w:szCs w:val="22"/>
                    <w:lang w:val="en-GB"/>
                  </w:rPr>
                </w:rPrChange>
              </w:rPr>
            </w:pPr>
          </w:p>
        </w:tc>
      </w:tr>
      <w:tr>
        <w:trPr>
          <w:cantSplit/>
          <w:ins w:id="11012" w:author="Author"/>
        </w:trPr>
        <w:tc>
          <w:tcPr>
            <w:tcW w:w="4590" w:type="dxa"/>
          </w:tcPr>
          <w:p>
            <w:pPr>
              <w:pStyle w:val="Standard1"/>
              <w:rPr>
                <w:ins w:id="11013" w:author="Author"/>
                <w:rFonts w:ascii="Times New Roman" w:hAnsi="Times New Roman"/>
                <w:noProof/>
                <w:sz w:val="22"/>
                <w:szCs w:val="22"/>
                <w:lang w:val="de-DE"/>
                <w:rPrChange w:id="11014" w:author="TCS" w:date="2026-03-20T13:59:00Z">
                  <w:rPr>
                    <w:ins w:id="11015" w:author="Author"/>
                    <w:lang w:val="de-DE"/>
                  </w:rPr>
                </w:rPrChange>
              </w:rPr>
            </w:pPr>
            <w:ins w:id="11016" w:author="Author">
              <w:r>
                <w:rPr>
                  <w:rFonts w:ascii="Times New Roman" w:hAnsi="Times New Roman"/>
                  <w:b/>
                  <w:noProof/>
                  <w:sz w:val="22"/>
                  <w:szCs w:val="22"/>
                  <w:lang w:val="de-DE"/>
                  <w:rPrChange w:id="11017" w:author="TCS" w:date="2026-03-20T13:59:00Z">
                    <w:rPr>
                      <w:b/>
                      <w:lang w:val="de-DE"/>
                    </w:rPr>
                  </w:rPrChange>
                </w:rPr>
                <w:t>Deutschland</w:t>
              </w:r>
            </w:ins>
          </w:p>
          <w:p>
            <w:pPr>
              <w:pStyle w:val="Standard1"/>
              <w:rPr>
                <w:ins w:id="11018" w:author="Author"/>
                <w:rFonts w:ascii="Times New Roman" w:hAnsi="Times New Roman"/>
                <w:noProof/>
                <w:sz w:val="22"/>
                <w:szCs w:val="22"/>
                <w:lang w:val="de-DE"/>
                <w:rPrChange w:id="11019" w:author="TCS" w:date="2026-03-20T13:59:00Z">
                  <w:rPr>
                    <w:ins w:id="11020" w:author="Author"/>
                    <w:lang w:val="de-DE"/>
                  </w:rPr>
                </w:rPrChange>
              </w:rPr>
            </w:pPr>
            <w:ins w:id="11021" w:author="Author">
              <w:r>
                <w:rPr>
                  <w:rFonts w:ascii="Times New Roman" w:hAnsi="Times New Roman"/>
                  <w:noProof/>
                  <w:sz w:val="22"/>
                  <w:szCs w:val="22"/>
                  <w:lang w:val="de-DE"/>
                  <w:rPrChange w:id="11022" w:author="TCS" w:date="2026-03-20T13:59:00Z">
                    <w:rPr>
                      <w:lang w:val="de-DE"/>
                    </w:rPr>
                  </w:rPrChange>
                </w:rPr>
                <w:t>Roche Pharma AG</w:t>
              </w:r>
            </w:ins>
          </w:p>
          <w:p>
            <w:pPr>
              <w:pStyle w:val="Standard1"/>
              <w:rPr>
                <w:ins w:id="11023" w:author="Author"/>
                <w:rFonts w:ascii="Times New Roman" w:hAnsi="Times New Roman"/>
                <w:noProof/>
                <w:sz w:val="22"/>
                <w:szCs w:val="22"/>
                <w:lang w:val="de-DE"/>
                <w:rPrChange w:id="11024" w:author="TCS" w:date="2026-03-20T13:59:00Z">
                  <w:rPr>
                    <w:ins w:id="11025" w:author="Author"/>
                    <w:lang w:val="de-DE"/>
                  </w:rPr>
                </w:rPrChange>
              </w:rPr>
            </w:pPr>
            <w:ins w:id="11026" w:author="Author">
              <w:r>
                <w:rPr>
                  <w:rFonts w:ascii="Times New Roman" w:hAnsi="Times New Roman"/>
                  <w:noProof/>
                  <w:sz w:val="22"/>
                  <w:szCs w:val="22"/>
                  <w:lang w:val="de-DE"/>
                  <w:rPrChange w:id="11027" w:author="TCS" w:date="2026-03-20T13:59:00Z">
                    <w:rPr>
                      <w:lang w:val="de-DE"/>
                    </w:rPr>
                  </w:rPrChange>
                </w:rPr>
                <w:t xml:space="preserve">Tel: +49 (0) 7624 140 </w:t>
              </w:r>
            </w:ins>
          </w:p>
          <w:p>
            <w:pPr>
              <w:pStyle w:val="Standard1"/>
              <w:rPr>
                <w:ins w:id="11028" w:author="Author"/>
                <w:rFonts w:ascii="Times New Roman" w:hAnsi="Times New Roman"/>
                <w:b/>
                <w:noProof/>
                <w:sz w:val="22"/>
                <w:szCs w:val="22"/>
                <w:lang w:val="de-DE"/>
                <w:rPrChange w:id="11029" w:author="TCS" w:date="2026-03-20T13:59:00Z">
                  <w:rPr>
                    <w:ins w:id="11030" w:author="Author"/>
                    <w:b/>
                    <w:lang w:val="de-DE"/>
                  </w:rPr>
                </w:rPrChange>
              </w:rPr>
            </w:pPr>
          </w:p>
        </w:tc>
        <w:tc>
          <w:tcPr>
            <w:tcW w:w="4590" w:type="dxa"/>
          </w:tcPr>
          <w:p>
            <w:pPr>
              <w:pStyle w:val="Standard1"/>
              <w:rPr>
                <w:ins w:id="11031" w:author="Author"/>
                <w:rFonts w:ascii="Times New Roman" w:hAnsi="Times New Roman"/>
                <w:b/>
                <w:noProof/>
                <w:snapToGrid w:val="0"/>
                <w:sz w:val="22"/>
                <w:szCs w:val="22"/>
                <w:lang w:val="en-US"/>
                <w:rPrChange w:id="11032" w:author="TCS" w:date="2026-03-20T13:59:00Z">
                  <w:rPr>
                    <w:ins w:id="11033" w:author="Author"/>
                    <w:b/>
                    <w:noProof/>
                    <w:snapToGrid w:val="0"/>
                    <w:szCs w:val="22"/>
                    <w:lang w:val="en-GB"/>
                  </w:rPr>
                </w:rPrChange>
              </w:rPr>
            </w:pPr>
            <w:ins w:id="11034" w:author="Author">
              <w:r>
                <w:rPr>
                  <w:rFonts w:ascii="Times New Roman" w:hAnsi="Times New Roman"/>
                  <w:b/>
                  <w:noProof/>
                  <w:snapToGrid w:val="0"/>
                  <w:sz w:val="22"/>
                  <w:szCs w:val="22"/>
                  <w:lang w:val="en-US"/>
                  <w:rPrChange w:id="11035" w:author="TCS" w:date="2026-03-20T13:59:00Z">
                    <w:rPr>
                      <w:b/>
                      <w:noProof/>
                      <w:snapToGrid w:val="0"/>
                      <w:szCs w:val="22"/>
                      <w:lang w:val="en-GB"/>
                    </w:rPr>
                  </w:rPrChange>
                </w:rPr>
                <w:t>Norge</w:t>
              </w:r>
            </w:ins>
          </w:p>
          <w:p>
            <w:pPr>
              <w:pStyle w:val="Standard1"/>
              <w:rPr>
                <w:ins w:id="11036" w:author="Author"/>
                <w:rFonts w:ascii="Times New Roman" w:hAnsi="Times New Roman"/>
                <w:noProof/>
                <w:snapToGrid w:val="0"/>
                <w:sz w:val="22"/>
                <w:szCs w:val="22"/>
                <w:lang w:val="en-US"/>
                <w:rPrChange w:id="11037" w:author="TCS" w:date="2026-03-20T13:59:00Z">
                  <w:rPr>
                    <w:ins w:id="11038" w:author="Author"/>
                    <w:noProof/>
                    <w:snapToGrid w:val="0"/>
                    <w:szCs w:val="22"/>
                    <w:lang w:val="en-GB"/>
                  </w:rPr>
                </w:rPrChange>
              </w:rPr>
            </w:pPr>
            <w:ins w:id="11039" w:author="Author">
              <w:r>
                <w:rPr>
                  <w:rFonts w:ascii="Times New Roman" w:hAnsi="Times New Roman"/>
                  <w:noProof/>
                  <w:snapToGrid w:val="0"/>
                  <w:sz w:val="22"/>
                  <w:szCs w:val="22"/>
                  <w:lang w:val="en-US"/>
                  <w:rPrChange w:id="11040" w:author="TCS" w:date="2026-03-20T13:59:00Z">
                    <w:rPr>
                      <w:noProof/>
                      <w:snapToGrid w:val="0"/>
                      <w:szCs w:val="22"/>
                      <w:lang w:val="en-GB"/>
                    </w:rPr>
                  </w:rPrChange>
                </w:rPr>
                <w:t>Roche Norge AS</w:t>
              </w:r>
            </w:ins>
          </w:p>
          <w:p>
            <w:pPr>
              <w:pStyle w:val="Standard1"/>
              <w:rPr>
                <w:ins w:id="11041" w:author="Author"/>
                <w:rFonts w:ascii="Times New Roman" w:hAnsi="Times New Roman"/>
                <w:noProof/>
                <w:sz w:val="22"/>
                <w:szCs w:val="22"/>
                <w:lang w:val="en-US"/>
                <w:rPrChange w:id="11042" w:author="TCS" w:date="2026-03-20T13:59:00Z">
                  <w:rPr>
                    <w:ins w:id="11043" w:author="Author"/>
                    <w:noProof/>
                    <w:szCs w:val="22"/>
                    <w:lang w:val="en-GB"/>
                  </w:rPr>
                </w:rPrChange>
              </w:rPr>
            </w:pPr>
            <w:ins w:id="11044" w:author="Author">
              <w:r>
                <w:rPr>
                  <w:rFonts w:ascii="Times New Roman" w:hAnsi="Times New Roman"/>
                  <w:noProof/>
                  <w:snapToGrid w:val="0"/>
                  <w:sz w:val="22"/>
                  <w:szCs w:val="22"/>
                  <w:lang w:val="en-US"/>
                  <w:rPrChange w:id="11045" w:author="TCS" w:date="2026-03-20T13:59:00Z">
                    <w:rPr>
                      <w:noProof/>
                      <w:snapToGrid w:val="0"/>
                      <w:szCs w:val="22"/>
                      <w:lang w:val="en-GB"/>
                    </w:rPr>
                  </w:rPrChange>
                </w:rPr>
                <w:t>Tlf: +47 - 22 78 90 00</w:t>
              </w:r>
            </w:ins>
          </w:p>
          <w:p>
            <w:pPr>
              <w:pStyle w:val="Standard1"/>
              <w:rPr>
                <w:ins w:id="11046" w:author="Author"/>
                <w:rFonts w:ascii="Times New Roman" w:hAnsi="Times New Roman"/>
                <w:noProof/>
                <w:sz w:val="22"/>
                <w:szCs w:val="22"/>
                <w:lang w:val="en-US"/>
                <w:rPrChange w:id="11047" w:author="TCS" w:date="2026-03-20T13:59:00Z">
                  <w:rPr>
                    <w:ins w:id="11048" w:author="Author"/>
                    <w:noProof/>
                    <w:szCs w:val="22"/>
                    <w:lang w:val="en-GB"/>
                  </w:rPr>
                </w:rPrChange>
              </w:rPr>
            </w:pPr>
          </w:p>
        </w:tc>
      </w:tr>
      <w:tr>
        <w:trPr>
          <w:cantSplit/>
          <w:ins w:id="11049" w:author="Author"/>
        </w:trPr>
        <w:tc>
          <w:tcPr>
            <w:tcW w:w="4590" w:type="dxa"/>
          </w:tcPr>
          <w:p>
            <w:pPr>
              <w:pStyle w:val="Standard1"/>
              <w:rPr>
                <w:ins w:id="11050" w:author="Author"/>
                <w:rFonts w:ascii="Times New Roman" w:hAnsi="Times New Roman"/>
                <w:b/>
                <w:noProof/>
                <w:sz w:val="22"/>
                <w:szCs w:val="22"/>
                <w:rPrChange w:id="11051" w:author="TCS" w:date="2026-03-20T13:59:00Z">
                  <w:rPr>
                    <w:ins w:id="11052" w:author="Author"/>
                    <w:b/>
                  </w:rPr>
                </w:rPrChange>
              </w:rPr>
            </w:pPr>
            <w:ins w:id="11053" w:author="Author">
              <w:r>
                <w:rPr>
                  <w:rFonts w:ascii="Times New Roman" w:hAnsi="Times New Roman"/>
                  <w:b/>
                  <w:noProof/>
                  <w:sz w:val="22"/>
                  <w:szCs w:val="22"/>
                  <w:rPrChange w:id="11054" w:author="TCS" w:date="2026-03-20T13:59:00Z">
                    <w:rPr>
                      <w:b/>
                    </w:rPr>
                  </w:rPrChange>
                </w:rPr>
                <w:t>Eesti</w:t>
              </w:r>
            </w:ins>
          </w:p>
          <w:p>
            <w:pPr>
              <w:pStyle w:val="Standard1"/>
              <w:rPr>
                <w:ins w:id="11055" w:author="Author"/>
                <w:rFonts w:ascii="Times New Roman" w:hAnsi="Times New Roman"/>
                <w:noProof/>
                <w:sz w:val="22"/>
                <w:szCs w:val="22"/>
                <w:rPrChange w:id="11056" w:author="TCS" w:date="2026-03-20T13:59:00Z">
                  <w:rPr>
                    <w:ins w:id="11057" w:author="Author"/>
                  </w:rPr>
                </w:rPrChange>
              </w:rPr>
            </w:pPr>
            <w:ins w:id="11058" w:author="Author">
              <w:r>
                <w:rPr>
                  <w:rFonts w:ascii="Times New Roman" w:hAnsi="Times New Roman"/>
                  <w:noProof/>
                  <w:sz w:val="22"/>
                  <w:szCs w:val="22"/>
                  <w:rPrChange w:id="11059" w:author="TCS" w:date="2026-03-20T13:59:00Z">
                    <w:rPr/>
                  </w:rPrChange>
                </w:rPr>
                <w:t>Roche Eesti OÜ</w:t>
              </w:r>
            </w:ins>
          </w:p>
          <w:p>
            <w:pPr>
              <w:pStyle w:val="Standard1"/>
              <w:rPr>
                <w:ins w:id="11060" w:author="Author"/>
                <w:rFonts w:ascii="Times New Roman" w:hAnsi="Times New Roman"/>
                <w:noProof/>
                <w:sz w:val="22"/>
                <w:szCs w:val="22"/>
                <w:rPrChange w:id="11061" w:author="TCS" w:date="2026-03-20T13:59:00Z">
                  <w:rPr>
                    <w:ins w:id="11062" w:author="Author"/>
                  </w:rPr>
                </w:rPrChange>
              </w:rPr>
            </w:pPr>
            <w:ins w:id="11063" w:author="Author">
              <w:r>
                <w:rPr>
                  <w:rFonts w:ascii="Times New Roman" w:hAnsi="Times New Roman"/>
                  <w:noProof/>
                  <w:sz w:val="22"/>
                  <w:szCs w:val="22"/>
                  <w:rPrChange w:id="11064" w:author="TCS" w:date="2026-03-20T13:59:00Z">
                    <w:rPr/>
                  </w:rPrChange>
                </w:rPr>
                <w:t>Tel: + 372 - 6 177 380</w:t>
              </w:r>
            </w:ins>
          </w:p>
          <w:p>
            <w:pPr>
              <w:pStyle w:val="Standard1"/>
              <w:rPr>
                <w:ins w:id="11065" w:author="Author"/>
                <w:rFonts w:ascii="Times New Roman" w:hAnsi="Times New Roman"/>
                <w:noProof/>
                <w:sz w:val="22"/>
                <w:szCs w:val="22"/>
                <w:rPrChange w:id="11066" w:author="TCS" w:date="2026-03-20T13:59:00Z">
                  <w:rPr>
                    <w:ins w:id="11067" w:author="Author"/>
                  </w:rPr>
                </w:rPrChange>
              </w:rPr>
            </w:pPr>
          </w:p>
        </w:tc>
        <w:tc>
          <w:tcPr>
            <w:tcW w:w="4590" w:type="dxa"/>
          </w:tcPr>
          <w:p>
            <w:pPr>
              <w:pStyle w:val="Standard1"/>
              <w:rPr>
                <w:ins w:id="11068" w:author="Author"/>
                <w:rFonts w:ascii="Times New Roman" w:hAnsi="Times New Roman"/>
                <w:noProof/>
                <w:sz w:val="22"/>
                <w:szCs w:val="22"/>
                <w:lang w:val="de-DE"/>
                <w:rPrChange w:id="11069" w:author="TCS" w:date="2026-03-20T13:59:00Z">
                  <w:rPr>
                    <w:ins w:id="11070" w:author="Author"/>
                    <w:lang w:val="de-DE"/>
                  </w:rPr>
                </w:rPrChange>
              </w:rPr>
            </w:pPr>
            <w:ins w:id="11071" w:author="Author">
              <w:r>
                <w:rPr>
                  <w:rFonts w:ascii="Times New Roman" w:hAnsi="Times New Roman"/>
                  <w:b/>
                  <w:noProof/>
                  <w:sz w:val="22"/>
                  <w:szCs w:val="22"/>
                  <w:lang w:val="de-DE"/>
                  <w:rPrChange w:id="11072" w:author="TCS" w:date="2026-03-20T13:59:00Z">
                    <w:rPr>
                      <w:b/>
                      <w:lang w:val="de-DE"/>
                    </w:rPr>
                  </w:rPrChange>
                </w:rPr>
                <w:t>Österreich</w:t>
              </w:r>
            </w:ins>
          </w:p>
          <w:p>
            <w:pPr>
              <w:pStyle w:val="Standard1"/>
              <w:rPr>
                <w:ins w:id="11073" w:author="Author"/>
                <w:rFonts w:ascii="Times New Roman" w:hAnsi="Times New Roman"/>
                <w:noProof/>
                <w:sz w:val="22"/>
                <w:szCs w:val="22"/>
                <w:lang w:val="de-DE"/>
                <w:rPrChange w:id="11074" w:author="TCS" w:date="2026-03-20T13:59:00Z">
                  <w:rPr>
                    <w:ins w:id="11075" w:author="Author"/>
                    <w:lang w:val="de-DE"/>
                  </w:rPr>
                </w:rPrChange>
              </w:rPr>
            </w:pPr>
            <w:ins w:id="11076" w:author="Author">
              <w:r>
                <w:rPr>
                  <w:rFonts w:ascii="Times New Roman" w:hAnsi="Times New Roman"/>
                  <w:noProof/>
                  <w:sz w:val="22"/>
                  <w:szCs w:val="22"/>
                  <w:lang w:val="de-DE"/>
                  <w:rPrChange w:id="11077" w:author="TCS" w:date="2026-03-20T13:59:00Z">
                    <w:rPr>
                      <w:lang w:val="de-DE"/>
                    </w:rPr>
                  </w:rPrChange>
                </w:rPr>
                <w:t>Roche Austria GmbH</w:t>
              </w:r>
            </w:ins>
          </w:p>
          <w:p>
            <w:pPr>
              <w:pStyle w:val="Standard1"/>
              <w:rPr>
                <w:ins w:id="11078" w:author="Author"/>
                <w:rFonts w:ascii="Times New Roman" w:hAnsi="Times New Roman"/>
                <w:noProof/>
                <w:sz w:val="22"/>
                <w:szCs w:val="22"/>
                <w:lang w:val="de-DE"/>
                <w:rPrChange w:id="11079" w:author="TCS" w:date="2026-03-20T13:59:00Z">
                  <w:rPr>
                    <w:ins w:id="11080" w:author="Author"/>
                    <w:lang w:val="de-DE"/>
                  </w:rPr>
                </w:rPrChange>
              </w:rPr>
            </w:pPr>
            <w:ins w:id="11081" w:author="Author">
              <w:r>
                <w:rPr>
                  <w:rFonts w:ascii="Times New Roman" w:hAnsi="Times New Roman"/>
                  <w:noProof/>
                  <w:sz w:val="22"/>
                  <w:szCs w:val="22"/>
                  <w:lang w:val="de-DE"/>
                  <w:rPrChange w:id="11082" w:author="TCS" w:date="2026-03-20T13:59:00Z">
                    <w:rPr>
                      <w:lang w:val="de-DE"/>
                    </w:rPr>
                  </w:rPrChange>
                </w:rPr>
                <w:t>Tel: +43 (0) 1 27739</w:t>
              </w:r>
            </w:ins>
          </w:p>
          <w:p>
            <w:pPr>
              <w:pStyle w:val="Standard1"/>
              <w:rPr>
                <w:ins w:id="11083" w:author="Author"/>
                <w:rFonts w:ascii="Times New Roman" w:hAnsi="Times New Roman"/>
                <w:noProof/>
                <w:sz w:val="22"/>
                <w:szCs w:val="22"/>
                <w:lang w:val="de-DE"/>
                <w:rPrChange w:id="11084" w:author="TCS" w:date="2026-03-20T13:59:00Z">
                  <w:rPr>
                    <w:ins w:id="11085" w:author="Author"/>
                    <w:lang w:val="de-DE"/>
                  </w:rPr>
                </w:rPrChange>
              </w:rPr>
            </w:pPr>
          </w:p>
        </w:tc>
      </w:tr>
      <w:tr>
        <w:trPr>
          <w:cantSplit/>
          <w:ins w:id="11086" w:author="Author"/>
        </w:trPr>
        <w:tc>
          <w:tcPr>
            <w:tcW w:w="4590" w:type="dxa"/>
          </w:tcPr>
          <w:p>
            <w:pPr>
              <w:pStyle w:val="Standard1"/>
              <w:rPr>
                <w:ins w:id="11087" w:author="Author"/>
                <w:rFonts w:ascii="Times New Roman" w:hAnsi="Times New Roman"/>
                <w:noProof/>
                <w:sz w:val="22"/>
                <w:szCs w:val="22"/>
                <w:lang w:val="de-DE"/>
                <w:rPrChange w:id="11088" w:author="TCS" w:date="2026-03-20T13:59:00Z">
                  <w:rPr>
                    <w:ins w:id="11089" w:author="Author"/>
                    <w:lang w:val="de-DE"/>
                  </w:rPr>
                </w:rPrChange>
              </w:rPr>
            </w:pPr>
            <w:ins w:id="11090" w:author="Author">
              <w:r>
                <w:rPr>
                  <w:rFonts w:ascii="Times New Roman" w:hAnsi="Times New Roman"/>
                  <w:b/>
                  <w:noProof/>
                  <w:sz w:val="22"/>
                  <w:szCs w:val="22"/>
                  <w:rPrChange w:id="11091" w:author="TCS" w:date="2026-03-20T13:59:00Z">
                    <w:rPr>
                      <w:b/>
                      <w:noProof/>
                      <w:szCs w:val="22"/>
                      <w:lang w:val="en-GB"/>
                    </w:rPr>
                  </w:rPrChange>
                </w:rPr>
                <w:t>Ελλάδα</w:t>
              </w:r>
              <w:r>
                <w:rPr>
                  <w:rFonts w:ascii="Times New Roman" w:hAnsi="Times New Roman"/>
                  <w:b/>
                  <w:noProof/>
                  <w:sz w:val="22"/>
                  <w:szCs w:val="22"/>
                  <w:lang w:val="de-DE"/>
                  <w:rPrChange w:id="11092" w:author="TCS" w:date="2026-03-20T13:59:00Z">
                    <w:rPr>
                      <w:b/>
                      <w:noProof/>
                      <w:szCs w:val="22"/>
                      <w:lang w:val="de-DE"/>
                    </w:rPr>
                  </w:rPrChange>
                </w:rPr>
                <w:t xml:space="preserve">, </w:t>
              </w:r>
              <w:r>
                <w:rPr>
                  <w:rFonts w:ascii="Times New Roman" w:hAnsi="Times New Roman"/>
                  <w:b/>
                  <w:noProof/>
                  <w:sz w:val="22"/>
                  <w:szCs w:val="22"/>
                  <w:lang w:val="de-DE"/>
                  <w:rPrChange w:id="11093" w:author="TCS" w:date="2026-03-20T13:59:00Z">
                    <w:rPr>
                      <w:b/>
                      <w:szCs w:val="22"/>
                      <w:lang w:val="de-DE"/>
                    </w:rPr>
                  </w:rPrChange>
                </w:rPr>
                <w:t>K</w:t>
              </w:r>
              <w:r>
                <w:rPr>
                  <w:rFonts w:ascii="Times New Roman" w:hAnsi="Times New Roman"/>
                  <w:b/>
                  <w:noProof/>
                  <w:sz w:val="22"/>
                  <w:szCs w:val="22"/>
                  <w:rPrChange w:id="11094" w:author="TCS" w:date="2026-03-20T13:59:00Z">
                    <w:rPr>
                      <w:b/>
                      <w:noProof/>
                      <w:szCs w:val="22"/>
                      <w:lang w:val="en-GB"/>
                    </w:rPr>
                  </w:rPrChange>
                </w:rPr>
                <w:t>ύπρος</w:t>
              </w:r>
              <w:r>
                <w:rPr>
                  <w:rFonts w:ascii="Times New Roman" w:hAnsi="Times New Roman"/>
                  <w:noProof/>
                  <w:sz w:val="22"/>
                  <w:szCs w:val="22"/>
                  <w:lang w:val="de-DE"/>
                  <w:rPrChange w:id="11095" w:author="TCS" w:date="2026-03-20T13:59:00Z">
                    <w:rPr>
                      <w:noProof/>
                      <w:szCs w:val="22"/>
                      <w:lang w:val="de-DE"/>
                    </w:rPr>
                  </w:rPrChange>
                </w:rPr>
                <w:t xml:space="preserve"> </w:t>
              </w:r>
            </w:ins>
          </w:p>
          <w:p>
            <w:pPr>
              <w:pStyle w:val="Standard1"/>
              <w:rPr>
                <w:ins w:id="11096" w:author="Author"/>
                <w:rFonts w:ascii="Times New Roman" w:hAnsi="Times New Roman"/>
                <w:noProof/>
                <w:sz w:val="22"/>
                <w:szCs w:val="22"/>
                <w:lang w:val="de-DE"/>
                <w:rPrChange w:id="11097" w:author="TCS" w:date="2026-03-20T13:59:00Z">
                  <w:rPr>
                    <w:ins w:id="11098" w:author="Author"/>
                    <w:lang w:val="de-DE"/>
                  </w:rPr>
                </w:rPrChange>
              </w:rPr>
            </w:pPr>
            <w:ins w:id="11099" w:author="Author">
              <w:r>
                <w:rPr>
                  <w:rFonts w:ascii="Times New Roman" w:hAnsi="Times New Roman"/>
                  <w:noProof/>
                  <w:sz w:val="22"/>
                  <w:szCs w:val="22"/>
                  <w:lang w:val="de-DE"/>
                  <w:rPrChange w:id="11100" w:author="TCS" w:date="2026-03-20T13:59:00Z">
                    <w:rPr>
                      <w:lang w:val="de-DE"/>
                    </w:rPr>
                  </w:rPrChange>
                </w:rPr>
                <w:t xml:space="preserve">Roche (Hellas) A.E. </w:t>
              </w:r>
            </w:ins>
          </w:p>
          <w:p>
            <w:pPr>
              <w:pStyle w:val="Standard1"/>
              <w:rPr>
                <w:ins w:id="11101" w:author="Author"/>
                <w:rFonts w:ascii="Times New Roman" w:hAnsi="Times New Roman"/>
                <w:bCs/>
                <w:noProof/>
                <w:sz w:val="22"/>
                <w:szCs w:val="22"/>
                <w:rPrChange w:id="11102" w:author="TCS" w:date="2026-03-20T13:59:00Z">
                  <w:rPr>
                    <w:ins w:id="11103" w:author="Author"/>
                    <w:bCs/>
                    <w:noProof/>
                    <w:szCs w:val="22"/>
                    <w:lang w:val="en-GB"/>
                  </w:rPr>
                </w:rPrChange>
              </w:rPr>
            </w:pPr>
            <w:ins w:id="11104" w:author="Author">
              <w:r>
                <w:rPr>
                  <w:rFonts w:ascii="Times New Roman" w:hAnsi="Times New Roman"/>
                  <w:bCs/>
                  <w:noProof/>
                  <w:sz w:val="22"/>
                  <w:szCs w:val="22"/>
                  <w:rPrChange w:id="11105" w:author="TCS" w:date="2026-03-20T13:59:00Z">
                    <w:rPr>
                      <w:bCs/>
                      <w:noProof/>
                      <w:szCs w:val="22"/>
                      <w:lang w:val="en-GB"/>
                    </w:rPr>
                  </w:rPrChange>
                </w:rPr>
                <w:t>Ελλάδα</w:t>
              </w:r>
            </w:ins>
          </w:p>
          <w:p>
            <w:pPr>
              <w:pStyle w:val="Standard1"/>
              <w:rPr>
                <w:ins w:id="11106" w:author="Author"/>
                <w:rFonts w:ascii="Times New Roman" w:hAnsi="Times New Roman"/>
                <w:noProof/>
                <w:sz w:val="22"/>
                <w:szCs w:val="22"/>
                <w:rPrChange w:id="11107" w:author="TCS" w:date="2026-03-20T13:59:00Z">
                  <w:rPr>
                    <w:ins w:id="11108" w:author="Author"/>
                    <w:noProof/>
                    <w:szCs w:val="22"/>
                    <w:lang w:val="en-GB"/>
                  </w:rPr>
                </w:rPrChange>
              </w:rPr>
            </w:pPr>
            <w:ins w:id="11109" w:author="Author">
              <w:r>
                <w:rPr>
                  <w:rFonts w:ascii="Times New Roman" w:hAnsi="Times New Roman"/>
                  <w:noProof/>
                  <w:sz w:val="22"/>
                  <w:szCs w:val="22"/>
                  <w:rPrChange w:id="11110" w:author="TCS" w:date="2026-03-20T13:59:00Z">
                    <w:rPr>
                      <w:noProof/>
                      <w:szCs w:val="22"/>
                      <w:lang w:val="en-GB"/>
                    </w:rPr>
                  </w:rPrChange>
                </w:rPr>
                <w:t>Τηλ: +30 210 61 66 100</w:t>
              </w:r>
            </w:ins>
          </w:p>
          <w:p>
            <w:pPr>
              <w:pStyle w:val="Standard1"/>
              <w:rPr>
                <w:ins w:id="11111" w:author="Author"/>
                <w:rFonts w:ascii="Times New Roman" w:hAnsi="Times New Roman"/>
                <w:noProof/>
                <w:sz w:val="22"/>
                <w:szCs w:val="22"/>
                <w:rPrChange w:id="11112" w:author="TCS" w:date="2026-03-20T13:59:00Z">
                  <w:rPr>
                    <w:ins w:id="11113" w:author="Author"/>
                    <w:noProof/>
                    <w:szCs w:val="22"/>
                    <w:lang w:val="en-GB"/>
                  </w:rPr>
                </w:rPrChange>
              </w:rPr>
            </w:pPr>
          </w:p>
        </w:tc>
        <w:tc>
          <w:tcPr>
            <w:tcW w:w="4590" w:type="dxa"/>
          </w:tcPr>
          <w:p>
            <w:pPr>
              <w:pStyle w:val="Standard1"/>
              <w:rPr>
                <w:ins w:id="11114" w:author="Author"/>
                <w:rFonts w:ascii="Times New Roman" w:hAnsi="Times New Roman"/>
                <w:b/>
                <w:noProof/>
                <w:sz w:val="22"/>
                <w:szCs w:val="22"/>
                <w:rPrChange w:id="11115" w:author="TCS" w:date="2026-03-20T13:59:00Z">
                  <w:rPr>
                    <w:ins w:id="11116" w:author="Author"/>
                    <w:b/>
                    <w:lang w:val="pl-PL"/>
                  </w:rPr>
                </w:rPrChange>
              </w:rPr>
            </w:pPr>
            <w:ins w:id="11117" w:author="Author">
              <w:r>
                <w:rPr>
                  <w:rFonts w:ascii="Times New Roman" w:hAnsi="Times New Roman"/>
                  <w:b/>
                  <w:noProof/>
                  <w:sz w:val="22"/>
                  <w:szCs w:val="22"/>
                  <w:rPrChange w:id="11118" w:author="TCS" w:date="2026-03-20T13:59:00Z">
                    <w:rPr>
                      <w:b/>
                      <w:lang w:val="pl-PL"/>
                    </w:rPr>
                  </w:rPrChange>
                </w:rPr>
                <w:t>Polska</w:t>
              </w:r>
            </w:ins>
          </w:p>
          <w:p>
            <w:pPr>
              <w:pStyle w:val="Standard1"/>
              <w:rPr>
                <w:ins w:id="11119" w:author="Author"/>
                <w:rFonts w:ascii="Times New Roman" w:hAnsi="Times New Roman"/>
                <w:noProof/>
                <w:sz w:val="22"/>
                <w:szCs w:val="22"/>
                <w:rPrChange w:id="11120" w:author="TCS" w:date="2026-03-20T13:59:00Z">
                  <w:rPr>
                    <w:ins w:id="11121" w:author="Author"/>
                    <w:lang w:val="pl-PL"/>
                  </w:rPr>
                </w:rPrChange>
              </w:rPr>
            </w:pPr>
            <w:ins w:id="11122" w:author="Author">
              <w:r>
                <w:rPr>
                  <w:rFonts w:ascii="Times New Roman" w:hAnsi="Times New Roman"/>
                  <w:noProof/>
                  <w:sz w:val="22"/>
                  <w:szCs w:val="22"/>
                  <w:rPrChange w:id="11123" w:author="TCS" w:date="2026-03-20T13:59:00Z">
                    <w:rPr>
                      <w:lang w:val="pl-PL"/>
                    </w:rPr>
                  </w:rPrChange>
                </w:rPr>
                <w:t>Roche Polska Sp.z o.o.</w:t>
              </w:r>
            </w:ins>
          </w:p>
          <w:p>
            <w:pPr>
              <w:pStyle w:val="Standard1"/>
              <w:rPr>
                <w:ins w:id="11124" w:author="Author"/>
                <w:rFonts w:ascii="Times New Roman" w:hAnsi="Times New Roman"/>
                <w:noProof/>
                <w:sz w:val="22"/>
                <w:szCs w:val="22"/>
                <w:rPrChange w:id="11125" w:author="TCS" w:date="2026-03-20T13:59:00Z">
                  <w:rPr>
                    <w:ins w:id="11126" w:author="Author"/>
                    <w:noProof/>
                    <w:szCs w:val="22"/>
                    <w:lang w:val="en-GB"/>
                  </w:rPr>
                </w:rPrChange>
              </w:rPr>
            </w:pPr>
            <w:ins w:id="11127" w:author="Author">
              <w:r>
                <w:rPr>
                  <w:rFonts w:ascii="Times New Roman" w:hAnsi="Times New Roman"/>
                  <w:noProof/>
                  <w:sz w:val="22"/>
                  <w:szCs w:val="22"/>
                  <w:rPrChange w:id="11128" w:author="TCS" w:date="2026-03-20T13:59:00Z">
                    <w:rPr>
                      <w:noProof/>
                      <w:szCs w:val="22"/>
                      <w:lang w:val="en-GB"/>
                    </w:rPr>
                  </w:rPrChange>
                </w:rPr>
                <w:t>Tel: +48 - 22 345 18 88</w:t>
              </w:r>
            </w:ins>
          </w:p>
          <w:p>
            <w:pPr>
              <w:pStyle w:val="Standard1"/>
              <w:rPr>
                <w:ins w:id="11129" w:author="Author"/>
                <w:rFonts w:ascii="Times New Roman" w:hAnsi="Times New Roman"/>
                <w:noProof/>
                <w:sz w:val="22"/>
                <w:szCs w:val="22"/>
                <w:rPrChange w:id="11130" w:author="TCS" w:date="2026-03-20T13:59:00Z">
                  <w:rPr>
                    <w:ins w:id="11131" w:author="Author"/>
                    <w:noProof/>
                    <w:szCs w:val="22"/>
                    <w:lang w:val="en-GB"/>
                  </w:rPr>
                </w:rPrChange>
              </w:rPr>
            </w:pPr>
          </w:p>
        </w:tc>
      </w:tr>
      <w:tr>
        <w:trPr>
          <w:cantSplit/>
          <w:ins w:id="11132" w:author="Author"/>
        </w:trPr>
        <w:tc>
          <w:tcPr>
            <w:tcW w:w="4590" w:type="dxa"/>
          </w:tcPr>
          <w:p>
            <w:pPr>
              <w:pStyle w:val="Standard1"/>
              <w:rPr>
                <w:ins w:id="11133" w:author="Author"/>
                <w:rFonts w:ascii="Times New Roman" w:hAnsi="Times New Roman"/>
                <w:b/>
                <w:noProof/>
                <w:sz w:val="22"/>
                <w:szCs w:val="22"/>
                <w:rPrChange w:id="11134" w:author="TCS" w:date="2026-03-20T13:59:00Z">
                  <w:rPr>
                    <w:ins w:id="11135" w:author="Author"/>
                    <w:b/>
                    <w:lang w:val="fr-FR"/>
                  </w:rPr>
                </w:rPrChange>
              </w:rPr>
            </w:pPr>
            <w:ins w:id="11136" w:author="Author">
              <w:r>
                <w:rPr>
                  <w:rFonts w:ascii="Times New Roman" w:hAnsi="Times New Roman"/>
                  <w:b/>
                  <w:noProof/>
                  <w:sz w:val="22"/>
                  <w:szCs w:val="22"/>
                  <w:rPrChange w:id="11137" w:author="TCS" w:date="2026-03-20T13:59:00Z">
                    <w:rPr>
                      <w:b/>
                      <w:lang w:val="fr-FR"/>
                    </w:rPr>
                  </w:rPrChange>
                </w:rPr>
                <w:t>España</w:t>
              </w:r>
            </w:ins>
          </w:p>
          <w:p>
            <w:pPr>
              <w:pStyle w:val="Standard1"/>
              <w:rPr>
                <w:ins w:id="11138" w:author="Author"/>
                <w:rFonts w:ascii="Times New Roman" w:hAnsi="Times New Roman"/>
                <w:noProof/>
                <w:sz w:val="22"/>
                <w:szCs w:val="22"/>
                <w:rPrChange w:id="11139" w:author="TCS" w:date="2026-03-20T13:59:00Z">
                  <w:rPr>
                    <w:ins w:id="11140" w:author="Author"/>
                    <w:lang w:val="fr-FR"/>
                  </w:rPr>
                </w:rPrChange>
              </w:rPr>
            </w:pPr>
            <w:ins w:id="11141" w:author="Author">
              <w:r>
                <w:rPr>
                  <w:rFonts w:ascii="Times New Roman" w:hAnsi="Times New Roman"/>
                  <w:noProof/>
                  <w:sz w:val="22"/>
                  <w:szCs w:val="22"/>
                  <w:rPrChange w:id="11142" w:author="TCS" w:date="2026-03-20T13:59:00Z">
                    <w:rPr>
                      <w:lang w:val="fr-FR"/>
                    </w:rPr>
                  </w:rPrChange>
                </w:rPr>
                <w:t>Roche Farma S.A.</w:t>
              </w:r>
            </w:ins>
          </w:p>
          <w:p>
            <w:pPr>
              <w:pStyle w:val="Standard1"/>
              <w:rPr>
                <w:ins w:id="11143" w:author="Author"/>
                <w:rFonts w:ascii="Times New Roman" w:hAnsi="Times New Roman"/>
                <w:noProof/>
                <w:sz w:val="22"/>
                <w:szCs w:val="22"/>
                <w:rPrChange w:id="11144" w:author="TCS" w:date="2026-03-20T13:59:00Z">
                  <w:rPr>
                    <w:ins w:id="11145" w:author="Author"/>
                    <w:noProof/>
                    <w:szCs w:val="22"/>
                    <w:lang w:val="en-GB"/>
                  </w:rPr>
                </w:rPrChange>
              </w:rPr>
            </w:pPr>
            <w:ins w:id="11146" w:author="Author">
              <w:r>
                <w:rPr>
                  <w:rFonts w:ascii="Times New Roman" w:hAnsi="Times New Roman"/>
                  <w:noProof/>
                  <w:sz w:val="22"/>
                  <w:szCs w:val="22"/>
                  <w:rPrChange w:id="11147" w:author="TCS" w:date="2026-03-20T13:59:00Z">
                    <w:rPr>
                      <w:noProof/>
                      <w:szCs w:val="22"/>
                      <w:lang w:val="en-GB"/>
                    </w:rPr>
                  </w:rPrChange>
                </w:rPr>
                <w:t>Tel: +34 - 91 324 81 00</w:t>
              </w:r>
            </w:ins>
          </w:p>
          <w:p>
            <w:pPr>
              <w:pStyle w:val="Standard1"/>
              <w:rPr>
                <w:ins w:id="11148" w:author="Author"/>
                <w:rFonts w:ascii="Times New Roman" w:hAnsi="Times New Roman"/>
                <w:noProof/>
                <w:sz w:val="22"/>
                <w:szCs w:val="22"/>
                <w:rPrChange w:id="11149" w:author="TCS" w:date="2026-03-20T13:59:00Z">
                  <w:rPr>
                    <w:ins w:id="11150" w:author="Author"/>
                    <w:noProof/>
                    <w:szCs w:val="22"/>
                    <w:lang w:val="en-GB"/>
                  </w:rPr>
                </w:rPrChange>
              </w:rPr>
            </w:pPr>
          </w:p>
        </w:tc>
        <w:tc>
          <w:tcPr>
            <w:tcW w:w="4590" w:type="dxa"/>
          </w:tcPr>
          <w:p>
            <w:pPr>
              <w:pStyle w:val="Standard1"/>
              <w:rPr>
                <w:ins w:id="11151" w:author="Author"/>
                <w:rFonts w:ascii="Times New Roman" w:hAnsi="Times New Roman"/>
                <w:noProof/>
                <w:sz w:val="22"/>
                <w:szCs w:val="22"/>
                <w:lang w:val="pt-BR"/>
                <w:rPrChange w:id="11152" w:author="TCS" w:date="2026-03-20T13:59:00Z">
                  <w:rPr>
                    <w:ins w:id="11153" w:author="Author"/>
                    <w:lang w:val="pt-BR"/>
                  </w:rPr>
                </w:rPrChange>
              </w:rPr>
            </w:pPr>
            <w:ins w:id="11154" w:author="Author">
              <w:r>
                <w:rPr>
                  <w:rFonts w:ascii="Times New Roman" w:hAnsi="Times New Roman"/>
                  <w:b/>
                  <w:noProof/>
                  <w:sz w:val="22"/>
                  <w:szCs w:val="22"/>
                  <w:lang w:val="pt-BR"/>
                  <w:rPrChange w:id="11155" w:author="TCS" w:date="2026-03-20T13:59:00Z">
                    <w:rPr>
                      <w:b/>
                      <w:lang w:val="pt-BR"/>
                    </w:rPr>
                  </w:rPrChange>
                </w:rPr>
                <w:t>Portugal</w:t>
              </w:r>
            </w:ins>
          </w:p>
          <w:p>
            <w:pPr>
              <w:pStyle w:val="Standard1"/>
              <w:rPr>
                <w:ins w:id="11156" w:author="Author"/>
                <w:rFonts w:ascii="Times New Roman" w:hAnsi="Times New Roman"/>
                <w:noProof/>
                <w:sz w:val="22"/>
                <w:szCs w:val="22"/>
                <w:lang w:val="pt-BR"/>
                <w:rPrChange w:id="11157" w:author="TCS" w:date="2026-03-20T13:59:00Z">
                  <w:rPr>
                    <w:ins w:id="11158" w:author="Author"/>
                    <w:lang w:val="pt-BR"/>
                  </w:rPr>
                </w:rPrChange>
              </w:rPr>
            </w:pPr>
            <w:ins w:id="11159" w:author="Author">
              <w:r>
                <w:rPr>
                  <w:rFonts w:ascii="Times New Roman" w:hAnsi="Times New Roman"/>
                  <w:noProof/>
                  <w:sz w:val="22"/>
                  <w:szCs w:val="22"/>
                  <w:lang w:val="pt-BR"/>
                  <w:rPrChange w:id="11160" w:author="TCS" w:date="2026-03-20T13:59:00Z">
                    <w:rPr>
                      <w:lang w:val="pt-BR"/>
                    </w:rPr>
                  </w:rPrChange>
                </w:rPr>
                <w:t>Roche Farmacêutica Química, Lda</w:t>
              </w:r>
            </w:ins>
          </w:p>
          <w:p>
            <w:pPr>
              <w:pStyle w:val="Standard1"/>
              <w:rPr>
                <w:ins w:id="11161" w:author="Author"/>
                <w:rFonts w:ascii="Times New Roman" w:hAnsi="Times New Roman"/>
                <w:noProof/>
                <w:sz w:val="22"/>
                <w:szCs w:val="22"/>
                <w:lang w:val="pt-BR"/>
                <w:rPrChange w:id="11162" w:author="TCS" w:date="2026-03-20T13:59:00Z">
                  <w:rPr>
                    <w:ins w:id="11163" w:author="Author"/>
                    <w:lang w:val="pt-BR"/>
                  </w:rPr>
                </w:rPrChange>
              </w:rPr>
            </w:pPr>
            <w:ins w:id="11164" w:author="Author">
              <w:r>
                <w:rPr>
                  <w:rFonts w:ascii="Times New Roman" w:hAnsi="Times New Roman"/>
                  <w:noProof/>
                  <w:sz w:val="22"/>
                  <w:szCs w:val="22"/>
                  <w:lang w:val="pt-BR"/>
                  <w:rPrChange w:id="11165" w:author="TCS" w:date="2026-03-20T13:59:00Z">
                    <w:rPr>
                      <w:lang w:val="pt-BR"/>
                    </w:rPr>
                  </w:rPrChange>
                </w:rPr>
                <w:t>Tel: +351 - 21 425 70 00</w:t>
              </w:r>
            </w:ins>
          </w:p>
          <w:p>
            <w:pPr>
              <w:pStyle w:val="Standard1"/>
              <w:rPr>
                <w:ins w:id="11166" w:author="Author"/>
                <w:rFonts w:ascii="Times New Roman" w:hAnsi="Times New Roman"/>
                <w:noProof/>
                <w:sz w:val="22"/>
                <w:szCs w:val="22"/>
                <w:lang w:val="pt-BR"/>
                <w:rPrChange w:id="11167" w:author="TCS" w:date="2026-03-20T13:59:00Z">
                  <w:rPr>
                    <w:ins w:id="11168" w:author="Author"/>
                    <w:lang w:val="pt-BR"/>
                  </w:rPr>
                </w:rPrChange>
              </w:rPr>
            </w:pPr>
          </w:p>
        </w:tc>
      </w:tr>
      <w:tr>
        <w:trPr>
          <w:cantSplit/>
          <w:trHeight w:val="1152"/>
          <w:ins w:id="11169" w:author="Author"/>
        </w:trPr>
        <w:tc>
          <w:tcPr>
            <w:tcW w:w="4590" w:type="dxa"/>
          </w:tcPr>
          <w:p>
            <w:pPr>
              <w:pStyle w:val="Standard1"/>
              <w:rPr>
                <w:ins w:id="11170" w:author="Author"/>
                <w:rFonts w:ascii="Times New Roman" w:hAnsi="Times New Roman"/>
                <w:noProof/>
                <w:sz w:val="22"/>
                <w:szCs w:val="22"/>
                <w:rPrChange w:id="11171" w:author="TCS" w:date="2026-03-20T13:59:00Z">
                  <w:rPr>
                    <w:ins w:id="11172" w:author="Author"/>
                    <w:lang w:val="fr-FR"/>
                  </w:rPr>
                </w:rPrChange>
              </w:rPr>
            </w:pPr>
            <w:ins w:id="11173" w:author="Author">
              <w:r>
                <w:rPr>
                  <w:rFonts w:ascii="Times New Roman" w:hAnsi="Times New Roman"/>
                  <w:b/>
                  <w:noProof/>
                  <w:sz w:val="22"/>
                  <w:szCs w:val="22"/>
                  <w:rPrChange w:id="11174" w:author="TCS" w:date="2026-03-20T13:59:00Z">
                    <w:rPr>
                      <w:b/>
                      <w:lang w:val="fr-FR"/>
                    </w:rPr>
                  </w:rPrChange>
                </w:rPr>
                <w:t>France</w:t>
              </w:r>
            </w:ins>
          </w:p>
          <w:p>
            <w:pPr>
              <w:pStyle w:val="Standard1"/>
              <w:rPr>
                <w:ins w:id="11175" w:author="Author"/>
                <w:rFonts w:ascii="Times New Roman" w:hAnsi="Times New Roman"/>
                <w:noProof/>
                <w:sz w:val="22"/>
                <w:szCs w:val="22"/>
                <w:rPrChange w:id="11176" w:author="TCS" w:date="2026-03-20T13:59:00Z">
                  <w:rPr>
                    <w:ins w:id="11177" w:author="Author"/>
                    <w:lang w:val="fr-FR"/>
                  </w:rPr>
                </w:rPrChange>
              </w:rPr>
            </w:pPr>
            <w:ins w:id="11178" w:author="Author">
              <w:r>
                <w:rPr>
                  <w:rFonts w:ascii="Times New Roman" w:hAnsi="Times New Roman"/>
                  <w:noProof/>
                  <w:sz w:val="22"/>
                  <w:szCs w:val="22"/>
                  <w:rPrChange w:id="11179" w:author="TCS" w:date="2026-03-20T13:59:00Z">
                    <w:rPr>
                      <w:lang w:val="fr-FR"/>
                    </w:rPr>
                  </w:rPrChange>
                </w:rPr>
                <w:t>Roche</w:t>
              </w:r>
            </w:ins>
          </w:p>
          <w:p>
            <w:pPr>
              <w:pStyle w:val="Standard1"/>
              <w:rPr>
                <w:ins w:id="11180" w:author="Author"/>
                <w:rFonts w:ascii="Times New Roman" w:hAnsi="Times New Roman"/>
                <w:noProof/>
                <w:sz w:val="22"/>
                <w:szCs w:val="22"/>
                <w:rPrChange w:id="11181" w:author="TCS" w:date="2026-03-20T13:59:00Z">
                  <w:rPr>
                    <w:ins w:id="11182" w:author="Author"/>
                    <w:lang w:val="fr-FR"/>
                  </w:rPr>
                </w:rPrChange>
              </w:rPr>
            </w:pPr>
            <w:ins w:id="11183" w:author="Author">
              <w:r>
                <w:rPr>
                  <w:rFonts w:ascii="Times New Roman" w:hAnsi="Times New Roman"/>
                  <w:noProof/>
                  <w:sz w:val="22"/>
                  <w:szCs w:val="22"/>
                  <w:rPrChange w:id="11184" w:author="TCS" w:date="2026-03-20T13:59:00Z">
                    <w:rPr>
                      <w:lang w:val="fr-FR"/>
                    </w:rPr>
                  </w:rPrChange>
                </w:rPr>
                <w:t>Tél: +33 (0) 1 47 61 40 00</w:t>
              </w:r>
            </w:ins>
          </w:p>
          <w:p>
            <w:pPr>
              <w:pStyle w:val="Standard1"/>
              <w:rPr>
                <w:ins w:id="11185" w:author="Author"/>
                <w:rFonts w:ascii="Times New Roman" w:hAnsi="Times New Roman"/>
                <w:b/>
                <w:noProof/>
                <w:sz w:val="22"/>
                <w:szCs w:val="22"/>
                <w:rPrChange w:id="11186" w:author="TCS" w:date="2026-03-20T13:59:00Z">
                  <w:rPr>
                    <w:ins w:id="11187" w:author="Author"/>
                    <w:b/>
                    <w:lang w:val="fr-FR"/>
                  </w:rPr>
                </w:rPrChange>
              </w:rPr>
            </w:pPr>
          </w:p>
        </w:tc>
        <w:tc>
          <w:tcPr>
            <w:tcW w:w="4590" w:type="dxa"/>
          </w:tcPr>
          <w:p>
            <w:pPr>
              <w:pStyle w:val="Standard1"/>
              <w:tabs>
                <w:tab w:val="left" w:pos="-720"/>
                <w:tab w:val="left" w:pos="567"/>
                <w:tab w:val="left" w:pos="4536"/>
              </w:tabs>
              <w:suppressAutoHyphens/>
              <w:spacing w:line="260" w:lineRule="exact"/>
              <w:rPr>
                <w:ins w:id="11188" w:author="Author"/>
                <w:rFonts w:ascii="Times New Roman" w:hAnsi="Times New Roman"/>
                <w:b/>
                <w:noProof/>
                <w:sz w:val="22"/>
                <w:szCs w:val="22"/>
                <w:rPrChange w:id="11189" w:author="TCS" w:date="2026-03-20T13:59:00Z">
                  <w:rPr>
                    <w:ins w:id="11190" w:author="Author"/>
                    <w:b/>
                  </w:rPr>
                </w:rPrChange>
              </w:rPr>
            </w:pPr>
            <w:ins w:id="11191" w:author="Author">
              <w:r>
                <w:rPr>
                  <w:rFonts w:ascii="Times New Roman" w:hAnsi="Times New Roman"/>
                  <w:b/>
                  <w:noProof/>
                  <w:sz w:val="22"/>
                  <w:szCs w:val="22"/>
                  <w:rPrChange w:id="11192" w:author="TCS" w:date="2026-03-20T13:59:00Z">
                    <w:rPr>
                      <w:b/>
                    </w:rPr>
                  </w:rPrChange>
                </w:rPr>
                <w:t>România</w:t>
              </w:r>
            </w:ins>
          </w:p>
          <w:p>
            <w:pPr>
              <w:pStyle w:val="Standard1"/>
              <w:tabs>
                <w:tab w:val="left" w:pos="-720"/>
                <w:tab w:val="left" w:pos="4536"/>
              </w:tabs>
              <w:suppressAutoHyphens/>
              <w:rPr>
                <w:ins w:id="11193" w:author="Author"/>
                <w:rFonts w:ascii="Times New Roman" w:hAnsi="Times New Roman"/>
                <w:noProof/>
                <w:sz w:val="22"/>
                <w:szCs w:val="22"/>
                <w:rPrChange w:id="11194" w:author="TCS" w:date="2026-03-20T13:59:00Z">
                  <w:rPr>
                    <w:ins w:id="11195" w:author="Author"/>
                  </w:rPr>
                </w:rPrChange>
              </w:rPr>
            </w:pPr>
            <w:ins w:id="11196" w:author="Author">
              <w:r>
                <w:rPr>
                  <w:rFonts w:ascii="Times New Roman" w:hAnsi="Times New Roman"/>
                  <w:noProof/>
                  <w:sz w:val="22"/>
                  <w:szCs w:val="22"/>
                  <w:rPrChange w:id="11197" w:author="TCS" w:date="2026-03-20T13:59:00Z">
                    <w:rPr/>
                  </w:rPrChange>
                </w:rPr>
                <w:t>Roche România S.R.L.</w:t>
              </w:r>
            </w:ins>
          </w:p>
          <w:p>
            <w:pPr>
              <w:pStyle w:val="Standard1"/>
              <w:tabs>
                <w:tab w:val="left" w:pos="-720"/>
                <w:tab w:val="left" w:pos="4536"/>
              </w:tabs>
              <w:suppressAutoHyphens/>
              <w:rPr>
                <w:ins w:id="11198" w:author="Author"/>
                <w:rFonts w:ascii="Times New Roman" w:hAnsi="Times New Roman"/>
                <w:noProof/>
                <w:sz w:val="22"/>
                <w:szCs w:val="22"/>
                <w:rPrChange w:id="11199" w:author="TCS" w:date="2026-03-20T13:59:00Z">
                  <w:rPr>
                    <w:ins w:id="11200" w:author="Author"/>
                    <w:noProof/>
                    <w:szCs w:val="22"/>
                    <w:lang w:val="en-GB"/>
                  </w:rPr>
                </w:rPrChange>
              </w:rPr>
            </w:pPr>
            <w:ins w:id="11201" w:author="Author">
              <w:r>
                <w:rPr>
                  <w:rFonts w:ascii="Times New Roman" w:hAnsi="Times New Roman"/>
                  <w:noProof/>
                  <w:sz w:val="22"/>
                  <w:szCs w:val="22"/>
                  <w:rPrChange w:id="11202" w:author="TCS" w:date="2026-03-20T13:59:00Z">
                    <w:rPr>
                      <w:noProof/>
                      <w:szCs w:val="22"/>
                      <w:lang w:val="en-GB"/>
                    </w:rPr>
                  </w:rPrChange>
                </w:rPr>
                <w:t>Tel: +40 21 206 47 01</w:t>
              </w:r>
            </w:ins>
          </w:p>
          <w:p>
            <w:pPr>
              <w:pStyle w:val="Standard1"/>
              <w:tabs>
                <w:tab w:val="left" w:pos="-720"/>
                <w:tab w:val="left" w:pos="4536"/>
              </w:tabs>
              <w:suppressAutoHyphens/>
              <w:rPr>
                <w:ins w:id="11203" w:author="Author"/>
                <w:rFonts w:ascii="Times New Roman" w:hAnsi="Times New Roman"/>
                <w:noProof/>
                <w:sz w:val="22"/>
                <w:szCs w:val="22"/>
                <w:rPrChange w:id="11204" w:author="TCS" w:date="2026-03-20T13:59:00Z">
                  <w:rPr>
                    <w:ins w:id="11205" w:author="Author"/>
                    <w:noProof/>
                    <w:szCs w:val="22"/>
                    <w:lang w:val="en-GB"/>
                  </w:rPr>
                </w:rPrChange>
              </w:rPr>
            </w:pPr>
          </w:p>
        </w:tc>
      </w:tr>
      <w:tr>
        <w:trPr>
          <w:cantSplit/>
          <w:trHeight w:val="1152"/>
          <w:ins w:id="11206" w:author="Author"/>
        </w:trPr>
        <w:tc>
          <w:tcPr>
            <w:tcW w:w="4590" w:type="dxa"/>
          </w:tcPr>
          <w:p>
            <w:pPr>
              <w:pStyle w:val="Standard1"/>
              <w:rPr>
                <w:ins w:id="11207" w:author="Author"/>
                <w:rFonts w:ascii="Times New Roman" w:hAnsi="Times New Roman"/>
                <w:b/>
                <w:noProof/>
                <w:sz w:val="22"/>
                <w:szCs w:val="22"/>
                <w:lang w:val="de-DE"/>
                <w:rPrChange w:id="11208" w:author="TCS" w:date="2026-03-20T13:59:00Z">
                  <w:rPr>
                    <w:ins w:id="11209" w:author="Author"/>
                    <w:b/>
                    <w:lang w:val="de-DE"/>
                  </w:rPr>
                </w:rPrChange>
              </w:rPr>
            </w:pPr>
            <w:ins w:id="11210" w:author="Author">
              <w:r>
                <w:rPr>
                  <w:rFonts w:ascii="Times New Roman" w:hAnsi="Times New Roman"/>
                  <w:b/>
                  <w:noProof/>
                  <w:sz w:val="22"/>
                  <w:szCs w:val="22"/>
                  <w:lang w:val="de-DE"/>
                  <w:rPrChange w:id="11211" w:author="TCS" w:date="2026-03-20T13:59:00Z">
                    <w:rPr>
                      <w:b/>
                      <w:lang w:val="de-DE"/>
                    </w:rPr>
                  </w:rPrChange>
                </w:rPr>
                <w:t>Hrvatska</w:t>
              </w:r>
            </w:ins>
          </w:p>
          <w:p>
            <w:pPr>
              <w:pStyle w:val="Standard1"/>
              <w:rPr>
                <w:ins w:id="11212" w:author="Author"/>
                <w:rFonts w:ascii="Times New Roman" w:hAnsi="Times New Roman"/>
                <w:noProof/>
                <w:sz w:val="22"/>
                <w:szCs w:val="22"/>
                <w:lang w:val="de-DE"/>
                <w:rPrChange w:id="11213" w:author="TCS" w:date="2026-03-20T13:59:00Z">
                  <w:rPr>
                    <w:ins w:id="11214" w:author="Author"/>
                    <w:lang w:val="de-DE"/>
                  </w:rPr>
                </w:rPrChange>
              </w:rPr>
            </w:pPr>
            <w:ins w:id="11215" w:author="Author">
              <w:r>
                <w:rPr>
                  <w:rFonts w:ascii="Times New Roman" w:hAnsi="Times New Roman"/>
                  <w:noProof/>
                  <w:sz w:val="22"/>
                  <w:szCs w:val="22"/>
                  <w:lang w:val="de-DE"/>
                  <w:rPrChange w:id="11216" w:author="TCS" w:date="2026-03-20T13:59:00Z">
                    <w:rPr>
                      <w:lang w:val="de-DE"/>
                    </w:rPr>
                  </w:rPrChange>
                </w:rPr>
                <w:t xml:space="preserve">Roche </w:t>
              </w:r>
              <w:r>
                <w:rPr>
                  <w:rFonts w:ascii="Times New Roman" w:hAnsi="Times New Roman"/>
                  <w:noProof/>
                  <w:sz w:val="22"/>
                  <w:szCs w:val="22"/>
                  <w:lang w:val="de-DE"/>
                  <w:rPrChange w:id="11217" w:author="TCS" w:date="2026-03-20T13:59:00Z">
                    <w:rPr>
                      <w:szCs w:val="22"/>
                      <w:lang w:val="de-DE"/>
                    </w:rPr>
                  </w:rPrChange>
                </w:rPr>
                <w:t>d.o.o</w:t>
              </w:r>
            </w:ins>
          </w:p>
          <w:p>
            <w:pPr>
              <w:pStyle w:val="Standard1"/>
              <w:rPr>
                <w:ins w:id="11218" w:author="Author"/>
                <w:rFonts w:ascii="Times New Roman" w:hAnsi="Times New Roman"/>
                <w:noProof/>
                <w:sz w:val="22"/>
                <w:szCs w:val="22"/>
                <w:lang w:val="de-DE"/>
                <w:rPrChange w:id="11219" w:author="TCS" w:date="2026-03-20T13:59:00Z">
                  <w:rPr>
                    <w:ins w:id="11220" w:author="Author"/>
                    <w:lang w:val="de-DE"/>
                  </w:rPr>
                </w:rPrChange>
              </w:rPr>
            </w:pPr>
            <w:ins w:id="11221" w:author="Author">
              <w:r>
                <w:rPr>
                  <w:rFonts w:ascii="Times New Roman" w:hAnsi="Times New Roman"/>
                  <w:noProof/>
                  <w:sz w:val="22"/>
                  <w:szCs w:val="22"/>
                  <w:lang w:val="de-DE"/>
                  <w:rPrChange w:id="11222" w:author="TCS" w:date="2026-03-20T13:59:00Z">
                    <w:rPr>
                      <w:lang w:val="de-DE"/>
                    </w:rPr>
                  </w:rPrChange>
                </w:rPr>
                <w:t>Tel: +</w:t>
              </w:r>
              <w:r>
                <w:rPr>
                  <w:rFonts w:ascii="Times New Roman" w:hAnsi="Times New Roman"/>
                  <w:noProof/>
                  <w:sz w:val="22"/>
                  <w:szCs w:val="22"/>
                  <w:lang w:val="de-DE"/>
                  <w:rPrChange w:id="11223" w:author="TCS" w:date="2026-03-20T13:59:00Z">
                    <w:rPr>
                      <w:szCs w:val="22"/>
                      <w:lang w:val="de-DE"/>
                    </w:rPr>
                  </w:rPrChange>
                </w:rPr>
                <w:t>385</w:t>
              </w:r>
              <w:r>
                <w:rPr>
                  <w:rFonts w:ascii="Times New Roman" w:hAnsi="Times New Roman"/>
                  <w:noProof/>
                  <w:sz w:val="22"/>
                  <w:szCs w:val="22"/>
                  <w:lang w:val="de-DE"/>
                  <w:rPrChange w:id="11224" w:author="TCS" w:date="2026-03-20T13:59:00Z">
                    <w:rPr>
                      <w:lang w:val="de-DE"/>
                    </w:rPr>
                  </w:rPrChange>
                </w:rPr>
                <w:t xml:space="preserve"> 1 </w:t>
              </w:r>
              <w:r>
                <w:rPr>
                  <w:rFonts w:ascii="Times New Roman" w:hAnsi="Times New Roman"/>
                  <w:noProof/>
                  <w:sz w:val="22"/>
                  <w:szCs w:val="22"/>
                  <w:lang w:val="de-DE"/>
                  <w:rPrChange w:id="11225" w:author="TCS" w:date="2026-03-20T13:59:00Z">
                    <w:rPr>
                      <w:szCs w:val="22"/>
                      <w:lang w:val="de-DE"/>
                    </w:rPr>
                  </w:rPrChange>
                </w:rPr>
                <w:t>47 22 333</w:t>
              </w:r>
            </w:ins>
          </w:p>
          <w:p>
            <w:pPr>
              <w:pStyle w:val="Standard1"/>
              <w:rPr>
                <w:ins w:id="11226" w:author="Author"/>
                <w:rFonts w:ascii="Times New Roman" w:hAnsi="Times New Roman"/>
                <w:b/>
                <w:noProof/>
                <w:sz w:val="22"/>
                <w:szCs w:val="22"/>
                <w:lang w:val="de-DE"/>
                <w:rPrChange w:id="11227" w:author="TCS" w:date="2026-03-20T13:59:00Z">
                  <w:rPr>
                    <w:ins w:id="11228" w:author="Author"/>
                    <w:b/>
                    <w:lang w:val="de-DE"/>
                  </w:rPr>
                </w:rPrChange>
              </w:rPr>
            </w:pPr>
          </w:p>
        </w:tc>
        <w:tc>
          <w:tcPr>
            <w:tcW w:w="4590" w:type="dxa"/>
          </w:tcPr>
          <w:p>
            <w:pPr>
              <w:pStyle w:val="Standard1"/>
              <w:rPr>
                <w:ins w:id="11229" w:author="Author"/>
                <w:rFonts w:ascii="Times New Roman" w:hAnsi="Times New Roman"/>
                <w:b/>
                <w:noProof/>
                <w:sz w:val="22"/>
                <w:szCs w:val="22"/>
                <w:lang w:val="de-DE"/>
                <w:rPrChange w:id="11230" w:author="TCS" w:date="2026-03-20T13:59:00Z">
                  <w:rPr>
                    <w:ins w:id="11231" w:author="Author"/>
                    <w:b/>
                    <w:lang w:val="de-DE"/>
                  </w:rPr>
                </w:rPrChange>
              </w:rPr>
            </w:pPr>
            <w:ins w:id="11232" w:author="Author">
              <w:r>
                <w:rPr>
                  <w:rFonts w:ascii="Times New Roman" w:hAnsi="Times New Roman"/>
                  <w:b/>
                  <w:noProof/>
                  <w:sz w:val="22"/>
                  <w:szCs w:val="22"/>
                  <w:lang w:val="de-DE"/>
                  <w:rPrChange w:id="11233" w:author="TCS" w:date="2026-03-20T13:59:00Z">
                    <w:rPr>
                      <w:b/>
                      <w:lang w:val="de-DE"/>
                    </w:rPr>
                  </w:rPrChange>
                </w:rPr>
                <w:t>Slovenija</w:t>
              </w:r>
            </w:ins>
          </w:p>
          <w:p>
            <w:pPr>
              <w:pStyle w:val="Standard1"/>
              <w:rPr>
                <w:ins w:id="11234" w:author="Author"/>
                <w:rFonts w:ascii="Times New Roman" w:hAnsi="Times New Roman"/>
                <w:noProof/>
                <w:sz w:val="22"/>
                <w:szCs w:val="22"/>
                <w:lang w:val="de-DE"/>
                <w:rPrChange w:id="11235" w:author="TCS" w:date="2026-03-20T13:59:00Z">
                  <w:rPr>
                    <w:ins w:id="11236" w:author="Author"/>
                    <w:lang w:val="de-DE"/>
                  </w:rPr>
                </w:rPrChange>
              </w:rPr>
            </w:pPr>
            <w:ins w:id="11237" w:author="Author">
              <w:r>
                <w:rPr>
                  <w:rFonts w:ascii="Times New Roman" w:hAnsi="Times New Roman"/>
                  <w:noProof/>
                  <w:sz w:val="22"/>
                  <w:szCs w:val="22"/>
                  <w:lang w:val="de-DE"/>
                  <w:rPrChange w:id="11238" w:author="TCS" w:date="2026-03-20T13:59:00Z">
                    <w:rPr>
                      <w:lang w:val="de-DE"/>
                    </w:rPr>
                  </w:rPrChange>
                </w:rPr>
                <w:t>Roche farmacevtska družba d.o.o.</w:t>
              </w:r>
            </w:ins>
          </w:p>
          <w:p>
            <w:pPr>
              <w:pStyle w:val="Standard1"/>
              <w:rPr>
                <w:ins w:id="11239" w:author="Author"/>
                <w:rFonts w:ascii="Times New Roman" w:eastAsia="MS Mincho" w:hAnsi="Times New Roman"/>
                <w:noProof/>
                <w:sz w:val="22"/>
                <w:szCs w:val="22"/>
                <w:rPrChange w:id="11240" w:author="TCS" w:date="2026-03-20T13:59:00Z">
                  <w:rPr>
                    <w:ins w:id="11241" w:author="Author"/>
                    <w:rFonts w:eastAsia="MS Mincho"/>
                    <w:noProof/>
                    <w:szCs w:val="22"/>
                    <w:lang w:val="en-GB"/>
                  </w:rPr>
                </w:rPrChange>
              </w:rPr>
            </w:pPr>
            <w:ins w:id="11242" w:author="Author">
              <w:r>
                <w:rPr>
                  <w:rFonts w:ascii="Times New Roman" w:eastAsia="MS Mincho" w:hAnsi="Times New Roman"/>
                  <w:noProof/>
                  <w:sz w:val="22"/>
                  <w:szCs w:val="22"/>
                  <w:rPrChange w:id="11243" w:author="TCS" w:date="2026-03-20T13:59:00Z">
                    <w:rPr>
                      <w:rFonts w:eastAsia="MS Mincho"/>
                      <w:noProof/>
                      <w:szCs w:val="22"/>
                      <w:lang w:val="en-GB"/>
                    </w:rPr>
                  </w:rPrChange>
                </w:rPr>
                <w:t>Tel: +386 - 1 360 26 00</w:t>
              </w:r>
            </w:ins>
          </w:p>
          <w:p>
            <w:pPr>
              <w:pStyle w:val="Standard1"/>
              <w:rPr>
                <w:ins w:id="11244" w:author="Author"/>
                <w:rFonts w:ascii="Times New Roman" w:hAnsi="Times New Roman"/>
                <w:b/>
                <w:noProof/>
                <w:sz w:val="22"/>
                <w:szCs w:val="22"/>
                <w:rPrChange w:id="11245" w:author="TCS" w:date="2026-03-20T13:59:00Z">
                  <w:rPr>
                    <w:ins w:id="11246" w:author="Author"/>
                    <w:b/>
                    <w:lang w:val="fr-FR"/>
                  </w:rPr>
                </w:rPrChange>
              </w:rPr>
            </w:pPr>
          </w:p>
        </w:tc>
      </w:tr>
      <w:tr>
        <w:trPr>
          <w:cantSplit/>
          <w:trHeight w:val="1296"/>
          <w:ins w:id="11247" w:author="Author"/>
        </w:trPr>
        <w:tc>
          <w:tcPr>
            <w:tcW w:w="4590" w:type="dxa"/>
          </w:tcPr>
          <w:p>
            <w:pPr>
              <w:pStyle w:val="Standard1"/>
              <w:rPr>
                <w:ins w:id="11248" w:author="Author"/>
                <w:rFonts w:ascii="Times New Roman" w:hAnsi="Times New Roman"/>
                <w:b/>
                <w:noProof/>
                <w:sz w:val="22"/>
                <w:szCs w:val="22"/>
                <w:lang w:val="en-US"/>
                <w:rPrChange w:id="11249" w:author="TCS" w:date="2026-03-20T13:59:00Z">
                  <w:rPr>
                    <w:ins w:id="11250" w:author="Author"/>
                    <w:b/>
                    <w:noProof/>
                    <w:szCs w:val="22"/>
                    <w:lang w:val="en-GB"/>
                  </w:rPr>
                </w:rPrChange>
              </w:rPr>
            </w:pPr>
            <w:ins w:id="11251" w:author="Author">
              <w:r>
                <w:rPr>
                  <w:rFonts w:ascii="Times New Roman" w:hAnsi="Times New Roman"/>
                  <w:b/>
                  <w:noProof/>
                  <w:sz w:val="22"/>
                  <w:szCs w:val="22"/>
                  <w:lang w:val="en-US"/>
                  <w:rPrChange w:id="11252" w:author="TCS" w:date="2026-03-20T13:59:00Z">
                    <w:rPr>
                      <w:b/>
                      <w:noProof/>
                      <w:szCs w:val="22"/>
                      <w:lang w:val="en-GB"/>
                    </w:rPr>
                  </w:rPrChange>
                </w:rPr>
                <w:t>Ireland, Malta</w:t>
              </w:r>
            </w:ins>
          </w:p>
          <w:p>
            <w:pPr>
              <w:pStyle w:val="Standard1"/>
              <w:rPr>
                <w:ins w:id="11253" w:author="Author"/>
                <w:rFonts w:ascii="Times New Roman" w:hAnsi="Times New Roman"/>
                <w:noProof/>
                <w:sz w:val="22"/>
                <w:szCs w:val="22"/>
                <w:lang w:val="en-US"/>
                <w:rPrChange w:id="11254" w:author="TCS" w:date="2026-03-20T13:59:00Z">
                  <w:rPr>
                    <w:ins w:id="11255" w:author="Author"/>
                    <w:noProof/>
                    <w:szCs w:val="22"/>
                    <w:lang w:val="en-GB"/>
                  </w:rPr>
                </w:rPrChange>
              </w:rPr>
            </w:pPr>
            <w:ins w:id="11256" w:author="Author">
              <w:r>
                <w:rPr>
                  <w:rFonts w:ascii="Times New Roman" w:hAnsi="Times New Roman"/>
                  <w:noProof/>
                  <w:sz w:val="22"/>
                  <w:szCs w:val="22"/>
                  <w:lang w:val="en-US"/>
                  <w:rPrChange w:id="11257" w:author="TCS" w:date="2026-03-20T13:59:00Z">
                    <w:rPr>
                      <w:noProof/>
                      <w:szCs w:val="22"/>
                      <w:lang w:val="en-GB"/>
                    </w:rPr>
                  </w:rPrChange>
                </w:rPr>
                <w:t>Roche Products (Ireland) Ltd.</w:t>
              </w:r>
            </w:ins>
          </w:p>
          <w:p>
            <w:pPr>
              <w:pStyle w:val="Standard1"/>
              <w:rPr>
                <w:ins w:id="11258" w:author="Author"/>
                <w:rFonts w:ascii="Times New Roman" w:hAnsi="Times New Roman"/>
                <w:noProof/>
                <w:sz w:val="22"/>
                <w:szCs w:val="22"/>
                <w:rPrChange w:id="11259" w:author="TCS" w:date="2026-03-20T13:59:00Z">
                  <w:rPr>
                    <w:ins w:id="11260" w:author="Author"/>
                    <w:noProof/>
                    <w:szCs w:val="22"/>
                    <w:lang w:val="en-GB"/>
                  </w:rPr>
                </w:rPrChange>
              </w:rPr>
            </w:pPr>
            <w:ins w:id="11261" w:author="Author">
              <w:r>
                <w:rPr>
                  <w:rFonts w:ascii="Times New Roman" w:hAnsi="Times New Roman"/>
                  <w:noProof/>
                  <w:sz w:val="22"/>
                  <w:szCs w:val="22"/>
                  <w:rPrChange w:id="11262" w:author="TCS" w:date="2026-03-20T13:59:00Z">
                    <w:rPr>
                      <w:noProof/>
                      <w:szCs w:val="22"/>
                      <w:lang w:val="en-GB"/>
                    </w:rPr>
                  </w:rPrChange>
                </w:rPr>
                <w:t>Ireland/L-Irlanda</w:t>
              </w:r>
            </w:ins>
          </w:p>
          <w:p>
            <w:pPr>
              <w:pStyle w:val="Standard1"/>
              <w:rPr>
                <w:ins w:id="11263" w:author="Author"/>
                <w:rFonts w:ascii="Times New Roman" w:hAnsi="Times New Roman"/>
                <w:noProof/>
                <w:sz w:val="22"/>
                <w:szCs w:val="22"/>
                <w:rPrChange w:id="11264" w:author="TCS" w:date="2026-03-20T13:59:00Z">
                  <w:rPr>
                    <w:ins w:id="11265" w:author="Author"/>
                    <w:noProof/>
                    <w:szCs w:val="22"/>
                    <w:lang w:val="en-GB"/>
                  </w:rPr>
                </w:rPrChange>
              </w:rPr>
            </w:pPr>
            <w:ins w:id="11266" w:author="Author">
              <w:r>
                <w:rPr>
                  <w:rFonts w:ascii="Times New Roman" w:hAnsi="Times New Roman"/>
                  <w:noProof/>
                  <w:sz w:val="22"/>
                  <w:szCs w:val="22"/>
                  <w:rPrChange w:id="11267" w:author="TCS" w:date="2026-03-20T13:59:00Z">
                    <w:rPr>
                      <w:noProof/>
                      <w:szCs w:val="22"/>
                      <w:lang w:val="en-GB"/>
                    </w:rPr>
                  </w:rPrChange>
                </w:rPr>
                <w:t>Tel: +353 (0) 1 469 0700</w:t>
              </w:r>
            </w:ins>
          </w:p>
          <w:p>
            <w:pPr>
              <w:pStyle w:val="Standard1"/>
              <w:rPr>
                <w:ins w:id="11268" w:author="Author"/>
                <w:rFonts w:ascii="Times New Roman" w:hAnsi="Times New Roman"/>
                <w:noProof/>
                <w:sz w:val="22"/>
                <w:szCs w:val="22"/>
                <w:rPrChange w:id="11269" w:author="TCS" w:date="2026-03-20T13:59:00Z">
                  <w:rPr>
                    <w:ins w:id="11270" w:author="Author"/>
                    <w:lang w:val="en-GB"/>
                  </w:rPr>
                </w:rPrChange>
              </w:rPr>
            </w:pPr>
          </w:p>
        </w:tc>
        <w:tc>
          <w:tcPr>
            <w:tcW w:w="4590" w:type="dxa"/>
          </w:tcPr>
          <w:p>
            <w:pPr>
              <w:pStyle w:val="Standard1"/>
              <w:rPr>
                <w:ins w:id="11271" w:author="Author"/>
                <w:rFonts w:ascii="Times New Roman" w:hAnsi="Times New Roman"/>
                <w:b/>
                <w:noProof/>
                <w:sz w:val="22"/>
                <w:szCs w:val="22"/>
                <w:rPrChange w:id="11272" w:author="TCS" w:date="2026-03-20T13:59:00Z">
                  <w:rPr>
                    <w:ins w:id="11273" w:author="Author"/>
                    <w:b/>
                  </w:rPr>
                </w:rPrChange>
              </w:rPr>
            </w:pPr>
            <w:ins w:id="11274" w:author="Author">
              <w:r>
                <w:rPr>
                  <w:rFonts w:ascii="Times New Roman" w:hAnsi="Times New Roman"/>
                  <w:b/>
                  <w:noProof/>
                  <w:sz w:val="22"/>
                  <w:szCs w:val="22"/>
                  <w:rPrChange w:id="11275" w:author="TCS" w:date="2026-03-20T13:59:00Z">
                    <w:rPr>
                      <w:b/>
                    </w:rPr>
                  </w:rPrChange>
                </w:rPr>
                <w:t xml:space="preserve">Slovenská republika </w:t>
              </w:r>
            </w:ins>
          </w:p>
          <w:p>
            <w:pPr>
              <w:pStyle w:val="Standard1"/>
              <w:rPr>
                <w:ins w:id="11276" w:author="Author"/>
                <w:rFonts w:ascii="Times New Roman" w:hAnsi="Times New Roman"/>
                <w:noProof/>
                <w:sz w:val="22"/>
                <w:szCs w:val="22"/>
                <w:rPrChange w:id="11277" w:author="TCS" w:date="2026-03-20T13:59:00Z">
                  <w:rPr>
                    <w:ins w:id="11278" w:author="Author"/>
                  </w:rPr>
                </w:rPrChange>
              </w:rPr>
            </w:pPr>
            <w:ins w:id="11279" w:author="Author">
              <w:r>
                <w:rPr>
                  <w:rFonts w:ascii="Times New Roman" w:hAnsi="Times New Roman"/>
                  <w:noProof/>
                  <w:sz w:val="22"/>
                  <w:szCs w:val="22"/>
                  <w:rPrChange w:id="11280" w:author="TCS" w:date="2026-03-20T13:59:00Z">
                    <w:rPr/>
                  </w:rPrChange>
                </w:rPr>
                <w:t>Roche Slovensko, s.r.o.</w:t>
              </w:r>
            </w:ins>
          </w:p>
          <w:p>
            <w:pPr>
              <w:pStyle w:val="Standard1"/>
              <w:rPr>
                <w:ins w:id="11281" w:author="Author"/>
                <w:rFonts w:ascii="Times New Roman" w:hAnsi="Times New Roman"/>
                <w:noProof/>
                <w:sz w:val="22"/>
                <w:szCs w:val="22"/>
                <w:rPrChange w:id="11282" w:author="TCS" w:date="2026-03-20T13:59:00Z">
                  <w:rPr>
                    <w:ins w:id="11283" w:author="Author"/>
                    <w:noProof/>
                    <w:szCs w:val="22"/>
                    <w:lang w:val="en-GB"/>
                  </w:rPr>
                </w:rPrChange>
              </w:rPr>
            </w:pPr>
            <w:ins w:id="11284" w:author="Author">
              <w:r>
                <w:rPr>
                  <w:rFonts w:ascii="Times New Roman" w:hAnsi="Times New Roman"/>
                  <w:noProof/>
                  <w:sz w:val="22"/>
                  <w:szCs w:val="22"/>
                  <w:rPrChange w:id="11285" w:author="TCS" w:date="2026-03-20T13:59:00Z">
                    <w:rPr>
                      <w:noProof/>
                      <w:szCs w:val="22"/>
                      <w:lang w:val="en-GB"/>
                    </w:rPr>
                  </w:rPrChange>
                </w:rPr>
                <w:t>Tel: +421 - 2 52638201</w:t>
              </w:r>
            </w:ins>
          </w:p>
          <w:p>
            <w:pPr>
              <w:pStyle w:val="Standard1"/>
              <w:rPr>
                <w:ins w:id="11286" w:author="Author"/>
                <w:rFonts w:ascii="Times New Roman" w:hAnsi="Times New Roman"/>
                <w:noProof/>
                <w:sz w:val="22"/>
                <w:szCs w:val="22"/>
                <w:rPrChange w:id="11287" w:author="TCS" w:date="2026-03-20T13:59:00Z">
                  <w:rPr>
                    <w:ins w:id="11288" w:author="Author"/>
                    <w:lang w:val="en-GB"/>
                  </w:rPr>
                </w:rPrChange>
              </w:rPr>
            </w:pPr>
          </w:p>
        </w:tc>
      </w:tr>
      <w:tr>
        <w:trPr>
          <w:cantSplit/>
          <w:ins w:id="11289" w:author="Author"/>
        </w:trPr>
        <w:tc>
          <w:tcPr>
            <w:tcW w:w="4590" w:type="dxa"/>
          </w:tcPr>
          <w:p>
            <w:pPr>
              <w:pStyle w:val="Standard1"/>
              <w:tabs>
                <w:tab w:val="left" w:pos="720"/>
              </w:tabs>
              <w:rPr>
                <w:ins w:id="11290" w:author="Author"/>
                <w:rFonts w:ascii="Times New Roman" w:hAnsi="Times New Roman"/>
                <w:b/>
                <w:noProof/>
                <w:snapToGrid w:val="0"/>
                <w:sz w:val="22"/>
                <w:szCs w:val="22"/>
                <w:lang w:val="en-US"/>
                <w:rPrChange w:id="11291" w:author="TCS" w:date="2026-03-20T13:59:00Z">
                  <w:rPr>
                    <w:ins w:id="11292" w:author="Author"/>
                    <w:b/>
                    <w:noProof/>
                    <w:snapToGrid w:val="0"/>
                    <w:szCs w:val="22"/>
                    <w:lang w:val="en-GB"/>
                  </w:rPr>
                </w:rPrChange>
              </w:rPr>
            </w:pPr>
            <w:ins w:id="11293" w:author="Author">
              <w:r>
                <w:rPr>
                  <w:rFonts w:ascii="Times New Roman" w:hAnsi="Times New Roman"/>
                  <w:b/>
                  <w:noProof/>
                  <w:snapToGrid w:val="0"/>
                  <w:sz w:val="22"/>
                  <w:szCs w:val="22"/>
                  <w:lang w:val="en-US"/>
                  <w:rPrChange w:id="11294" w:author="TCS" w:date="2026-03-20T13:59:00Z">
                    <w:rPr>
                      <w:b/>
                      <w:noProof/>
                      <w:snapToGrid w:val="0"/>
                      <w:szCs w:val="22"/>
                      <w:lang w:val="en-GB"/>
                    </w:rPr>
                  </w:rPrChange>
                </w:rPr>
                <w:t xml:space="preserve">Ísland </w:t>
              </w:r>
            </w:ins>
          </w:p>
          <w:p>
            <w:pPr>
              <w:pStyle w:val="Standard1"/>
              <w:tabs>
                <w:tab w:val="left" w:pos="720"/>
              </w:tabs>
              <w:rPr>
                <w:ins w:id="11295" w:author="Author"/>
                <w:rFonts w:ascii="Times New Roman" w:hAnsi="Times New Roman"/>
                <w:noProof/>
                <w:snapToGrid w:val="0"/>
                <w:sz w:val="22"/>
                <w:szCs w:val="22"/>
                <w:lang w:val="en-US"/>
                <w:rPrChange w:id="11296" w:author="TCS" w:date="2026-03-20T13:59:00Z">
                  <w:rPr>
                    <w:ins w:id="11297" w:author="Author"/>
                    <w:noProof/>
                    <w:snapToGrid w:val="0"/>
                    <w:szCs w:val="22"/>
                    <w:lang w:val="en-GB"/>
                  </w:rPr>
                </w:rPrChange>
              </w:rPr>
            </w:pPr>
            <w:ins w:id="11298" w:author="Author">
              <w:r>
                <w:rPr>
                  <w:rFonts w:ascii="Times New Roman" w:hAnsi="Times New Roman"/>
                  <w:noProof/>
                  <w:sz w:val="22"/>
                  <w:szCs w:val="22"/>
                  <w:lang w:val="en-US"/>
                  <w:rPrChange w:id="11299" w:author="TCS" w:date="2026-03-20T13:59:00Z">
                    <w:rPr>
                      <w:lang w:val="en-GB"/>
                    </w:rPr>
                  </w:rPrChange>
                </w:rPr>
                <w:t>Roche Pharmaceuticals A/S</w:t>
              </w:r>
            </w:ins>
          </w:p>
          <w:p>
            <w:pPr>
              <w:pStyle w:val="Standard1"/>
              <w:tabs>
                <w:tab w:val="left" w:pos="720"/>
              </w:tabs>
              <w:rPr>
                <w:ins w:id="11300" w:author="Author"/>
                <w:rFonts w:ascii="Times New Roman" w:hAnsi="Times New Roman"/>
                <w:noProof/>
                <w:snapToGrid w:val="0"/>
                <w:sz w:val="22"/>
                <w:szCs w:val="22"/>
                <w:lang w:val="en-US"/>
                <w:rPrChange w:id="11301" w:author="TCS" w:date="2026-03-20T13:59:00Z">
                  <w:rPr>
                    <w:ins w:id="11302" w:author="Author"/>
                    <w:noProof/>
                    <w:snapToGrid w:val="0"/>
                    <w:szCs w:val="22"/>
                    <w:lang w:val="en-GB"/>
                  </w:rPr>
                </w:rPrChange>
              </w:rPr>
            </w:pPr>
            <w:ins w:id="11303" w:author="Author">
              <w:r>
                <w:rPr>
                  <w:rFonts w:ascii="Times New Roman" w:hAnsi="Times New Roman"/>
                  <w:noProof/>
                  <w:sz w:val="22"/>
                  <w:szCs w:val="22"/>
                  <w:lang w:val="en-US"/>
                  <w:rPrChange w:id="11304" w:author="TCS" w:date="2026-03-20T13:59:00Z">
                    <w:rPr>
                      <w:noProof/>
                      <w:szCs w:val="22"/>
                      <w:lang w:val="en-GB"/>
                    </w:rPr>
                  </w:rPrChange>
                </w:rPr>
                <w:t>c/o Icepharma hf</w:t>
              </w:r>
            </w:ins>
          </w:p>
          <w:p>
            <w:pPr>
              <w:pStyle w:val="Standard1"/>
              <w:rPr>
                <w:ins w:id="11305" w:author="Author"/>
                <w:rFonts w:ascii="Times New Roman" w:hAnsi="Times New Roman"/>
                <w:noProof/>
                <w:snapToGrid w:val="0"/>
                <w:sz w:val="22"/>
                <w:szCs w:val="22"/>
                <w:rPrChange w:id="11306" w:author="TCS" w:date="2026-03-20T13:59:00Z">
                  <w:rPr>
                    <w:ins w:id="11307" w:author="Author"/>
                    <w:noProof/>
                    <w:snapToGrid w:val="0"/>
                    <w:szCs w:val="22"/>
                    <w:lang w:val="en-GB"/>
                  </w:rPr>
                </w:rPrChange>
              </w:rPr>
            </w:pPr>
            <w:ins w:id="11308" w:author="Author">
              <w:r>
                <w:rPr>
                  <w:rFonts w:ascii="Times New Roman" w:hAnsi="Times New Roman"/>
                  <w:noProof/>
                  <w:sz w:val="22"/>
                  <w:szCs w:val="22"/>
                  <w:rPrChange w:id="11309" w:author="TCS" w:date="2026-03-20T13:59:00Z">
                    <w:rPr>
                      <w:noProof/>
                      <w:szCs w:val="22"/>
                      <w:lang w:val="en-GB"/>
                    </w:rPr>
                  </w:rPrChange>
                </w:rPr>
                <w:t>Sími</w:t>
              </w:r>
              <w:r>
                <w:rPr>
                  <w:rFonts w:ascii="Times New Roman" w:hAnsi="Times New Roman"/>
                  <w:noProof/>
                  <w:snapToGrid w:val="0"/>
                  <w:sz w:val="22"/>
                  <w:szCs w:val="22"/>
                  <w:rPrChange w:id="11310" w:author="TCS" w:date="2026-03-20T13:59:00Z">
                    <w:rPr>
                      <w:noProof/>
                      <w:snapToGrid w:val="0"/>
                      <w:szCs w:val="22"/>
                      <w:lang w:val="en-GB"/>
                    </w:rPr>
                  </w:rPrChange>
                </w:rPr>
                <w:t>: +354 540 8000</w:t>
              </w:r>
            </w:ins>
          </w:p>
          <w:p>
            <w:pPr>
              <w:pStyle w:val="Standard1"/>
              <w:tabs>
                <w:tab w:val="left" w:pos="720"/>
              </w:tabs>
              <w:rPr>
                <w:ins w:id="11311" w:author="Author"/>
                <w:rFonts w:ascii="Times New Roman" w:hAnsi="Times New Roman"/>
                <w:b/>
                <w:noProof/>
                <w:sz w:val="22"/>
                <w:szCs w:val="22"/>
                <w:rPrChange w:id="11312" w:author="TCS" w:date="2026-03-20T13:59:00Z">
                  <w:rPr>
                    <w:ins w:id="11313" w:author="Author"/>
                    <w:b/>
                    <w:noProof/>
                    <w:szCs w:val="22"/>
                    <w:lang w:val="en-GB"/>
                  </w:rPr>
                </w:rPrChange>
              </w:rPr>
            </w:pPr>
          </w:p>
        </w:tc>
        <w:tc>
          <w:tcPr>
            <w:tcW w:w="4590" w:type="dxa"/>
          </w:tcPr>
          <w:p>
            <w:pPr>
              <w:pStyle w:val="Standard1"/>
              <w:rPr>
                <w:ins w:id="11314" w:author="Author"/>
                <w:rFonts w:ascii="Times New Roman" w:hAnsi="Times New Roman"/>
                <w:b/>
                <w:noProof/>
                <w:sz w:val="22"/>
                <w:szCs w:val="22"/>
                <w:lang w:val="de-DE"/>
                <w:rPrChange w:id="11315" w:author="TCS" w:date="2026-03-20T13:59:00Z">
                  <w:rPr>
                    <w:ins w:id="11316" w:author="Author"/>
                    <w:b/>
                    <w:lang w:val="de-DE"/>
                  </w:rPr>
                </w:rPrChange>
              </w:rPr>
            </w:pPr>
            <w:ins w:id="11317" w:author="Author">
              <w:r>
                <w:rPr>
                  <w:rFonts w:ascii="Times New Roman" w:hAnsi="Times New Roman"/>
                  <w:b/>
                  <w:noProof/>
                  <w:sz w:val="22"/>
                  <w:szCs w:val="22"/>
                  <w:lang w:val="de-DE"/>
                  <w:rPrChange w:id="11318" w:author="TCS" w:date="2026-03-20T13:59:00Z">
                    <w:rPr>
                      <w:b/>
                      <w:lang w:val="de-DE"/>
                    </w:rPr>
                  </w:rPrChange>
                </w:rPr>
                <w:t>Suomi/Finland</w:t>
              </w:r>
            </w:ins>
          </w:p>
          <w:p>
            <w:pPr>
              <w:pStyle w:val="Standard1"/>
              <w:rPr>
                <w:ins w:id="11319" w:author="Author"/>
                <w:rFonts w:ascii="Times New Roman" w:hAnsi="Times New Roman"/>
                <w:noProof/>
                <w:sz w:val="22"/>
                <w:szCs w:val="22"/>
                <w:lang w:val="de-DE"/>
                <w:rPrChange w:id="11320" w:author="TCS" w:date="2026-03-20T13:59:00Z">
                  <w:rPr>
                    <w:ins w:id="11321" w:author="Author"/>
                    <w:lang w:val="de-DE"/>
                  </w:rPr>
                </w:rPrChange>
              </w:rPr>
            </w:pPr>
            <w:ins w:id="11322" w:author="Author">
              <w:r>
                <w:rPr>
                  <w:rFonts w:ascii="Times New Roman" w:hAnsi="Times New Roman"/>
                  <w:noProof/>
                  <w:sz w:val="22"/>
                  <w:szCs w:val="22"/>
                  <w:lang w:val="de-DE"/>
                  <w:rPrChange w:id="11323" w:author="TCS" w:date="2026-03-20T13:59:00Z">
                    <w:rPr>
                      <w:lang w:val="de-DE"/>
                    </w:rPr>
                  </w:rPrChange>
                </w:rPr>
                <w:t xml:space="preserve">Roche Oy </w:t>
              </w:r>
            </w:ins>
          </w:p>
          <w:p>
            <w:pPr>
              <w:pStyle w:val="Standard1"/>
              <w:rPr>
                <w:ins w:id="11324" w:author="Author"/>
                <w:rFonts w:ascii="Times New Roman" w:hAnsi="Times New Roman"/>
                <w:noProof/>
                <w:sz w:val="22"/>
                <w:szCs w:val="22"/>
                <w:lang w:val="de-DE"/>
                <w:rPrChange w:id="11325" w:author="TCS" w:date="2026-03-20T13:59:00Z">
                  <w:rPr>
                    <w:ins w:id="11326" w:author="Author"/>
                    <w:lang w:val="de-DE"/>
                  </w:rPr>
                </w:rPrChange>
              </w:rPr>
            </w:pPr>
            <w:ins w:id="11327" w:author="Author">
              <w:r>
                <w:rPr>
                  <w:rFonts w:ascii="Times New Roman" w:hAnsi="Times New Roman"/>
                  <w:noProof/>
                  <w:sz w:val="22"/>
                  <w:szCs w:val="22"/>
                  <w:lang w:val="de-DE"/>
                  <w:rPrChange w:id="11328" w:author="TCS" w:date="2026-03-20T13:59:00Z">
                    <w:rPr>
                      <w:lang w:val="de-DE"/>
                    </w:rPr>
                  </w:rPrChange>
                </w:rPr>
                <w:t>Puh/Tel: +358 (0) 10 554 500</w:t>
              </w:r>
            </w:ins>
          </w:p>
          <w:p>
            <w:pPr>
              <w:pStyle w:val="Standard1"/>
              <w:rPr>
                <w:ins w:id="11329" w:author="Author"/>
                <w:rFonts w:ascii="Times New Roman" w:hAnsi="Times New Roman"/>
                <w:b/>
                <w:noProof/>
                <w:sz w:val="22"/>
                <w:szCs w:val="22"/>
                <w:lang w:val="de-DE"/>
                <w:rPrChange w:id="11330" w:author="TCS" w:date="2026-03-20T13:59:00Z">
                  <w:rPr>
                    <w:ins w:id="11331" w:author="Author"/>
                    <w:b/>
                    <w:lang w:val="de-DE"/>
                  </w:rPr>
                </w:rPrChange>
              </w:rPr>
            </w:pPr>
          </w:p>
        </w:tc>
      </w:tr>
      <w:tr>
        <w:trPr>
          <w:cantSplit/>
          <w:ins w:id="11332" w:author="Author"/>
        </w:trPr>
        <w:tc>
          <w:tcPr>
            <w:tcW w:w="4590" w:type="dxa"/>
          </w:tcPr>
          <w:p>
            <w:pPr>
              <w:pStyle w:val="Standard1"/>
              <w:rPr>
                <w:ins w:id="11333" w:author="Author"/>
                <w:rFonts w:ascii="Times New Roman" w:hAnsi="Times New Roman"/>
                <w:noProof/>
                <w:sz w:val="22"/>
                <w:szCs w:val="22"/>
                <w:rPrChange w:id="11334" w:author="TCS" w:date="2026-03-20T13:59:00Z">
                  <w:rPr>
                    <w:ins w:id="11335" w:author="Author"/>
                  </w:rPr>
                </w:rPrChange>
              </w:rPr>
            </w:pPr>
            <w:ins w:id="11336" w:author="Author">
              <w:r>
                <w:rPr>
                  <w:rFonts w:ascii="Times New Roman" w:hAnsi="Times New Roman"/>
                  <w:b/>
                  <w:noProof/>
                  <w:sz w:val="22"/>
                  <w:szCs w:val="22"/>
                  <w:rPrChange w:id="11337" w:author="TCS" w:date="2026-03-20T13:59:00Z">
                    <w:rPr>
                      <w:b/>
                    </w:rPr>
                  </w:rPrChange>
                </w:rPr>
                <w:t>Italia</w:t>
              </w:r>
            </w:ins>
          </w:p>
          <w:p>
            <w:pPr>
              <w:pStyle w:val="Standard1"/>
              <w:rPr>
                <w:ins w:id="11338" w:author="Author"/>
                <w:rFonts w:ascii="Times New Roman" w:hAnsi="Times New Roman"/>
                <w:noProof/>
                <w:sz w:val="22"/>
                <w:szCs w:val="22"/>
                <w:rPrChange w:id="11339" w:author="TCS" w:date="2026-03-20T13:59:00Z">
                  <w:rPr>
                    <w:ins w:id="11340" w:author="Author"/>
                    <w:lang w:val="de-DE"/>
                  </w:rPr>
                </w:rPrChange>
              </w:rPr>
            </w:pPr>
            <w:ins w:id="11341" w:author="Author">
              <w:r>
                <w:rPr>
                  <w:rFonts w:ascii="Times New Roman" w:hAnsi="Times New Roman"/>
                  <w:noProof/>
                  <w:sz w:val="22"/>
                  <w:szCs w:val="22"/>
                  <w:rPrChange w:id="11342" w:author="TCS" w:date="2026-03-20T13:59:00Z">
                    <w:rPr>
                      <w:lang w:val="de-DE"/>
                    </w:rPr>
                  </w:rPrChange>
                </w:rPr>
                <w:t xml:space="preserve">Roche </w:t>
              </w:r>
              <w:r>
                <w:rPr>
                  <w:rFonts w:ascii="Times New Roman" w:hAnsi="Times New Roman"/>
                  <w:noProof/>
                  <w:sz w:val="22"/>
                  <w:szCs w:val="22"/>
                  <w:rPrChange w:id="11343" w:author="TCS" w:date="2026-03-20T13:59:00Z">
                    <w:rPr>
                      <w:noProof/>
                      <w:szCs w:val="22"/>
                      <w:lang w:val="de-DE"/>
                    </w:rPr>
                  </w:rPrChange>
                </w:rPr>
                <w:t>S.p.</w:t>
              </w:r>
              <w:r>
                <w:rPr>
                  <w:rFonts w:ascii="Times New Roman" w:hAnsi="Times New Roman"/>
                  <w:noProof/>
                  <w:sz w:val="22"/>
                  <w:szCs w:val="22"/>
                  <w:rPrChange w:id="11344" w:author="TCS" w:date="2026-03-20T13:59:00Z">
                    <w:rPr>
                      <w:lang w:val="de-DE"/>
                    </w:rPr>
                  </w:rPrChange>
                </w:rPr>
                <w:t>A.</w:t>
              </w:r>
            </w:ins>
          </w:p>
          <w:p>
            <w:pPr>
              <w:pStyle w:val="Standard1"/>
              <w:rPr>
                <w:ins w:id="11345" w:author="Author"/>
                <w:rFonts w:ascii="Times New Roman" w:hAnsi="Times New Roman"/>
                <w:noProof/>
                <w:sz w:val="22"/>
                <w:szCs w:val="22"/>
                <w:rPrChange w:id="11346" w:author="TCS" w:date="2026-03-20T13:59:00Z">
                  <w:rPr>
                    <w:ins w:id="11347" w:author="Author"/>
                    <w:noProof/>
                    <w:szCs w:val="22"/>
                    <w:lang w:val="de-CH"/>
                  </w:rPr>
                </w:rPrChange>
              </w:rPr>
            </w:pPr>
            <w:ins w:id="11348" w:author="Author">
              <w:r>
                <w:rPr>
                  <w:rFonts w:ascii="Times New Roman" w:hAnsi="Times New Roman"/>
                  <w:noProof/>
                  <w:sz w:val="22"/>
                  <w:szCs w:val="22"/>
                  <w:rPrChange w:id="11349" w:author="TCS" w:date="2026-03-20T13:59:00Z">
                    <w:rPr>
                      <w:noProof/>
                      <w:szCs w:val="22"/>
                      <w:lang w:val="de-CH"/>
                    </w:rPr>
                  </w:rPrChange>
                </w:rPr>
                <w:t>Tel: +39 - 039 2471</w:t>
              </w:r>
            </w:ins>
          </w:p>
          <w:p>
            <w:pPr>
              <w:pStyle w:val="Standard1"/>
              <w:rPr>
                <w:ins w:id="11350" w:author="Author"/>
                <w:rFonts w:ascii="Times New Roman" w:hAnsi="Times New Roman"/>
                <w:b/>
                <w:noProof/>
                <w:sz w:val="22"/>
                <w:szCs w:val="22"/>
                <w:rPrChange w:id="11351" w:author="TCS" w:date="2026-03-20T13:59:00Z">
                  <w:rPr>
                    <w:ins w:id="11352" w:author="Author"/>
                    <w:b/>
                    <w:lang w:val="de-CH"/>
                  </w:rPr>
                </w:rPrChange>
              </w:rPr>
            </w:pPr>
          </w:p>
        </w:tc>
        <w:tc>
          <w:tcPr>
            <w:tcW w:w="4590" w:type="dxa"/>
          </w:tcPr>
          <w:p>
            <w:pPr>
              <w:pStyle w:val="Standard1"/>
              <w:rPr>
                <w:ins w:id="11353" w:author="Author"/>
                <w:rFonts w:ascii="Times New Roman" w:hAnsi="Times New Roman"/>
                <w:noProof/>
                <w:sz w:val="22"/>
                <w:szCs w:val="22"/>
                <w:rPrChange w:id="11354" w:author="TCS" w:date="2026-03-20T13:59:00Z">
                  <w:rPr>
                    <w:ins w:id="11355" w:author="Author"/>
                    <w:noProof/>
                    <w:szCs w:val="22"/>
                    <w:lang w:val="en-GB"/>
                  </w:rPr>
                </w:rPrChange>
              </w:rPr>
            </w:pPr>
            <w:ins w:id="11356" w:author="Author">
              <w:r>
                <w:rPr>
                  <w:rFonts w:ascii="Times New Roman" w:hAnsi="Times New Roman"/>
                  <w:b/>
                  <w:noProof/>
                  <w:sz w:val="22"/>
                  <w:szCs w:val="22"/>
                  <w:rPrChange w:id="11357" w:author="TCS" w:date="2026-03-20T13:59:00Z">
                    <w:rPr>
                      <w:b/>
                      <w:noProof/>
                      <w:szCs w:val="22"/>
                      <w:lang w:val="en-GB"/>
                    </w:rPr>
                  </w:rPrChange>
                </w:rPr>
                <w:t>Sverige</w:t>
              </w:r>
            </w:ins>
          </w:p>
          <w:p>
            <w:pPr>
              <w:pStyle w:val="Standard1"/>
              <w:rPr>
                <w:ins w:id="11358" w:author="Author"/>
                <w:rFonts w:ascii="Times New Roman" w:hAnsi="Times New Roman"/>
                <w:noProof/>
                <w:sz w:val="22"/>
                <w:szCs w:val="22"/>
                <w:rPrChange w:id="11359" w:author="TCS" w:date="2026-03-20T13:59:00Z">
                  <w:rPr>
                    <w:ins w:id="11360" w:author="Author"/>
                    <w:noProof/>
                    <w:szCs w:val="22"/>
                    <w:lang w:val="en-GB"/>
                  </w:rPr>
                </w:rPrChange>
              </w:rPr>
            </w:pPr>
            <w:ins w:id="11361" w:author="Author">
              <w:r>
                <w:rPr>
                  <w:rFonts w:ascii="Times New Roman" w:hAnsi="Times New Roman"/>
                  <w:noProof/>
                  <w:sz w:val="22"/>
                  <w:szCs w:val="22"/>
                  <w:rPrChange w:id="11362" w:author="TCS" w:date="2026-03-20T13:59:00Z">
                    <w:rPr>
                      <w:noProof/>
                      <w:szCs w:val="22"/>
                      <w:lang w:val="en-GB"/>
                    </w:rPr>
                  </w:rPrChange>
                </w:rPr>
                <w:t>Roche AB</w:t>
              </w:r>
            </w:ins>
          </w:p>
          <w:p>
            <w:pPr>
              <w:pStyle w:val="Standard1"/>
              <w:suppressAutoHyphens/>
              <w:rPr>
                <w:ins w:id="11363" w:author="Author"/>
                <w:rFonts w:ascii="Times New Roman" w:hAnsi="Times New Roman"/>
                <w:noProof/>
                <w:sz w:val="22"/>
                <w:szCs w:val="22"/>
                <w:rPrChange w:id="11364" w:author="TCS" w:date="2026-03-20T13:59:00Z">
                  <w:rPr>
                    <w:ins w:id="11365" w:author="Author"/>
                    <w:noProof/>
                    <w:szCs w:val="22"/>
                    <w:lang w:val="en-GB"/>
                  </w:rPr>
                </w:rPrChange>
              </w:rPr>
            </w:pPr>
            <w:ins w:id="11366" w:author="Author">
              <w:r>
                <w:rPr>
                  <w:rFonts w:ascii="Times New Roman" w:hAnsi="Times New Roman"/>
                  <w:noProof/>
                  <w:sz w:val="22"/>
                  <w:szCs w:val="22"/>
                  <w:rPrChange w:id="11367" w:author="TCS" w:date="2026-03-20T13:59:00Z">
                    <w:rPr>
                      <w:noProof/>
                      <w:szCs w:val="22"/>
                      <w:lang w:val="en-GB"/>
                    </w:rPr>
                  </w:rPrChange>
                </w:rPr>
                <w:t>Tel: +46 (0) 8 726 1200</w:t>
              </w:r>
            </w:ins>
          </w:p>
          <w:p>
            <w:pPr>
              <w:pStyle w:val="Standard1"/>
              <w:rPr>
                <w:ins w:id="11368" w:author="Author"/>
                <w:rFonts w:ascii="Times New Roman" w:hAnsi="Times New Roman"/>
                <w:noProof/>
                <w:sz w:val="22"/>
                <w:szCs w:val="22"/>
                <w:rPrChange w:id="11369" w:author="TCS" w:date="2026-03-20T13:59:00Z">
                  <w:rPr>
                    <w:ins w:id="11370" w:author="Author"/>
                    <w:lang w:val="de-DE"/>
                  </w:rPr>
                </w:rPrChange>
              </w:rPr>
            </w:pPr>
          </w:p>
        </w:tc>
      </w:tr>
      <w:bookmarkEnd w:id="10847"/>
    </w:tbl>
    <w:p>
      <w:pPr>
        <w:tabs>
          <w:tab w:val="left" w:pos="180"/>
        </w:tabs>
        <w:rPr>
          <w:noProof/>
          <w:szCs w:val="22"/>
          <w:lang w:val="it-IT"/>
        </w:rPr>
      </w:pPr>
    </w:p>
    <w:p>
      <w:pPr>
        <w:tabs>
          <w:tab w:val="left" w:pos="180"/>
        </w:tabs>
        <w:rPr>
          <w:b/>
          <w:noProof/>
          <w:szCs w:val="22"/>
          <w:lang w:val="it-IT"/>
        </w:rPr>
      </w:pPr>
      <w:r>
        <w:rPr>
          <w:b/>
          <w:noProof/>
          <w:szCs w:val="22"/>
          <w:lang w:val="it-IT"/>
        </w:rPr>
        <w:t xml:space="preserve">Questo foglio illustrativo è stato aggiornato il </w:t>
      </w:r>
    </w:p>
    <w:p>
      <w:pPr>
        <w:tabs>
          <w:tab w:val="left" w:pos="180"/>
        </w:tabs>
        <w:rPr>
          <w:b/>
          <w:noProof/>
          <w:szCs w:val="22"/>
          <w:lang w:val="it-IT"/>
        </w:rPr>
      </w:pPr>
    </w:p>
    <w:p>
      <w:pPr>
        <w:tabs>
          <w:tab w:val="left" w:pos="180"/>
        </w:tabs>
        <w:rPr>
          <w:b/>
          <w:noProof/>
          <w:szCs w:val="22"/>
          <w:lang w:val="it-IT"/>
        </w:rPr>
      </w:pPr>
      <w:r>
        <w:rPr>
          <w:b/>
          <w:noProof/>
          <w:szCs w:val="22"/>
          <w:lang w:val="it-IT"/>
        </w:rPr>
        <w:t>Altre fonti di informazione</w:t>
      </w:r>
    </w:p>
    <w:p>
      <w:pPr>
        <w:tabs>
          <w:tab w:val="left" w:pos="180"/>
        </w:tabs>
        <w:rPr>
          <w:noProof/>
          <w:szCs w:val="22"/>
          <w:lang w:val="it-IT"/>
        </w:rPr>
      </w:pPr>
      <w:r>
        <w:rPr>
          <w:noProof/>
          <w:szCs w:val="22"/>
          <w:lang w:val="it-IT"/>
        </w:rPr>
        <w:t>Informazioni più dettagliate su questo medicinale sono disponibili sul sito web dell’ Agenzia Europea dei Medicinali:</w:t>
      </w:r>
      <w:ins w:id="11371" w:author="Author">
        <w:r>
          <w:rPr>
            <w:noProof/>
            <w:szCs w:val="22"/>
            <w:lang w:val="it-IT"/>
          </w:rPr>
          <w:t xml:space="preserve"> </w:t>
        </w:r>
        <w:r>
          <w:rPr>
            <w:noProof/>
            <w:szCs w:val="22"/>
            <w:lang w:val="it-IT"/>
          </w:rPr>
          <w:fldChar w:fldCharType="begin"/>
        </w:r>
        <w:r>
          <w:rPr>
            <w:noProof/>
            <w:szCs w:val="22"/>
            <w:lang w:val="it-IT"/>
          </w:rPr>
          <w:instrText>HYPERLINK "https://www.ema.europa.eu/"</w:instrText>
        </w:r>
        <w:r>
          <w:rPr>
            <w:noProof/>
            <w:szCs w:val="22"/>
            <w:lang w:val="it-IT"/>
          </w:rPr>
          <w:fldChar w:fldCharType="separate"/>
        </w:r>
        <w:r>
          <w:rPr>
            <w:rStyle w:val="Hyperlink"/>
            <w:noProof/>
            <w:szCs w:val="22"/>
            <w:lang w:val="it-IT"/>
          </w:rPr>
          <w:t>https://www.ema.europa.eu</w:t>
        </w:r>
        <w:r>
          <w:rPr>
            <w:noProof/>
            <w:szCs w:val="22"/>
            <w:lang w:val="it-IT"/>
          </w:rPr>
          <w:fldChar w:fldCharType="end"/>
        </w:r>
      </w:ins>
      <w:r>
        <w:rPr>
          <w:noProof/>
          <w:snapToGrid w:val="0"/>
          <w:szCs w:val="24"/>
          <w:lang w:val="it-IT"/>
        </w:rPr>
        <w:t>.</w:t>
      </w:r>
    </w:p>
    <w:p>
      <w:pPr>
        <w:tabs>
          <w:tab w:val="left" w:pos="180"/>
        </w:tabs>
        <w:rPr>
          <w:b/>
          <w:noProof/>
          <w:szCs w:val="22"/>
          <w:lang w:val="it-IT"/>
        </w:rPr>
      </w:pPr>
      <w:r>
        <w:rPr>
          <w:b/>
          <w:noProof/>
          <w:szCs w:val="22"/>
          <w:lang w:val="it-IT"/>
        </w:rPr>
        <w:br w:type="page"/>
      </w:r>
      <w:r>
        <w:rPr>
          <w:b/>
          <w:noProof/>
          <w:szCs w:val="22"/>
          <w:lang w:val="it-IT"/>
        </w:rPr>
        <w:lastRenderedPageBreak/>
        <w:t>Le informazioni seguenti sono destinate esclusivamente agli operatori sanitari:</w:t>
      </w:r>
    </w:p>
    <w:p>
      <w:pPr>
        <w:keepNext/>
        <w:keepLines/>
        <w:tabs>
          <w:tab w:val="left" w:pos="180"/>
        </w:tabs>
        <w:rPr>
          <w:b/>
          <w:noProof/>
          <w:szCs w:val="22"/>
          <w:lang w:val="it-IT"/>
        </w:rPr>
      </w:pPr>
    </w:p>
    <w:p>
      <w:pPr>
        <w:keepNext/>
        <w:keepLines/>
        <w:tabs>
          <w:tab w:val="left" w:pos="180"/>
        </w:tabs>
        <w:rPr>
          <w:b/>
          <w:noProof/>
          <w:szCs w:val="22"/>
          <w:lang w:val="it-IT"/>
        </w:rPr>
      </w:pPr>
      <w:r>
        <w:rPr>
          <w:b/>
          <w:noProof/>
          <w:szCs w:val="22"/>
          <w:lang w:val="it-IT"/>
        </w:rPr>
        <w:t>Istruzioni per la diluizione prima della somministrazione</w:t>
      </w:r>
    </w:p>
    <w:p>
      <w:pPr>
        <w:tabs>
          <w:tab w:val="left" w:pos="180"/>
        </w:tabs>
        <w:rPr>
          <w:noProof/>
          <w:szCs w:val="22"/>
          <w:lang w:val="it-IT"/>
        </w:rPr>
      </w:pPr>
      <w:r>
        <w:rPr>
          <w:noProof/>
          <w:szCs w:val="22"/>
          <w:lang w:val="it-IT"/>
        </w:rPr>
        <w:t xml:space="preserve">I medicinali da somministrare per via parenterale devono essere sottoposti a un esame visivo prima della somministrazione, onde escludere la presenza di </w:t>
      </w:r>
      <w:del w:id="11372" w:author="Author">
        <w:r>
          <w:rPr>
            <w:noProof/>
            <w:szCs w:val="22"/>
            <w:lang w:val="it-IT"/>
          </w:rPr>
          <w:delText>sostanza particellata</w:delText>
        </w:r>
      </w:del>
      <w:ins w:id="11373" w:author="Author">
        <w:r>
          <w:rPr>
            <w:noProof/>
            <w:szCs w:val="22"/>
            <w:lang w:val="it-IT"/>
          </w:rPr>
          <w:t>particolato</w:t>
        </w:r>
      </w:ins>
      <w:r>
        <w:rPr>
          <w:noProof/>
          <w:szCs w:val="22"/>
          <w:lang w:val="it-IT"/>
        </w:rPr>
        <w:t xml:space="preserve"> o segni di </w:t>
      </w:r>
      <w:del w:id="11374" w:author="Author">
        <w:r>
          <w:rPr>
            <w:noProof/>
            <w:szCs w:val="22"/>
            <w:lang w:val="it-IT"/>
          </w:rPr>
          <w:delText xml:space="preserve">alterazione </w:delText>
        </w:r>
      </w:del>
      <w:ins w:id="11375" w:author="Author">
        <w:r>
          <w:rPr>
            <w:noProof/>
            <w:szCs w:val="22"/>
            <w:lang w:val="it-IT"/>
          </w:rPr>
          <w:t xml:space="preserve">cambiamento </w:t>
        </w:r>
      </w:ins>
      <w:r>
        <w:rPr>
          <w:noProof/>
          <w:szCs w:val="22"/>
          <w:lang w:val="it-IT"/>
        </w:rPr>
        <w:t xml:space="preserve">del colore. </w:t>
      </w:r>
      <w:del w:id="11376" w:author="Author">
        <w:r>
          <w:rPr>
            <w:noProof/>
            <w:szCs w:val="22"/>
            <w:lang w:val="it-IT"/>
          </w:rPr>
          <w:delText>Si d</w:delText>
        </w:r>
      </w:del>
      <w:ins w:id="11377" w:author="Author">
        <w:r>
          <w:rPr>
            <w:noProof/>
            <w:szCs w:val="22"/>
            <w:lang w:val="it-IT"/>
          </w:rPr>
          <w:t>D</w:t>
        </w:r>
      </w:ins>
      <w:r>
        <w:rPr>
          <w:noProof/>
          <w:szCs w:val="22"/>
          <w:lang w:val="it-IT"/>
        </w:rPr>
        <w:t xml:space="preserve">evono </w:t>
      </w:r>
      <w:ins w:id="11378" w:author="Author">
        <w:r>
          <w:rPr>
            <w:noProof/>
            <w:szCs w:val="22"/>
            <w:lang w:val="it-IT"/>
          </w:rPr>
          <w:t xml:space="preserve">essere </w:t>
        </w:r>
      </w:ins>
      <w:r>
        <w:rPr>
          <w:noProof/>
          <w:szCs w:val="22"/>
          <w:lang w:val="it-IT"/>
        </w:rPr>
        <w:t>dilui</w:t>
      </w:r>
      <w:ins w:id="11379" w:author="Author">
        <w:r>
          <w:rPr>
            <w:noProof/>
            <w:szCs w:val="22"/>
            <w:lang w:val="it-IT"/>
          </w:rPr>
          <w:t>t</w:t>
        </w:r>
      </w:ins>
      <w:del w:id="11380" w:author="Author">
        <w:r>
          <w:rPr>
            <w:noProof/>
            <w:szCs w:val="22"/>
            <w:lang w:val="it-IT"/>
          </w:rPr>
          <w:delText>r</w:delText>
        </w:r>
      </w:del>
      <w:r>
        <w:rPr>
          <w:noProof/>
          <w:szCs w:val="22"/>
          <w:lang w:val="it-IT"/>
        </w:rPr>
        <w:t>e solo le soluzioni di aspetto da limpido a opalescente, da incolore a giallo chiaro, prive di particelle visibili. Usare un ago e una siringa sterili per preparare RoActemra.</w:t>
      </w:r>
    </w:p>
    <w:p>
      <w:pPr>
        <w:tabs>
          <w:tab w:val="left" w:pos="180"/>
        </w:tabs>
        <w:rPr>
          <w:noProof/>
          <w:szCs w:val="22"/>
          <w:lang w:val="it-IT"/>
        </w:rPr>
      </w:pPr>
    </w:p>
    <w:p>
      <w:pPr>
        <w:tabs>
          <w:tab w:val="left" w:pos="180"/>
        </w:tabs>
        <w:rPr>
          <w:b/>
          <w:noProof/>
          <w:szCs w:val="22"/>
          <w:lang w:val="it-IT"/>
        </w:rPr>
      </w:pPr>
      <w:r>
        <w:rPr>
          <w:b/>
          <w:noProof/>
          <w:lang w:val="it-IT"/>
        </w:rPr>
        <w:t xml:space="preserve">Pazienti adulti affetti da AR, COVID-19 e CRS </w:t>
      </w:r>
      <w:r>
        <w:rPr>
          <w:b/>
          <w:noProof/>
          <w:szCs w:val="22"/>
          <w:lang w:val="it-IT"/>
        </w:rPr>
        <w:t>(</w:t>
      </w:r>
      <w:r>
        <w:rPr>
          <w:b/>
          <w:noProof/>
          <w:lang w:val="it-IT"/>
        </w:rPr>
        <w:t>≥</w:t>
      </w:r>
      <w:del w:id="11381" w:author="Author">
        <w:r>
          <w:rPr>
            <w:b/>
            <w:noProof/>
            <w:lang w:val="it-IT"/>
          </w:rPr>
          <w:delText xml:space="preserve"> </w:delText>
        </w:r>
      </w:del>
      <w:ins w:id="11382" w:author="Author">
        <w:r>
          <w:rPr>
            <w:b/>
            <w:noProof/>
            <w:lang w:val="it-IT"/>
          </w:rPr>
          <w:t> </w:t>
        </w:r>
      </w:ins>
      <w:r>
        <w:rPr>
          <w:b/>
          <w:noProof/>
          <w:lang w:val="it-IT"/>
        </w:rPr>
        <w:t>30 kg</w:t>
      </w:r>
      <w:r>
        <w:rPr>
          <w:b/>
          <w:noProof/>
          <w:szCs w:val="22"/>
          <w:lang w:val="it-IT"/>
        </w:rPr>
        <w:t>)</w:t>
      </w:r>
    </w:p>
    <w:p>
      <w:pPr>
        <w:tabs>
          <w:tab w:val="left" w:pos="180"/>
        </w:tabs>
        <w:rPr>
          <w:noProof/>
          <w:szCs w:val="22"/>
          <w:lang w:val="it-IT"/>
        </w:rPr>
      </w:pPr>
      <w:r>
        <w:rPr>
          <w:noProof/>
          <w:szCs w:val="22"/>
          <w:lang w:val="it-IT"/>
        </w:rPr>
        <w:t xml:space="preserve">In condizioni asettiche, prelevare un volume di soluzione iniettabile sterile, non pirogenica, di </w:t>
      </w:r>
      <w:ins w:id="11383" w:author="Author">
        <w:r>
          <w:rPr>
            <w:noProof/>
            <w:szCs w:val="22"/>
            <w:lang w:val="it-IT"/>
          </w:rPr>
          <w:t xml:space="preserve">sodio </w:t>
        </w:r>
      </w:ins>
      <w:r>
        <w:rPr>
          <w:noProof/>
          <w:szCs w:val="22"/>
          <w:lang w:val="it-IT"/>
        </w:rPr>
        <w:t xml:space="preserve">cloruro </w:t>
      </w:r>
      <w:del w:id="11384" w:author="Author">
        <w:r>
          <w:rPr>
            <w:noProof/>
            <w:szCs w:val="22"/>
            <w:lang w:val="it-IT"/>
          </w:rPr>
          <w:delText xml:space="preserve">di sodio </w:delText>
        </w:r>
      </w:del>
      <w:r>
        <w:rPr>
          <w:noProof/>
          <w:szCs w:val="22"/>
          <w:lang w:val="it-IT"/>
        </w:rPr>
        <w:t>9 mg/mL (0,9%) da una sacca per infusione da 100 mL pari al volume di RoActemra concentrato necessario alla dose del paziente. La quantità necessaria di RoActemra concentrato (</w:t>
      </w:r>
      <w:r>
        <w:rPr>
          <w:b/>
          <w:noProof/>
          <w:szCs w:val="22"/>
          <w:lang w:val="it-IT"/>
        </w:rPr>
        <w:t>0,4 mL/kg</w:t>
      </w:r>
      <w:r>
        <w:rPr>
          <w:noProof/>
          <w:szCs w:val="22"/>
          <w:lang w:val="it-IT"/>
        </w:rPr>
        <w:t>) deve essere prelevata dal flaconcino e immessa nella sacca per infusione da 100 mL. Il volume finale deve essere di 100 mL. Per miscelare la soluzione, capovolgere delicatamente la sacca per infusione per evitare la formazione di schiuma.</w:t>
      </w:r>
    </w:p>
    <w:p>
      <w:pPr>
        <w:tabs>
          <w:tab w:val="left" w:pos="180"/>
        </w:tabs>
        <w:rPr>
          <w:noProof/>
          <w:szCs w:val="22"/>
          <w:lang w:val="it-IT"/>
        </w:rPr>
      </w:pPr>
    </w:p>
    <w:p>
      <w:pPr>
        <w:tabs>
          <w:tab w:val="left" w:pos="180"/>
        </w:tabs>
        <w:rPr>
          <w:b/>
          <w:noProof/>
          <w:szCs w:val="22"/>
          <w:lang w:val="it-IT"/>
        </w:rPr>
      </w:pPr>
      <w:r>
        <w:rPr>
          <w:b/>
          <w:noProof/>
          <w:szCs w:val="22"/>
          <w:lang w:val="it-IT"/>
        </w:rPr>
        <w:t>Utilizzo nella popolazione pediatrica</w:t>
      </w:r>
    </w:p>
    <w:p>
      <w:pPr>
        <w:tabs>
          <w:tab w:val="left" w:pos="180"/>
        </w:tabs>
        <w:rPr>
          <w:noProof/>
          <w:szCs w:val="22"/>
          <w:lang w:val="it-IT"/>
        </w:rPr>
      </w:pPr>
    </w:p>
    <w:p>
      <w:pPr>
        <w:tabs>
          <w:tab w:val="left" w:pos="180"/>
        </w:tabs>
        <w:rPr>
          <w:b/>
          <w:noProof/>
          <w:szCs w:val="22"/>
          <w:lang w:val="it-IT"/>
        </w:rPr>
      </w:pPr>
      <w:r>
        <w:rPr>
          <w:b/>
          <w:noProof/>
          <w:lang w:val="it-IT"/>
        </w:rPr>
        <w:t>Pazienti affetti da AIGs, AIGp e CRS di peso</w:t>
      </w:r>
      <w:del w:id="11385" w:author="Author">
        <w:r>
          <w:rPr>
            <w:b/>
            <w:noProof/>
            <w:lang w:val="it-IT"/>
          </w:rPr>
          <w:delText xml:space="preserve"> </w:delText>
        </w:r>
      </w:del>
      <w:ins w:id="11386" w:author="Author">
        <w:r>
          <w:rPr>
            <w:b/>
            <w:noProof/>
            <w:lang w:val="it-IT"/>
          </w:rPr>
          <w:t> </w:t>
        </w:r>
      </w:ins>
      <w:r>
        <w:rPr>
          <w:b/>
          <w:noProof/>
          <w:lang w:val="it-IT"/>
        </w:rPr>
        <w:t>≥</w:t>
      </w:r>
      <w:ins w:id="11387" w:author="Author">
        <w:r>
          <w:rPr>
            <w:b/>
            <w:noProof/>
            <w:lang w:val="it-IT"/>
          </w:rPr>
          <w:t> </w:t>
        </w:r>
      </w:ins>
      <w:del w:id="11388" w:author="Author">
        <w:r>
          <w:rPr>
            <w:b/>
            <w:noProof/>
            <w:lang w:val="it-IT"/>
          </w:rPr>
          <w:delText xml:space="preserve"> </w:delText>
        </w:r>
      </w:del>
      <w:r>
        <w:rPr>
          <w:b/>
          <w:noProof/>
          <w:lang w:val="it-IT"/>
        </w:rPr>
        <w:t>30 kg</w:t>
      </w:r>
    </w:p>
    <w:p>
      <w:pPr>
        <w:tabs>
          <w:tab w:val="left" w:pos="180"/>
        </w:tabs>
        <w:rPr>
          <w:noProof/>
          <w:szCs w:val="22"/>
          <w:lang w:val="it-IT"/>
        </w:rPr>
      </w:pPr>
      <w:r>
        <w:rPr>
          <w:noProof/>
          <w:szCs w:val="22"/>
          <w:lang w:val="it-IT"/>
        </w:rPr>
        <w:t xml:space="preserve">In condizioni asettiche, prelevare un volume di soluzione iniettabile sterile, non pirogenica, di </w:t>
      </w:r>
      <w:ins w:id="11389" w:author="Author">
        <w:r>
          <w:rPr>
            <w:noProof/>
            <w:szCs w:val="22"/>
            <w:lang w:val="it-IT"/>
          </w:rPr>
          <w:t xml:space="preserve">sodio </w:t>
        </w:r>
      </w:ins>
      <w:r>
        <w:rPr>
          <w:noProof/>
          <w:szCs w:val="22"/>
          <w:lang w:val="it-IT"/>
        </w:rPr>
        <w:t xml:space="preserve">cloruro </w:t>
      </w:r>
      <w:del w:id="11390" w:author="Author">
        <w:r>
          <w:rPr>
            <w:noProof/>
            <w:szCs w:val="22"/>
            <w:lang w:val="it-IT"/>
          </w:rPr>
          <w:delText xml:space="preserve">di sodio </w:delText>
        </w:r>
      </w:del>
      <w:r>
        <w:rPr>
          <w:noProof/>
          <w:szCs w:val="22"/>
          <w:lang w:val="it-IT"/>
        </w:rPr>
        <w:t>9 mg/mL (0,9%) da una sacca per infusione da 100 mL pari al volume di RoActemra concentrato necessario alla dose del paziente. La quantità necessaria di RoActemra concentrato (</w:t>
      </w:r>
      <w:r>
        <w:rPr>
          <w:b/>
          <w:noProof/>
          <w:szCs w:val="22"/>
          <w:lang w:val="it-IT"/>
        </w:rPr>
        <w:t>0,4 mL/kg</w:t>
      </w:r>
      <w:r>
        <w:rPr>
          <w:noProof/>
          <w:szCs w:val="22"/>
          <w:lang w:val="it-IT"/>
        </w:rPr>
        <w:t>) deve essere prelevata dal flaconcino e immessa nella sacca per infusione da 100 mL. Il volume finale deve essere di 100 mL. Per miscelare la soluzione, capovolgere delicatamente la sacca per infusione per evitare la formazione di schiuma.</w:t>
      </w:r>
    </w:p>
    <w:p>
      <w:pPr>
        <w:tabs>
          <w:tab w:val="left" w:pos="180"/>
        </w:tabs>
        <w:rPr>
          <w:noProof/>
          <w:szCs w:val="22"/>
          <w:lang w:val="it-IT"/>
        </w:rPr>
      </w:pPr>
    </w:p>
    <w:p>
      <w:pPr>
        <w:keepNext/>
        <w:keepLines/>
        <w:tabs>
          <w:tab w:val="left" w:pos="180"/>
        </w:tabs>
        <w:rPr>
          <w:b/>
          <w:noProof/>
          <w:lang w:val="it-IT"/>
        </w:rPr>
      </w:pPr>
      <w:r>
        <w:rPr>
          <w:b/>
          <w:noProof/>
          <w:lang w:val="it-IT"/>
        </w:rPr>
        <w:t>Pazienti affetti da AIGs e CRS di peso</w:t>
      </w:r>
      <w:del w:id="11391" w:author="Author">
        <w:r>
          <w:rPr>
            <w:b/>
            <w:noProof/>
            <w:lang w:val="it-IT"/>
          </w:rPr>
          <w:delText xml:space="preserve"> </w:delText>
        </w:r>
      </w:del>
      <w:ins w:id="11392" w:author="Author">
        <w:r>
          <w:rPr>
            <w:b/>
            <w:noProof/>
            <w:lang w:val="it-IT"/>
          </w:rPr>
          <w:t> </w:t>
        </w:r>
      </w:ins>
      <w:r>
        <w:rPr>
          <w:b/>
          <w:noProof/>
          <w:lang w:val="it-IT"/>
        </w:rPr>
        <w:t>&lt;</w:t>
      </w:r>
      <w:ins w:id="11393" w:author="Author">
        <w:r>
          <w:rPr>
            <w:b/>
            <w:noProof/>
            <w:lang w:val="it-IT"/>
          </w:rPr>
          <w:t> </w:t>
        </w:r>
      </w:ins>
      <w:del w:id="11394" w:author="Author">
        <w:r>
          <w:rPr>
            <w:b/>
            <w:noProof/>
            <w:lang w:val="it-IT"/>
          </w:rPr>
          <w:delText xml:space="preserve"> </w:delText>
        </w:r>
      </w:del>
      <w:r>
        <w:rPr>
          <w:b/>
          <w:noProof/>
          <w:lang w:val="it-IT"/>
        </w:rPr>
        <w:t>30 kg</w:t>
      </w:r>
    </w:p>
    <w:p>
      <w:pPr>
        <w:tabs>
          <w:tab w:val="left" w:pos="180"/>
        </w:tabs>
        <w:rPr>
          <w:noProof/>
          <w:szCs w:val="22"/>
          <w:lang w:val="it-IT"/>
        </w:rPr>
      </w:pPr>
      <w:r>
        <w:rPr>
          <w:noProof/>
          <w:szCs w:val="22"/>
          <w:lang w:val="it-IT"/>
        </w:rPr>
        <w:t xml:space="preserve">In condizioni asettiche, prelevare un volume di soluzione iniettabile sterile, non pirogenica, di </w:t>
      </w:r>
      <w:ins w:id="11395" w:author="Author">
        <w:r>
          <w:rPr>
            <w:noProof/>
            <w:szCs w:val="22"/>
            <w:lang w:val="it-IT"/>
          </w:rPr>
          <w:t xml:space="preserve">sodio </w:t>
        </w:r>
      </w:ins>
      <w:r>
        <w:rPr>
          <w:noProof/>
          <w:szCs w:val="22"/>
          <w:lang w:val="it-IT"/>
        </w:rPr>
        <w:t xml:space="preserve">cloruro </w:t>
      </w:r>
      <w:del w:id="11396" w:author="Author">
        <w:r>
          <w:rPr>
            <w:noProof/>
            <w:szCs w:val="22"/>
            <w:lang w:val="it-IT"/>
          </w:rPr>
          <w:delText xml:space="preserve">di sodio </w:delText>
        </w:r>
      </w:del>
      <w:r>
        <w:rPr>
          <w:noProof/>
          <w:szCs w:val="22"/>
          <w:lang w:val="it-IT"/>
        </w:rPr>
        <w:t>9 mg/mL (0,9%) da una sacca per infusione da 50 mL pari al volume di RoActemra concentrato necessario alla dose del paziente. La quantità necessaria di RoActemra concentrato (</w:t>
      </w:r>
      <w:r>
        <w:rPr>
          <w:b/>
          <w:noProof/>
          <w:szCs w:val="22"/>
          <w:lang w:val="it-IT"/>
        </w:rPr>
        <w:t>0,6 mL/kg</w:t>
      </w:r>
      <w:r>
        <w:rPr>
          <w:noProof/>
          <w:szCs w:val="22"/>
          <w:lang w:val="it-IT"/>
        </w:rPr>
        <w:t>) deve essere prelevata dal flaconcino e immessa nella sacca per infusione da 50 mL. Il volume finale deve essere di 50 mL. Per miscelare la soluzione, capovolgere delicatamente la sacca per infusione per evitare la formazione di schiuma.</w:t>
      </w:r>
    </w:p>
    <w:p>
      <w:pPr>
        <w:tabs>
          <w:tab w:val="left" w:pos="180"/>
        </w:tabs>
        <w:rPr>
          <w:noProof/>
          <w:szCs w:val="22"/>
          <w:lang w:val="it-IT"/>
        </w:rPr>
      </w:pPr>
    </w:p>
    <w:p>
      <w:pPr>
        <w:keepNext/>
        <w:keepLines/>
        <w:tabs>
          <w:tab w:val="left" w:pos="180"/>
        </w:tabs>
        <w:rPr>
          <w:b/>
          <w:noProof/>
          <w:lang w:val="it-IT"/>
        </w:rPr>
      </w:pPr>
      <w:r>
        <w:rPr>
          <w:b/>
          <w:noProof/>
          <w:lang w:val="it-IT"/>
        </w:rPr>
        <w:t>Pazienti affetti da AIGp di peso</w:t>
      </w:r>
      <w:del w:id="11397" w:author="Author">
        <w:r>
          <w:rPr>
            <w:b/>
            <w:noProof/>
            <w:lang w:val="it-IT"/>
          </w:rPr>
          <w:delText xml:space="preserve"> </w:delText>
        </w:r>
      </w:del>
      <w:ins w:id="11398" w:author="Author">
        <w:r>
          <w:rPr>
            <w:b/>
            <w:noProof/>
            <w:lang w:val="it-IT"/>
          </w:rPr>
          <w:t> </w:t>
        </w:r>
      </w:ins>
      <w:r>
        <w:rPr>
          <w:b/>
          <w:noProof/>
          <w:lang w:val="it-IT"/>
        </w:rPr>
        <w:t>&lt;</w:t>
      </w:r>
      <w:ins w:id="11399" w:author="Author">
        <w:r>
          <w:rPr>
            <w:b/>
            <w:noProof/>
            <w:lang w:val="it-IT"/>
          </w:rPr>
          <w:t> </w:t>
        </w:r>
      </w:ins>
      <w:del w:id="11400" w:author="Author">
        <w:r>
          <w:rPr>
            <w:b/>
            <w:noProof/>
            <w:lang w:val="it-IT"/>
          </w:rPr>
          <w:delText xml:space="preserve"> </w:delText>
        </w:r>
      </w:del>
      <w:r>
        <w:rPr>
          <w:b/>
          <w:noProof/>
          <w:lang w:val="it-IT"/>
        </w:rPr>
        <w:t>30 kg</w:t>
      </w:r>
    </w:p>
    <w:p>
      <w:pPr>
        <w:keepNext/>
        <w:keepLines/>
        <w:tabs>
          <w:tab w:val="left" w:pos="180"/>
        </w:tabs>
        <w:rPr>
          <w:noProof/>
          <w:szCs w:val="22"/>
          <w:lang w:val="it-IT"/>
        </w:rPr>
      </w:pPr>
      <w:r>
        <w:rPr>
          <w:noProof/>
          <w:szCs w:val="22"/>
          <w:lang w:val="it-IT"/>
        </w:rPr>
        <w:t xml:space="preserve">In condizioni asettiche, prelevare un volume di soluzione iniettabile sterile, non pirogenica, di </w:t>
      </w:r>
      <w:ins w:id="11401" w:author="Author">
        <w:r>
          <w:rPr>
            <w:noProof/>
            <w:szCs w:val="22"/>
            <w:lang w:val="it-IT"/>
          </w:rPr>
          <w:t xml:space="preserve">sodio </w:t>
        </w:r>
      </w:ins>
      <w:r>
        <w:rPr>
          <w:noProof/>
          <w:szCs w:val="22"/>
          <w:lang w:val="it-IT"/>
        </w:rPr>
        <w:t xml:space="preserve">cloruro </w:t>
      </w:r>
      <w:del w:id="11402" w:author="Author">
        <w:r>
          <w:rPr>
            <w:noProof/>
            <w:szCs w:val="22"/>
            <w:lang w:val="it-IT"/>
          </w:rPr>
          <w:delText xml:space="preserve">di sodio </w:delText>
        </w:r>
      </w:del>
      <w:r>
        <w:rPr>
          <w:noProof/>
          <w:szCs w:val="22"/>
          <w:lang w:val="it-IT"/>
        </w:rPr>
        <w:t>9 mg/mL (0,9%) da una sacca per infusione da 50 mL pari al volume di RoActemra concentrato necessario al dosaggio del paziente. La quantità necessaria di RoActemra concentrato (</w:t>
      </w:r>
      <w:r>
        <w:rPr>
          <w:b/>
          <w:noProof/>
          <w:szCs w:val="22"/>
          <w:lang w:val="it-IT"/>
          <w:rPrChange w:id="11403" w:author="Author">
            <w:rPr>
              <w:noProof/>
              <w:szCs w:val="22"/>
              <w:lang w:val="it-IT"/>
            </w:rPr>
          </w:rPrChange>
        </w:rPr>
        <w:t>0,5 mL/kg</w:t>
      </w:r>
      <w:r>
        <w:rPr>
          <w:noProof/>
          <w:szCs w:val="22"/>
          <w:lang w:val="it-IT"/>
        </w:rPr>
        <w:t>) deve essere prelevata dal flaconcino e immessa nella sacca per infusione da 50 mL. Il volume finale deve essere di 50 mL. Per miscelare la soluzione, capovolgere delicatamente la sacca da infusione per evitare la formazione di schiuma.</w:t>
      </w:r>
    </w:p>
    <w:p>
      <w:pPr>
        <w:tabs>
          <w:tab w:val="left" w:pos="180"/>
        </w:tabs>
        <w:rPr>
          <w:noProof/>
          <w:szCs w:val="22"/>
          <w:lang w:val="it-IT"/>
        </w:rPr>
      </w:pPr>
    </w:p>
    <w:p>
      <w:pPr>
        <w:tabs>
          <w:tab w:val="left" w:pos="180"/>
        </w:tabs>
        <w:rPr>
          <w:noProof/>
          <w:szCs w:val="22"/>
          <w:lang w:val="it-IT"/>
        </w:rPr>
      </w:pPr>
      <w:r>
        <w:rPr>
          <w:noProof/>
          <w:szCs w:val="22"/>
          <w:lang w:val="it-IT"/>
        </w:rPr>
        <w:t>RoActemra è monouso.</w:t>
      </w:r>
    </w:p>
    <w:p>
      <w:pPr>
        <w:tabs>
          <w:tab w:val="left" w:pos="180"/>
        </w:tabs>
        <w:rPr>
          <w:noProof/>
          <w:szCs w:val="22"/>
          <w:lang w:val="it-IT"/>
        </w:rPr>
      </w:pPr>
    </w:p>
    <w:p>
      <w:pPr>
        <w:tabs>
          <w:tab w:val="left" w:pos="180"/>
        </w:tabs>
        <w:rPr>
          <w:noProof/>
          <w:szCs w:val="22"/>
          <w:lang w:val="it-IT"/>
        </w:rPr>
      </w:pPr>
      <w:r>
        <w:rPr>
          <w:noProof/>
          <w:szCs w:val="22"/>
          <w:lang w:val="it-IT"/>
        </w:rPr>
        <w:t>Il medicinale non utilizzato ed i rifiuti derivati da tale medicinale devono essere smaltiti in conformità alla normativa locale vigente.</w:t>
      </w:r>
    </w:p>
    <w:p>
      <w:pPr>
        <w:tabs>
          <w:tab w:val="left" w:pos="180"/>
        </w:tabs>
        <w:rPr>
          <w:noProof/>
          <w:szCs w:val="22"/>
          <w:lang w:val="it-IT"/>
        </w:rPr>
      </w:pPr>
    </w:p>
    <w:p>
      <w:pPr>
        <w:tabs>
          <w:tab w:val="left" w:pos="180"/>
        </w:tabs>
        <w:jc w:val="center"/>
        <w:outlineLvl w:val="0"/>
        <w:rPr>
          <w:b/>
          <w:noProof/>
          <w:lang w:val="it-IT"/>
        </w:rPr>
      </w:pPr>
      <w:r>
        <w:rPr>
          <w:noProof/>
          <w:lang w:val="it-IT"/>
        </w:rPr>
        <w:br w:type="page"/>
      </w:r>
      <w:r>
        <w:rPr>
          <w:b/>
          <w:noProof/>
          <w:lang w:val="it-IT"/>
        </w:rPr>
        <w:lastRenderedPageBreak/>
        <w:t>Foglio illustrativo: informazioni per l'utilizzatore</w:t>
      </w:r>
    </w:p>
    <w:p>
      <w:pPr>
        <w:tabs>
          <w:tab w:val="left" w:pos="180"/>
        </w:tabs>
        <w:jc w:val="center"/>
        <w:outlineLvl w:val="0"/>
        <w:rPr>
          <w:b/>
          <w:noProof/>
          <w:lang w:val="it-IT"/>
        </w:rPr>
      </w:pPr>
    </w:p>
    <w:p>
      <w:pPr>
        <w:tabs>
          <w:tab w:val="left" w:pos="180"/>
        </w:tabs>
        <w:jc w:val="center"/>
        <w:rPr>
          <w:b/>
          <w:bCs/>
          <w:noProof/>
          <w:lang w:val="it-IT"/>
        </w:rPr>
      </w:pPr>
      <w:r>
        <w:rPr>
          <w:b/>
          <w:bCs/>
          <w:noProof/>
          <w:lang w:val="it-IT"/>
        </w:rPr>
        <w:t>RoActemra 162 mg soluzione iniettabile in siringa preriempita</w:t>
      </w:r>
    </w:p>
    <w:p>
      <w:pPr>
        <w:tabs>
          <w:tab w:val="left" w:pos="180"/>
        </w:tabs>
        <w:jc w:val="center"/>
        <w:rPr>
          <w:noProof/>
          <w:lang w:val="it-IT"/>
        </w:rPr>
      </w:pPr>
      <w:r>
        <w:rPr>
          <w:noProof/>
          <w:lang w:val="it-IT"/>
        </w:rPr>
        <w:t>tocilizumab</w:t>
      </w:r>
    </w:p>
    <w:p>
      <w:pPr>
        <w:tabs>
          <w:tab w:val="left" w:pos="180"/>
        </w:tabs>
        <w:rPr>
          <w:noProof/>
          <w:lang w:val="it-IT"/>
        </w:rPr>
      </w:pPr>
    </w:p>
    <w:p>
      <w:pPr>
        <w:tabs>
          <w:tab w:val="left" w:pos="180"/>
        </w:tabs>
        <w:suppressAutoHyphens/>
        <w:ind w:left="142" w:hanging="142"/>
        <w:rPr>
          <w:b/>
          <w:noProof/>
          <w:lang w:val="it-IT"/>
        </w:rPr>
      </w:pPr>
      <w:r>
        <w:rPr>
          <w:b/>
          <w:noProof/>
          <w:lang w:val="it-IT"/>
        </w:rPr>
        <w:t xml:space="preserve">Legga attentamente questo foglio prima di prendere questo medicinale, perché contiene </w:t>
      </w:r>
    </w:p>
    <w:p>
      <w:pPr>
        <w:tabs>
          <w:tab w:val="left" w:pos="180"/>
        </w:tabs>
        <w:suppressAutoHyphens/>
        <w:ind w:left="142" w:hanging="142"/>
        <w:rPr>
          <w:noProof/>
          <w:lang w:val="it-IT"/>
        </w:rPr>
      </w:pPr>
      <w:r>
        <w:rPr>
          <w:b/>
          <w:noProof/>
          <w:lang w:val="it-IT"/>
        </w:rPr>
        <w:t>informazioni importanti per lei.</w:t>
      </w:r>
    </w:p>
    <w:p>
      <w:pPr>
        <w:tabs>
          <w:tab w:val="left" w:pos="180"/>
        </w:tabs>
        <w:rPr>
          <w:b/>
          <w:noProof/>
          <w:lang w:val="it-IT"/>
        </w:rPr>
      </w:pPr>
    </w:p>
    <w:p>
      <w:pPr>
        <w:ind w:left="567" w:hanging="567"/>
        <w:rPr>
          <w:noProof/>
          <w:lang w:val="it-IT"/>
        </w:rPr>
        <w:pPrChange w:id="11404" w:author="Author">
          <w:pPr>
            <w:tabs>
              <w:tab w:val="left" w:pos="180"/>
            </w:tabs>
            <w:ind w:left="567" w:hanging="567"/>
          </w:pPr>
        </w:pPrChange>
      </w:pPr>
      <w:r>
        <w:rPr>
          <w:noProof/>
          <w:lang w:val="it-IT"/>
        </w:rPr>
        <w:sym w:font="Symbol" w:char="00B7"/>
      </w:r>
      <w:r>
        <w:rPr>
          <w:noProof/>
          <w:lang w:val="it-IT"/>
        </w:rPr>
        <w:t xml:space="preserve"> </w:t>
      </w:r>
      <w:r>
        <w:rPr>
          <w:noProof/>
          <w:lang w:val="it-IT"/>
        </w:rPr>
        <w:tab/>
        <w:t>Conservi questo foglio. Potrebbe aver bisogno di leggerlo di nuovo.</w:t>
      </w:r>
    </w:p>
    <w:p>
      <w:pPr>
        <w:ind w:left="567" w:hanging="567"/>
        <w:rPr>
          <w:noProof/>
          <w:lang w:val="it-IT"/>
        </w:rPr>
        <w:pPrChange w:id="11405" w:author="Author">
          <w:pPr>
            <w:tabs>
              <w:tab w:val="left" w:pos="180"/>
            </w:tabs>
            <w:ind w:left="567" w:hanging="567"/>
          </w:pPr>
        </w:pPrChange>
      </w:pPr>
      <w:r>
        <w:rPr>
          <w:noProof/>
          <w:lang w:val="it-IT"/>
        </w:rPr>
        <w:sym w:font="Symbol" w:char="00B7"/>
      </w:r>
      <w:r>
        <w:rPr>
          <w:noProof/>
          <w:lang w:val="it-IT"/>
        </w:rPr>
        <w:t xml:space="preserve"> </w:t>
      </w:r>
      <w:r>
        <w:rPr>
          <w:noProof/>
          <w:lang w:val="it-IT"/>
        </w:rPr>
        <w:tab/>
        <w:t>Se ha qualsiasi dubbio, si rivolga al medico, al farmacista o all’infermiere.</w:t>
      </w:r>
    </w:p>
    <w:p>
      <w:pPr>
        <w:ind w:left="567" w:hanging="567"/>
        <w:rPr>
          <w:noProof/>
          <w:lang w:val="it-IT"/>
        </w:rPr>
        <w:pPrChange w:id="11406" w:author="Author">
          <w:pPr>
            <w:tabs>
              <w:tab w:val="left" w:pos="180"/>
            </w:tabs>
          </w:pPr>
        </w:pPrChange>
      </w:pPr>
      <w:r>
        <w:rPr>
          <w:noProof/>
          <w:lang w:val="it-IT"/>
        </w:rPr>
        <w:sym w:font="Symbol" w:char="00B7"/>
      </w:r>
      <w:r>
        <w:rPr>
          <w:noProof/>
          <w:lang w:val="it-IT"/>
        </w:rPr>
        <w:t xml:space="preserve"> </w:t>
      </w:r>
      <w:r>
        <w:rPr>
          <w:noProof/>
          <w:lang w:val="it-IT"/>
        </w:rPr>
        <w:tab/>
        <w:t>Questo medicinale è stato prescritto soltanto per lei. Non lo dia ad altre persone, anche se i sintomi della malattia sono uguali ai suoi, perché potrebbe essere pericoloso.</w:t>
      </w:r>
    </w:p>
    <w:p>
      <w:pPr>
        <w:ind w:left="567" w:hanging="567"/>
        <w:rPr>
          <w:noProof/>
          <w:szCs w:val="22"/>
          <w:lang w:val="it-IT"/>
        </w:rPr>
        <w:pPrChange w:id="11407" w:author="Author">
          <w:pPr>
            <w:tabs>
              <w:tab w:val="left" w:pos="180"/>
            </w:tabs>
          </w:pPr>
        </w:pPrChange>
      </w:pPr>
      <w:r>
        <w:rPr>
          <w:noProof/>
          <w:szCs w:val="22"/>
          <w:lang w:val="it-IT"/>
        </w:rPr>
        <w:sym w:font="Symbol" w:char="00B7"/>
      </w:r>
      <w:r>
        <w:rPr>
          <w:noProof/>
          <w:szCs w:val="22"/>
          <w:lang w:val="it-IT" w:eastAsia="zh-TW"/>
          <w:rPrChange w:id="11408" w:author="Author">
            <w:rPr>
              <w:sz w:val="24"/>
              <w:szCs w:val="24"/>
              <w:lang w:val="it-IT" w:eastAsia="zh-TW"/>
            </w:rPr>
          </w:rPrChange>
        </w:rPr>
        <w:t xml:space="preserve"> </w:t>
      </w:r>
      <w:r>
        <w:rPr>
          <w:noProof/>
          <w:szCs w:val="22"/>
          <w:lang w:val="it-IT" w:eastAsia="zh-TW"/>
          <w:rPrChange w:id="11409" w:author="Author">
            <w:rPr>
              <w:sz w:val="24"/>
              <w:szCs w:val="24"/>
              <w:lang w:val="it-IT" w:eastAsia="zh-TW"/>
            </w:rPr>
          </w:rPrChange>
        </w:rPr>
        <w:tab/>
      </w:r>
      <w:r>
        <w:rPr>
          <w:noProof/>
          <w:szCs w:val="22"/>
          <w:lang w:val="it-IT" w:eastAsia="zh-TW"/>
          <w:rPrChange w:id="11410" w:author="Author">
            <w:rPr>
              <w:sz w:val="24"/>
              <w:szCs w:val="22"/>
              <w:lang w:val="it-IT" w:eastAsia="zh-TW"/>
            </w:rPr>
          </w:rPrChange>
        </w:rPr>
        <w:t>Se manifesta un qualsiasi effetto indesiderato, compresi quelli non elencati in questo foglio, si rivolga al medico, al farmacista o all’infermiere. Vedere paragrafo 4.</w:t>
      </w:r>
    </w:p>
    <w:p>
      <w:pPr>
        <w:tabs>
          <w:tab w:val="left" w:pos="180"/>
        </w:tabs>
        <w:rPr>
          <w:ins w:id="11411" w:author="Author"/>
          <w:noProof/>
          <w:lang w:val="it-IT"/>
        </w:rPr>
      </w:pPr>
    </w:p>
    <w:p>
      <w:pPr>
        <w:tabs>
          <w:tab w:val="left" w:pos="180"/>
        </w:tabs>
        <w:rPr>
          <w:noProof/>
          <w:lang w:val="it-IT"/>
        </w:rPr>
      </w:pPr>
      <w:r>
        <w:rPr>
          <w:noProof/>
          <w:lang w:val="it-IT"/>
        </w:rPr>
        <w:t xml:space="preserve">Oltre a questo foglio illustrativo, le sarà consegnata una </w:t>
      </w:r>
      <w:r>
        <w:rPr>
          <w:b/>
          <w:noProof/>
          <w:lang w:val="it-IT"/>
        </w:rPr>
        <w:t>Scheda per il Paziente</w:t>
      </w:r>
      <w:r>
        <w:rPr>
          <w:noProof/>
          <w:lang w:val="it-IT"/>
        </w:rPr>
        <w:t xml:space="preserve">, la quale contiene importanti informazioni di sicurezza che </w:t>
      </w:r>
      <w:del w:id="11412" w:author="Author">
        <w:r>
          <w:rPr>
            <w:noProof/>
            <w:lang w:val="it-IT"/>
          </w:rPr>
          <w:delText xml:space="preserve">lei </w:delText>
        </w:r>
      </w:del>
      <w:r>
        <w:rPr>
          <w:noProof/>
          <w:lang w:val="it-IT"/>
        </w:rPr>
        <w:t>deve conoscere prima che le venga somministrato RoActemra e durante il trattamento con RoActemra.</w:t>
      </w:r>
    </w:p>
    <w:p>
      <w:pPr>
        <w:tabs>
          <w:tab w:val="left" w:pos="180"/>
        </w:tabs>
        <w:rPr>
          <w:noProof/>
          <w:lang w:val="it-IT"/>
        </w:rPr>
      </w:pPr>
    </w:p>
    <w:p>
      <w:pPr>
        <w:tabs>
          <w:tab w:val="left" w:pos="180"/>
        </w:tabs>
        <w:rPr>
          <w:b/>
          <w:noProof/>
          <w:lang w:val="it-IT"/>
        </w:rPr>
      </w:pPr>
      <w:r>
        <w:rPr>
          <w:b/>
          <w:noProof/>
          <w:lang w:val="it-IT"/>
        </w:rPr>
        <w:t>Contenuto di questo foglio:</w:t>
      </w:r>
    </w:p>
    <w:p>
      <w:pPr>
        <w:tabs>
          <w:tab w:val="left" w:pos="180"/>
        </w:tabs>
        <w:rPr>
          <w:noProof/>
          <w:lang w:val="it-IT"/>
        </w:rPr>
      </w:pPr>
      <w:r>
        <w:rPr>
          <w:noProof/>
          <w:lang w:val="it-IT"/>
        </w:rPr>
        <w:t>1.</w:t>
      </w:r>
      <w:r>
        <w:rPr>
          <w:noProof/>
          <w:lang w:val="it-IT"/>
        </w:rPr>
        <w:tab/>
      </w:r>
      <w:r>
        <w:rPr>
          <w:noProof/>
          <w:lang w:val="it-IT"/>
        </w:rPr>
        <w:tab/>
        <w:t>Cos’è RoActemra e a cosa serve</w:t>
      </w:r>
    </w:p>
    <w:p>
      <w:pPr>
        <w:tabs>
          <w:tab w:val="left" w:pos="180"/>
        </w:tabs>
        <w:rPr>
          <w:noProof/>
          <w:lang w:val="it-IT"/>
        </w:rPr>
      </w:pPr>
      <w:r>
        <w:rPr>
          <w:noProof/>
          <w:lang w:val="it-IT"/>
        </w:rPr>
        <w:t>2.</w:t>
      </w:r>
      <w:r>
        <w:rPr>
          <w:noProof/>
          <w:lang w:val="it-IT"/>
        </w:rPr>
        <w:tab/>
      </w:r>
      <w:r>
        <w:rPr>
          <w:noProof/>
          <w:lang w:val="it-IT"/>
        </w:rPr>
        <w:tab/>
        <w:t>Cosa deve sapere prima di usare RoActemra</w:t>
      </w:r>
    </w:p>
    <w:p>
      <w:pPr>
        <w:tabs>
          <w:tab w:val="left" w:pos="180"/>
        </w:tabs>
        <w:rPr>
          <w:noProof/>
          <w:lang w:val="it-IT"/>
        </w:rPr>
      </w:pPr>
      <w:r>
        <w:rPr>
          <w:noProof/>
          <w:lang w:val="it-IT"/>
        </w:rPr>
        <w:t>3.</w:t>
      </w:r>
      <w:r>
        <w:rPr>
          <w:noProof/>
          <w:lang w:val="it-IT"/>
        </w:rPr>
        <w:tab/>
      </w:r>
      <w:r>
        <w:rPr>
          <w:noProof/>
          <w:lang w:val="it-IT"/>
        </w:rPr>
        <w:tab/>
        <w:t>Come usare RoActemra</w:t>
      </w:r>
    </w:p>
    <w:p>
      <w:pPr>
        <w:tabs>
          <w:tab w:val="left" w:pos="180"/>
        </w:tabs>
        <w:rPr>
          <w:noProof/>
          <w:lang w:val="it-IT"/>
        </w:rPr>
      </w:pPr>
      <w:r>
        <w:rPr>
          <w:noProof/>
          <w:lang w:val="it-IT"/>
        </w:rPr>
        <w:t>4.</w:t>
      </w:r>
      <w:r>
        <w:rPr>
          <w:noProof/>
          <w:lang w:val="it-IT"/>
        </w:rPr>
        <w:tab/>
      </w:r>
      <w:r>
        <w:rPr>
          <w:noProof/>
          <w:lang w:val="it-IT"/>
        </w:rPr>
        <w:tab/>
        <w:t>Possibili effetti indesiderati</w:t>
      </w:r>
    </w:p>
    <w:p>
      <w:pPr>
        <w:tabs>
          <w:tab w:val="left" w:pos="180"/>
        </w:tabs>
        <w:rPr>
          <w:noProof/>
          <w:lang w:val="it-IT"/>
        </w:rPr>
      </w:pPr>
      <w:r>
        <w:rPr>
          <w:noProof/>
          <w:lang w:val="it-IT"/>
        </w:rPr>
        <w:t>5.</w:t>
      </w:r>
      <w:r>
        <w:rPr>
          <w:noProof/>
          <w:lang w:val="it-IT"/>
        </w:rPr>
        <w:tab/>
      </w:r>
      <w:r>
        <w:rPr>
          <w:noProof/>
          <w:lang w:val="it-IT"/>
        </w:rPr>
        <w:tab/>
        <w:t>Come conservare RoActemra</w:t>
      </w:r>
    </w:p>
    <w:p>
      <w:pPr>
        <w:tabs>
          <w:tab w:val="left" w:pos="180"/>
        </w:tabs>
        <w:rPr>
          <w:noProof/>
          <w:lang w:val="it-IT"/>
        </w:rPr>
      </w:pPr>
      <w:r>
        <w:rPr>
          <w:noProof/>
          <w:lang w:val="it-IT"/>
        </w:rPr>
        <w:t>6.</w:t>
      </w:r>
      <w:r>
        <w:rPr>
          <w:noProof/>
          <w:lang w:val="it-IT"/>
        </w:rPr>
        <w:tab/>
      </w:r>
      <w:r>
        <w:rPr>
          <w:noProof/>
          <w:lang w:val="it-IT"/>
        </w:rPr>
        <w:tab/>
        <w:t>Contenuto della confezione ed altre informazioni</w:t>
      </w:r>
    </w:p>
    <w:p>
      <w:pPr>
        <w:tabs>
          <w:tab w:val="left" w:pos="180"/>
        </w:tabs>
        <w:rPr>
          <w:b/>
          <w:noProof/>
          <w:lang w:val="it-IT"/>
        </w:rPr>
      </w:pPr>
    </w:p>
    <w:p>
      <w:pPr>
        <w:tabs>
          <w:tab w:val="left" w:pos="180"/>
        </w:tabs>
        <w:rPr>
          <w:b/>
          <w:noProof/>
          <w:lang w:val="it-IT"/>
        </w:rPr>
      </w:pPr>
    </w:p>
    <w:p>
      <w:pPr>
        <w:tabs>
          <w:tab w:val="left" w:pos="180"/>
        </w:tabs>
        <w:ind w:left="567" w:hanging="567"/>
        <w:rPr>
          <w:b/>
          <w:noProof/>
          <w:szCs w:val="22"/>
          <w:lang w:val="it-IT"/>
        </w:rPr>
      </w:pPr>
      <w:r>
        <w:rPr>
          <w:b/>
          <w:noProof/>
          <w:szCs w:val="22"/>
          <w:lang w:val="it-IT"/>
        </w:rPr>
        <w:t>1.</w:t>
      </w:r>
      <w:r>
        <w:rPr>
          <w:b/>
          <w:noProof/>
          <w:szCs w:val="22"/>
          <w:lang w:val="it-IT"/>
        </w:rPr>
        <w:tab/>
      </w:r>
      <w:r>
        <w:rPr>
          <w:noProof/>
          <w:szCs w:val="22"/>
          <w:lang w:val="it-IT"/>
        </w:rPr>
        <w:tab/>
      </w:r>
      <w:r>
        <w:rPr>
          <w:b/>
          <w:noProof/>
          <w:szCs w:val="22"/>
          <w:lang w:val="it-IT"/>
        </w:rPr>
        <w:t>Cos’è RoActemra e a cosa serve</w:t>
      </w:r>
    </w:p>
    <w:p>
      <w:pPr>
        <w:tabs>
          <w:tab w:val="left" w:pos="180"/>
        </w:tabs>
        <w:rPr>
          <w:noProof/>
          <w:lang w:val="it-IT"/>
        </w:rPr>
      </w:pPr>
    </w:p>
    <w:p>
      <w:pPr>
        <w:tabs>
          <w:tab w:val="left" w:pos="180"/>
        </w:tabs>
        <w:rPr>
          <w:noProof/>
          <w:lang w:val="it-IT"/>
        </w:rPr>
      </w:pPr>
      <w:r>
        <w:rPr>
          <w:noProof/>
          <w:lang w:val="it-IT"/>
        </w:rPr>
        <w:t xml:space="preserve">RoActemra contiene la sostanza attiva tocilizumab, una proteina prodotta da cellule immunitarie specifiche (anticorpo monoclonale) che blocca l’azione di una specifica proteina (citochina) chiamata interleuchina-6. Questa proteina è coinvolta nei processi infiammatori dell’organismo e il </w:t>
      </w:r>
      <w:del w:id="11413" w:author="Author">
        <w:r>
          <w:rPr>
            <w:noProof/>
            <w:lang w:val="it-IT"/>
          </w:rPr>
          <w:delText xml:space="preserve">suo </w:delText>
        </w:r>
      </w:del>
      <w:r>
        <w:rPr>
          <w:noProof/>
          <w:lang w:val="it-IT"/>
        </w:rPr>
        <w:t xml:space="preserve">blocco </w:t>
      </w:r>
      <w:ins w:id="11414" w:author="Author">
        <w:r>
          <w:rPr>
            <w:noProof/>
            <w:lang w:val="it-IT"/>
          </w:rPr>
          <w:t xml:space="preserve">di tale proteina </w:t>
        </w:r>
      </w:ins>
      <w:r>
        <w:rPr>
          <w:noProof/>
          <w:lang w:val="it-IT"/>
        </w:rPr>
        <w:t>può ridurre l’infiammazione nel</w:t>
      </w:r>
      <w:ins w:id="11415" w:author="Author">
        <w:r>
          <w:rPr>
            <w:noProof/>
            <w:lang w:val="it-IT"/>
          </w:rPr>
          <w:t>l’</w:t>
        </w:r>
      </w:ins>
      <w:del w:id="11416" w:author="Author">
        <w:r>
          <w:rPr>
            <w:noProof/>
            <w:lang w:val="it-IT"/>
          </w:rPr>
          <w:delText xml:space="preserve"> suo </w:delText>
        </w:r>
      </w:del>
      <w:r>
        <w:rPr>
          <w:noProof/>
          <w:lang w:val="it-IT"/>
        </w:rPr>
        <w:t>organismo. RoActemra è utilizzato per trattare:</w:t>
      </w:r>
    </w:p>
    <w:p>
      <w:pPr>
        <w:tabs>
          <w:tab w:val="left" w:pos="180"/>
        </w:tabs>
        <w:rPr>
          <w:noProof/>
          <w:lang w:val="it-IT"/>
        </w:rPr>
      </w:pPr>
    </w:p>
    <w:p>
      <w:pPr>
        <w:ind w:left="567" w:hanging="567"/>
        <w:rPr>
          <w:noProof/>
          <w:lang w:val="it-IT"/>
        </w:rPr>
        <w:pPrChange w:id="11417" w:author="Author">
          <w:pPr>
            <w:tabs>
              <w:tab w:val="left" w:pos="709"/>
            </w:tabs>
            <w:ind w:left="708" w:hanging="493"/>
          </w:pPr>
        </w:pPrChange>
      </w:pPr>
      <w:r>
        <w:rPr>
          <w:noProof/>
          <w:lang w:val="it-IT"/>
        </w:rPr>
        <w:sym w:font="Symbol" w:char="00B7"/>
      </w:r>
      <w:r>
        <w:rPr>
          <w:noProof/>
          <w:lang w:val="it-IT"/>
        </w:rPr>
        <w:tab/>
      </w:r>
      <w:r>
        <w:rPr>
          <w:b/>
          <w:noProof/>
          <w:lang w:val="it-IT"/>
        </w:rPr>
        <w:t>adulti con artrite reumatoide (AR) attiva da moderata a grave</w:t>
      </w:r>
      <w:r>
        <w:rPr>
          <w:noProof/>
          <w:lang w:val="it-IT"/>
        </w:rPr>
        <w:t>, una malattia autoimmune, se le precedenti terapie non hanno funzionato abbastanza.</w:t>
      </w:r>
    </w:p>
    <w:p>
      <w:pPr>
        <w:tabs>
          <w:tab w:val="left" w:pos="180"/>
        </w:tabs>
        <w:rPr>
          <w:noProof/>
          <w:lang w:val="it-IT"/>
        </w:rPr>
      </w:pPr>
    </w:p>
    <w:p>
      <w:pPr>
        <w:ind w:left="567" w:hanging="567"/>
        <w:rPr>
          <w:b/>
          <w:noProof/>
          <w:lang w:val="it-IT"/>
        </w:rPr>
        <w:pPrChange w:id="11418" w:author="Author">
          <w:pPr>
            <w:tabs>
              <w:tab w:val="left" w:pos="709"/>
            </w:tabs>
            <w:ind w:left="708" w:hanging="493"/>
          </w:pPr>
        </w:pPrChange>
      </w:pPr>
      <w:r>
        <w:rPr>
          <w:noProof/>
          <w:lang w:val="it-IT"/>
        </w:rPr>
        <w:sym w:font="Symbol" w:char="00B7"/>
      </w:r>
      <w:r>
        <w:rPr>
          <w:noProof/>
          <w:lang w:val="it-IT"/>
        </w:rPr>
        <w:tab/>
      </w:r>
      <w:r>
        <w:rPr>
          <w:b/>
          <w:noProof/>
          <w:lang w:val="it-IT"/>
        </w:rPr>
        <w:t xml:space="preserve">adulti con artrite reumatoide (AR) grave, attiva e in progressione, </w:t>
      </w:r>
      <w:r>
        <w:rPr>
          <w:noProof/>
          <w:szCs w:val="22"/>
          <w:lang w:val="it-IT"/>
        </w:rPr>
        <w:t xml:space="preserve">precedentemente non trattati con </w:t>
      </w:r>
      <w:del w:id="11419" w:author="Author">
        <w:r>
          <w:rPr>
            <w:noProof/>
            <w:szCs w:val="22"/>
            <w:lang w:val="it-IT"/>
          </w:rPr>
          <w:delText>metotressato</w:delText>
        </w:r>
      </w:del>
      <w:ins w:id="11420" w:author="Author">
        <w:r>
          <w:rPr>
            <w:noProof/>
            <w:szCs w:val="22"/>
            <w:lang w:val="it-IT"/>
          </w:rPr>
          <w:t>metotrexato</w:t>
        </w:r>
      </w:ins>
      <w:r>
        <w:rPr>
          <w:noProof/>
          <w:szCs w:val="22"/>
          <w:lang w:val="it-IT"/>
        </w:rPr>
        <w:t>.</w:t>
      </w:r>
    </w:p>
    <w:p>
      <w:pPr>
        <w:tabs>
          <w:tab w:val="left" w:pos="180"/>
        </w:tabs>
        <w:rPr>
          <w:noProof/>
          <w:lang w:val="it-IT"/>
        </w:rPr>
      </w:pPr>
    </w:p>
    <w:p>
      <w:pPr>
        <w:tabs>
          <w:tab w:val="left" w:pos="180"/>
          <w:tab w:val="left" w:pos="4253"/>
        </w:tabs>
        <w:ind w:left="567"/>
        <w:rPr>
          <w:noProof/>
          <w:szCs w:val="22"/>
          <w:lang w:val="it-IT"/>
        </w:rPr>
        <w:pPrChange w:id="11421" w:author="Author">
          <w:pPr>
            <w:tabs>
              <w:tab w:val="left" w:pos="180"/>
              <w:tab w:val="left" w:pos="4253"/>
            </w:tabs>
            <w:ind w:left="709"/>
          </w:pPr>
        </w:pPrChange>
      </w:pPr>
      <w:r>
        <w:rPr>
          <w:noProof/>
          <w:szCs w:val="22"/>
          <w:lang w:val="it-IT"/>
        </w:rPr>
        <w:t xml:space="preserve">RoActemra aiuta a ridurre i sintomi della AR, come il dolore e la tumefazione delle articolazioni, e può inoltre migliorare le </w:t>
      </w:r>
      <w:del w:id="11422" w:author="Author">
        <w:r>
          <w:rPr>
            <w:noProof/>
            <w:szCs w:val="22"/>
            <w:lang w:val="it-IT"/>
          </w:rPr>
          <w:delText xml:space="preserve">sue </w:delText>
        </w:r>
      </w:del>
      <w:r>
        <w:rPr>
          <w:noProof/>
          <w:szCs w:val="22"/>
          <w:lang w:val="it-IT"/>
        </w:rPr>
        <w:t xml:space="preserve">capacità di effettuare le attività quotidiane. RoActemra ha dimostrato di rallentare il danno alla cartilagine e all’osso delle articolazioni causato dalla malattia e di migliorare la </w:t>
      </w:r>
      <w:del w:id="11423" w:author="Author">
        <w:r>
          <w:rPr>
            <w:noProof/>
            <w:szCs w:val="22"/>
            <w:lang w:val="it-IT"/>
          </w:rPr>
          <w:delText xml:space="preserve">sua </w:delText>
        </w:r>
      </w:del>
      <w:r>
        <w:rPr>
          <w:noProof/>
          <w:szCs w:val="22"/>
          <w:lang w:val="it-IT"/>
        </w:rPr>
        <w:t>capacità di svolgere le normali attività quotidiane.</w:t>
      </w:r>
    </w:p>
    <w:p>
      <w:pPr>
        <w:tabs>
          <w:tab w:val="left" w:pos="180"/>
        </w:tabs>
        <w:ind w:left="709"/>
        <w:rPr>
          <w:noProof/>
          <w:lang w:val="it-IT"/>
        </w:rPr>
      </w:pPr>
    </w:p>
    <w:p>
      <w:pPr>
        <w:tabs>
          <w:tab w:val="left" w:pos="180"/>
        </w:tabs>
        <w:ind w:left="567"/>
        <w:rPr>
          <w:noProof/>
          <w:szCs w:val="22"/>
          <w:lang w:val="it-IT"/>
        </w:rPr>
        <w:pPrChange w:id="11424" w:author="Author">
          <w:pPr>
            <w:tabs>
              <w:tab w:val="left" w:pos="180"/>
            </w:tabs>
            <w:ind w:left="709"/>
          </w:pPr>
        </w:pPrChange>
      </w:pPr>
      <w:r>
        <w:rPr>
          <w:noProof/>
          <w:szCs w:val="22"/>
          <w:lang w:val="it-IT"/>
        </w:rPr>
        <w:t>RoActemra è solitamente usato in associazione con un altro medicinale per la AR chiamato metotre</w:t>
      </w:r>
      <w:del w:id="11425" w:author="Author">
        <w:r>
          <w:rPr>
            <w:noProof/>
            <w:szCs w:val="22"/>
            <w:lang w:val="it-IT"/>
          </w:rPr>
          <w:delText>ss</w:delText>
        </w:r>
      </w:del>
      <w:ins w:id="11426" w:author="Author">
        <w:r>
          <w:rPr>
            <w:noProof/>
            <w:szCs w:val="22"/>
            <w:lang w:val="it-IT"/>
          </w:rPr>
          <w:t>x</w:t>
        </w:r>
      </w:ins>
      <w:r>
        <w:rPr>
          <w:noProof/>
          <w:szCs w:val="22"/>
          <w:lang w:val="it-IT"/>
        </w:rPr>
        <w:t>ato. RoActemra può comunque essere usato da solo se il medico decide che il trattamento con metotre</w:t>
      </w:r>
      <w:del w:id="11427" w:author="Author">
        <w:r>
          <w:rPr>
            <w:noProof/>
            <w:szCs w:val="22"/>
            <w:lang w:val="it-IT"/>
          </w:rPr>
          <w:delText>ss</w:delText>
        </w:r>
      </w:del>
      <w:ins w:id="11428" w:author="Author">
        <w:r>
          <w:rPr>
            <w:noProof/>
            <w:szCs w:val="22"/>
            <w:lang w:val="it-IT"/>
          </w:rPr>
          <w:t>x</w:t>
        </w:r>
      </w:ins>
      <w:r>
        <w:rPr>
          <w:noProof/>
          <w:szCs w:val="22"/>
          <w:lang w:val="it-IT"/>
        </w:rPr>
        <w:t>ato è inappropriato.</w:t>
      </w:r>
    </w:p>
    <w:p>
      <w:pPr>
        <w:tabs>
          <w:tab w:val="left" w:pos="180"/>
        </w:tabs>
        <w:ind w:left="709"/>
        <w:rPr>
          <w:noProof/>
          <w:szCs w:val="22"/>
          <w:lang w:val="it-IT"/>
        </w:rPr>
      </w:pPr>
    </w:p>
    <w:p>
      <w:pPr>
        <w:keepNext/>
        <w:keepLines/>
        <w:ind w:left="567" w:hanging="567"/>
        <w:rPr>
          <w:noProof/>
          <w:lang w:val="it-IT"/>
        </w:rPr>
        <w:pPrChange w:id="11429" w:author="Author">
          <w:pPr>
            <w:keepNext/>
            <w:keepLines/>
            <w:tabs>
              <w:tab w:val="left" w:pos="180"/>
            </w:tabs>
            <w:ind w:left="709" w:hanging="425"/>
          </w:pPr>
        </w:pPrChange>
      </w:pPr>
      <w:r>
        <w:rPr>
          <w:noProof/>
          <w:lang w:val="it-IT"/>
        </w:rPr>
        <w:sym w:font="Symbol" w:char="00B7"/>
      </w:r>
      <w:r>
        <w:rPr>
          <w:noProof/>
          <w:lang w:val="it-IT"/>
        </w:rPr>
        <w:tab/>
      </w:r>
      <w:r>
        <w:rPr>
          <w:b/>
          <w:noProof/>
          <w:lang w:val="it-IT"/>
        </w:rPr>
        <w:t xml:space="preserve">adulti con una malattia delle arterie chiamata arterite a cellule giganti </w:t>
      </w:r>
      <w:r>
        <w:rPr>
          <w:noProof/>
          <w:lang w:val="it-IT"/>
        </w:rPr>
        <w:t>(</w:t>
      </w:r>
      <w:r>
        <w:rPr>
          <w:b/>
          <w:noProof/>
          <w:lang w:val="it-IT"/>
        </w:rPr>
        <w:t>ACG</w:t>
      </w:r>
      <w:r>
        <w:rPr>
          <w:noProof/>
          <w:lang w:val="it-IT"/>
        </w:rPr>
        <w:t>), provocata dall’infiammazione delle arterie più grosse del corpo, specialmente quelle che portano il sangue alla testa e al collo. I sintomi includono mal di testa, affaticamento e dolore alla mandibola/mascella. Gli effetti possono includere ictus e cecità.</w:t>
      </w:r>
    </w:p>
    <w:p>
      <w:pPr>
        <w:keepLines/>
        <w:rPr>
          <w:noProof/>
          <w:lang w:val="it-IT"/>
        </w:rPr>
        <w:pPrChange w:id="11430" w:author="Author">
          <w:pPr>
            <w:keepNext/>
            <w:keepLines/>
          </w:pPr>
        </w:pPrChange>
      </w:pPr>
    </w:p>
    <w:p>
      <w:pPr>
        <w:keepLines/>
        <w:ind w:left="567"/>
        <w:rPr>
          <w:noProof/>
          <w:lang w:val="it-IT"/>
        </w:rPr>
        <w:pPrChange w:id="11431" w:author="Author">
          <w:pPr>
            <w:keepNext/>
            <w:keepLines/>
            <w:ind w:left="709"/>
          </w:pPr>
        </w:pPrChange>
      </w:pPr>
      <w:r>
        <w:rPr>
          <w:noProof/>
          <w:lang w:val="it-IT"/>
        </w:rPr>
        <w:t>RoActemra può ridurre il dolore e il rigonfiamento di arterie e vene nella testa, nel collo e nelle braccia.</w:t>
      </w:r>
    </w:p>
    <w:p>
      <w:pPr>
        <w:keepLines/>
        <w:ind w:left="709"/>
        <w:rPr>
          <w:noProof/>
          <w:lang w:val="it-IT"/>
        </w:rPr>
        <w:pPrChange w:id="11432" w:author="Author">
          <w:pPr>
            <w:keepNext/>
            <w:keepLines/>
            <w:ind w:left="709"/>
          </w:pPr>
        </w:pPrChange>
      </w:pPr>
    </w:p>
    <w:p>
      <w:pPr>
        <w:ind w:left="567"/>
        <w:rPr>
          <w:noProof/>
          <w:lang w:val="it-IT"/>
        </w:rPr>
        <w:pPrChange w:id="11433" w:author="Author">
          <w:pPr>
            <w:keepNext/>
            <w:keepLines/>
            <w:ind w:left="709"/>
          </w:pPr>
        </w:pPrChange>
      </w:pPr>
      <w:r>
        <w:rPr>
          <w:noProof/>
          <w:lang w:val="it-IT"/>
        </w:rPr>
        <w:t>La ACG è spesso trattata con medicinali chiamati steroidi, che generalmente sono efficaci, ma possono provocare effetti indesiderati se usati a dosi elevate per periodi prolungati. Inoltre, la riduzione della dose di steroidi può provocare una riacutizzazione della ACG. Aggiungere RoActemra al trattamento significa poter utilizzare gli steroidi per un periodo più breve, ten</w:t>
      </w:r>
      <w:del w:id="11434" w:author="Author">
        <w:r>
          <w:rPr>
            <w:noProof/>
            <w:lang w:val="it-IT"/>
          </w:rPr>
          <w:delText>d</w:delText>
        </w:r>
      </w:del>
      <w:r>
        <w:rPr>
          <w:noProof/>
          <w:lang w:val="it-IT"/>
        </w:rPr>
        <w:t>endo comunque sotto controllo la ACG.</w:t>
      </w:r>
    </w:p>
    <w:p>
      <w:pPr>
        <w:ind w:left="709"/>
        <w:rPr>
          <w:noProof/>
          <w:lang w:val="it-IT"/>
        </w:rPr>
      </w:pPr>
    </w:p>
    <w:p>
      <w:pPr>
        <w:tabs>
          <w:tab w:val="left" w:pos="709"/>
        </w:tabs>
        <w:ind w:left="567" w:hanging="567"/>
        <w:rPr>
          <w:noProof/>
          <w:szCs w:val="22"/>
          <w:lang w:val="it-IT"/>
        </w:rPr>
        <w:pPrChange w:id="11435" w:author="Author">
          <w:pPr>
            <w:tabs>
              <w:tab w:val="left" w:pos="709"/>
            </w:tabs>
            <w:ind w:left="709" w:hanging="709"/>
          </w:pPr>
        </w:pPrChange>
      </w:pPr>
      <w:r>
        <w:rPr>
          <w:noProof/>
          <w:lang w:val="it-IT"/>
        </w:rPr>
        <w:sym w:font="Symbol" w:char="00B7"/>
      </w:r>
      <w:r>
        <w:rPr>
          <w:noProof/>
          <w:lang w:val="it-IT"/>
        </w:rPr>
        <w:tab/>
      </w:r>
      <w:r>
        <w:rPr>
          <w:b/>
          <w:noProof/>
          <w:szCs w:val="22"/>
          <w:lang w:val="it-IT"/>
        </w:rPr>
        <w:t xml:space="preserve">bambini e adolescenti, di età uguale o superiore a 1 anno, con artrite idiopatica giovanile </w:t>
      </w:r>
      <w:r>
        <w:rPr>
          <w:rFonts w:eastAsia="SimSun"/>
          <w:b/>
          <w:noProof/>
          <w:lang w:val="it-IT" w:eastAsia="zh-CN"/>
        </w:rPr>
        <w:t>sistemica</w:t>
      </w:r>
      <w:r>
        <w:rPr>
          <w:b/>
          <w:noProof/>
          <w:szCs w:val="22"/>
          <w:lang w:val="it-IT"/>
        </w:rPr>
        <w:t xml:space="preserve"> (AIGs) attiva</w:t>
      </w:r>
      <w:r>
        <w:rPr>
          <w:noProof/>
          <w:szCs w:val="22"/>
          <w:lang w:val="it-IT"/>
        </w:rPr>
        <w:t xml:space="preserve">, una malattia infiammatoria che causa dolore e tumefazione a carico di una o più articolazioni, nonché febbre ed eruzione cutanea. </w:t>
      </w:r>
    </w:p>
    <w:p>
      <w:pPr>
        <w:ind w:left="567"/>
        <w:rPr>
          <w:noProof/>
          <w:szCs w:val="22"/>
          <w:lang w:val="it-IT"/>
        </w:rPr>
        <w:pPrChange w:id="11436" w:author="Author">
          <w:pPr>
            <w:ind w:left="709"/>
          </w:pPr>
        </w:pPrChange>
      </w:pPr>
      <w:r>
        <w:rPr>
          <w:b/>
          <w:noProof/>
          <w:szCs w:val="22"/>
          <w:lang w:val="it-IT"/>
        </w:rPr>
        <w:br/>
      </w:r>
      <w:r>
        <w:rPr>
          <w:noProof/>
          <w:szCs w:val="22"/>
          <w:lang w:val="it-IT"/>
        </w:rPr>
        <w:t xml:space="preserve">RoActemra è usato per determinare un miglioramento dei sintomi dell’AIGs. Può essere somministrato in </w:t>
      </w:r>
      <w:del w:id="11437" w:author="Author">
        <w:r>
          <w:rPr>
            <w:noProof/>
            <w:szCs w:val="22"/>
            <w:lang w:val="it-IT"/>
          </w:rPr>
          <w:delText xml:space="preserve">combinazione </w:delText>
        </w:r>
      </w:del>
      <w:ins w:id="11438" w:author="Author">
        <w:r>
          <w:rPr>
            <w:noProof/>
            <w:szCs w:val="22"/>
            <w:lang w:val="it-IT"/>
          </w:rPr>
          <w:t xml:space="preserve">associazione </w:t>
        </w:r>
      </w:ins>
      <w:r>
        <w:rPr>
          <w:noProof/>
          <w:szCs w:val="22"/>
          <w:lang w:val="it-IT"/>
        </w:rPr>
        <w:t>con metotre</w:t>
      </w:r>
      <w:ins w:id="11439" w:author="Author">
        <w:r>
          <w:rPr>
            <w:noProof/>
            <w:szCs w:val="22"/>
            <w:lang w:val="it-IT"/>
          </w:rPr>
          <w:t>x</w:t>
        </w:r>
      </w:ins>
      <w:del w:id="11440" w:author="Author">
        <w:r>
          <w:rPr>
            <w:noProof/>
            <w:szCs w:val="22"/>
            <w:lang w:val="it-IT"/>
          </w:rPr>
          <w:delText>ss</w:delText>
        </w:r>
      </w:del>
      <w:r>
        <w:rPr>
          <w:noProof/>
          <w:szCs w:val="22"/>
          <w:lang w:val="it-IT"/>
        </w:rPr>
        <w:t>ato o da solo.</w:t>
      </w:r>
    </w:p>
    <w:p>
      <w:pPr>
        <w:tabs>
          <w:tab w:val="left" w:pos="180"/>
        </w:tabs>
        <w:rPr>
          <w:noProof/>
          <w:szCs w:val="22"/>
          <w:lang w:val="it-IT"/>
        </w:rPr>
      </w:pPr>
    </w:p>
    <w:p>
      <w:pPr>
        <w:tabs>
          <w:tab w:val="left" w:pos="709"/>
        </w:tabs>
        <w:ind w:left="567" w:hanging="567"/>
        <w:rPr>
          <w:noProof/>
          <w:szCs w:val="22"/>
          <w:lang w:val="it-IT"/>
        </w:rPr>
        <w:pPrChange w:id="11441" w:author="Author">
          <w:pPr>
            <w:tabs>
              <w:tab w:val="left" w:pos="709"/>
            </w:tabs>
            <w:ind w:left="709" w:hanging="709"/>
          </w:pPr>
        </w:pPrChange>
      </w:pPr>
      <w:r>
        <w:rPr>
          <w:noProof/>
          <w:lang w:val="it-IT"/>
        </w:rPr>
        <w:sym w:font="Symbol" w:char="00B7"/>
      </w:r>
      <w:r>
        <w:rPr>
          <w:noProof/>
          <w:lang w:val="it-IT"/>
        </w:rPr>
        <w:tab/>
      </w:r>
      <w:r>
        <w:rPr>
          <w:b/>
          <w:noProof/>
          <w:szCs w:val="22"/>
          <w:lang w:val="it-IT"/>
        </w:rPr>
        <w:t xml:space="preserve">bambini e adolescenti, di età uguale o superiore a 2 anni, con artrite idiopatica giovanile </w:t>
      </w:r>
      <w:r>
        <w:rPr>
          <w:rFonts w:eastAsia="SimSun"/>
          <w:b/>
          <w:noProof/>
          <w:lang w:val="it-IT" w:eastAsia="zh-CN"/>
        </w:rPr>
        <w:t>poliarticolare</w:t>
      </w:r>
      <w:r>
        <w:rPr>
          <w:b/>
          <w:noProof/>
          <w:szCs w:val="22"/>
          <w:lang w:val="it-IT"/>
        </w:rPr>
        <w:t xml:space="preserve"> (AIGp) attiva</w:t>
      </w:r>
      <w:r>
        <w:rPr>
          <w:noProof/>
          <w:szCs w:val="22"/>
          <w:lang w:val="it-IT"/>
        </w:rPr>
        <w:t xml:space="preserve">, una malattia infiammatoria che causa dolore e tumefazione a carico di una o più articolazioni. </w:t>
      </w:r>
    </w:p>
    <w:p>
      <w:pPr>
        <w:ind w:left="567" w:hanging="567"/>
        <w:rPr>
          <w:noProof/>
          <w:szCs w:val="22"/>
          <w:lang w:val="it-IT"/>
        </w:rPr>
        <w:pPrChange w:id="11442" w:author="Author">
          <w:pPr>
            <w:ind w:left="709" w:hanging="709"/>
          </w:pPr>
        </w:pPrChange>
      </w:pPr>
      <w:r>
        <w:rPr>
          <w:b/>
          <w:noProof/>
          <w:szCs w:val="22"/>
          <w:lang w:val="it-IT"/>
        </w:rPr>
        <w:br/>
      </w:r>
      <w:r>
        <w:rPr>
          <w:noProof/>
          <w:szCs w:val="22"/>
          <w:lang w:val="it-IT"/>
        </w:rPr>
        <w:t xml:space="preserve">RoActemra è usato per determinare un miglioramento dei sintomi dell’AIGp. Può essere somministrato in </w:t>
      </w:r>
      <w:del w:id="11443" w:author="Author">
        <w:r>
          <w:rPr>
            <w:noProof/>
            <w:szCs w:val="22"/>
            <w:lang w:val="it-IT"/>
          </w:rPr>
          <w:delText xml:space="preserve">combinazione </w:delText>
        </w:r>
      </w:del>
      <w:ins w:id="11444" w:author="Author">
        <w:r>
          <w:rPr>
            <w:noProof/>
            <w:szCs w:val="22"/>
            <w:lang w:val="it-IT"/>
          </w:rPr>
          <w:t xml:space="preserve">associazione </w:t>
        </w:r>
      </w:ins>
      <w:r>
        <w:rPr>
          <w:noProof/>
          <w:szCs w:val="22"/>
          <w:lang w:val="it-IT"/>
        </w:rPr>
        <w:t xml:space="preserve">con </w:t>
      </w:r>
      <w:del w:id="11445" w:author="Author">
        <w:r>
          <w:rPr>
            <w:noProof/>
            <w:szCs w:val="22"/>
            <w:lang w:val="it-IT"/>
          </w:rPr>
          <w:delText xml:space="preserve">metotressato </w:delText>
        </w:r>
      </w:del>
      <w:ins w:id="11446" w:author="Author">
        <w:r>
          <w:rPr>
            <w:noProof/>
            <w:szCs w:val="22"/>
            <w:lang w:val="it-IT"/>
          </w:rPr>
          <w:t xml:space="preserve">metotrexato </w:t>
        </w:r>
      </w:ins>
      <w:r>
        <w:rPr>
          <w:noProof/>
          <w:szCs w:val="22"/>
          <w:lang w:val="it-IT"/>
        </w:rPr>
        <w:t xml:space="preserve">o da solo. </w:t>
      </w:r>
    </w:p>
    <w:p>
      <w:pPr>
        <w:tabs>
          <w:tab w:val="left" w:pos="180"/>
        </w:tabs>
        <w:rPr>
          <w:noProof/>
          <w:szCs w:val="22"/>
          <w:lang w:val="it-IT"/>
        </w:rPr>
      </w:pPr>
    </w:p>
    <w:p>
      <w:pPr>
        <w:tabs>
          <w:tab w:val="left" w:pos="180"/>
        </w:tabs>
        <w:rPr>
          <w:noProof/>
          <w:szCs w:val="22"/>
          <w:lang w:val="it-IT"/>
        </w:rPr>
      </w:pPr>
    </w:p>
    <w:p>
      <w:pPr>
        <w:tabs>
          <w:tab w:val="left" w:pos="180"/>
        </w:tabs>
        <w:ind w:left="567" w:hanging="567"/>
        <w:rPr>
          <w:b/>
          <w:noProof/>
          <w:szCs w:val="22"/>
          <w:lang w:val="it-IT"/>
        </w:rPr>
      </w:pPr>
      <w:r>
        <w:rPr>
          <w:b/>
          <w:noProof/>
          <w:szCs w:val="22"/>
          <w:lang w:val="it-IT"/>
        </w:rPr>
        <w:t>2.</w:t>
      </w:r>
      <w:r>
        <w:rPr>
          <w:noProof/>
          <w:szCs w:val="22"/>
          <w:lang w:val="it-IT"/>
        </w:rPr>
        <w:tab/>
      </w:r>
      <w:r>
        <w:rPr>
          <w:noProof/>
          <w:szCs w:val="22"/>
          <w:lang w:val="it-IT"/>
        </w:rPr>
        <w:tab/>
      </w:r>
      <w:r>
        <w:rPr>
          <w:b/>
          <w:noProof/>
          <w:szCs w:val="22"/>
          <w:lang w:val="it-IT"/>
        </w:rPr>
        <w:t>Cosa deve sapere prima di usare RoActemra</w:t>
      </w:r>
    </w:p>
    <w:p>
      <w:pPr>
        <w:tabs>
          <w:tab w:val="left" w:pos="180"/>
        </w:tabs>
        <w:rPr>
          <w:noProof/>
          <w:lang w:val="it-IT"/>
        </w:rPr>
      </w:pPr>
    </w:p>
    <w:p>
      <w:pPr>
        <w:tabs>
          <w:tab w:val="left" w:pos="180"/>
        </w:tabs>
        <w:rPr>
          <w:noProof/>
          <w:lang w:val="it-IT"/>
        </w:rPr>
      </w:pPr>
      <w:r>
        <w:rPr>
          <w:b/>
          <w:noProof/>
          <w:lang w:val="it-IT"/>
        </w:rPr>
        <w:t>Non usi RoActemra</w:t>
      </w:r>
    </w:p>
    <w:p>
      <w:pPr>
        <w:ind w:left="567" w:hanging="567"/>
        <w:rPr>
          <w:del w:id="11447" w:author="Author"/>
          <w:noProof/>
          <w:lang w:val="it-IT"/>
        </w:rPr>
        <w:pPrChange w:id="11448" w:author="Author">
          <w:pPr>
            <w:tabs>
              <w:tab w:val="left" w:pos="567"/>
            </w:tabs>
            <w:ind w:left="567" w:hanging="567"/>
          </w:pPr>
        </w:pPrChange>
      </w:pPr>
      <w:r>
        <w:rPr>
          <w:noProof/>
          <w:lang w:val="it-IT"/>
        </w:rPr>
        <w:sym w:font="Symbol" w:char="00B7"/>
      </w:r>
      <w:r>
        <w:rPr>
          <w:noProof/>
          <w:lang w:val="it-IT"/>
        </w:rPr>
        <w:t xml:space="preserve"> </w:t>
      </w:r>
      <w:r>
        <w:rPr>
          <w:noProof/>
          <w:lang w:val="it-IT"/>
        </w:rPr>
        <w:tab/>
      </w:r>
      <w:r>
        <w:rPr>
          <w:noProof/>
          <w:szCs w:val="22"/>
          <w:lang w:val="it-IT"/>
        </w:rPr>
        <w:t>se lei o un paziente pediatrico di cui si prende cura è allergico a tocilizumab</w:t>
      </w:r>
      <w:r>
        <w:rPr>
          <w:noProof/>
          <w:lang w:val="it-IT"/>
        </w:rPr>
        <w:t xml:space="preserve"> o ad uno qualsiasi degli eccipienti di questo medicinale (elencati nel paragrafo 6).</w:t>
      </w:r>
    </w:p>
    <w:p>
      <w:pPr>
        <w:ind w:left="567" w:hanging="567"/>
        <w:rPr>
          <w:noProof/>
          <w:lang w:val="it-IT"/>
        </w:rPr>
        <w:pPrChange w:id="11449" w:author="Author">
          <w:pPr>
            <w:tabs>
              <w:tab w:val="left" w:pos="180"/>
            </w:tabs>
          </w:pPr>
        </w:pPrChange>
      </w:pPr>
    </w:p>
    <w:p>
      <w:pPr>
        <w:tabs>
          <w:tab w:val="left" w:pos="567"/>
        </w:tabs>
        <w:ind w:left="567" w:hanging="567"/>
        <w:rPr>
          <w:noProof/>
          <w:lang w:val="it-IT"/>
        </w:rPr>
      </w:pPr>
      <w:r>
        <w:rPr>
          <w:noProof/>
          <w:lang w:val="it-IT"/>
        </w:rPr>
        <w:sym w:font="Symbol" w:char="00B7"/>
      </w:r>
      <w:r>
        <w:rPr>
          <w:noProof/>
          <w:lang w:val="it-IT"/>
        </w:rPr>
        <w:t xml:space="preserve"> </w:t>
      </w:r>
      <w:r>
        <w:rPr>
          <w:noProof/>
          <w:lang w:val="it-IT"/>
        </w:rPr>
        <w:tab/>
        <w:t xml:space="preserve">se </w:t>
      </w:r>
      <w:r>
        <w:rPr>
          <w:noProof/>
          <w:szCs w:val="22"/>
          <w:lang w:val="it-IT"/>
        </w:rPr>
        <w:t xml:space="preserve">lei o un paziente pediatrico di cui si prende cura </w:t>
      </w:r>
      <w:r>
        <w:rPr>
          <w:noProof/>
          <w:lang w:val="it-IT"/>
        </w:rPr>
        <w:t>ha un’infezione grave attiva.</w:t>
      </w:r>
    </w:p>
    <w:p>
      <w:pPr>
        <w:numPr>
          <w:ilvl w:val="12"/>
          <w:numId w:val="0"/>
        </w:numPr>
        <w:tabs>
          <w:tab w:val="left" w:pos="180"/>
        </w:tabs>
        <w:outlineLvl w:val="0"/>
        <w:rPr>
          <w:b/>
          <w:noProof/>
          <w:lang w:val="it-IT"/>
        </w:rPr>
      </w:pPr>
    </w:p>
    <w:p>
      <w:pPr>
        <w:tabs>
          <w:tab w:val="left" w:pos="180"/>
        </w:tabs>
        <w:rPr>
          <w:noProof/>
          <w:lang w:val="it-IT"/>
        </w:rPr>
      </w:pPr>
      <w:r>
        <w:rPr>
          <w:noProof/>
          <w:lang w:val="it-IT"/>
        </w:rPr>
        <w:t>Se una di queste condizioni la riguarda, informi il medico. Non usi RoActemra.</w:t>
      </w:r>
    </w:p>
    <w:p>
      <w:pPr>
        <w:numPr>
          <w:ilvl w:val="12"/>
          <w:numId w:val="0"/>
        </w:numPr>
        <w:tabs>
          <w:tab w:val="left" w:pos="180"/>
        </w:tabs>
        <w:outlineLvl w:val="0"/>
        <w:rPr>
          <w:b/>
          <w:noProof/>
          <w:lang w:val="it-IT"/>
        </w:rPr>
      </w:pPr>
    </w:p>
    <w:p>
      <w:pPr>
        <w:keepNext/>
        <w:keepLines/>
        <w:numPr>
          <w:ilvl w:val="12"/>
          <w:numId w:val="0"/>
        </w:numPr>
        <w:tabs>
          <w:tab w:val="left" w:pos="180"/>
        </w:tabs>
        <w:outlineLvl w:val="0"/>
        <w:rPr>
          <w:del w:id="11450" w:author="Author"/>
          <w:b/>
          <w:noProof/>
          <w:lang w:val="it-IT"/>
        </w:rPr>
      </w:pPr>
      <w:r>
        <w:rPr>
          <w:b/>
          <w:noProof/>
          <w:lang w:val="it-IT"/>
        </w:rPr>
        <w:t>Avvertenze e precauzioni</w:t>
      </w:r>
      <w:del w:id="11451" w:author="Author">
        <w:r>
          <w:rPr>
            <w:b/>
            <w:noProof/>
            <w:lang w:val="it-IT"/>
          </w:rPr>
          <w:delText xml:space="preserve"> </w:delText>
        </w:r>
      </w:del>
    </w:p>
    <w:p>
      <w:pPr>
        <w:keepNext/>
        <w:keepLines/>
        <w:numPr>
          <w:ilvl w:val="12"/>
          <w:numId w:val="0"/>
        </w:numPr>
        <w:tabs>
          <w:tab w:val="left" w:pos="180"/>
        </w:tabs>
        <w:outlineLvl w:val="0"/>
        <w:rPr>
          <w:b/>
          <w:noProof/>
          <w:szCs w:val="22"/>
          <w:lang w:val="it-IT"/>
        </w:rPr>
      </w:pPr>
    </w:p>
    <w:p>
      <w:pPr>
        <w:keepNext/>
        <w:keepLines/>
        <w:numPr>
          <w:ilvl w:val="12"/>
          <w:numId w:val="0"/>
        </w:numPr>
        <w:tabs>
          <w:tab w:val="left" w:pos="180"/>
        </w:tabs>
        <w:rPr>
          <w:noProof/>
          <w:lang w:val="it-IT"/>
        </w:rPr>
      </w:pPr>
      <w:r>
        <w:rPr>
          <w:noProof/>
          <w:lang w:val="it-IT"/>
        </w:rPr>
        <w:t>Parli con il medico, il farmacista o l’infermiere prima di usare RoActemra.</w:t>
      </w:r>
    </w:p>
    <w:p>
      <w:pPr>
        <w:keepNext/>
        <w:tabs>
          <w:tab w:val="left" w:pos="180"/>
        </w:tabs>
        <w:rPr>
          <w:b/>
          <w:noProof/>
          <w:lang w:val="it-IT"/>
        </w:rPr>
      </w:pPr>
    </w:p>
    <w:p>
      <w:pPr>
        <w:pStyle w:val="ListParagraph"/>
        <w:numPr>
          <w:ilvl w:val="0"/>
          <w:numId w:val="43"/>
        </w:numPr>
        <w:ind w:left="567" w:hanging="567"/>
        <w:rPr>
          <w:b/>
          <w:noProof/>
        </w:rPr>
        <w:pPrChange w:id="11452" w:author="Author">
          <w:pPr>
            <w:tabs>
              <w:tab w:val="left" w:pos="142"/>
            </w:tabs>
            <w:ind w:left="284" w:hanging="567"/>
          </w:pPr>
        </w:pPrChange>
      </w:pPr>
      <w:del w:id="11453" w:author="Author">
        <w:r>
          <w:rPr>
            <w:noProof/>
            <w:sz w:val="22"/>
            <w:rPrChange w:id="11454" w:author="Author">
              <w:rPr/>
            </w:rPrChange>
          </w:rPr>
          <w:sym w:font="Symbol" w:char="00B7"/>
        </w:r>
        <w:r>
          <w:rPr>
            <w:noProof/>
            <w:sz w:val="22"/>
            <w:rPrChange w:id="11455" w:author="Author">
              <w:rPr/>
            </w:rPrChange>
          </w:rPr>
          <w:delText xml:space="preserve"> </w:delText>
        </w:r>
      </w:del>
      <w:r>
        <w:rPr>
          <w:noProof/>
          <w:sz w:val="22"/>
          <w:rPrChange w:id="11456" w:author="Author">
            <w:rPr/>
          </w:rPrChange>
        </w:rPr>
        <w:t xml:space="preserve">Se manifesta </w:t>
      </w:r>
      <w:r>
        <w:rPr>
          <w:b/>
          <w:noProof/>
          <w:sz w:val="22"/>
          <w:rPrChange w:id="11457" w:author="Author">
            <w:rPr>
              <w:b/>
            </w:rPr>
          </w:rPrChange>
        </w:rPr>
        <w:t>reazioni allergiche</w:t>
      </w:r>
      <w:r>
        <w:rPr>
          <w:noProof/>
          <w:sz w:val="22"/>
          <w:rPrChange w:id="11458" w:author="Author">
            <w:rPr/>
          </w:rPrChange>
        </w:rPr>
        <w:t xml:space="preserve">, quali oppressione al torace, respiro sibilante, forti capogiri o una sensazione di stordimento, tumefazione delle labbra, della lingua, prurito alla pelle o al viso, orticaria o eruzione cutanea durante l’iniezione o subito dopo, </w:t>
      </w:r>
      <w:r>
        <w:rPr>
          <w:b/>
          <w:noProof/>
          <w:sz w:val="22"/>
          <w:rPrChange w:id="11459" w:author="Author">
            <w:rPr>
              <w:b/>
            </w:rPr>
          </w:rPrChange>
        </w:rPr>
        <w:t>informi immediatamente il medico</w:t>
      </w:r>
      <w:r>
        <w:rPr>
          <w:noProof/>
          <w:sz w:val="22"/>
          <w:rPrChange w:id="11460" w:author="Author">
            <w:rPr/>
          </w:rPrChange>
        </w:rPr>
        <w:t>.</w:t>
      </w:r>
    </w:p>
    <w:p>
      <w:pPr>
        <w:tabs>
          <w:tab w:val="left" w:pos="142"/>
          <w:tab w:val="left" w:pos="180"/>
        </w:tabs>
        <w:ind w:left="284" w:hanging="567"/>
        <w:rPr>
          <w:b/>
          <w:noProof/>
          <w:lang w:val="it-IT"/>
        </w:rPr>
      </w:pPr>
    </w:p>
    <w:p>
      <w:pPr>
        <w:pStyle w:val="ListParagraph"/>
        <w:numPr>
          <w:ilvl w:val="0"/>
          <w:numId w:val="43"/>
        </w:numPr>
        <w:ind w:left="567" w:hanging="567"/>
        <w:rPr>
          <w:bCs/>
          <w:noProof/>
          <w:szCs w:val="22"/>
        </w:rPr>
        <w:pPrChange w:id="11461" w:author="Author">
          <w:pPr>
            <w:tabs>
              <w:tab w:val="left" w:pos="142"/>
            </w:tabs>
            <w:ind w:left="284" w:hanging="567"/>
          </w:pPr>
        </w:pPrChange>
      </w:pPr>
      <w:del w:id="11462" w:author="Author">
        <w:r>
          <w:rPr>
            <w:noProof/>
            <w:sz w:val="22"/>
          </w:rPr>
          <w:sym w:font="Symbol" w:char="00B7"/>
        </w:r>
      </w:del>
      <w:r>
        <w:rPr>
          <w:noProof/>
          <w:sz w:val="22"/>
        </w:rPr>
        <w:t xml:space="preserve">Se dopo la somministrazione di </w:t>
      </w:r>
      <w:r>
        <w:rPr>
          <w:bCs/>
          <w:noProof/>
          <w:sz w:val="22"/>
          <w:szCs w:val="22"/>
        </w:rPr>
        <w:t>RoActemra</w:t>
      </w:r>
      <w:r>
        <w:rPr>
          <w:noProof/>
          <w:sz w:val="22"/>
        </w:rPr>
        <w:t xml:space="preserve"> manifesta qualsiasi sintomo indicativo di una reazione allergica, non assuma la dose successiva finché non avrà informato il medico E questi non le avrà detto di </w:t>
      </w:r>
      <w:r>
        <w:rPr>
          <w:bCs/>
          <w:noProof/>
          <w:sz w:val="22"/>
          <w:szCs w:val="22"/>
        </w:rPr>
        <w:t>prenderla.</w:t>
      </w:r>
    </w:p>
    <w:p>
      <w:pPr>
        <w:tabs>
          <w:tab w:val="left" w:pos="142"/>
          <w:tab w:val="left" w:pos="180"/>
        </w:tabs>
        <w:ind w:left="284" w:hanging="567"/>
        <w:rPr>
          <w:noProof/>
          <w:lang w:val="it-IT"/>
        </w:rPr>
      </w:pPr>
    </w:p>
    <w:p>
      <w:pPr>
        <w:pStyle w:val="ListParagraph"/>
        <w:numPr>
          <w:ilvl w:val="0"/>
          <w:numId w:val="43"/>
        </w:numPr>
        <w:ind w:left="567" w:hanging="567"/>
        <w:rPr>
          <w:noProof/>
        </w:rPr>
        <w:pPrChange w:id="11463" w:author="Author">
          <w:pPr>
            <w:tabs>
              <w:tab w:val="left" w:pos="142"/>
            </w:tabs>
            <w:ind w:left="284" w:hanging="567"/>
          </w:pPr>
        </w:pPrChange>
      </w:pPr>
      <w:del w:id="11464" w:author="Author">
        <w:r>
          <w:rPr>
            <w:noProof/>
            <w:sz w:val="22"/>
            <w:rPrChange w:id="11465" w:author="Author">
              <w:rPr/>
            </w:rPrChange>
          </w:rPr>
          <w:sym w:font="Symbol" w:char="00B7"/>
        </w:r>
      </w:del>
      <w:r>
        <w:rPr>
          <w:noProof/>
          <w:sz w:val="22"/>
          <w:rPrChange w:id="11466" w:author="Author">
            <w:rPr/>
          </w:rPrChange>
        </w:rPr>
        <w:t>Se ha un’</w:t>
      </w:r>
      <w:r>
        <w:rPr>
          <w:b/>
          <w:noProof/>
          <w:sz w:val="22"/>
          <w:rPrChange w:id="11467" w:author="Author">
            <w:rPr>
              <w:b/>
            </w:rPr>
          </w:rPrChange>
        </w:rPr>
        <w:t>infezione</w:t>
      </w:r>
      <w:r>
        <w:rPr>
          <w:noProof/>
          <w:sz w:val="22"/>
          <w:rPrChange w:id="11468" w:author="Author">
            <w:rPr/>
          </w:rPrChange>
        </w:rPr>
        <w:t xml:space="preserve"> di qualsiasi tipo di breve o lunga durata, oppure se ha frequenti infezioni. </w:t>
      </w:r>
      <w:r>
        <w:rPr>
          <w:b/>
          <w:noProof/>
          <w:sz w:val="22"/>
          <w:rPrChange w:id="11469" w:author="Author">
            <w:rPr>
              <w:b/>
            </w:rPr>
          </w:rPrChange>
        </w:rPr>
        <w:t>Informi immediatamente il medico</w:t>
      </w:r>
      <w:r>
        <w:rPr>
          <w:noProof/>
          <w:sz w:val="22"/>
          <w:rPrChange w:id="11470" w:author="Author">
            <w:rPr/>
          </w:rPrChange>
        </w:rPr>
        <w:t xml:space="preserve"> se si sente poco bene. RoActemra può ridurre la capacità del corpo di rispondere alle infezioni e potrebbe peggiorare un’infezione esistente o aumentare le possibilità di incorrere in una nuova infezione.</w:t>
      </w:r>
    </w:p>
    <w:p>
      <w:pPr>
        <w:tabs>
          <w:tab w:val="left" w:pos="142"/>
          <w:tab w:val="left" w:pos="180"/>
        </w:tabs>
        <w:ind w:left="284"/>
        <w:rPr>
          <w:noProof/>
          <w:lang w:val="it-IT"/>
        </w:rPr>
      </w:pPr>
    </w:p>
    <w:p>
      <w:pPr>
        <w:pStyle w:val="ListParagraph"/>
        <w:numPr>
          <w:ilvl w:val="0"/>
          <w:numId w:val="43"/>
        </w:numPr>
        <w:ind w:left="567" w:hanging="567"/>
        <w:rPr>
          <w:noProof/>
        </w:rPr>
        <w:pPrChange w:id="11471" w:author="Author">
          <w:pPr>
            <w:tabs>
              <w:tab w:val="left" w:pos="142"/>
            </w:tabs>
            <w:ind w:left="284" w:hanging="567"/>
          </w:pPr>
        </w:pPrChange>
      </w:pPr>
      <w:del w:id="11472" w:author="Author">
        <w:r>
          <w:rPr>
            <w:noProof/>
            <w:sz w:val="22"/>
            <w:rPrChange w:id="11473" w:author="Author">
              <w:rPr/>
            </w:rPrChange>
          </w:rPr>
          <w:sym w:font="Symbol" w:char="00B7"/>
        </w:r>
      </w:del>
      <w:r>
        <w:rPr>
          <w:noProof/>
          <w:sz w:val="22"/>
          <w:rPrChange w:id="11474" w:author="Author">
            <w:rPr/>
          </w:rPrChange>
        </w:rPr>
        <w:t xml:space="preserve">Se ha avuto la </w:t>
      </w:r>
      <w:r>
        <w:rPr>
          <w:b/>
          <w:noProof/>
          <w:sz w:val="22"/>
          <w:rPrChange w:id="11475" w:author="Author">
            <w:rPr>
              <w:b/>
            </w:rPr>
          </w:rPrChange>
        </w:rPr>
        <w:t>tubercolosi</w:t>
      </w:r>
      <w:r>
        <w:rPr>
          <w:noProof/>
          <w:sz w:val="22"/>
          <w:rPrChange w:id="11476" w:author="Author">
            <w:rPr/>
          </w:rPrChange>
        </w:rPr>
        <w:t>, informi il medico. Il medico ricercherà segni e sintomi della tubercolosi prima di iniziare la terapia con RoActemra. Se i sintomi della tubercolosi (tosse persistente, perdita di peso, svogliatezza, febbre lieve) o qualsiasi altra infezione appaiono durante o dopo la terapia, informi immediatamente il medico.</w:t>
      </w:r>
    </w:p>
    <w:p>
      <w:pPr>
        <w:tabs>
          <w:tab w:val="left" w:pos="142"/>
          <w:tab w:val="left" w:pos="180"/>
        </w:tabs>
        <w:ind w:left="284"/>
        <w:rPr>
          <w:noProof/>
          <w:lang w:val="it-IT"/>
        </w:rPr>
      </w:pPr>
    </w:p>
    <w:p>
      <w:pPr>
        <w:pStyle w:val="ListParagraph"/>
        <w:numPr>
          <w:ilvl w:val="0"/>
          <w:numId w:val="43"/>
        </w:numPr>
        <w:ind w:left="567" w:hanging="567"/>
        <w:rPr>
          <w:noProof/>
        </w:rPr>
        <w:pPrChange w:id="11477" w:author="Author">
          <w:pPr>
            <w:tabs>
              <w:tab w:val="left" w:pos="142"/>
            </w:tabs>
            <w:ind w:left="284" w:hanging="567"/>
          </w:pPr>
        </w:pPrChange>
      </w:pPr>
      <w:del w:id="11478" w:author="Author">
        <w:r>
          <w:rPr>
            <w:noProof/>
            <w:sz w:val="22"/>
            <w:rPrChange w:id="11479" w:author="Author">
              <w:rPr/>
            </w:rPrChange>
          </w:rPr>
          <w:sym w:font="Symbol" w:char="00B7"/>
        </w:r>
      </w:del>
      <w:r>
        <w:rPr>
          <w:noProof/>
          <w:sz w:val="22"/>
          <w:rPrChange w:id="11480" w:author="Author">
            <w:rPr/>
          </w:rPrChange>
        </w:rPr>
        <w:t xml:space="preserve">Se ha avuto </w:t>
      </w:r>
      <w:r>
        <w:rPr>
          <w:b/>
          <w:noProof/>
          <w:sz w:val="22"/>
          <w:rPrChange w:id="11481" w:author="Author">
            <w:rPr>
              <w:b/>
            </w:rPr>
          </w:rPrChange>
        </w:rPr>
        <w:t>ulcere intestinali</w:t>
      </w:r>
      <w:r>
        <w:rPr>
          <w:noProof/>
          <w:sz w:val="22"/>
          <w:rPrChange w:id="11482" w:author="Author">
            <w:rPr/>
          </w:rPrChange>
        </w:rPr>
        <w:t xml:space="preserve"> o </w:t>
      </w:r>
      <w:r>
        <w:rPr>
          <w:b/>
          <w:noProof/>
          <w:sz w:val="22"/>
          <w:rPrChange w:id="11483" w:author="Author">
            <w:rPr>
              <w:b/>
            </w:rPr>
          </w:rPrChange>
        </w:rPr>
        <w:t>diverticolite</w:t>
      </w:r>
      <w:r>
        <w:rPr>
          <w:noProof/>
          <w:sz w:val="22"/>
          <w:rPrChange w:id="11484" w:author="Author">
            <w:rPr/>
          </w:rPrChange>
        </w:rPr>
        <w:t>, informi il medico. Tra i sintomi vi potrebbero essere dolore addominale e variazioni inspiegabili delle abitudini intestinali associate a febbre.</w:t>
      </w:r>
    </w:p>
    <w:p>
      <w:pPr>
        <w:tabs>
          <w:tab w:val="left" w:pos="142"/>
          <w:tab w:val="left" w:pos="180"/>
        </w:tabs>
        <w:ind w:left="284"/>
        <w:rPr>
          <w:noProof/>
          <w:lang w:val="it-IT"/>
        </w:rPr>
      </w:pPr>
    </w:p>
    <w:p>
      <w:pPr>
        <w:pStyle w:val="ListParagraph"/>
        <w:numPr>
          <w:ilvl w:val="0"/>
          <w:numId w:val="43"/>
        </w:numPr>
        <w:ind w:left="567" w:hanging="567"/>
        <w:rPr>
          <w:noProof/>
        </w:rPr>
        <w:pPrChange w:id="11485" w:author="Author">
          <w:pPr>
            <w:tabs>
              <w:tab w:val="left" w:pos="142"/>
            </w:tabs>
            <w:ind w:left="284" w:hanging="567"/>
          </w:pPr>
        </w:pPrChange>
      </w:pPr>
      <w:del w:id="11486" w:author="Author">
        <w:r>
          <w:rPr>
            <w:noProof/>
            <w:sz w:val="22"/>
            <w:rPrChange w:id="11487" w:author="Author">
              <w:rPr/>
            </w:rPrChange>
          </w:rPr>
          <w:lastRenderedPageBreak/>
          <w:sym w:font="Symbol" w:char="00B7"/>
        </w:r>
      </w:del>
      <w:r>
        <w:rPr>
          <w:bCs/>
          <w:noProof/>
          <w:sz w:val="22"/>
          <w:rPrChange w:id="11488" w:author="Author">
            <w:rPr>
              <w:bCs/>
            </w:rPr>
          </w:rPrChange>
        </w:rPr>
        <w:t xml:space="preserve">Se ha </w:t>
      </w:r>
      <w:r>
        <w:rPr>
          <w:noProof/>
          <w:sz w:val="22"/>
          <w:rPrChange w:id="11489" w:author="Author">
            <w:rPr>
              <w:bCs/>
            </w:rPr>
          </w:rPrChange>
        </w:rPr>
        <w:t>una</w:t>
      </w:r>
      <w:r>
        <w:rPr>
          <w:bCs/>
          <w:noProof/>
          <w:sz w:val="22"/>
          <w:rPrChange w:id="11490" w:author="Author">
            <w:rPr>
              <w:bCs/>
            </w:rPr>
          </w:rPrChange>
        </w:rPr>
        <w:t xml:space="preserve"> </w:t>
      </w:r>
      <w:r>
        <w:rPr>
          <w:b/>
          <w:bCs/>
          <w:noProof/>
          <w:sz w:val="22"/>
          <w:rPrChange w:id="11491" w:author="Author">
            <w:rPr>
              <w:b/>
              <w:bCs/>
            </w:rPr>
          </w:rPrChange>
        </w:rPr>
        <w:t>malattia del fegato</w:t>
      </w:r>
      <w:r>
        <w:rPr>
          <w:noProof/>
          <w:sz w:val="22"/>
          <w:rPrChange w:id="11492" w:author="Author">
            <w:rPr/>
          </w:rPrChange>
        </w:rPr>
        <w:t xml:space="preserve">, informi il medico. Prima di usare RoActemra il medico potrebbe voler fare un esame del sangue per esaminare la funzionalità del </w:t>
      </w:r>
      <w:del w:id="11493" w:author="Author">
        <w:r>
          <w:rPr>
            <w:noProof/>
            <w:sz w:val="22"/>
            <w:rPrChange w:id="11494" w:author="Author">
              <w:rPr/>
            </w:rPrChange>
          </w:rPr>
          <w:delText xml:space="preserve">suo </w:delText>
        </w:r>
      </w:del>
      <w:r>
        <w:rPr>
          <w:noProof/>
          <w:sz w:val="22"/>
          <w:rPrChange w:id="11495" w:author="Author">
            <w:rPr/>
          </w:rPrChange>
        </w:rPr>
        <w:t>fegato.</w:t>
      </w:r>
    </w:p>
    <w:p>
      <w:pPr>
        <w:tabs>
          <w:tab w:val="left" w:pos="142"/>
          <w:tab w:val="left" w:pos="180"/>
        </w:tabs>
        <w:ind w:left="284" w:hanging="567"/>
        <w:rPr>
          <w:noProof/>
          <w:lang w:val="it-IT"/>
        </w:rPr>
      </w:pPr>
    </w:p>
    <w:p>
      <w:pPr>
        <w:pStyle w:val="ListParagraph"/>
        <w:numPr>
          <w:ilvl w:val="0"/>
          <w:numId w:val="43"/>
        </w:numPr>
        <w:ind w:left="567" w:hanging="567"/>
        <w:rPr>
          <w:noProof/>
          <w:szCs w:val="22"/>
        </w:rPr>
        <w:pPrChange w:id="11496" w:author="Author">
          <w:pPr>
            <w:tabs>
              <w:tab w:val="left" w:pos="142"/>
            </w:tabs>
            <w:ind w:left="284" w:hanging="567"/>
          </w:pPr>
        </w:pPrChange>
      </w:pPr>
      <w:del w:id="11497" w:author="Author">
        <w:r>
          <w:rPr>
            <w:noProof/>
            <w:sz w:val="22"/>
            <w:rPrChange w:id="11498" w:author="Author">
              <w:rPr/>
            </w:rPrChange>
          </w:rPr>
          <w:sym w:font="Symbol" w:char="00B7"/>
        </w:r>
      </w:del>
      <w:r>
        <w:rPr>
          <w:b/>
          <w:noProof/>
          <w:sz w:val="22"/>
          <w:rPrChange w:id="11499" w:author="Author">
            <w:rPr>
              <w:b/>
            </w:rPr>
          </w:rPrChange>
        </w:rPr>
        <w:t>Se un paziente è stato vaccinato di recente o prevede di sottoporsi ad una vaccinazione</w:t>
      </w:r>
      <w:r>
        <w:rPr>
          <w:noProof/>
          <w:sz w:val="22"/>
          <w:rPrChange w:id="11500" w:author="Author">
            <w:rPr/>
          </w:rPrChange>
        </w:rPr>
        <w:t xml:space="preserve">, informi il medico. </w:t>
      </w:r>
      <w:r>
        <w:rPr>
          <w:noProof/>
          <w:sz w:val="22"/>
          <w:szCs w:val="22"/>
          <w:rPrChange w:id="11501" w:author="Author">
            <w:rPr>
              <w:szCs w:val="22"/>
            </w:rPr>
          </w:rPrChange>
        </w:rPr>
        <w:t>Tutti i pazienti devono essere in regola con tutte le vaccinazioni prima di iniziare il trattamento con RoActemra.</w:t>
      </w:r>
      <w:r>
        <w:rPr>
          <w:noProof/>
          <w:sz w:val="22"/>
          <w:rPrChange w:id="11502" w:author="Author">
            <w:rPr/>
          </w:rPrChange>
        </w:rPr>
        <w:t xml:space="preserve"> Alcuni tipi di vaccini non devono essere somministrati durante la terapia con RoActemra.</w:t>
      </w:r>
    </w:p>
    <w:p>
      <w:pPr>
        <w:tabs>
          <w:tab w:val="left" w:pos="142"/>
          <w:tab w:val="left" w:pos="180"/>
        </w:tabs>
        <w:ind w:left="284" w:hanging="567"/>
        <w:rPr>
          <w:noProof/>
          <w:lang w:val="it-IT"/>
        </w:rPr>
      </w:pPr>
    </w:p>
    <w:p>
      <w:pPr>
        <w:pStyle w:val="ListParagraph"/>
        <w:numPr>
          <w:ilvl w:val="0"/>
          <w:numId w:val="43"/>
        </w:numPr>
        <w:ind w:left="567" w:hanging="567"/>
        <w:rPr>
          <w:noProof/>
        </w:rPr>
        <w:pPrChange w:id="11503" w:author="Author">
          <w:pPr>
            <w:tabs>
              <w:tab w:val="left" w:pos="142"/>
            </w:tabs>
            <w:ind w:left="284" w:hanging="567"/>
          </w:pPr>
        </w:pPrChange>
      </w:pPr>
      <w:del w:id="11504" w:author="Author">
        <w:r>
          <w:rPr>
            <w:noProof/>
            <w:sz w:val="22"/>
            <w:rPrChange w:id="11505" w:author="Author">
              <w:rPr/>
            </w:rPrChange>
          </w:rPr>
          <w:sym w:font="Symbol" w:char="00B7"/>
        </w:r>
      </w:del>
      <w:r>
        <w:rPr>
          <w:noProof/>
          <w:sz w:val="22"/>
          <w:rPrChange w:id="11506" w:author="Author">
            <w:rPr/>
          </w:rPrChange>
        </w:rPr>
        <w:t xml:space="preserve">Se ha un </w:t>
      </w:r>
      <w:r>
        <w:rPr>
          <w:b/>
          <w:noProof/>
          <w:sz w:val="22"/>
          <w:rPrChange w:id="11507" w:author="Author">
            <w:rPr>
              <w:b/>
            </w:rPr>
          </w:rPrChange>
        </w:rPr>
        <w:t>tumore</w:t>
      </w:r>
      <w:r>
        <w:rPr>
          <w:noProof/>
          <w:sz w:val="22"/>
          <w:rPrChange w:id="11508" w:author="Author">
            <w:rPr/>
          </w:rPrChange>
        </w:rPr>
        <w:t>, informi il medico. Il medico dovrà decidere se potrà ancora ricevere RoActemra.</w:t>
      </w:r>
    </w:p>
    <w:p>
      <w:pPr>
        <w:tabs>
          <w:tab w:val="left" w:pos="142"/>
          <w:tab w:val="left" w:pos="180"/>
        </w:tabs>
        <w:ind w:left="284" w:hanging="567"/>
        <w:rPr>
          <w:noProof/>
          <w:lang w:val="it-IT"/>
        </w:rPr>
      </w:pPr>
    </w:p>
    <w:p>
      <w:pPr>
        <w:pStyle w:val="ListParagraph"/>
        <w:numPr>
          <w:ilvl w:val="0"/>
          <w:numId w:val="43"/>
        </w:numPr>
        <w:ind w:left="567" w:hanging="567"/>
        <w:rPr>
          <w:noProof/>
        </w:rPr>
        <w:pPrChange w:id="11509" w:author="Author">
          <w:pPr>
            <w:tabs>
              <w:tab w:val="left" w:pos="142"/>
            </w:tabs>
            <w:ind w:left="284" w:hanging="567"/>
          </w:pPr>
        </w:pPrChange>
      </w:pPr>
      <w:del w:id="11510" w:author="Author">
        <w:r>
          <w:rPr>
            <w:noProof/>
            <w:sz w:val="22"/>
            <w:rPrChange w:id="11511" w:author="Author">
              <w:rPr/>
            </w:rPrChange>
          </w:rPr>
          <w:sym w:font="Symbol" w:char="00B7"/>
        </w:r>
      </w:del>
      <w:r>
        <w:rPr>
          <w:noProof/>
          <w:sz w:val="22"/>
          <w:rPrChange w:id="11512" w:author="Author">
            <w:rPr/>
          </w:rPrChange>
        </w:rPr>
        <w:t xml:space="preserve">Se ha </w:t>
      </w:r>
      <w:r>
        <w:rPr>
          <w:b/>
          <w:noProof/>
          <w:sz w:val="22"/>
          <w:rPrChange w:id="11513" w:author="Author">
            <w:rPr>
              <w:b/>
            </w:rPr>
          </w:rPrChange>
        </w:rPr>
        <w:t xml:space="preserve">fattori di rischio cardiovascolari </w:t>
      </w:r>
      <w:r>
        <w:rPr>
          <w:noProof/>
          <w:sz w:val="22"/>
          <w:rPrChange w:id="11514" w:author="Author">
            <w:rPr/>
          </w:rPrChange>
        </w:rPr>
        <w:t xml:space="preserve">quali aumento della pressione </w:t>
      </w:r>
      <w:del w:id="11515" w:author="Author">
        <w:r>
          <w:rPr>
            <w:noProof/>
            <w:sz w:val="22"/>
            <w:rPrChange w:id="11516" w:author="Author">
              <w:rPr/>
            </w:rPrChange>
          </w:rPr>
          <w:delText xml:space="preserve">arteriosa </w:delText>
        </w:r>
      </w:del>
      <w:ins w:id="11517" w:author="Author">
        <w:r>
          <w:rPr>
            <w:noProof/>
            <w:sz w:val="22"/>
          </w:rPr>
          <w:t>sanguigna</w:t>
        </w:r>
        <w:r>
          <w:rPr>
            <w:noProof/>
            <w:sz w:val="22"/>
            <w:rPrChange w:id="11518" w:author="Author">
              <w:rPr/>
            </w:rPrChange>
          </w:rPr>
          <w:t xml:space="preserve"> </w:t>
        </w:r>
      </w:ins>
      <w:r>
        <w:rPr>
          <w:noProof/>
          <w:sz w:val="22"/>
          <w:rPrChange w:id="11519" w:author="Author">
            <w:rPr/>
          </w:rPrChange>
        </w:rPr>
        <w:t>o aumento dei livelli di colesterolo, informi il medico. Questi fattori devono essere monitorati mentre assume RoActemra.</w:t>
      </w:r>
    </w:p>
    <w:p>
      <w:pPr>
        <w:tabs>
          <w:tab w:val="left" w:pos="142"/>
          <w:tab w:val="left" w:pos="180"/>
        </w:tabs>
        <w:ind w:left="284" w:hanging="567"/>
        <w:rPr>
          <w:noProof/>
          <w:lang w:val="it-IT"/>
        </w:rPr>
      </w:pPr>
    </w:p>
    <w:p>
      <w:pPr>
        <w:pStyle w:val="ListParagraph"/>
        <w:numPr>
          <w:ilvl w:val="0"/>
          <w:numId w:val="43"/>
        </w:numPr>
        <w:ind w:left="567" w:hanging="567"/>
        <w:rPr>
          <w:noProof/>
        </w:rPr>
        <w:pPrChange w:id="11520" w:author="Author">
          <w:pPr>
            <w:tabs>
              <w:tab w:val="left" w:pos="142"/>
            </w:tabs>
            <w:ind w:left="284" w:hanging="567"/>
          </w:pPr>
        </w:pPrChange>
      </w:pPr>
      <w:del w:id="11521" w:author="Author">
        <w:r>
          <w:rPr>
            <w:noProof/>
            <w:sz w:val="22"/>
            <w:rPrChange w:id="11522" w:author="Author">
              <w:rPr/>
            </w:rPrChange>
          </w:rPr>
          <w:sym w:font="Symbol" w:char="00B7"/>
        </w:r>
      </w:del>
      <w:r>
        <w:rPr>
          <w:noProof/>
          <w:sz w:val="22"/>
          <w:rPrChange w:id="11523" w:author="Author">
            <w:rPr/>
          </w:rPrChange>
        </w:rPr>
        <w:t xml:space="preserve">Se ha </w:t>
      </w:r>
      <w:r>
        <w:rPr>
          <w:b/>
          <w:noProof/>
          <w:sz w:val="22"/>
          <w:rPrChange w:id="11524" w:author="Author">
            <w:rPr>
              <w:b/>
            </w:rPr>
          </w:rPrChange>
        </w:rPr>
        <w:t>problemi di funzionalità renale</w:t>
      </w:r>
      <w:r>
        <w:rPr>
          <w:noProof/>
          <w:sz w:val="22"/>
          <w:rPrChange w:id="11525" w:author="Author">
            <w:rPr/>
          </w:rPrChange>
        </w:rPr>
        <w:t xml:space="preserve"> di grado da moderato a grave, il medico la terrà sotto controllo.</w:t>
      </w:r>
    </w:p>
    <w:p>
      <w:pPr>
        <w:tabs>
          <w:tab w:val="left" w:pos="142"/>
          <w:tab w:val="left" w:pos="180"/>
        </w:tabs>
        <w:ind w:left="284" w:hanging="567"/>
        <w:rPr>
          <w:noProof/>
          <w:lang w:val="it-IT"/>
        </w:rPr>
      </w:pPr>
    </w:p>
    <w:p>
      <w:pPr>
        <w:pStyle w:val="ListParagraph"/>
        <w:numPr>
          <w:ilvl w:val="0"/>
          <w:numId w:val="43"/>
        </w:numPr>
        <w:ind w:left="567" w:hanging="567"/>
        <w:rPr>
          <w:noProof/>
        </w:rPr>
        <w:pPrChange w:id="11526" w:author="Author">
          <w:pPr>
            <w:tabs>
              <w:tab w:val="left" w:pos="142"/>
            </w:tabs>
            <w:ind w:left="284" w:hanging="567"/>
          </w:pPr>
        </w:pPrChange>
      </w:pPr>
      <w:del w:id="11527" w:author="Author">
        <w:r>
          <w:rPr>
            <w:noProof/>
            <w:sz w:val="22"/>
            <w:rPrChange w:id="11528" w:author="Author">
              <w:rPr/>
            </w:rPrChange>
          </w:rPr>
          <w:sym w:font="Symbol" w:char="00B7"/>
        </w:r>
      </w:del>
      <w:r>
        <w:rPr>
          <w:noProof/>
          <w:sz w:val="22"/>
          <w:rPrChange w:id="11529" w:author="Author">
            <w:rPr/>
          </w:rPrChange>
        </w:rPr>
        <w:t xml:space="preserve">Se ha </w:t>
      </w:r>
      <w:r>
        <w:rPr>
          <w:b/>
          <w:noProof/>
          <w:sz w:val="22"/>
          <w:rPrChange w:id="11530" w:author="Author">
            <w:rPr>
              <w:b/>
            </w:rPr>
          </w:rPrChange>
        </w:rPr>
        <w:t>mal di testa persistente</w:t>
      </w:r>
      <w:r>
        <w:rPr>
          <w:noProof/>
          <w:sz w:val="22"/>
          <w:rPrChange w:id="11531" w:author="Author">
            <w:rPr/>
          </w:rPrChange>
        </w:rPr>
        <w:t>.</w:t>
      </w:r>
    </w:p>
    <w:p>
      <w:pPr>
        <w:tabs>
          <w:tab w:val="left" w:pos="142"/>
          <w:tab w:val="left" w:pos="180"/>
        </w:tabs>
        <w:ind w:left="284" w:hanging="567"/>
        <w:rPr>
          <w:noProof/>
          <w:lang w:val="it-IT"/>
        </w:rPr>
      </w:pPr>
    </w:p>
    <w:p>
      <w:pPr>
        <w:tabs>
          <w:tab w:val="left" w:pos="142"/>
          <w:tab w:val="left" w:pos="180"/>
        </w:tabs>
        <w:rPr>
          <w:noProof/>
          <w:lang w:val="it-IT"/>
        </w:rPr>
        <w:pPrChange w:id="11532" w:author="Author">
          <w:pPr>
            <w:tabs>
              <w:tab w:val="left" w:pos="142"/>
              <w:tab w:val="left" w:pos="180"/>
            </w:tabs>
            <w:ind w:left="284"/>
          </w:pPr>
        </w:pPrChange>
      </w:pPr>
      <w:r>
        <w:rPr>
          <w:noProof/>
          <w:lang w:val="it-IT"/>
        </w:rPr>
        <w:t>Il medico la sottoporrà ad un esame del sangue prima di somministrarle RoActemra, per stabilire se presenta un basso numero di globuli bianchi o di piastrine, oppure un elevato livello degli enzimi del fegato.</w:t>
      </w:r>
    </w:p>
    <w:p>
      <w:pPr>
        <w:tabs>
          <w:tab w:val="left" w:pos="142"/>
          <w:tab w:val="left" w:pos="180"/>
        </w:tabs>
        <w:ind w:left="284"/>
        <w:rPr>
          <w:b/>
          <w:noProof/>
          <w:lang w:val="it-IT"/>
        </w:rPr>
      </w:pPr>
    </w:p>
    <w:p>
      <w:pPr>
        <w:numPr>
          <w:ilvl w:val="12"/>
          <w:numId w:val="0"/>
        </w:numPr>
        <w:tabs>
          <w:tab w:val="left" w:pos="180"/>
        </w:tabs>
        <w:rPr>
          <w:b/>
          <w:bCs/>
          <w:noProof/>
          <w:lang w:val="it-IT"/>
        </w:rPr>
      </w:pPr>
      <w:r>
        <w:rPr>
          <w:b/>
          <w:bCs/>
          <w:noProof/>
          <w:lang w:val="it-IT"/>
        </w:rPr>
        <w:t>Bambini e adolescenti</w:t>
      </w:r>
    </w:p>
    <w:p>
      <w:pPr>
        <w:tabs>
          <w:tab w:val="left" w:pos="180"/>
        </w:tabs>
        <w:rPr>
          <w:noProof/>
          <w:lang w:val="it-IT"/>
        </w:rPr>
      </w:pPr>
      <w:r>
        <w:rPr>
          <w:noProof/>
          <w:lang w:val="it-IT"/>
        </w:rPr>
        <w:t>L’uso di RoActemra nella soluzione iniettabile sottocutanea non è raccomandato in bambini di età inferiore a 1 anno. RoActemra n</w:t>
      </w:r>
      <w:ins w:id="11533" w:author="Author">
        <w:r>
          <w:rPr>
            <w:noProof/>
            <w:lang w:val="it-IT"/>
          </w:rPr>
          <w:t>o</w:t>
        </w:r>
      </w:ins>
      <w:del w:id="11534" w:author="Author">
        <w:r>
          <w:rPr>
            <w:noProof/>
            <w:lang w:val="it-IT"/>
          </w:rPr>
          <w:delText>e</w:delText>
        </w:r>
      </w:del>
      <w:r>
        <w:rPr>
          <w:noProof/>
          <w:lang w:val="it-IT"/>
        </w:rPr>
        <w:t>n deve essere somministrato a bambini affetti da AIGs che pesano meno di 10 kg.</w:t>
      </w:r>
    </w:p>
    <w:p>
      <w:pPr>
        <w:tabs>
          <w:tab w:val="left" w:pos="180"/>
        </w:tabs>
        <w:rPr>
          <w:noProof/>
          <w:lang w:val="it-IT"/>
        </w:rPr>
      </w:pPr>
    </w:p>
    <w:p>
      <w:pPr>
        <w:tabs>
          <w:tab w:val="left" w:pos="180"/>
        </w:tabs>
        <w:rPr>
          <w:bCs/>
          <w:noProof/>
          <w:lang w:val="it-IT"/>
        </w:rPr>
      </w:pPr>
      <w:r>
        <w:rPr>
          <w:noProof/>
          <w:szCs w:val="22"/>
          <w:lang w:val="it-IT"/>
        </w:rPr>
        <w:t xml:space="preserve">Se un bambino presenta una storia di </w:t>
      </w:r>
      <w:r>
        <w:rPr>
          <w:b/>
          <w:i/>
          <w:noProof/>
          <w:szCs w:val="22"/>
          <w:lang w:val="it-IT"/>
        </w:rPr>
        <w:t>sindrome da attivazione macrofagica</w:t>
      </w:r>
      <w:r>
        <w:rPr>
          <w:noProof/>
          <w:szCs w:val="22"/>
          <w:lang w:val="it-IT"/>
        </w:rPr>
        <w:t xml:space="preserve"> (attivazione e proliferazione incontrollata di specifiche cellule del sangue), informi il medico. Questi dovrà decidere se il paziente possa essere comunque trattato con RoActemra.</w:t>
      </w:r>
    </w:p>
    <w:p>
      <w:pPr>
        <w:tabs>
          <w:tab w:val="left" w:pos="180"/>
        </w:tabs>
        <w:rPr>
          <w:noProof/>
          <w:lang w:val="it-IT"/>
        </w:rPr>
      </w:pPr>
    </w:p>
    <w:p>
      <w:pPr>
        <w:keepNext/>
        <w:keepLines/>
        <w:tabs>
          <w:tab w:val="left" w:pos="180"/>
        </w:tabs>
        <w:rPr>
          <w:b/>
          <w:noProof/>
          <w:lang w:val="it-IT"/>
        </w:rPr>
      </w:pPr>
      <w:r>
        <w:rPr>
          <w:b/>
          <w:noProof/>
          <w:lang w:val="it-IT"/>
        </w:rPr>
        <w:t>Altri medicinali e RoActemra</w:t>
      </w:r>
    </w:p>
    <w:p>
      <w:pPr>
        <w:keepNext/>
        <w:keepLines/>
        <w:tabs>
          <w:tab w:val="left" w:pos="180"/>
        </w:tabs>
        <w:rPr>
          <w:noProof/>
          <w:lang w:val="it-IT"/>
        </w:rPr>
      </w:pPr>
      <w:r>
        <w:rPr>
          <w:noProof/>
          <w:lang w:val="it-IT"/>
        </w:rPr>
        <w:t xml:space="preserve">Informi il medico se </w:t>
      </w:r>
      <w:r>
        <w:rPr>
          <w:noProof/>
          <w:szCs w:val="22"/>
          <w:lang w:val="it-IT"/>
        </w:rPr>
        <w:t xml:space="preserve">sta assumendo qualsiasi altro medicinale </w:t>
      </w:r>
      <w:r>
        <w:rPr>
          <w:noProof/>
          <w:lang w:val="it-IT"/>
        </w:rPr>
        <w:t xml:space="preserve">o se recentemente ne ha assunto uno. RoActemra può influire sulle modalità di azione di alcuni medicinali e la dose di questi può necessitare di aggiustamenti. </w:t>
      </w:r>
      <w:r>
        <w:rPr>
          <w:b/>
          <w:noProof/>
          <w:lang w:val="it-IT"/>
        </w:rPr>
        <w:t>Informi il medico</w:t>
      </w:r>
      <w:r>
        <w:rPr>
          <w:noProof/>
          <w:lang w:val="it-IT"/>
        </w:rPr>
        <w:t xml:space="preserve"> se sta usando medicinali che contengono i seguenti principi attivi:</w:t>
      </w:r>
    </w:p>
    <w:p>
      <w:pPr>
        <w:keepNext/>
        <w:keepLines/>
        <w:ind w:left="567" w:hanging="567"/>
        <w:rPr>
          <w:noProof/>
          <w:lang w:val="it-IT"/>
        </w:rPr>
        <w:pPrChange w:id="11535" w:author="Author">
          <w:pPr>
            <w:keepNext/>
            <w:keepLines/>
            <w:tabs>
              <w:tab w:val="left" w:pos="180"/>
            </w:tabs>
          </w:pPr>
        </w:pPrChange>
      </w:pPr>
      <w:r>
        <w:rPr>
          <w:noProof/>
          <w:lang w:val="it-IT"/>
        </w:rPr>
        <w:sym w:font="Symbol" w:char="F0B7"/>
      </w:r>
      <w:r>
        <w:rPr>
          <w:noProof/>
          <w:lang w:val="it-IT"/>
        </w:rPr>
        <w:tab/>
        <w:t>metilprednisolone, desametasone utilizzati per ridurre l’infiammazione</w:t>
      </w:r>
    </w:p>
    <w:p>
      <w:pPr>
        <w:ind w:left="567" w:hanging="567"/>
        <w:rPr>
          <w:rFonts w:eastAsia="SimSun"/>
          <w:noProof/>
          <w:lang w:val="it-IT"/>
        </w:rPr>
        <w:pPrChange w:id="11536" w:author="Author">
          <w:pPr>
            <w:tabs>
              <w:tab w:val="left" w:pos="180"/>
            </w:tabs>
            <w:ind w:left="567" w:hanging="567"/>
          </w:pPr>
        </w:pPrChange>
      </w:pPr>
      <w:r>
        <w:rPr>
          <w:noProof/>
          <w:lang w:val="it-IT"/>
        </w:rPr>
        <w:sym w:font="Symbol" w:char="F0B7"/>
      </w:r>
      <w:r>
        <w:rPr>
          <w:noProof/>
          <w:lang w:val="it-IT"/>
        </w:rPr>
        <w:tab/>
      </w:r>
      <w:r>
        <w:rPr>
          <w:rFonts w:eastAsia="SimSun"/>
          <w:noProof/>
          <w:szCs w:val="22"/>
          <w:lang w:val="it-IT" w:eastAsia="zh-CN" w:bidi="th-TH"/>
        </w:rPr>
        <w:t xml:space="preserve">simvastatina o </w:t>
      </w:r>
      <w:r>
        <w:rPr>
          <w:noProof/>
          <w:lang w:val="it-IT"/>
        </w:rPr>
        <w:t>atorvastatina, usate per ridurre i livelli di colesterolo</w:t>
      </w:r>
    </w:p>
    <w:p>
      <w:pPr>
        <w:ind w:left="567" w:hanging="567"/>
        <w:rPr>
          <w:rFonts w:eastAsia="SimSun"/>
          <w:noProof/>
          <w:lang w:val="it-IT"/>
        </w:rPr>
        <w:pPrChange w:id="11537" w:author="Author">
          <w:pPr>
            <w:tabs>
              <w:tab w:val="left" w:pos="180"/>
            </w:tabs>
            <w:ind w:left="142" w:hanging="142"/>
          </w:pPr>
        </w:pPrChange>
      </w:pPr>
      <w:r>
        <w:rPr>
          <w:noProof/>
          <w:lang w:val="it-IT"/>
        </w:rPr>
        <w:sym w:font="Symbol" w:char="F0B7"/>
      </w:r>
      <w:r>
        <w:rPr>
          <w:noProof/>
          <w:lang w:val="it-IT"/>
        </w:rPr>
        <w:tab/>
        <w:t>bloccanti dei canali del calcio (ad es. amlodipina), usati per trattare l’aumento della pressione sanguigna</w:t>
      </w:r>
    </w:p>
    <w:p>
      <w:pPr>
        <w:ind w:left="567" w:hanging="567"/>
        <w:rPr>
          <w:rFonts w:eastAsia="SimSun"/>
          <w:noProof/>
          <w:lang w:val="it-IT"/>
        </w:rPr>
        <w:pPrChange w:id="11538" w:author="Author">
          <w:pPr>
            <w:tabs>
              <w:tab w:val="left" w:pos="180"/>
            </w:tabs>
            <w:ind w:left="567" w:hanging="567"/>
          </w:pPr>
        </w:pPrChange>
      </w:pPr>
      <w:r>
        <w:rPr>
          <w:noProof/>
          <w:lang w:val="it-IT"/>
        </w:rPr>
        <w:sym w:font="Symbol" w:char="F0B7"/>
      </w:r>
      <w:r>
        <w:rPr>
          <w:noProof/>
          <w:lang w:val="it-IT"/>
        </w:rPr>
        <w:tab/>
        <w:t>teofillina, usata per trattare l’asma</w:t>
      </w:r>
    </w:p>
    <w:p>
      <w:pPr>
        <w:ind w:left="567" w:hanging="567"/>
        <w:rPr>
          <w:rFonts w:eastAsia="SimSun"/>
          <w:noProof/>
          <w:lang w:val="it-IT"/>
        </w:rPr>
        <w:pPrChange w:id="11539" w:author="Author">
          <w:pPr>
            <w:tabs>
              <w:tab w:val="left" w:pos="180"/>
            </w:tabs>
            <w:ind w:left="567" w:hanging="567"/>
          </w:pPr>
        </w:pPrChange>
      </w:pPr>
      <w:r>
        <w:rPr>
          <w:noProof/>
          <w:lang w:val="it-IT"/>
        </w:rPr>
        <w:sym w:font="Symbol" w:char="F0B7"/>
      </w:r>
      <w:r>
        <w:rPr>
          <w:noProof/>
          <w:lang w:val="it-IT"/>
        </w:rPr>
        <w:tab/>
        <w:t>warfarin o fenprocumone, anticoagulanti usati per rendere più fluido il sangue</w:t>
      </w:r>
    </w:p>
    <w:p>
      <w:pPr>
        <w:ind w:left="567" w:hanging="567"/>
        <w:rPr>
          <w:rFonts w:eastAsia="SimSun"/>
          <w:noProof/>
          <w:lang w:val="it-IT"/>
        </w:rPr>
        <w:pPrChange w:id="11540" w:author="Author">
          <w:pPr>
            <w:tabs>
              <w:tab w:val="left" w:pos="180"/>
            </w:tabs>
            <w:ind w:left="567" w:hanging="567"/>
          </w:pPr>
        </w:pPrChange>
      </w:pPr>
      <w:r>
        <w:rPr>
          <w:noProof/>
          <w:lang w:val="it-IT"/>
        </w:rPr>
        <w:sym w:font="Symbol" w:char="F0B7"/>
      </w:r>
      <w:r>
        <w:rPr>
          <w:noProof/>
          <w:lang w:val="it-IT"/>
        </w:rPr>
        <w:tab/>
        <w:t>fenitoina, usata per trattare le convulsioni</w:t>
      </w:r>
    </w:p>
    <w:p>
      <w:pPr>
        <w:ind w:left="567" w:hanging="567"/>
        <w:rPr>
          <w:rFonts w:eastAsia="SimSun"/>
          <w:noProof/>
          <w:lang w:val="it-IT"/>
        </w:rPr>
        <w:pPrChange w:id="11541" w:author="Author">
          <w:pPr>
            <w:tabs>
              <w:tab w:val="left" w:pos="180"/>
            </w:tabs>
            <w:ind w:left="567" w:hanging="567"/>
          </w:pPr>
        </w:pPrChange>
      </w:pPr>
      <w:r>
        <w:rPr>
          <w:noProof/>
          <w:lang w:val="it-IT"/>
        </w:rPr>
        <w:sym w:font="Symbol" w:char="F0B7"/>
      </w:r>
      <w:r>
        <w:rPr>
          <w:noProof/>
          <w:lang w:val="it-IT"/>
        </w:rPr>
        <w:tab/>
        <w:t>ciclosporina, usata per sopprimere il sistema immunitario durante il trapianto di organi</w:t>
      </w:r>
    </w:p>
    <w:p>
      <w:pPr>
        <w:ind w:left="567" w:hanging="567"/>
        <w:rPr>
          <w:noProof/>
          <w:lang w:val="it-IT"/>
        </w:rPr>
        <w:pPrChange w:id="11542" w:author="Author">
          <w:pPr>
            <w:tabs>
              <w:tab w:val="left" w:pos="180"/>
            </w:tabs>
            <w:ind w:left="567" w:hanging="567"/>
          </w:pPr>
        </w:pPrChange>
      </w:pPr>
      <w:r>
        <w:rPr>
          <w:noProof/>
          <w:lang w:val="it-IT"/>
        </w:rPr>
        <w:sym w:font="Symbol" w:char="F0B7"/>
      </w:r>
      <w:r>
        <w:rPr>
          <w:noProof/>
          <w:lang w:val="it-IT"/>
        </w:rPr>
        <w:tab/>
        <w:t>benzodiazepine (ad es. temazepam), usate per trattare l’ansia</w:t>
      </w:r>
    </w:p>
    <w:p>
      <w:pPr>
        <w:tabs>
          <w:tab w:val="left" w:pos="180"/>
        </w:tabs>
        <w:rPr>
          <w:noProof/>
          <w:lang w:val="it-IT"/>
        </w:rPr>
      </w:pPr>
    </w:p>
    <w:p>
      <w:pPr>
        <w:tabs>
          <w:tab w:val="left" w:pos="180"/>
        </w:tabs>
        <w:rPr>
          <w:noProof/>
          <w:lang w:val="it-IT"/>
        </w:rPr>
      </w:pPr>
      <w:r>
        <w:rPr>
          <w:noProof/>
          <w:lang w:val="it-IT"/>
        </w:rPr>
        <w:t xml:space="preserve">A causa della mancanza di esperienza clinica, RoActemra non è indicato per l’uso con altri </w:t>
      </w:r>
      <w:del w:id="11543" w:author="Author">
        <w:r>
          <w:rPr>
            <w:noProof/>
            <w:lang w:val="it-IT"/>
          </w:rPr>
          <w:delText xml:space="preserve">farmaci </w:delText>
        </w:r>
      </w:del>
      <w:ins w:id="11544" w:author="Author">
        <w:r>
          <w:rPr>
            <w:noProof/>
            <w:lang w:val="it-IT"/>
          </w:rPr>
          <w:t xml:space="preserve">medicinali </w:t>
        </w:r>
      </w:ins>
      <w:r>
        <w:rPr>
          <w:noProof/>
          <w:lang w:val="it-IT"/>
        </w:rPr>
        <w:t>biologici per il trattamento dell’AR, dell’AIGs, dell’AIGp o dell’ACG.</w:t>
      </w:r>
    </w:p>
    <w:p>
      <w:pPr>
        <w:tabs>
          <w:tab w:val="left" w:pos="180"/>
        </w:tabs>
        <w:rPr>
          <w:b/>
          <w:noProof/>
          <w:lang w:val="it-IT"/>
        </w:rPr>
        <w:pPrChange w:id="11545" w:author="Author">
          <w:pPr>
            <w:keepNext/>
            <w:tabs>
              <w:tab w:val="left" w:pos="180"/>
            </w:tabs>
          </w:pPr>
        </w:pPrChange>
      </w:pPr>
    </w:p>
    <w:p>
      <w:pPr>
        <w:keepNext/>
        <w:tabs>
          <w:tab w:val="left" w:pos="180"/>
        </w:tabs>
        <w:rPr>
          <w:ins w:id="11546" w:author="Author"/>
          <w:b/>
          <w:noProof/>
          <w:lang w:val="it-IT"/>
        </w:rPr>
      </w:pPr>
      <w:r>
        <w:rPr>
          <w:b/>
          <w:noProof/>
          <w:lang w:val="it-IT"/>
        </w:rPr>
        <w:t>Gravidanza, allattamento e fertilità</w:t>
      </w:r>
    </w:p>
    <w:p>
      <w:pPr>
        <w:keepNext/>
        <w:tabs>
          <w:tab w:val="left" w:pos="180"/>
        </w:tabs>
        <w:rPr>
          <w:b/>
          <w:noProof/>
          <w:lang w:val="it-IT"/>
        </w:rPr>
      </w:pPr>
    </w:p>
    <w:p>
      <w:pPr>
        <w:tabs>
          <w:tab w:val="left" w:pos="180"/>
        </w:tabs>
        <w:rPr>
          <w:iCs/>
          <w:noProof/>
          <w:lang w:val="it-IT"/>
        </w:rPr>
      </w:pPr>
      <w:r>
        <w:rPr>
          <w:b/>
          <w:iCs/>
          <w:noProof/>
          <w:lang w:val="it-IT"/>
        </w:rPr>
        <w:t xml:space="preserve">RoActemra non deve essere usato in gravidanza </w:t>
      </w:r>
      <w:r>
        <w:rPr>
          <w:iCs/>
          <w:noProof/>
          <w:lang w:val="it-IT"/>
        </w:rPr>
        <w:t xml:space="preserve">se non strettamente necessario. Informi il medico se è in stato di gravidanza, se potrebbe esserlo o se </w:t>
      </w:r>
      <w:ins w:id="11547" w:author="Author">
        <w:r>
          <w:rPr>
            <w:iCs/>
            <w:noProof/>
            <w:lang w:val="it-IT"/>
          </w:rPr>
          <w:t xml:space="preserve">sta </w:t>
        </w:r>
      </w:ins>
      <w:r>
        <w:rPr>
          <w:iCs/>
          <w:noProof/>
          <w:lang w:val="it-IT"/>
        </w:rPr>
        <w:t>pianifica</w:t>
      </w:r>
      <w:ins w:id="11548" w:author="Author">
        <w:r>
          <w:rPr>
            <w:iCs/>
            <w:noProof/>
            <w:lang w:val="it-IT"/>
          </w:rPr>
          <w:t>ndo</w:t>
        </w:r>
      </w:ins>
      <w:r>
        <w:rPr>
          <w:iCs/>
          <w:noProof/>
          <w:lang w:val="it-IT"/>
        </w:rPr>
        <w:t xml:space="preserve"> una gravidanza. </w:t>
      </w:r>
    </w:p>
    <w:p>
      <w:pPr>
        <w:tabs>
          <w:tab w:val="left" w:pos="180"/>
        </w:tabs>
        <w:rPr>
          <w:iCs/>
          <w:noProof/>
          <w:lang w:val="it-IT"/>
        </w:rPr>
      </w:pPr>
    </w:p>
    <w:p>
      <w:pPr>
        <w:tabs>
          <w:tab w:val="left" w:pos="180"/>
        </w:tabs>
        <w:rPr>
          <w:iCs/>
          <w:noProof/>
          <w:lang w:val="it-IT"/>
        </w:rPr>
      </w:pPr>
      <w:r>
        <w:rPr>
          <w:b/>
          <w:iCs/>
          <w:noProof/>
          <w:lang w:val="it-IT"/>
        </w:rPr>
        <w:lastRenderedPageBreak/>
        <w:t>Le donne in età fertile devono</w:t>
      </w:r>
      <w:r>
        <w:rPr>
          <w:iCs/>
          <w:noProof/>
          <w:lang w:val="it-IT"/>
        </w:rPr>
        <w:t xml:space="preserve"> fare uso di un contraccettivo efficace durante e fino a 3 mesi dopo il trattamento.</w:t>
      </w:r>
    </w:p>
    <w:p>
      <w:pPr>
        <w:tabs>
          <w:tab w:val="left" w:pos="180"/>
        </w:tabs>
        <w:rPr>
          <w:iCs/>
          <w:noProof/>
          <w:lang w:val="it-IT"/>
        </w:rPr>
      </w:pPr>
    </w:p>
    <w:p>
      <w:pPr>
        <w:tabs>
          <w:tab w:val="left" w:pos="180"/>
        </w:tabs>
        <w:rPr>
          <w:iCs/>
          <w:noProof/>
          <w:lang w:val="it-IT"/>
        </w:rPr>
      </w:pPr>
      <w:r>
        <w:rPr>
          <w:b/>
          <w:iCs/>
          <w:noProof/>
          <w:lang w:val="it-IT"/>
        </w:rPr>
        <w:t>Interrompa l’allattamento se sta per esserle dato RoActemra</w:t>
      </w:r>
      <w:r>
        <w:rPr>
          <w:iCs/>
          <w:noProof/>
          <w:lang w:val="it-IT"/>
        </w:rPr>
        <w:t xml:space="preserve"> ed informi il medico. Prima di iniziare l’allattamento, devono passare almeno 3 mesi dall’ultima assunzione di RoActemra. Non è noto se RoActemra passi nel latte materno</w:t>
      </w:r>
    </w:p>
    <w:p>
      <w:pPr>
        <w:numPr>
          <w:ilvl w:val="12"/>
          <w:numId w:val="0"/>
        </w:numPr>
        <w:tabs>
          <w:tab w:val="left" w:pos="180"/>
        </w:tabs>
        <w:rPr>
          <w:noProof/>
          <w:lang w:val="it-IT"/>
        </w:rPr>
      </w:pPr>
    </w:p>
    <w:p>
      <w:pPr>
        <w:tabs>
          <w:tab w:val="left" w:pos="180"/>
        </w:tabs>
        <w:rPr>
          <w:b/>
          <w:noProof/>
          <w:lang w:val="it-IT"/>
        </w:rPr>
      </w:pPr>
      <w:r>
        <w:rPr>
          <w:b/>
          <w:noProof/>
          <w:lang w:val="it-IT"/>
        </w:rPr>
        <w:t>Guida di veicoli e utilizzo di macchinari</w:t>
      </w:r>
    </w:p>
    <w:p>
      <w:pPr>
        <w:tabs>
          <w:tab w:val="left" w:pos="180"/>
        </w:tabs>
        <w:rPr>
          <w:del w:id="11549" w:author="Author"/>
          <w:noProof/>
          <w:lang w:val="it-IT"/>
        </w:rPr>
      </w:pPr>
      <w:r>
        <w:rPr>
          <w:noProof/>
          <w:lang w:val="it-IT"/>
        </w:rPr>
        <w:t xml:space="preserve">Questo medicinale può causare capogiri. Se avverte giramenti di testa, non guidi o usi macchinari. </w:t>
      </w:r>
    </w:p>
    <w:p>
      <w:pPr>
        <w:tabs>
          <w:tab w:val="left" w:pos="180"/>
        </w:tabs>
        <w:rPr>
          <w:noProof/>
          <w:lang w:val="it-IT"/>
        </w:rPr>
      </w:pPr>
    </w:p>
    <w:p>
      <w:pPr>
        <w:tabs>
          <w:tab w:val="left" w:pos="180"/>
        </w:tabs>
        <w:rPr>
          <w:noProof/>
          <w:lang w:val="it-IT"/>
        </w:rPr>
      </w:pPr>
    </w:p>
    <w:p>
      <w:pPr>
        <w:tabs>
          <w:tab w:val="left" w:pos="180"/>
        </w:tabs>
        <w:rPr>
          <w:b/>
          <w:noProof/>
          <w:lang w:val="it-IT"/>
        </w:rPr>
      </w:pPr>
      <w:r>
        <w:rPr>
          <w:b/>
          <w:noProof/>
          <w:lang w:val="it-IT"/>
        </w:rPr>
        <w:t>RoActemra contiene polisorbato</w:t>
      </w:r>
      <w:ins w:id="11550" w:author="Author">
        <w:r>
          <w:rPr>
            <w:b/>
            <w:noProof/>
            <w:lang w:val="it-IT"/>
          </w:rPr>
          <w:t> 80 (E 433)</w:t>
        </w:r>
      </w:ins>
    </w:p>
    <w:p>
      <w:pPr>
        <w:tabs>
          <w:tab w:val="left" w:pos="180"/>
        </w:tabs>
        <w:rPr>
          <w:iCs/>
          <w:noProof/>
          <w:lang w:val="it-IT"/>
        </w:rPr>
      </w:pPr>
      <w:r>
        <w:rPr>
          <w:iCs/>
          <w:noProof/>
          <w:lang w:val="it-IT"/>
        </w:rPr>
        <w:t xml:space="preserve">Questo medicinale contiene 0,18 mg di polisorbato 80 in ogni 162 mg/0,9 mL di PFS che equivale a 0,2 mg/ml. I polisorbati possono causare reazioni allergiche. Informi il medico se </w:t>
      </w:r>
      <w:del w:id="11551" w:author="Author">
        <w:r>
          <w:rPr>
            <w:iCs/>
            <w:noProof/>
            <w:lang w:val="it-IT"/>
          </w:rPr>
          <w:delText xml:space="preserve">hai </w:delText>
        </w:r>
      </w:del>
      <w:ins w:id="11552" w:author="Author">
        <w:r>
          <w:rPr>
            <w:iCs/>
            <w:noProof/>
            <w:lang w:val="it-IT"/>
          </w:rPr>
          <w:t xml:space="preserve">lei </w:t>
        </w:r>
      </w:ins>
      <w:r>
        <w:rPr>
          <w:iCs/>
          <w:noProof/>
          <w:lang w:val="it-IT"/>
        </w:rPr>
        <w:t xml:space="preserve">o </w:t>
      </w:r>
      <w:ins w:id="11553" w:author="Author">
        <w:r>
          <w:rPr>
            <w:iCs/>
            <w:noProof/>
            <w:lang w:val="it-IT"/>
          </w:rPr>
          <w:t>il bambino</w:t>
        </w:r>
      </w:ins>
      <w:del w:id="11554" w:author="Author">
        <w:r>
          <w:rPr>
            <w:iCs/>
            <w:noProof/>
            <w:lang w:val="it-IT"/>
          </w:rPr>
          <w:delText>tuo figlio</w:delText>
        </w:r>
      </w:del>
      <w:r>
        <w:rPr>
          <w:iCs/>
          <w:noProof/>
          <w:lang w:val="it-IT"/>
        </w:rPr>
        <w:t xml:space="preserve"> </w:t>
      </w:r>
      <w:del w:id="11555" w:author="Author">
        <w:r>
          <w:rPr>
            <w:iCs/>
            <w:noProof/>
            <w:lang w:val="it-IT"/>
          </w:rPr>
          <w:delText xml:space="preserve">ha </w:delText>
        </w:r>
      </w:del>
      <w:ins w:id="11556" w:author="Author">
        <w:r>
          <w:rPr>
            <w:iCs/>
            <w:noProof/>
            <w:lang w:val="it-IT"/>
          </w:rPr>
          <w:t xml:space="preserve">avete </w:t>
        </w:r>
      </w:ins>
      <w:r>
        <w:rPr>
          <w:iCs/>
          <w:noProof/>
          <w:lang w:val="it-IT"/>
        </w:rPr>
        <w:t>qualche allergia nota.</w:t>
      </w:r>
    </w:p>
    <w:p>
      <w:pPr>
        <w:tabs>
          <w:tab w:val="left" w:pos="180"/>
        </w:tabs>
        <w:rPr>
          <w:b/>
          <w:noProof/>
          <w:lang w:val="it-IT"/>
        </w:rPr>
      </w:pPr>
    </w:p>
    <w:p>
      <w:pPr>
        <w:tabs>
          <w:tab w:val="left" w:pos="180"/>
        </w:tabs>
        <w:rPr>
          <w:noProof/>
          <w:lang w:val="it-IT"/>
        </w:rPr>
      </w:pPr>
    </w:p>
    <w:p>
      <w:pPr>
        <w:tabs>
          <w:tab w:val="left" w:pos="180"/>
        </w:tabs>
        <w:ind w:left="567" w:hanging="567"/>
        <w:rPr>
          <w:b/>
          <w:noProof/>
          <w:szCs w:val="22"/>
          <w:lang w:val="it-IT"/>
        </w:rPr>
      </w:pPr>
      <w:r>
        <w:rPr>
          <w:b/>
          <w:noProof/>
          <w:szCs w:val="22"/>
          <w:lang w:val="it-IT"/>
        </w:rPr>
        <w:t>3.</w:t>
      </w:r>
      <w:r>
        <w:rPr>
          <w:noProof/>
          <w:szCs w:val="22"/>
          <w:lang w:val="it-IT"/>
        </w:rPr>
        <w:tab/>
      </w:r>
      <w:r>
        <w:rPr>
          <w:noProof/>
          <w:szCs w:val="22"/>
          <w:lang w:val="it-IT"/>
        </w:rPr>
        <w:tab/>
      </w:r>
      <w:r>
        <w:rPr>
          <w:b/>
          <w:noProof/>
          <w:szCs w:val="22"/>
          <w:lang w:val="it-IT"/>
        </w:rPr>
        <w:t>Come usare RoActemra</w:t>
      </w:r>
    </w:p>
    <w:p>
      <w:pPr>
        <w:tabs>
          <w:tab w:val="left" w:pos="180"/>
        </w:tabs>
        <w:rPr>
          <w:noProof/>
          <w:lang w:val="it-IT"/>
        </w:rPr>
      </w:pPr>
    </w:p>
    <w:p>
      <w:pPr>
        <w:tabs>
          <w:tab w:val="left" w:pos="180"/>
        </w:tabs>
        <w:rPr>
          <w:noProof/>
          <w:lang w:val="it-IT"/>
        </w:rPr>
      </w:pPr>
      <w:r>
        <w:rPr>
          <w:noProof/>
          <w:lang w:val="it-IT"/>
        </w:rPr>
        <w:t>Usi sempre questo medicinale seguendo sempre esattamente le istruzioni del medico, del farmacista o dell'infermiere. Se non è sicuro deve consultare il medico, il farmacista o l’infermiere.</w:t>
      </w:r>
    </w:p>
    <w:p>
      <w:pPr>
        <w:tabs>
          <w:tab w:val="left" w:pos="180"/>
        </w:tabs>
        <w:rPr>
          <w:noProof/>
          <w:lang w:val="it-IT"/>
        </w:rPr>
      </w:pPr>
    </w:p>
    <w:p>
      <w:pPr>
        <w:rPr>
          <w:noProof/>
          <w:lang w:val="it-IT"/>
        </w:rPr>
      </w:pPr>
      <w:r>
        <w:rPr>
          <w:noProof/>
          <w:lang w:val="it-IT"/>
        </w:rPr>
        <w:t>Il trattamento sarà prescritto e iniziato da operatori sanitari esperti nella diagnosi e nel trattamento della AR, dell’AIGs, dell’AIGp o della ACG.</w:t>
      </w:r>
    </w:p>
    <w:p>
      <w:pPr>
        <w:tabs>
          <w:tab w:val="left" w:pos="180"/>
        </w:tabs>
        <w:rPr>
          <w:noProof/>
          <w:lang w:val="it-IT"/>
        </w:rPr>
      </w:pPr>
    </w:p>
    <w:p>
      <w:pPr>
        <w:tabs>
          <w:tab w:val="left" w:pos="180"/>
        </w:tabs>
        <w:rPr>
          <w:noProof/>
          <w:lang w:val="it-IT"/>
        </w:rPr>
      </w:pPr>
      <w:r>
        <w:rPr>
          <w:b/>
          <w:noProof/>
          <w:lang w:val="it-IT"/>
        </w:rPr>
        <w:t>Dose raccomandata</w:t>
      </w:r>
    </w:p>
    <w:p>
      <w:pPr>
        <w:tabs>
          <w:tab w:val="left" w:pos="180"/>
        </w:tabs>
        <w:rPr>
          <w:noProof/>
          <w:lang w:val="it-IT"/>
        </w:rPr>
      </w:pPr>
      <w:r>
        <w:rPr>
          <w:noProof/>
          <w:lang w:val="it-IT"/>
        </w:rPr>
        <w:t xml:space="preserve">La dose per gli adulti affetti da AR </w:t>
      </w:r>
      <w:del w:id="11557" w:author="Author">
        <w:r>
          <w:rPr>
            <w:noProof/>
            <w:lang w:val="it-IT"/>
          </w:rPr>
          <w:delText>e</w:delText>
        </w:r>
      </w:del>
      <w:ins w:id="11558" w:author="Author">
        <w:r>
          <w:rPr>
            <w:noProof/>
            <w:lang w:val="it-IT"/>
          </w:rPr>
          <w:t>o</w:t>
        </w:r>
      </w:ins>
      <w:r>
        <w:rPr>
          <w:noProof/>
          <w:lang w:val="it-IT"/>
        </w:rPr>
        <w:t xml:space="preserve"> ACG è di 162 mg (il contenuto di 1 siringa preriempita) somministrata una volta a settimana.</w:t>
      </w:r>
    </w:p>
    <w:p>
      <w:pPr>
        <w:tabs>
          <w:tab w:val="left" w:pos="180"/>
        </w:tabs>
        <w:rPr>
          <w:noProof/>
          <w:lang w:val="it-IT"/>
        </w:rPr>
      </w:pPr>
    </w:p>
    <w:p>
      <w:pPr>
        <w:keepNext/>
        <w:keepLines/>
        <w:rPr>
          <w:b/>
          <w:noProof/>
          <w:szCs w:val="22"/>
          <w:lang w:val="it-IT"/>
        </w:rPr>
      </w:pPr>
      <w:r>
        <w:rPr>
          <w:b/>
          <w:noProof/>
          <w:szCs w:val="22"/>
          <w:lang w:val="it-IT"/>
        </w:rPr>
        <w:t>Bambini e adolescenti con AIGs (di età uguale o superiore a 1 anno)</w:t>
      </w:r>
    </w:p>
    <w:p>
      <w:pPr>
        <w:rPr>
          <w:b/>
          <w:noProof/>
          <w:szCs w:val="22"/>
          <w:lang w:val="it-IT"/>
        </w:rPr>
      </w:pPr>
      <w:r>
        <w:rPr>
          <w:b/>
          <w:noProof/>
          <w:szCs w:val="22"/>
          <w:lang w:val="it-IT"/>
        </w:rPr>
        <w:t>La dose abituale di RoActemra dipende dal peso del paziente.</w:t>
      </w:r>
    </w:p>
    <w:p>
      <w:pPr>
        <w:ind w:left="567" w:hanging="567"/>
        <w:rPr>
          <w:noProof/>
          <w:szCs w:val="22"/>
          <w:lang w:val="it-IT"/>
        </w:rPr>
        <w:pPrChange w:id="11559" w:author="Author">
          <w:pPr>
            <w:ind w:left="360" w:hanging="360"/>
          </w:pPr>
        </w:pPrChange>
      </w:pPr>
      <w:r>
        <w:rPr>
          <w:b/>
          <w:noProof/>
          <w:szCs w:val="22"/>
          <w:lang w:val="it-IT"/>
        </w:rPr>
        <w:sym w:font="Symbol" w:char="F0B7"/>
      </w:r>
      <w:r>
        <w:rPr>
          <w:b/>
          <w:noProof/>
          <w:szCs w:val="22"/>
          <w:lang w:val="it-IT"/>
        </w:rPr>
        <w:tab/>
      </w:r>
      <w:r>
        <w:rPr>
          <w:noProof/>
          <w:szCs w:val="22"/>
          <w:lang w:val="it-IT"/>
        </w:rPr>
        <w:t xml:space="preserve">Se il paziente pesa </w:t>
      </w:r>
      <w:r>
        <w:rPr>
          <w:b/>
          <w:noProof/>
          <w:szCs w:val="22"/>
          <w:lang w:val="it-IT"/>
        </w:rPr>
        <w:t>meno di 30 kg</w:t>
      </w:r>
      <w:r>
        <w:rPr>
          <w:noProof/>
          <w:szCs w:val="22"/>
          <w:lang w:val="it-IT"/>
        </w:rPr>
        <w:t xml:space="preserve">: la dose è pari a 162 mg (il contenuto di 1 siringa preriempita) </w:t>
      </w:r>
      <w:r>
        <w:rPr>
          <w:b/>
          <w:noProof/>
          <w:szCs w:val="22"/>
          <w:lang w:val="it-IT"/>
          <w:rPrChange w:id="11560" w:author="Author">
            <w:rPr>
              <w:noProof/>
              <w:szCs w:val="22"/>
              <w:lang w:val="it-IT"/>
            </w:rPr>
          </w:rPrChange>
        </w:rPr>
        <w:t>una volta ogni 2 settimane</w:t>
      </w:r>
      <w:r>
        <w:rPr>
          <w:noProof/>
          <w:szCs w:val="22"/>
          <w:lang w:val="it-IT"/>
        </w:rPr>
        <w:t>.</w:t>
      </w:r>
    </w:p>
    <w:p>
      <w:pPr>
        <w:ind w:left="567" w:hanging="567"/>
        <w:rPr>
          <w:noProof/>
          <w:szCs w:val="22"/>
          <w:lang w:val="it-IT"/>
        </w:rPr>
        <w:pPrChange w:id="11561" w:author="Author">
          <w:pPr>
            <w:ind w:left="360" w:hanging="360"/>
          </w:pPr>
        </w:pPrChange>
      </w:pPr>
      <w:r>
        <w:rPr>
          <w:b/>
          <w:noProof/>
          <w:szCs w:val="22"/>
          <w:lang w:val="it-IT"/>
        </w:rPr>
        <w:sym w:font="Symbol" w:char="F0B7"/>
      </w:r>
      <w:r>
        <w:rPr>
          <w:b/>
          <w:noProof/>
          <w:szCs w:val="22"/>
          <w:lang w:val="it-IT"/>
        </w:rPr>
        <w:tab/>
      </w:r>
      <w:r>
        <w:rPr>
          <w:noProof/>
          <w:szCs w:val="22"/>
          <w:lang w:val="it-IT"/>
        </w:rPr>
        <w:t xml:space="preserve">Se il paziente pesa </w:t>
      </w:r>
      <w:r>
        <w:rPr>
          <w:b/>
          <w:noProof/>
          <w:szCs w:val="22"/>
          <w:lang w:val="it-IT"/>
        </w:rPr>
        <w:t>30 kg o più</w:t>
      </w:r>
      <w:r>
        <w:rPr>
          <w:noProof/>
          <w:szCs w:val="22"/>
          <w:lang w:val="it-IT"/>
        </w:rPr>
        <w:t xml:space="preserve">: la dose è pari a 162 mg (il contenuto di 1 siringa preriempita) </w:t>
      </w:r>
      <w:r>
        <w:rPr>
          <w:b/>
          <w:noProof/>
          <w:szCs w:val="22"/>
          <w:lang w:val="it-IT"/>
          <w:rPrChange w:id="11562" w:author="Author">
            <w:rPr>
              <w:noProof/>
              <w:szCs w:val="22"/>
              <w:lang w:val="it-IT"/>
            </w:rPr>
          </w:rPrChange>
        </w:rPr>
        <w:t>una volta a settimana</w:t>
      </w:r>
      <w:r>
        <w:rPr>
          <w:noProof/>
          <w:szCs w:val="22"/>
          <w:lang w:val="it-IT"/>
        </w:rPr>
        <w:t>.</w:t>
      </w:r>
    </w:p>
    <w:p>
      <w:pPr>
        <w:tabs>
          <w:tab w:val="left" w:pos="180"/>
        </w:tabs>
        <w:rPr>
          <w:noProof/>
          <w:szCs w:val="22"/>
          <w:lang w:val="it-IT"/>
        </w:rPr>
      </w:pPr>
    </w:p>
    <w:p>
      <w:pPr>
        <w:keepNext/>
        <w:keepLines/>
        <w:rPr>
          <w:b/>
          <w:noProof/>
          <w:szCs w:val="22"/>
          <w:lang w:val="it-IT"/>
        </w:rPr>
      </w:pPr>
      <w:r>
        <w:rPr>
          <w:b/>
          <w:noProof/>
          <w:szCs w:val="22"/>
          <w:lang w:val="it-IT"/>
        </w:rPr>
        <w:t>Bambini e adolescenti con AIGp (di età uguale o superiore a 2 anni)</w:t>
      </w:r>
    </w:p>
    <w:p>
      <w:pPr>
        <w:rPr>
          <w:b/>
          <w:noProof/>
          <w:szCs w:val="22"/>
          <w:lang w:val="it-IT"/>
        </w:rPr>
      </w:pPr>
      <w:r>
        <w:rPr>
          <w:b/>
          <w:noProof/>
          <w:szCs w:val="22"/>
          <w:lang w:val="it-IT"/>
        </w:rPr>
        <w:t>La dose abituale di RoActemra dipende dal peso del paziente.</w:t>
      </w:r>
    </w:p>
    <w:p>
      <w:pPr>
        <w:ind w:left="567" w:hanging="567"/>
        <w:rPr>
          <w:noProof/>
          <w:szCs w:val="22"/>
          <w:lang w:val="it-IT"/>
        </w:rPr>
        <w:pPrChange w:id="11563" w:author="Author">
          <w:pPr>
            <w:ind w:left="360" w:hanging="360"/>
          </w:pPr>
        </w:pPrChange>
      </w:pPr>
      <w:r>
        <w:rPr>
          <w:b/>
          <w:noProof/>
          <w:szCs w:val="22"/>
          <w:lang w:val="it-IT"/>
        </w:rPr>
        <w:sym w:font="Symbol" w:char="F0B7"/>
      </w:r>
      <w:r>
        <w:rPr>
          <w:b/>
          <w:noProof/>
          <w:szCs w:val="22"/>
          <w:lang w:val="it-IT"/>
        </w:rPr>
        <w:tab/>
      </w:r>
      <w:r>
        <w:rPr>
          <w:noProof/>
          <w:szCs w:val="22"/>
          <w:lang w:val="it-IT"/>
        </w:rPr>
        <w:t xml:space="preserve">Se il paziente pesa </w:t>
      </w:r>
      <w:r>
        <w:rPr>
          <w:b/>
          <w:noProof/>
          <w:szCs w:val="22"/>
          <w:lang w:val="it-IT"/>
        </w:rPr>
        <w:t>meno di 30 kg</w:t>
      </w:r>
      <w:r>
        <w:rPr>
          <w:noProof/>
          <w:szCs w:val="22"/>
          <w:lang w:val="it-IT"/>
        </w:rPr>
        <w:t xml:space="preserve">: la dose è pari a 162 mg (il contenuto di 1 siringa preriempita) </w:t>
      </w:r>
      <w:r>
        <w:rPr>
          <w:b/>
          <w:noProof/>
          <w:szCs w:val="22"/>
          <w:lang w:val="it-IT"/>
        </w:rPr>
        <w:t>una volta ogni 3 settimane</w:t>
      </w:r>
      <w:r>
        <w:rPr>
          <w:noProof/>
          <w:szCs w:val="22"/>
          <w:lang w:val="it-IT"/>
        </w:rPr>
        <w:t>.</w:t>
      </w:r>
    </w:p>
    <w:p>
      <w:pPr>
        <w:ind w:left="567" w:hanging="567"/>
        <w:rPr>
          <w:noProof/>
          <w:szCs w:val="22"/>
          <w:lang w:val="it-IT"/>
        </w:rPr>
        <w:pPrChange w:id="11564" w:author="Author">
          <w:pPr>
            <w:ind w:left="360" w:hanging="360"/>
          </w:pPr>
        </w:pPrChange>
      </w:pPr>
      <w:r>
        <w:rPr>
          <w:b/>
          <w:noProof/>
          <w:szCs w:val="22"/>
          <w:lang w:val="it-IT"/>
        </w:rPr>
        <w:sym w:font="Symbol" w:char="F0B7"/>
      </w:r>
      <w:r>
        <w:rPr>
          <w:b/>
          <w:noProof/>
          <w:szCs w:val="22"/>
          <w:lang w:val="it-IT"/>
        </w:rPr>
        <w:tab/>
      </w:r>
      <w:r>
        <w:rPr>
          <w:noProof/>
          <w:szCs w:val="22"/>
          <w:lang w:val="it-IT"/>
        </w:rPr>
        <w:t xml:space="preserve">Se il paziente pesa </w:t>
      </w:r>
      <w:r>
        <w:rPr>
          <w:b/>
          <w:noProof/>
          <w:szCs w:val="22"/>
          <w:lang w:val="it-IT"/>
        </w:rPr>
        <w:t>30 kg o più</w:t>
      </w:r>
      <w:r>
        <w:rPr>
          <w:noProof/>
          <w:szCs w:val="22"/>
          <w:lang w:val="it-IT"/>
        </w:rPr>
        <w:t xml:space="preserve">: la dose è pari a 162 mg (il contenuto di 1 siringa preriempita) </w:t>
      </w:r>
      <w:r>
        <w:rPr>
          <w:b/>
          <w:noProof/>
          <w:szCs w:val="22"/>
          <w:lang w:val="it-IT"/>
        </w:rPr>
        <w:t>una volta ogni 2 settimane</w:t>
      </w:r>
      <w:r>
        <w:rPr>
          <w:noProof/>
          <w:szCs w:val="22"/>
          <w:lang w:val="it-IT"/>
        </w:rPr>
        <w:t>.</w:t>
      </w:r>
    </w:p>
    <w:p>
      <w:pPr>
        <w:tabs>
          <w:tab w:val="left" w:pos="180"/>
        </w:tabs>
        <w:rPr>
          <w:noProof/>
          <w:lang w:val="it-IT"/>
        </w:rPr>
      </w:pPr>
    </w:p>
    <w:p>
      <w:pPr>
        <w:tabs>
          <w:tab w:val="left" w:pos="180"/>
        </w:tabs>
        <w:rPr>
          <w:noProof/>
          <w:lang w:val="it-IT"/>
        </w:rPr>
      </w:pPr>
      <w:r>
        <w:rPr>
          <w:noProof/>
          <w:lang w:val="it-IT"/>
        </w:rPr>
        <w:t>RoActemra è somministrato mediante iniezione sotto la pelle (</w:t>
      </w:r>
      <w:r>
        <w:rPr>
          <w:i/>
          <w:noProof/>
          <w:lang w:val="it-IT"/>
        </w:rPr>
        <w:t>sottocutanea</w:t>
      </w:r>
      <w:r>
        <w:rPr>
          <w:noProof/>
          <w:lang w:val="it-IT"/>
        </w:rPr>
        <w:t xml:space="preserve">). All’inizio, RoActemra potrà esserle somministrato dal medico o dall’infermiere. Tuttavia, il medico potrebbe decidere che lei è in grado di iniettarsi RoActemra da solo. In questo caso, </w:t>
      </w:r>
      <w:del w:id="11565" w:author="Author">
        <w:r>
          <w:rPr>
            <w:noProof/>
            <w:lang w:val="it-IT"/>
          </w:rPr>
          <w:delText xml:space="preserve">lei </w:delText>
        </w:r>
      </w:del>
      <w:r>
        <w:rPr>
          <w:noProof/>
          <w:lang w:val="it-IT"/>
        </w:rPr>
        <w:t xml:space="preserve">verrà istruito su come </w:t>
      </w:r>
      <w:del w:id="11566" w:author="Author">
        <w:r>
          <w:rPr>
            <w:noProof/>
            <w:lang w:val="it-IT"/>
          </w:rPr>
          <w:delText>auto</w:delText>
        </w:r>
      </w:del>
      <w:r>
        <w:rPr>
          <w:noProof/>
          <w:lang w:val="it-IT"/>
        </w:rPr>
        <w:t xml:space="preserve">iniettarsi RoActemra. I genitori e coloro che si prendono cura dei pazienti verranno istruiti su come iniettare RoActemra nei pazienti che non sono in grado di </w:t>
      </w:r>
      <w:del w:id="11567" w:author="Author">
        <w:r>
          <w:rPr>
            <w:noProof/>
            <w:lang w:val="it-IT"/>
          </w:rPr>
          <w:delText>auto</w:delText>
        </w:r>
      </w:del>
      <w:r>
        <w:rPr>
          <w:noProof/>
          <w:lang w:val="it-IT"/>
        </w:rPr>
        <w:t>iniettarsi il medicinale</w:t>
      </w:r>
      <w:ins w:id="11568" w:author="Author">
        <w:r>
          <w:rPr>
            <w:noProof/>
            <w:lang w:val="it-IT"/>
          </w:rPr>
          <w:t xml:space="preserve"> da soli</w:t>
        </w:r>
      </w:ins>
      <w:r>
        <w:rPr>
          <w:noProof/>
          <w:lang w:val="it-IT"/>
        </w:rPr>
        <w:t>, quali i bambini.</w:t>
      </w:r>
    </w:p>
    <w:p>
      <w:pPr>
        <w:tabs>
          <w:tab w:val="left" w:pos="180"/>
        </w:tabs>
        <w:rPr>
          <w:noProof/>
          <w:lang w:val="it-IT"/>
        </w:rPr>
      </w:pPr>
    </w:p>
    <w:p>
      <w:pPr>
        <w:tabs>
          <w:tab w:val="left" w:pos="180"/>
        </w:tabs>
        <w:rPr>
          <w:noProof/>
          <w:lang w:val="it-IT"/>
        </w:rPr>
      </w:pPr>
      <w:r>
        <w:rPr>
          <w:noProof/>
          <w:lang w:val="it-IT"/>
        </w:rPr>
        <w:t xml:space="preserve">Parli con il medico se ha eventuali domande </w:t>
      </w:r>
      <w:bookmarkStart w:id="11569" w:name="_Hlk224052541"/>
      <w:ins w:id="11570" w:author="Author">
        <w:r>
          <w:rPr>
            <w:noProof/>
            <w:lang w:val="it-IT"/>
          </w:rPr>
          <w:t xml:space="preserve">su come somministrare un’iniezione a se stesso </w:t>
        </w:r>
      </w:ins>
      <w:bookmarkEnd w:id="11569"/>
      <w:del w:id="11571" w:author="Author">
        <w:r>
          <w:rPr>
            <w:noProof/>
            <w:lang w:val="it-IT"/>
          </w:rPr>
          <w:delText>sull’auto</w:delText>
        </w:r>
      </w:del>
      <w:ins w:id="11572" w:author="Author">
        <w:del w:id="11573" w:author="Author">
          <w:r>
            <w:rPr>
              <w:noProof/>
              <w:lang w:val="it-IT"/>
            </w:rPr>
            <w:delText>-</w:delText>
          </w:r>
        </w:del>
      </w:ins>
      <w:del w:id="11574" w:author="Author">
        <w:r>
          <w:rPr>
            <w:noProof/>
            <w:lang w:val="it-IT"/>
          </w:rPr>
          <w:delText xml:space="preserve">somministrazione di un’iniezione </w:delText>
        </w:r>
      </w:del>
      <w:r>
        <w:rPr>
          <w:noProof/>
          <w:lang w:val="it-IT"/>
        </w:rPr>
        <w:t xml:space="preserve">o </w:t>
      </w:r>
      <w:del w:id="11575" w:author="Author">
        <w:r>
          <w:rPr>
            <w:noProof/>
            <w:lang w:val="it-IT"/>
          </w:rPr>
          <w:delText xml:space="preserve">sul </w:delText>
        </w:r>
      </w:del>
      <w:ins w:id="11576" w:author="Author">
        <w:r>
          <w:rPr>
            <w:noProof/>
            <w:lang w:val="it-IT"/>
          </w:rPr>
          <w:t xml:space="preserve">ad un </w:t>
        </w:r>
      </w:ins>
      <w:r>
        <w:rPr>
          <w:noProof/>
          <w:lang w:val="it-IT"/>
        </w:rPr>
        <w:t>bambino di cui si prende cura. Alla fine di questo foglio illustrativo, troverà dettagliate “Istruzioni per la somministrazione”.</w:t>
      </w:r>
    </w:p>
    <w:p>
      <w:pPr>
        <w:numPr>
          <w:ilvl w:val="12"/>
          <w:numId w:val="0"/>
        </w:numPr>
        <w:tabs>
          <w:tab w:val="left" w:pos="180"/>
        </w:tabs>
        <w:ind w:right="-2"/>
        <w:rPr>
          <w:noProof/>
          <w:szCs w:val="22"/>
          <w:lang w:val="it-IT"/>
        </w:rPr>
      </w:pPr>
    </w:p>
    <w:p>
      <w:pPr>
        <w:keepNext/>
        <w:tabs>
          <w:tab w:val="left" w:pos="180"/>
        </w:tabs>
        <w:rPr>
          <w:b/>
          <w:noProof/>
          <w:lang w:val="it-IT"/>
        </w:rPr>
      </w:pPr>
      <w:r>
        <w:rPr>
          <w:b/>
          <w:noProof/>
          <w:lang w:val="it-IT"/>
        </w:rPr>
        <w:t>Se usa più RoActemra di quanto deve</w:t>
      </w:r>
    </w:p>
    <w:p>
      <w:pPr>
        <w:tabs>
          <w:tab w:val="left" w:pos="180"/>
        </w:tabs>
        <w:rPr>
          <w:noProof/>
          <w:lang w:val="it-IT"/>
        </w:rPr>
      </w:pPr>
      <w:r>
        <w:rPr>
          <w:noProof/>
          <w:lang w:val="it-IT"/>
        </w:rPr>
        <w:t xml:space="preserve">Dal momento che RoActemra le verrà somministrato mediante una siringa preriempita, è improbabile che gliene venga dato troppo. Tuttavia, se ha delle preoccupazioni in merito, si rivolga al medico, al farmacista o all’infermiere. </w:t>
      </w:r>
    </w:p>
    <w:p>
      <w:pPr>
        <w:tabs>
          <w:tab w:val="left" w:pos="180"/>
        </w:tabs>
        <w:rPr>
          <w:noProof/>
          <w:lang w:val="it-IT"/>
        </w:rPr>
      </w:pPr>
    </w:p>
    <w:p>
      <w:pPr>
        <w:keepNext/>
        <w:keepLines/>
        <w:rPr>
          <w:b/>
          <w:noProof/>
          <w:szCs w:val="22"/>
          <w:lang w:val="it-IT"/>
        </w:rPr>
      </w:pPr>
      <w:r>
        <w:rPr>
          <w:b/>
          <w:noProof/>
          <w:szCs w:val="22"/>
          <w:lang w:val="it-IT"/>
        </w:rPr>
        <w:lastRenderedPageBreak/>
        <w:t>Se un adulto con AR o ACG oppure un bambino o un adolescente con AIGs salta o dimentica una dose</w:t>
      </w:r>
    </w:p>
    <w:p>
      <w:pPr>
        <w:keepNext/>
        <w:keepLines/>
        <w:rPr>
          <w:noProof/>
          <w:szCs w:val="22"/>
          <w:lang w:val="it-IT"/>
        </w:rPr>
      </w:pPr>
      <w:r>
        <w:rPr>
          <w:noProof/>
          <w:szCs w:val="22"/>
          <w:lang w:val="it-IT"/>
        </w:rPr>
        <w:t xml:space="preserve">È molto importante usare RoActemra esattamente come prescritto dal medico. Tenga traccia della </w:t>
      </w:r>
      <w:del w:id="11577" w:author="Author">
        <w:r>
          <w:rPr>
            <w:noProof/>
            <w:szCs w:val="22"/>
            <w:lang w:val="it-IT"/>
          </w:rPr>
          <w:delText xml:space="preserve">sua </w:delText>
        </w:r>
      </w:del>
      <w:r>
        <w:rPr>
          <w:noProof/>
          <w:szCs w:val="22"/>
          <w:lang w:val="it-IT"/>
        </w:rPr>
        <w:t>prossima dose. </w:t>
      </w:r>
    </w:p>
    <w:p>
      <w:pPr>
        <w:ind w:left="567" w:hanging="567"/>
        <w:rPr>
          <w:noProof/>
          <w:szCs w:val="22"/>
          <w:lang w:val="it-IT"/>
        </w:rPr>
      </w:pPr>
      <w:r>
        <w:rPr>
          <w:noProof/>
          <w:szCs w:val="22"/>
          <w:lang w:val="it-IT"/>
        </w:rPr>
        <w:sym w:font="Symbol" w:char="00B7"/>
      </w:r>
      <w:r>
        <w:rPr>
          <w:noProof/>
          <w:szCs w:val="22"/>
          <w:lang w:val="it-IT"/>
        </w:rPr>
        <w:tab/>
        <w:t>Se ha dimenticato la dose settimanale e sono trascorsi meno di 7 giorni dalla dose dimenticata, si somministri la dose il successivo giorno programmato.</w:t>
      </w:r>
    </w:p>
    <w:p>
      <w:pPr>
        <w:ind w:left="567" w:hanging="567"/>
        <w:rPr>
          <w:noProof/>
          <w:szCs w:val="22"/>
          <w:lang w:val="it-IT"/>
        </w:rPr>
      </w:pPr>
      <w:r>
        <w:rPr>
          <w:noProof/>
          <w:szCs w:val="22"/>
          <w:lang w:val="it-IT"/>
        </w:rPr>
        <w:sym w:font="Symbol" w:char="00B7"/>
      </w:r>
      <w:r>
        <w:rPr>
          <w:noProof/>
          <w:szCs w:val="22"/>
          <w:lang w:val="it-IT"/>
        </w:rPr>
        <w:tab/>
        <w:t xml:space="preserve">Se ha dimenticato la dose </w:t>
      </w:r>
      <w:del w:id="11578" w:author="Author">
        <w:r>
          <w:rPr>
            <w:noProof/>
            <w:szCs w:val="22"/>
            <w:lang w:val="it-IT"/>
          </w:rPr>
          <w:delText>a settimane alterne</w:delText>
        </w:r>
      </w:del>
      <w:ins w:id="11579" w:author="Author">
        <w:r>
          <w:rPr>
            <w:noProof/>
            <w:szCs w:val="22"/>
            <w:lang w:val="it-IT"/>
          </w:rPr>
          <w:t>prevista ogni due settimane</w:t>
        </w:r>
      </w:ins>
      <w:r>
        <w:rPr>
          <w:noProof/>
          <w:szCs w:val="22"/>
          <w:lang w:val="it-IT"/>
        </w:rPr>
        <w:t xml:space="preserve"> e sono trascorsi meno di 7 giorni dalla dose dimenticata, si inietti la dose non appena se ne ricorda e si somministri quella successiva regolarmente nel giorno e all’ora previsti.</w:t>
      </w:r>
    </w:p>
    <w:p>
      <w:pPr>
        <w:ind w:left="567" w:hanging="567"/>
        <w:rPr>
          <w:noProof/>
          <w:szCs w:val="22"/>
          <w:lang w:val="it-IT"/>
        </w:rPr>
      </w:pPr>
      <w:r>
        <w:rPr>
          <w:noProof/>
          <w:szCs w:val="22"/>
          <w:lang w:val="it-IT"/>
        </w:rPr>
        <w:sym w:font="Symbol" w:char="00B7"/>
      </w:r>
      <w:r>
        <w:rPr>
          <w:noProof/>
          <w:szCs w:val="22"/>
          <w:lang w:val="it-IT"/>
        </w:rPr>
        <w:tab/>
        <w:t xml:space="preserve">Se ha dimenticato la dose </w:t>
      </w:r>
      <w:ins w:id="11580" w:author="Author">
        <w:r>
          <w:rPr>
            <w:rFonts w:eastAsia="Calibri"/>
            <w:noProof/>
            <w:szCs w:val="22"/>
            <w:lang w:val="it-IT" w:eastAsia="en-US"/>
          </w:rPr>
          <w:t>settimanale o quella ogni due settimane</w:t>
        </w:r>
        <w:r>
          <w:rPr>
            <w:noProof/>
            <w:szCs w:val="22"/>
            <w:lang w:val="it-IT"/>
          </w:rPr>
          <w:t xml:space="preserve"> </w:t>
        </w:r>
      </w:ins>
      <w:r>
        <w:rPr>
          <w:noProof/>
          <w:szCs w:val="22"/>
          <w:lang w:val="it-IT"/>
        </w:rPr>
        <w:t xml:space="preserve">e sono trascorsi più di 7 giorni dalla dose dimenticata, oppure non è sicuro di quando iniettare RoActemra, si rivolga al medico o al farmacista. </w:t>
      </w:r>
    </w:p>
    <w:p>
      <w:pPr>
        <w:ind w:left="567" w:hanging="567"/>
        <w:rPr>
          <w:noProof/>
          <w:szCs w:val="22"/>
          <w:lang w:val="it-IT"/>
        </w:rPr>
      </w:pPr>
    </w:p>
    <w:p>
      <w:pPr>
        <w:rPr>
          <w:b/>
          <w:noProof/>
          <w:szCs w:val="22"/>
          <w:lang w:val="it-IT"/>
        </w:rPr>
      </w:pPr>
      <w:r>
        <w:rPr>
          <w:b/>
          <w:noProof/>
          <w:szCs w:val="22"/>
          <w:lang w:val="it-IT"/>
        </w:rPr>
        <w:t>Se un bambino o un adolescente con AIGp salta o dimentica una dose</w:t>
      </w:r>
    </w:p>
    <w:p>
      <w:pPr>
        <w:rPr>
          <w:noProof/>
          <w:szCs w:val="22"/>
          <w:lang w:val="it-IT"/>
        </w:rPr>
      </w:pPr>
      <w:r>
        <w:rPr>
          <w:noProof/>
          <w:szCs w:val="22"/>
          <w:lang w:val="it-IT"/>
        </w:rPr>
        <w:t xml:space="preserve">È molto importante usare RoActemra esattamente come prescritto dal medico. Tenga traccia della prossima dose. </w:t>
      </w:r>
    </w:p>
    <w:p>
      <w:pPr>
        <w:ind w:left="567" w:hanging="567"/>
        <w:rPr>
          <w:noProof/>
          <w:szCs w:val="22"/>
          <w:lang w:val="it-IT" w:eastAsia="en-US"/>
          <w:rPrChange w:id="11581" w:author="Author">
            <w:rPr>
              <w:rFonts w:ascii="TimesNewRomanPSMT" w:hAnsi="TimesNewRomanPSMT" w:cs="TimesNewRomanPSMT"/>
              <w:szCs w:val="22"/>
              <w:lang w:val="it-IT" w:eastAsia="en-US"/>
            </w:rPr>
          </w:rPrChange>
        </w:rPr>
      </w:pPr>
      <w:r>
        <w:rPr>
          <w:noProof/>
          <w:szCs w:val="22"/>
          <w:lang w:val="it-IT"/>
        </w:rPr>
        <w:sym w:font="Symbol" w:char="00B7"/>
      </w:r>
      <w:r>
        <w:rPr>
          <w:noProof/>
          <w:szCs w:val="22"/>
          <w:lang w:val="it-IT"/>
        </w:rPr>
        <w:tab/>
        <w:t>Se è stata dimenticata una dose e sono trascorsi meno di 7 giorni dalla dose dimenticata, inietti la dose non appena se ne ricorda e somministri quella successiva regolarmente nel giorno e all’ora previsti</w:t>
      </w:r>
      <w:r>
        <w:rPr>
          <w:noProof/>
          <w:szCs w:val="22"/>
          <w:lang w:val="it-IT" w:eastAsia="en-US"/>
          <w:rPrChange w:id="11582" w:author="Author">
            <w:rPr>
              <w:rFonts w:ascii="TimesNewRomanPSMT" w:hAnsi="TimesNewRomanPSMT" w:cs="TimesNewRomanPSMT"/>
              <w:szCs w:val="22"/>
              <w:lang w:val="it-IT" w:eastAsia="en-US"/>
            </w:rPr>
          </w:rPrChange>
        </w:rPr>
        <w:t xml:space="preserve">. </w:t>
      </w:r>
    </w:p>
    <w:p>
      <w:pPr>
        <w:ind w:left="567" w:hanging="567"/>
        <w:rPr>
          <w:noProof/>
          <w:szCs w:val="22"/>
          <w:lang w:val="it-IT"/>
        </w:rPr>
      </w:pPr>
      <w:r>
        <w:rPr>
          <w:noProof/>
          <w:szCs w:val="22"/>
          <w:lang w:val="it-IT"/>
        </w:rPr>
        <w:sym w:font="Symbol" w:char="00B7"/>
      </w:r>
      <w:r>
        <w:rPr>
          <w:noProof/>
          <w:szCs w:val="22"/>
          <w:lang w:val="it-IT"/>
        </w:rPr>
        <w:tab/>
        <w:t>Se è stata dimenticata una dose e sono trascorsi più di 7 giorni dalla dose dimenticata, oppure non è sicuro di quando iniettare RoActemra, si rivolga al medico o al farmacista</w:t>
      </w:r>
      <w:r>
        <w:rPr>
          <w:noProof/>
          <w:szCs w:val="22"/>
          <w:lang w:val="it-IT" w:eastAsia="en-US"/>
          <w:rPrChange w:id="11583" w:author="Author">
            <w:rPr>
              <w:rFonts w:ascii="TimesNewRomanPSMT" w:hAnsi="TimesNewRomanPSMT" w:cs="TimesNewRomanPSMT"/>
              <w:szCs w:val="22"/>
              <w:lang w:val="it-IT" w:eastAsia="en-US"/>
            </w:rPr>
          </w:rPrChange>
        </w:rPr>
        <w:t>.</w:t>
      </w:r>
    </w:p>
    <w:p>
      <w:pPr>
        <w:tabs>
          <w:tab w:val="left" w:pos="180"/>
        </w:tabs>
        <w:rPr>
          <w:noProof/>
          <w:szCs w:val="22"/>
          <w:lang w:val="it-IT"/>
        </w:rPr>
      </w:pPr>
    </w:p>
    <w:p>
      <w:pPr>
        <w:keepNext/>
        <w:keepLines/>
        <w:tabs>
          <w:tab w:val="left" w:pos="180"/>
        </w:tabs>
        <w:rPr>
          <w:b/>
          <w:noProof/>
          <w:lang w:val="it-IT"/>
        </w:rPr>
      </w:pPr>
      <w:r>
        <w:rPr>
          <w:b/>
          <w:noProof/>
          <w:lang w:val="it-IT"/>
        </w:rPr>
        <w:t>Se interrompe il trattamento con RoActemra</w:t>
      </w:r>
    </w:p>
    <w:p>
      <w:pPr>
        <w:keepNext/>
        <w:keepLines/>
        <w:tabs>
          <w:tab w:val="left" w:pos="180"/>
        </w:tabs>
        <w:rPr>
          <w:noProof/>
          <w:lang w:val="it-IT"/>
        </w:rPr>
      </w:pPr>
      <w:r>
        <w:rPr>
          <w:noProof/>
          <w:lang w:val="it-IT"/>
        </w:rPr>
        <w:t>Non deve sospendere il trattamento con RoActemra senza averne prima parlato con il medico.</w:t>
      </w:r>
    </w:p>
    <w:p>
      <w:pPr>
        <w:keepNext/>
        <w:keepLines/>
        <w:tabs>
          <w:tab w:val="left" w:pos="180"/>
        </w:tabs>
        <w:rPr>
          <w:noProof/>
          <w:lang w:val="it-IT"/>
        </w:rPr>
      </w:pPr>
    </w:p>
    <w:p>
      <w:pPr>
        <w:tabs>
          <w:tab w:val="left" w:pos="180"/>
        </w:tabs>
        <w:rPr>
          <w:noProof/>
          <w:lang w:val="it-IT"/>
        </w:rPr>
      </w:pPr>
      <w:r>
        <w:rPr>
          <w:noProof/>
          <w:lang w:val="it-IT"/>
        </w:rPr>
        <w:t>Se ha qualsiasi dubbio sull’uso di questo medicinale, si rivolga al medico, al farmacista o all’infermiere</w:t>
      </w:r>
    </w:p>
    <w:p>
      <w:pPr>
        <w:tabs>
          <w:tab w:val="left" w:pos="180"/>
        </w:tabs>
        <w:rPr>
          <w:noProof/>
          <w:lang w:val="it-IT"/>
        </w:rPr>
      </w:pPr>
    </w:p>
    <w:p>
      <w:pPr>
        <w:tabs>
          <w:tab w:val="left" w:pos="180"/>
        </w:tabs>
        <w:rPr>
          <w:noProof/>
          <w:lang w:val="it-IT"/>
        </w:rPr>
      </w:pPr>
    </w:p>
    <w:p>
      <w:pPr>
        <w:keepNext/>
        <w:tabs>
          <w:tab w:val="left" w:pos="180"/>
        </w:tabs>
        <w:ind w:left="567" w:hanging="567"/>
        <w:rPr>
          <w:noProof/>
          <w:szCs w:val="22"/>
          <w:lang w:val="it-IT"/>
        </w:rPr>
      </w:pPr>
      <w:r>
        <w:rPr>
          <w:b/>
          <w:noProof/>
          <w:szCs w:val="22"/>
          <w:lang w:val="it-IT"/>
        </w:rPr>
        <w:t>4.</w:t>
      </w:r>
      <w:r>
        <w:rPr>
          <w:noProof/>
          <w:szCs w:val="22"/>
          <w:lang w:val="it-IT"/>
        </w:rPr>
        <w:tab/>
      </w:r>
      <w:r>
        <w:rPr>
          <w:noProof/>
          <w:szCs w:val="22"/>
          <w:lang w:val="it-IT"/>
        </w:rPr>
        <w:tab/>
      </w:r>
      <w:r>
        <w:rPr>
          <w:b/>
          <w:noProof/>
          <w:szCs w:val="22"/>
          <w:lang w:val="it-IT"/>
        </w:rPr>
        <w:t>Possibili effetti indesiderati</w:t>
      </w:r>
    </w:p>
    <w:p>
      <w:pPr>
        <w:keepNext/>
        <w:tabs>
          <w:tab w:val="left" w:pos="180"/>
        </w:tabs>
        <w:rPr>
          <w:noProof/>
          <w:lang w:val="it-IT"/>
        </w:rPr>
      </w:pPr>
    </w:p>
    <w:p>
      <w:pPr>
        <w:numPr>
          <w:ilvl w:val="12"/>
          <w:numId w:val="0"/>
        </w:numPr>
        <w:tabs>
          <w:tab w:val="left" w:pos="180"/>
        </w:tabs>
        <w:ind w:right="-29"/>
        <w:rPr>
          <w:noProof/>
          <w:szCs w:val="22"/>
          <w:lang w:val="it-IT"/>
        </w:rPr>
      </w:pPr>
      <w:r>
        <w:rPr>
          <w:noProof/>
          <w:lang w:val="it-IT"/>
        </w:rPr>
        <w:t xml:space="preserve">Come tutti i medicinali, RoActemra può causare effetti indesiderati sebbene non tutte le persone li manifestino. </w:t>
      </w:r>
    </w:p>
    <w:p>
      <w:pPr>
        <w:tabs>
          <w:tab w:val="left" w:pos="180"/>
        </w:tabs>
        <w:rPr>
          <w:noProof/>
          <w:lang w:val="it-IT"/>
        </w:rPr>
      </w:pPr>
      <w:r>
        <w:rPr>
          <w:noProof/>
          <w:lang w:val="it-IT"/>
        </w:rPr>
        <w:t>Gli effetti indesiderati potrebbero verificarsi fino a 3 mesi o più dopo l’ultima assunzione di RoActemra.</w:t>
      </w:r>
    </w:p>
    <w:p>
      <w:pPr>
        <w:tabs>
          <w:tab w:val="left" w:pos="180"/>
        </w:tabs>
        <w:rPr>
          <w:noProof/>
          <w:lang w:val="it-IT"/>
        </w:rPr>
      </w:pPr>
    </w:p>
    <w:p>
      <w:pPr>
        <w:tabs>
          <w:tab w:val="left" w:pos="180"/>
        </w:tabs>
        <w:rPr>
          <w:b/>
          <w:noProof/>
          <w:lang w:val="it-IT"/>
        </w:rPr>
      </w:pPr>
      <w:r>
        <w:rPr>
          <w:b/>
          <w:noProof/>
          <w:lang w:val="it-IT"/>
        </w:rPr>
        <w:t>Possibili effetti indesiderati gravi</w:t>
      </w:r>
      <w:del w:id="11584" w:author="Author">
        <w:r>
          <w:rPr>
            <w:b/>
            <w:noProof/>
            <w:lang w:val="it-IT"/>
          </w:rPr>
          <w:delText>:</w:delText>
        </w:r>
      </w:del>
    </w:p>
    <w:p>
      <w:pPr>
        <w:tabs>
          <w:tab w:val="left" w:pos="180"/>
        </w:tabs>
        <w:rPr>
          <w:ins w:id="11585" w:author="Author"/>
          <w:noProof/>
          <w:szCs w:val="22"/>
          <w:lang w:val="it-IT"/>
        </w:rPr>
      </w:pPr>
      <w:r>
        <w:rPr>
          <w:noProof/>
          <w:szCs w:val="22"/>
          <w:lang w:val="it-IT"/>
        </w:rPr>
        <w:t xml:space="preserve">Informi </w:t>
      </w:r>
      <w:r>
        <w:rPr>
          <w:b/>
          <w:bCs/>
          <w:noProof/>
          <w:szCs w:val="22"/>
          <w:lang w:val="it-IT"/>
        </w:rPr>
        <w:t>immediatamente</w:t>
      </w:r>
      <w:r>
        <w:rPr>
          <w:noProof/>
          <w:szCs w:val="22"/>
          <w:lang w:val="it-IT"/>
        </w:rPr>
        <w:t xml:space="preserve"> il medico se manifesta uno qualsiasi dei seguenti effetti indesiderati:</w:t>
      </w:r>
    </w:p>
    <w:p>
      <w:pPr>
        <w:tabs>
          <w:tab w:val="left" w:pos="180"/>
        </w:tabs>
        <w:rPr>
          <w:b/>
          <w:noProof/>
          <w:lang w:val="it-IT"/>
        </w:rPr>
      </w:pPr>
    </w:p>
    <w:p>
      <w:pPr>
        <w:tabs>
          <w:tab w:val="left" w:pos="180"/>
        </w:tabs>
        <w:ind w:left="567" w:hanging="567"/>
        <w:rPr>
          <w:del w:id="11586" w:author="Author"/>
          <w:i/>
          <w:noProof/>
          <w:szCs w:val="22"/>
          <w:lang w:val="it-IT"/>
        </w:rPr>
      </w:pPr>
      <w:r>
        <w:rPr>
          <w:i/>
          <w:noProof/>
          <w:szCs w:val="22"/>
          <w:lang w:val="it-IT"/>
        </w:rPr>
        <w:t>Questi sono comuni: possono colpire fino a 1 persona</w:t>
      </w:r>
      <w:ins w:id="11587" w:author="Author">
        <w:r>
          <w:rPr>
            <w:i/>
            <w:noProof/>
            <w:szCs w:val="22"/>
            <w:lang w:val="it-IT"/>
          </w:rPr>
          <w:t xml:space="preserve"> </w:t>
        </w:r>
      </w:ins>
      <w:r>
        <w:rPr>
          <w:i/>
          <w:noProof/>
          <w:szCs w:val="22"/>
          <w:lang w:val="it-IT"/>
        </w:rPr>
        <w:t>su 10</w:t>
      </w:r>
    </w:p>
    <w:p>
      <w:pPr>
        <w:tabs>
          <w:tab w:val="left" w:pos="180"/>
        </w:tabs>
        <w:ind w:left="567" w:hanging="567"/>
        <w:rPr>
          <w:noProof/>
          <w:lang w:val="it-IT"/>
        </w:rPr>
        <w:pPrChange w:id="11588" w:author="Author">
          <w:pPr>
            <w:tabs>
              <w:tab w:val="left" w:pos="180"/>
            </w:tabs>
          </w:pPr>
        </w:pPrChange>
      </w:pPr>
    </w:p>
    <w:p>
      <w:pPr>
        <w:tabs>
          <w:tab w:val="left" w:pos="180"/>
        </w:tabs>
        <w:rPr>
          <w:noProof/>
          <w:lang w:val="it-IT"/>
        </w:rPr>
      </w:pPr>
      <w:r>
        <w:rPr>
          <w:b/>
          <w:noProof/>
          <w:lang w:val="it-IT"/>
        </w:rPr>
        <w:t>Reazioni allergiche</w:t>
      </w:r>
      <w:r>
        <w:rPr>
          <w:noProof/>
          <w:lang w:val="it-IT"/>
        </w:rPr>
        <w:t xml:space="preserve"> durante o dopo l’iniezione:</w:t>
      </w:r>
    </w:p>
    <w:p>
      <w:pPr>
        <w:ind w:left="567" w:hanging="567"/>
        <w:rPr>
          <w:noProof/>
          <w:lang w:val="it-IT"/>
        </w:rPr>
        <w:pPrChange w:id="11589" w:author="Author">
          <w:pPr>
            <w:tabs>
              <w:tab w:val="left" w:pos="180"/>
            </w:tabs>
          </w:pPr>
        </w:pPrChange>
      </w:pPr>
      <w:r>
        <w:rPr>
          <w:noProof/>
          <w:lang w:val="it-IT"/>
        </w:rPr>
        <w:sym w:font="Symbol" w:char="00B7"/>
      </w:r>
      <w:r>
        <w:rPr>
          <w:noProof/>
          <w:lang w:val="it-IT"/>
        </w:rPr>
        <w:t xml:space="preserve"> </w:t>
      </w:r>
      <w:r>
        <w:rPr>
          <w:noProof/>
          <w:lang w:val="it-IT"/>
        </w:rPr>
        <w:tab/>
        <w:t>difficoltà a respirare, oppressione al torace o stordimento;</w:t>
      </w:r>
    </w:p>
    <w:p>
      <w:pPr>
        <w:ind w:left="567" w:hanging="567"/>
        <w:rPr>
          <w:noProof/>
          <w:lang w:val="it-IT"/>
        </w:rPr>
        <w:pPrChange w:id="11590" w:author="Author">
          <w:pPr>
            <w:tabs>
              <w:tab w:val="left" w:pos="180"/>
            </w:tabs>
          </w:pPr>
        </w:pPrChange>
      </w:pPr>
      <w:r>
        <w:rPr>
          <w:noProof/>
          <w:lang w:val="it-IT"/>
        </w:rPr>
        <w:sym w:font="Symbol" w:char="00B7"/>
      </w:r>
      <w:r>
        <w:rPr>
          <w:noProof/>
          <w:lang w:val="it-IT"/>
        </w:rPr>
        <w:t xml:space="preserve"> </w:t>
      </w:r>
      <w:r>
        <w:rPr>
          <w:noProof/>
          <w:lang w:val="it-IT"/>
        </w:rPr>
        <w:tab/>
        <w:t>eruzione cutanea, prurito, orticaria, tumefazione delle labbra, della lingua o del viso.</w:t>
      </w:r>
    </w:p>
    <w:p>
      <w:pPr>
        <w:tabs>
          <w:tab w:val="left" w:pos="180"/>
        </w:tabs>
        <w:rPr>
          <w:b/>
          <w:noProof/>
          <w:lang w:val="it-IT"/>
        </w:rPr>
      </w:pPr>
    </w:p>
    <w:p>
      <w:pPr>
        <w:keepNext/>
        <w:keepLines/>
        <w:tabs>
          <w:tab w:val="left" w:pos="180"/>
        </w:tabs>
        <w:rPr>
          <w:b/>
          <w:noProof/>
          <w:lang w:val="it-IT"/>
        </w:rPr>
      </w:pPr>
      <w:r>
        <w:rPr>
          <w:b/>
          <w:noProof/>
          <w:lang w:val="it-IT"/>
        </w:rPr>
        <w:t>Segni di infezioni gravi:</w:t>
      </w:r>
    </w:p>
    <w:p>
      <w:pPr>
        <w:keepNext/>
        <w:keepLines/>
        <w:ind w:left="567" w:hanging="567"/>
        <w:rPr>
          <w:noProof/>
          <w:lang w:val="it-IT"/>
        </w:rPr>
        <w:pPrChange w:id="11591" w:author="Author">
          <w:pPr>
            <w:keepNext/>
            <w:keepLines/>
            <w:tabs>
              <w:tab w:val="left" w:pos="180"/>
            </w:tabs>
          </w:pPr>
        </w:pPrChange>
      </w:pPr>
      <w:r>
        <w:rPr>
          <w:noProof/>
          <w:lang w:val="it-IT"/>
        </w:rPr>
        <w:sym w:font="Symbol" w:char="00B7"/>
      </w:r>
      <w:r>
        <w:rPr>
          <w:noProof/>
          <w:lang w:val="it-IT"/>
        </w:rPr>
        <w:t xml:space="preserve"> </w:t>
      </w:r>
      <w:r>
        <w:rPr>
          <w:noProof/>
          <w:lang w:val="it-IT"/>
        </w:rPr>
        <w:tab/>
        <w:t xml:space="preserve">febbre e brividi </w:t>
      </w:r>
    </w:p>
    <w:p>
      <w:pPr>
        <w:keepNext/>
        <w:keepLines/>
        <w:ind w:left="567" w:hanging="567"/>
        <w:rPr>
          <w:noProof/>
          <w:lang w:val="it-IT"/>
        </w:rPr>
        <w:pPrChange w:id="11592" w:author="Author">
          <w:pPr>
            <w:keepNext/>
            <w:keepLines/>
            <w:tabs>
              <w:tab w:val="left" w:pos="180"/>
            </w:tabs>
          </w:pPr>
        </w:pPrChange>
      </w:pPr>
      <w:r>
        <w:rPr>
          <w:noProof/>
          <w:lang w:val="it-IT"/>
        </w:rPr>
        <w:sym w:font="Symbol" w:char="00B7"/>
      </w:r>
      <w:r>
        <w:rPr>
          <w:noProof/>
          <w:lang w:val="it-IT"/>
        </w:rPr>
        <w:t xml:space="preserve"> </w:t>
      </w:r>
      <w:r>
        <w:rPr>
          <w:noProof/>
          <w:lang w:val="it-IT"/>
        </w:rPr>
        <w:tab/>
        <w:t xml:space="preserve">vesciche nella bocca o sulla pelle </w:t>
      </w:r>
    </w:p>
    <w:p>
      <w:pPr>
        <w:keepNext/>
        <w:keepLines/>
        <w:ind w:left="567" w:hanging="567"/>
        <w:rPr>
          <w:noProof/>
          <w:lang w:val="it-IT"/>
        </w:rPr>
        <w:pPrChange w:id="11593" w:author="Author">
          <w:pPr>
            <w:keepNext/>
            <w:keepLines/>
            <w:tabs>
              <w:tab w:val="left" w:pos="180"/>
            </w:tabs>
          </w:pPr>
        </w:pPrChange>
      </w:pPr>
      <w:r>
        <w:rPr>
          <w:noProof/>
          <w:lang w:val="it-IT"/>
        </w:rPr>
        <w:sym w:font="Symbol" w:char="00B7"/>
      </w:r>
      <w:r>
        <w:rPr>
          <w:noProof/>
          <w:lang w:val="it-IT"/>
        </w:rPr>
        <w:t xml:space="preserve"> </w:t>
      </w:r>
      <w:r>
        <w:rPr>
          <w:noProof/>
          <w:lang w:val="it-IT"/>
        </w:rPr>
        <w:tab/>
        <w:t>mal di stomaco</w:t>
      </w:r>
    </w:p>
    <w:p>
      <w:pPr>
        <w:tabs>
          <w:tab w:val="left" w:pos="180"/>
        </w:tabs>
        <w:rPr>
          <w:noProof/>
          <w:lang w:val="it-IT"/>
        </w:rPr>
      </w:pPr>
    </w:p>
    <w:p>
      <w:pPr>
        <w:pStyle w:val="Standard"/>
        <w:keepNext/>
        <w:keepLines/>
        <w:rPr>
          <w:b/>
          <w:noProof/>
          <w:lang w:val="it-IT"/>
        </w:rPr>
      </w:pPr>
      <w:r>
        <w:rPr>
          <w:b/>
          <w:noProof/>
          <w:lang w:val="it-IT"/>
        </w:rPr>
        <w:t>Segni e sintomi di tossicità epatica</w:t>
      </w:r>
      <w:ins w:id="11594" w:author="Author">
        <w:r>
          <w:rPr>
            <w:b/>
            <w:noProof/>
            <w:lang w:val="it-IT"/>
          </w:rPr>
          <w:t>:</w:t>
        </w:r>
      </w:ins>
    </w:p>
    <w:p>
      <w:pPr>
        <w:pStyle w:val="Standard"/>
        <w:keepNext/>
        <w:keepLines/>
        <w:rPr>
          <w:i/>
          <w:noProof/>
          <w:lang w:val="it-IT"/>
        </w:rPr>
      </w:pPr>
      <w:r>
        <w:rPr>
          <w:i/>
          <w:noProof/>
          <w:lang w:val="it-IT"/>
        </w:rPr>
        <w:t>Questi sono rari: possono colpire fino a 1 persona</w:t>
      </w:r>
      <w:ins w:id="11595" w:author="Author">
        <w:r>
          <w:rPr>
            <w:i/>
            <w:noProof/>
            <w:lang w:val="it-IT"/>
          </w:rPr>
          <w:t xml:space="preserve"> </w:t>
        </w:r>
      </w:ins>
      <w:r>
        <w:rPr>
          <w:i/>
          <w:noProof/>
          <w:lang w:val="it-IT"/>
        </w:rPr>
        <w:t>su 1</w:t>
      </w:r>
      <w:ins w:id="11596" w:author="Author">
        <w:r>
          <w:rPr>
            <w:i/>
            <w:noProof/>
            <w:lang w:val="it-IT"/>
          </w:rPr>
          <w:t> </w:t>
        </w:r>
      </w:ins>
      <w:r>
        <w:rPr>
          <w:i/>
          <w:noProof/>
          <w:lang w:val="it-IT"/>
        </w:rPr>
        <w:t>000</w:t>
      </w:r>
    </w:p>
    <w:p>
      <w:pPr>
        <w:pStyle w:val="Standard"/>
        <w:keepNext/>
        <w:keepLines/>
        <w:ind w:left="567" w:hanging="567"/>
        <w:rPr>
          <w:noProof/>
          <w:lang w:val="it-IT"/>
        </w:rPr>
        <w:pPrChange w:id="11597" w:author="Author">
          <w:pPr>
            <w:pStyle w:val="Standard"/>
            <w:keepNext/>
            <w:keepLines/>
            <w:ind w:left="-20"/>
          </w:pPr>
        </w:pPrChange>
      </w:pPr>
      <w:r>
        <w:rPr>
          <w:noProof/>
          <w:lang w:val="it-IT"/>
        </w:rPr>
        <w:sym w:font="Symbol" w:char="00B7"/>
      </w:r>
      <w:r>
        <w:rPr>
          <w:noProof/>
          <w:lang w:val="it-IT"/>
        </w:rPr>
        <w:tab/>
        <w:t>stanchezza</w:t>
      </w:r>
    </w:p>
    <w:p>
      <w:pPr>
        <w:pStyle w:val="Standard"/>
        <w:ind w:left="567" w:hanging="567"/>
        <w:rPr>
          <w:noProof/>
          <w:lang w:val="it-IT"/>
        </w:rPr>
        <w:pPrChange w:id="11598" w:author="Author">
          <w:pPr>
            <w:pStyle w:val="Standard"/>
            <w:ind w:left="-20"/>
          </w:pPr>
        </w:pPrChange>
      </w:pPr>
      <w:r>
        <w:rPr>
          <w:noProof/>
          <w:lang w:val="it-IT"/>
        </w:rPr>
        <w:sym w:font="Symbol" w:char="00B7"/>
      </w:r>
      <w:r>
        <w:rPr>
          <w:noProof/>
          <w:lang w:val="it-IT"/>
        </w:rPr>
        <w:tab/>
        <w:t>dolore addominale</w:t>
      </w:r>
    </w:p>
    <w:p>
      <w:pPr>
        <w:pStyle w:val="Standard"/>
        <w:ind w:left="567" w:hanging="567"/>
        <w:rPr>
          <w:noProof/>
          <w:lang w:val="it-IT"/>
        </w:rPr>
        <w:pPrChange w:id="11599" w:author="Author">
          <w:pPr>
            <w:pStyle w:val="Standard"/>
            <w:ind w:left="-20"/>
          </w:pPr>
        </w:pPrChange>
      </w:pPr>
      <w:r>
        <w:rPr>
          <w:noProof/>
          <w:lang w:val="it-IT"/>
        </w:rPr>
        <w:sym w:font="Symbol" w:char="00B7"/>
      </w:r>
      <w:r>
        <w:rPr>
          <w:noProof/>
          <w:lang w:val="it-IT"/>
        </w:rPr>
        <w:tab/>
        <w:t>ittero (ingiallimento della pelle e della parte bianca degli occhi)</w:t>
      </w:r>
    </w:p>
    <w:p>
      <w:pPr>
        <w:tabs>
          <w:tab w:val="left" w:pos="180"/>
        </w:tabs>
        <w:rPr>
          <w:noProof/>
          <w:lang w:val="it-IT"/>
        </w:rPr>
      </w:pPr>
    </w:p>
    <w:p>
      <w:pPr>
        <w:keepNext/>
        <w:keepLines/>
        <w:tabs>
          <w:tab w:val="left" w:pos="180"/>
        </w:tabs>
        <w:rPr>
          <w:b/>
          <w:noProof/>
          <w:lang w:val="it-IT"/>
        </w:rPr>
        <w:pPrChange w:id="11600" w:author="Author">
          <w:pPr>
            <w:tabs>
              <w:tab w:val="left" w:pos="180"/>
            </w:tabs>
          </w:pPr>
        </w:pPrChange>
      </w:pPr>
      <w:r>
        <w:rPr>
          <w:b/>
          <w:noProof/>
          <w:lang w:val="it-IT"/>
        </w:rPr>
        <w:lastRenderedPageBreak/>
        <w:t xml:space="preserve">Elenco di altri possibili effetti </w:t>
      </w:r>
      <w:del w:id="11601" w:author="Author">
        <w:r>
          <w:rPr>
            <w:b/>
            <w:noProof/>
            <w:lang w:val="it-IT"/>
          </w:rPr>
          <w:delText>collaterali</w:delText>
        </w:r>
      </w:del>
      <w:ins w:id="11602" w:author="Author">
        <w:r>
          <w:rPr>
            <w:b/>
            <w:noProof/>
            <w:lang w:val="it-IT"/>
          </w:rPr>
          <w:t>indesiderati</w:t>
        </w:r>
      </w:ins>
    </w:p>
    <w:p>
      <w:pPr>
        <w:tabs>
          <w:tab w:val="left" w:pos="180"/>
        </w:tabs>
        <w:rPr>
          <w:noProof/>
          <w:lang w:val="it-IT"/>
        </w:rPr>
      </w:pPr>
      <w:r>
        <w:rPr>
          <w:noProof/>
          <w:lang w:val="it-IT"/>
        </w:rPr>
        <w:t xml:space="preserve">Se nota la comparsa di uno qualsiasi di questi sintomi, informi il medico </w:t>
      </w:r>
      <w:r>
        <w:rPr>
          <w:b/>
          <w:noProof/>
          <w:lang w:val="it-IT"/>
        </w:rPr>
        <w:t>il prima possibile</w:t>
      </w:r>
      <w:r>
        <w:rPr>
          <w:noProof/>
          <w:lang w:val="it-IT"/>
        </w:rPr>
        <w:t>:</w:t>
      </w:r>
    </w:p>
    <w:p>
      <w:pPr>
        <w:tabs>
          <w:tab w:val="left" w:pos="180"/>
        </w:tabs>
        <w:rPr>
          <w:b/>
          <w:noProof/>
          <w:lang w:val="it-IT"/>
        </w:rPr>
      </w:pPr>
    </w:p>
    <w:p>
      <w:pPr>
        <w:keepNext/>
        <w:tabs>
          <w:tab w:val="left" w:pos="180"/>
        </w:tabs>
        <w:ind w:left="567" w:hanging="567"/>
        <w:rPr>
          <w:b/>
          <w:noProof/>
          <w:lang w:val="it-IT"/>
        </w:rPr>
      </w:pPr>
      <w:r>
        <w:rPr>
          <w:b/>
          <w:noProof/>
          <w:lang w:val="it-IT"/>
        </w:rPr>
        <w:t>Effetti indesiderati molto comuni</w:t>
      </w:r>
      <w:r>
        <w:rPr>
          <w:b/>
          <w:bCs/>
          <w:noProof/>
          <w:lang w:val="it-IT"/>
          <w:rPrChange w:id="11603" w:author="Author">
            <w:rPr>
              <w:lang w:val="it-IT"/>
            </w:rPr>
          </w:rPrChange>
        </w:rPr>
        <w:t>:</w:t>
      </w:r>
    </w:p>
    <w:p>
      <w:pPr>
        <w:tabs>
          <w:tab w:val="left" w:pos="180"/>
        </w:tabs>
        <w:ind w:left="567" w:hanging="567"/>
        <w:rPr>
          <w:i/>
          <w:noProof/>
          <w:lang w:val="it-IT"/>
        </w:rPr>
      </w:pPr>
      <w:r>
        <w:rPr>
          <w:i/>
          <w:noProof/>
          <w:lang w:val="it-IT"/>
        </w:rPr>
        <w:t>Possono interessare 1 persona</w:t>
      </w:r>
      <w:ins w:id="11604" w:author="Author">
        <w:r>
          <w:rPr>
            <w:i/>
            <w:noProof/>
            <w:lang w:val="it-IT"/>
          </w:rPr>
          <w:t xml:space="preserve"> </w:t>
        </w:r>
      </w:ins>
      <w:r>
        <w:rPr>
          <w:i/>
          <w:noProof/>
          <w:lang w:val="it-IT"/>
        </w:rPr>
        <w:t>su 10 o più</w:t>
      </w:r>
    </w:p>
    <w:p>
      <w:pPr>
        <w:ind w:left="567" w:hanging="567"/>
        <w:rPr>
          <w:noProof/>
          <w:lang w:val="it-IT"/>
        </w:rPr>
        <w:pPrChange w:id="11605" w:author="Author">
          <w:pPr>
            <w:tabs>
              <w:tab w:val="left" w:pos="180"/>
            </w:tabs>
            <w:ind w:left="567" w:hanging="567"/>
          </w:pPr>
        </w:pPrChange>
      </w:pPr>
      <w:r>
        <w:rPr>
          <w:noProof/>
          <w:lang w:val="it-IT"/>
        </w:rPr>
        <w:sym w:font="Symbol" w:char="00B7"/>
      </w:r>
      <w:r>
        <w:rPr>
          <w:noProof/>
          <w:lang w:val="it-IT"/>
        </w:rPr>
        <w:t xml:space="preserve"> </w:t>
      </w:r>
      <w:r>
        <w:rPr>
          <w:noProof/>
          <w:lang w:val="it-IT"/>
        </w:rPr>
        <w:tab/>
        <w:t>infezioni delle vie aeree superiori con sintomi tipici quali tosse, naso chiuso, naso che cola, mal di gola e mal di testa</w:t>
      </w:r>
    </w:p>
    <w:p>
      <w:pPr>
        <w:ind w:left="567" w:hanging="567"/>
        <w:rPr>
          <w:noProof/>
          <w:lang w:val="it-IT"/>
        </w:rPr>
        <w:pPrChange w:id="11606" w:author="Author">
          <w:pPr>
            <w:tabs>
              <w:tab w:val="left" w:pos="180"/>
            </w:tabs>
            <w:ind w:left="567" w:hanging="567"/>
          </w:pPr>
        </w:pPrChange>
      </w:pPr>
      <w:r>
        <w:rPr>
          <w:noProof/>
          <w:lang w:val="it-IT"/>
        </w:rPr>
        <w:sym w:font="Symbol" w:char="00B7"/>
      </w:r>
      <w:r>
        <w:rPr>
          <w:noProof/>
          <w:lang w:val="it-IT"/>
        </w:rPr>
        <w:t xml:space="preserve"> </w:t>
      </w:r>
      <w:r>
        <w:rPr>
          <w:noProof/>
          <w:lang w:val="it-IT"/>
        </w:rPr>
        <w:tab/>
        <w:t>livelli elevati di grassi nel sangue (colesterolo)</w:t>
      </w:r>
    </w:p>
    <w:p>
      <w:pPr>
        <w:ind w:left="567" w:hanging="567"/>
        <w:rPr>
          <w:i/>
          <w:noProof/>
          <w:lang w:val="it-IT"/>
        </w:rPr>
        <w:pPrChange w:id="11607" w:author="Author">
          <w:pPr>
            <w:tabs>
              <w:tab w:val="left" w:pos="180"/>
            </w:tabs>
            <w:ind w:left="567" w:hanging="567"/>
          </w:pPr>
        </w:pPrChange>
      </w:pPr>
      <w:r>
        <w:rPr>
          <w:noProof/>
          <w:lang w:val="it-IT"/>
        </w:rPr>
        <w:sym w:font="Symbol" w:char="00B7"/>
      </w:r>
      <w:r>
        <w:rPr>
          <w:noProof/>
          <w:lang w:val="it-IT"/>
        </w:rPr>
        <w:t xml:space="preserve"> </w:t>
      </w:r>
      <w:r>
        <w:rPr>
          <w:noProof/>
          <w:lang w:val="it-IT"/>
        </w:rPr>
        <w:tab/>
        <w:t>reazioni in sede di iniezione.</w:t>
      </w:r>
    </w:p>
    <w:p>
      <w:pPr>
        <w:tabs>
          <w:tab w:val="left" w:pos="180"/>
        </w:tabs>
        <w:ind w:left="567" w:hanging="567"/>
        <w:rPr>
          <w:noProof/>
          <w:lang w:val="it-IT"/>
        </w:rPr>
      </w:pPr>
    </w:p>
    <w:p>
      <w:pPr>
        <w:tabs>
          <w:tab w:val="left" w:pos="180"/>
        </w:tabs>
        <w:ind w:left="567" w:hanging="567"/>
        <w:rPr>
          <w:b/>
          <w:noProof/>
          <w:lang w:val="it-IT"/>
        </w:rPr>
      </w:pPr>
      <w:r>
        <w:rPr>
          <w:b/>
          <w:noProof/>
          <w:lang w:val="it-IT"/>
        </w:rPr>
        <w:t>Effetti indesiderati comuni</w:t>
      </w:r>
      <w:r>
        <w:rPr>
          <w:b/>
          <w:bCs/>
          <w:noProof/>
          <w:lang w:val="it-IT"/>
          <w:rPrChange w:id="11608" w:author="Author">
            <w:rPr>
              <w:lang w:val="it-IT"/>
            </w:rPr>
          </w:rPrChange>
        </w:rPr>
        <w:t>:</w:t>
      </w:r>
    </w:p>
    <w:p>
      <w:pPr>
        <w:tabs>
          <w:tab w:val="left" w:pos="180"/>
        </w:tabs>
        <w:ind w:left="567" w:hanging="567"/>
        <w:rPr>
          <w:i/>
          <w:noProof/>
          <w:lang w:val="it-IT"/>
        </w:rPr>
      </w:pPr>
      <w:r>
        <w:rPr>
          <w:i/>
          <w:noProof/>
          <w:lang w:val="it-IT"/>
        </w:rPr>
        <w:t>Possono interessare fino a 1 persona</w:t>
      </w:r>
      <w:ins w:id="11609" w:author="Author">
        <w:r>
          <w:rPr>
            <w:i/>
            <w:noProof/>
            <w:lang w:val="it-IT"/>
          </w:rPr>
          <w:t xml:space="preserve"> </w:t>
        </w:r>
      </w:ins>
      <w:r>
        <w:rPr>
          <w:i/>
          <w:noProof/>
          <w:lang w:val="it-IT"/>
        </w:rPr>
        <w:t>su 10</w:t>
      </w:r>
    </w:p>
    <w:p>
      <w:pPr>
        <w:ind w:left="567" w:hanging="567"/>
        <w:rPr>
          <w:noProof/>
          <w:lang w:val="it-IT"/>
        </w:rPr>
        <w:pPrChange w:id="11610" w:author="Author">
          <w:pPr>
            <w:tabs>
              <w:tab w:val="left" w:pos="180"/>
            </w:tabs>
            <w:ind w:left="567" w:hanging="567"/>
          </w:pPr>
        </w:pPrChange>
      </w:pPr>
      <w:r>
        <w:rPr>
          <w:noProof/>
          <w:lang w:val="it-IT"/>
        </w:rPr>
        <w:sym w:font="Symbol" w:char="00B7"/>
      </w:r>
      <w:r>
        <w:rPr>
          <w:noProof/>
          <w:lang w:val="it-IT"/>
        </w:rPr>
        <w:t xml:space="preserve"> </w:t>
      </w:r>
      <w:r>
        <w:rPr>
          <w:noProof/>
          <w:lang w:val="it-IT"/>
        </w:rPr>
        <w:tab/>
        <w:t>infezione polmonare (polmonite)</w:t>
      </w:r>
    </w:p>
    <w:p>
      <w:pPr>
        <w:ind w:left="567" w:hanging="567"/>
        <w:rPr>
          <w:noProof/>
          <w:lang w:val="it-IT"/>
        </w:rPr>
        <w:pPrChange w:id="11611" w:author="Author">
          <w:pPr>
            <w:tabs>
              <w:tab w:val="left" w:pos="180"/>
            </w:tabs>
            <w:ind w:left="567" w:hanging="567"/>
          </w:pPr>
        </w:pPrChange>
      </w:pPr>
      <w:r>
        <w:rPr>
          <w:noProof/>
          <w:lang w:val="it-IT"/>
        </w:rPr>
        <w:sym w:font="Symbol" w:char="00B7"/>
      </w:r>
      <w:r>
        <w:rPr>
          <w:noProof/>
          <w:lang w:val="it-IT"/>
        </w:rPr>
        <w:t xml:space="preserve"> </w:t>
      </w:r>
      <w:r>
        <w:rPr>
          <w:noProof/>
          <w:lang w:val="it-IT"/>
        </w:rPr>
        <w:tab/>
        <w:t>fuoco di Sant’Antonio (herpes zoster)</w:t>
      </w:r>
    </w:p>
    <w:p>
      <w:pPr>
        <w:ind w:left="567" w:hanging="567"/>
        <w:rPr>
          <w:noProof/>
          <w:lang w:val="it-IT"/>
        </w:rPr>
        <w:pPrChange w:id="11612" w:author="Author">
          <w:pPr>
            <w:tabs>
              <w:tab w:val="left" w:pos="180"/>
            </w:tabs>
            <w:ind w:left="567" w:hanging="567"/>
          </w:pPr>
        </w:pPrChange>
      </w:pPr>
      <w:r>
        <w:rPr>
          <w:noProof/>
          <w:lang w:val="it-IT"/>
        </w:rPr>
        <w:sym w:font="Symbol" w:char="00B7"/>
      </w:r>
      <w:r>
        <w:rPr>
          <w:noProof/>
          <w:lang w:val="it-IT"/>
        </w:rPr>
        <w:t xml:space="preserve"> </w:t>
      </w:r>
      <w:r>
        <w:rPr>
          <w:noProof/>
          <w:lang w:val="it-IT"/>
        </w:rPr>
        <w:tab/>
        <w:t>febbre delle labbra (herpes simplex orale), formazione di vesciche</w:t>
      </w:r>
    </w:p>
    <w:p>
      <w:pPr>
        <w:ind w:left="567" w:hanging="567"/>
        <w:rPr>
          <w:noProof/>
          <w:lang w:val="it-IT"/>
        </w:rPr>
        <w:pPrChange w:id="11613" w:author="Author">
          <w:pPr>
            <w:tabs>
              <w:tab w:val="left" w:pos="180"/>
            </w:tabs>
            <w:ind w:left="567" w:hanging="567"/>
          </w:pPr>
        </w:pPrChange>
      </w:pPr>
      <w:r>
        <w:rPr>
          <w:noProof/>
          <w:lang w:val="it-IT"/>
        </w:rPr>
        <w:sym w:font="Symbol" w:char="00B7"/>
      </w:r>
      <w:r>
        <w:rPr>
          <w:noProof/>
          <w:lang w:val="it-IT"/>
        </w:rPr>
        <w:t xml:space="preserve"> </w:t>
      </w:r>
      <w:r>
        <w:rPr>
          <w:noProof/>
          <w:lang w:val="it-IT"/>
        </w:rPr>
        <w:tab/>
        <w:t xml:space="preserve">infezioni della pelle (cellulite) talvolta associate a febbre e brividi </w:t>
      </w:r>
    </w:p>
    <w:p>
      <w:pPr>
        <w:ind w:left="567" w:hanging="567"/>
        <w:rPr>
          <w:noProof/>
          <w:lang w:val="it-IT"/>
        </w:rPr>
        <w:pPrChange w:id="11614" w:author="Author">
          <w:pPr>
            <w:tabs>
              <w:tab w:val="left" w:pos="180"/>
            </w:tabs>
            <w:ind w:left="567" w:hanging="567"/>
          </w:pPr>
        </w:pPrChange>
      </w:pPr>
      <w:r>
        <w:rPr>
          <w:noProof/>
          <w:lang w:val="it-IT"/>
        </w:rPr>
        <w:sym w:font="Symbol" w:char="00B7"/>
      </w:r>
      <w:r>
        <w:rPr>
          <w:noProof/>
          <w:lang w:val="it-IT"/>
        </w:rPr>
        <w:t xml:space="preserve"> </w:t>
      </w:r>
      <w:r>
        <w:rPr>
          <w:noProof/>
          <w:lang w:val="it-IT"/>
        </w:rPr>
        <w:tab/>
        <w:t>eruzione cutanea e prurito, orticaria</w:t>
      </w:r>
    </w:p>
    <w:p>
      <w:pPr>
        <w:ind w:left="567" w:hanging="567"/>
        <w:rPr>
          <w:noProof/>
          <w:lang w:val="it-IT"/>
        </w:rPr>
        <w:pPrChange w:id="11615" w:author="Author">
          <w:pPr>
            <w:tabs>
              <w:tab w:val="left" w:pos="180"/>
            </w:tabs>
            <w:ind w:left="567" w:hanging="567"/>
          </w:pPr>
        </w:pPrChange>
      </w:pPr>
      <w:r>
        <w:rPr>
          <w:noProof/>
          <w:lang w:val="it-IT"/>
        </w:rPr>
        <w:sym w:font="Symbol" w:char="00B7"/>
      </w:r>
      <w:r>
        <w:rPr>
          <w:noProof/>
          <w:lang w:val="it-IT"/>
        </w:rPr>
        <w:t xml:space="preserve"> </w:t>
      </w:r>
      <w:r>
        <w:rPr>
          <w:noProof/>
          <w:lang w:val="it-IT"/>
        </w:rPr>
        <w:tab/>
        <w:t xml:space="preserve">reazioni allergiche (ipersensibilità) </w:t>
      </w:r>
    </w:p>
    <w:p>
      <w:pPr>
        <w:ind w:left="567" w:hanging="567"/>
        <w:rPr>
          <w:noProof/>
          <w:lang w:val="it-IT"/>
        </w:rPr>
        <w:pPrChange w:id="11616" w:author="Author">
          <w:pPr>
            <w:tabs>
              <w:tab w:val="left" w:pos="180"/>
            </w:tabs>
            <w:ind w:left="567" w:hanging="567"/>
          </w:pPr>
        </w:pPrChange>
      </w:pPr>
      <w:r>
        <w:rPr>
          <w:noProof/>
          <w:lang w:val="it-IT"/>
        </w:rPr>
        <w:sym w:font="Symbol" w:char="00B7"/>
      </w:r>
      <w:r>
        <w:rPr>
          <w:noProof/>
          <w:lang w:val="it-IT"/>
        </w:rPr>
        <w:t xml:space="preserve"> </w:t>
      </w:r>
      <w:r>
        <w:rPr>
          <w:noProof/>
          <w:lang w:val="it-IT"/>
        </w:rPr>
        <w:tab/>
        <w:t>infezione agli occhi (congiuntivite)</w:t>
      </w:r>
    </w:p>
    <w:p>
      <w:pPr>
        <w:ind w:left="567" w:hanging="567"/>
        <w:rPr>
          <w:b/>
          <w:noProof/>
          <w:lang w:val="it-IT"/>
        </w:rPr>
        <w:pPrChange w:id="11617" w:author="Author">
          <w:pPr>
            <w:tabs>
              <w:tab w:val="left" w:pos="180"/>
            </w:tabs>
            <w:ind w:left="567" w:hanging="567"/>
          </w:pPr>
        </w:pPrChange>
      </w:pPr>
      <w:r>
        <w:rPr>
          <w:noProof/>
          <w:lang w:val="it-IT"/>
        </w:rPr>
        <w:sym w:font="Symbol" w:char="00B7"/>
      </w:r>
      <w:r>
        <w:rPr>
          <w:noProof/>
          <w:lang w:val="it-IT"/>
        </w:rPr>
        <w:t xml:space="preserve"> </w:t>
      </w:r>
      <w:r>
        <w:rPr>
          <w:noProof/>
          <w:lang w:val="it-IT"/>
        </w:rPr>
        <w:tab/>
        <w:t>mal di testa, capogiri, pressione sanguigna elevata</w:t>
      </w:r>
    </w:p>
    <w:p>
      <w:pPr>
        <w:ind w:left="567" w:hanging="567"/>
        <w:rPr>
          <w:noProof/>
          <w:lang w:val="it-IT"/>
        </w:rPr>
        <w:pPrChange w:id="11618" w:author="Author">
          <w:pPr>
            <w:tabs>
              <w:tab w:val="left" w:pos="180"/>
            </w:tabs>
            <w:ind w:left="567" w:hanging="567"/>
          </w:pPr>
        </w:pPrChange>
      </w:pPr>
      <w:r>
        <w:rPr>
          <w:noProof/>
          <w:lang w:val="it-IT"/>
        </w:rPr>
        <w:sym w:font="Symbol" w:char="00B7"/>
      </w:r>
      <w:r>
        <w:rPr>
          <w:noProof/>
          <w:lang w:val="it-IT"/>
        </w:rPr>
        <w:t xml:space="preserve"> </w:t>
      </w:r>
      <w:r>
        <w:rPr>
          <w:noProof/>
          <w:lang w:val="it-IT"/>
        </w:rPr>
        <w:tab/>
        <w:t>ulcerazione della bocca, mal di stomaco</w:t>
      </w:r>
    </w:p>
    <w:p>
      <w:pPr>
        <w:ind w:left="567" w:hanging="567"/>
        <w:rPr>
          <w:noProof/>
          <w:lang w:val="it-IT"/>
        </w:rPr>
        <w:pPrChange w:id="11619" w:author="Author">
          <w:pPr>
            <w:tabs>
              <w:tab w:val="left" w:pos="180"/>
            </w:tabs>
            <w:ind w:left="567" w:hanging="567"/>
          </w:pPr>
        </w:pPrChange>
      </w:pPr>
      <w:r>
        <w:rPr>
          <w:noProof/>
          <w:lang w:val="it-IT"/>
        </w:rPr>
        <w:sym w:font="Symbol" w:char="00B7"/>
      </w:r>
      <w:r>
        <w:rPr>
          <w:noProof/>
          <w:lang w:val="it-IT"/>
        </w:rPr>
        <w:t xml:space="preserve"> </w:t>
      </w:r>
      <w:r>
        <w:rPr>
          <w:noProof/>
          <w:lang w:val="it-IT"/>
        </w:rPr>
        <w:tab/>
        <w:t>ritenzione idrica (edema) nella parte inferiore delle gambe, aumento del peso</w:t>
      </w:r>
    </w:p>
    <w:p>
      <w:pPr>
        <w:ind w:left="567" w:hanging="567"/>
        <w:rPr>
          <w:noProof/>
          <w:lang w:val="it-IT"/>
        </w:rPr>
        <w:pPrChange w:id="11620" w:author="Author">
          <w:pPr>
            <w:tabs>
              <w:tab w:val="left" w:pos="180"/>
            </w:tabs>
            <w:ind w:left="567" w:hanging="567"/>
          </w:pPr>
        </w:pPrChange>
      </w:pPr>
      <w:r>
        <w:rPr>
          <w:noProof/>
          <w:lang w:val="it-IT"/>
        </w:rPr>
        <w:sym w:font="Symbol" w:char="00B7"/>
      </w:r>
      <w:r>
        <w:rPr>
          <w:noProof/>
          <w:lang w:val="it-IT"/>
        </w:rPr>
        <w:t xml:space="preserve"> </w:t>
      </w:r>
      <w:r>
        <w:rPr>
          <w:noProof/>
          <w:lang w:val="it-IT"/>
        </w:rPr>
        <w:tab/>
        <w:t>tosse, respiro corto</w:t>
      </w:r>
    </w:p>
    <w:p>
      <w:pPr>
        <w:ind w:left="567" w:hanging="567"/>
        <w:rPr>
          <w:noProof/>
          <w:lang w:val="it-IT"/>
        </w:rPr>
        <w:pPrChange w:id="11621" w:author="Author">
          <w:pPr>
            <w:tabs>
              <w:tab w:val="left" w:pos="180"/>
            </w:tabs>
            <w:ind w:left="567" w:hanging="567"/>
          </w:pPr>
        </w:pPrChange>
      </w:pPr>
      <w:r>
        <w:rPr>
          <w:noProof/>
          <w:lang w:val="it-IT"/>
        </w:rPr>
        <w:sym w:font="Symbol" w:char="00B7"/>
      </w:r>
      <w:r>
        <w:rPr>
          <w:noProof/>
          <w:lang w:val="it-IT"/>
        </w:rPr>
        <w:t xml:space="preserve"> </w:t>
      </w:r>
      <w:r>
        <w:rPr>
          <w:noProof/>
          <w:lang w:val="it-IT"/>
        </w:rPr>
        <w:tab/>
        <w:t>basso numero dei globuli bianchi come evidenziato dagli esami del sangue (neutropenia, leucopenia)</w:t>
      </w:r>
    </w:p>
    <w:p>
      <w:pPr>
        <w:ind w:left="567" w:hanging="567"/>
        <w:rPr>
          <w:noProof/>
          <w:lang w:val="it-IT"/>
        </w:rPr>
        <w:pPrChange w:id="11622" w:author="Author">
          <w:pPr>
            <w:tabs>
              <w:tab w:val="left" w:pos="180"/>
            </w:tabs>
            <w:ind w:left="567" w:hanging="567"/>
          </w:pPr>
        </w:pPrChange>
      </w:pPr>
      <w:r>
        <w:rPr>
          <w:noProof/>
          <w:lang w:val="it-IT"/>
        </w:rPr>
        <w:sym w:font="Symbol" w:char="00B7"/>
      </w:r>
      <w:r>
        <w:rPr>
          <w:noProof/>
          <w:lang w:val="it-IT"/>
        </w:rPr>
        <w:t xml:space="preserve"> </w:t>
      </w:r>
      <w:r>
        <w:rPr>
          <w:noProof/>
          <w:lang w:val="it-IT"/>
        </w:rPr>
        <w:tab/>
        <w:t xml:space="preserve">anomalie nei test di funzionalità del fegato (aumento delle transaminasi) </w:t>
      </w:r>
    </w:p>
    <w:p>
      <w:pPr>
        <w:ind w:left="567" w:hanging="567"/>
        <w:rPr>
          <w:noProof/>
          <w:lang w:val="it-IT"/>
        </w:rPr>
        <w:pPrChange w:id="11623" w:author="Author">
          <w:pPr>
            <w:tabs>
              <w:tab w:val="left" w:pos="180"/>
            </w:tabs>
            <w:ind w:left="567" w:hanging="567"/>
          </w:pPr>
        </w:pPrChange>
      </w:pPr>
      <w:r>
        <w:rPr>
          <w:noProof/>
          <w:lang w:val="it-IT"/>
        </w:rPr>
        <w:sym w:font="Symbol" w:char="00B7"/>
      </w:r>
      <w:r>
        <w:rPr>
          <w:noProof/>
          <w:lang w:val="it-IT"/>
        </w:rPr>
        <w:t xml:space="preserve"> </w:t>
      </w:r>
      <w:r>
        <w:rPr>
          <w:noProof/>
          <w:lang w:val="it-IT"/>
        </w:rPr>
        <w:tab/>
        <w:t>aumento della bilirubina come evidenziato dagli esami del sangue.</w:t>
      </w:r>
    </w:p>
    <w:p>
      <w:pPr>
        <w:tabs>
          <w:tab w:val="left" w:pos="700"/>
        </w:tabs>
        <w:ind w:left="567" w:hanging="567"/>
        <w:rPr>
          <w:noProof/>
          <w:szCs w:val="22"/>
          <w:lang w:val="it-IT"/>
        </w:rPr>
        <w:pPrChange w:id="11624" w:author="Author">
          <w:pPr>
            <w:tabs>
              <w:tab w:val="left" w:pos="180"/>
              <w:tab w:val="left" w:pos="700"/>
            </w:tabs>
          </w:pPr>
        </w:pPrChange>
      </w:pPr>
      <w:r>
        <w:rPr>
          <w:rFonts w:eastAsia="SimSun"/>
          <w:noProof/>
          <w:lang w:val="it-IT" w:eastAsia="zh-CN"/>
        </w:rPr>
        <w:sym w:font="Symbol" w:char="F0B7"/>
      </w:r>
      <w:r>
        <w:rPr>
          <w:rFonts w:eastAsia="SimSun"/>
          <w:noProof/>
          <w:lang w:val="it-IT" w:eastAsia="zh-CN"/>
        </w:rPr>
        <w:tab/>
        <w:t>bassi livelli di fibrinogeno nel sangue (una proteina coinvolta nella coagulazione del sangue).</w:t>
      </w:r>
    </w:p>
    <w:p>
      <w:pPr>
        <w:tabs>
          <w:tab w:val="left" w:pos="180"/>
        </w:tabs>
        <w:ind w:left="567" w:hanging="567"/>
        <w:rPr>
          <w:noProof/>
          <w:lang w:val="it-IT"/>
        </w:rPr>
      </w:pPr>
    </w:p>
    <w:p>
      <w:pPr>
        <w:keepNext/>
        <w:keepLines/>
        <w:tabs>
          <w:tab w:val="left" w:pos="180"/>
        </w:tabs>
        <w:rPr>
          <w:b/>
          <w:noProof/>
          <w:lang w:val="it-IT"/>
        </w:rPr>
      </w:pPr>
      <w:r>
        <w:rPr>
          <w:b/>
          <w:noProof/>
          <w:lang w:val="it-IT"/>
        </w:rPr>
        <w:t>Effetti indesiderati non comuni</w:t>
      </w:r>
      <w:r>
        <w:rPr>
          <w:b/>
          <w:bCs/>
          <w:noProof/>
          <w:lang w:val="it-IT"/>
          <w:rPrChange w:id="11625" w:author="Author">
            <w:rPr>
              <w:lang w:val="it-IT"/>
            </w:rPr>
          </w:rPrChange>
        </w:rPr>
        <w:t>:</w:t>
      </w:r>
    </w:p>
    <w:p>
      <w:pPr>
        <w:keepNext/>
        <w:keepLines/>
        <w:tabs>
          <w:tab w:val="left" w:pos="180"/>
        </w:tabs>
        <w:rPr>
          <w:i/>
          <w:noProof/>
          <w:lang w:val="it-IT"/>
        </w:rPr>
      </w:pPr>
      <w:r>
        <w:rPr>
          <w:i/>
          <w:noProof/>
          <w:lang w:val="it-IT"/>
        </w:rPr>
        <w:t>Possono interessare fino a 1 persona</w:t>
      </w:r>
      <w:ins w:id="11626" w:author="Author">
        <w:r>
          <w:rPr>
            <w:i/>
            <w:noProof/>
            <w:lang w:val="it-IT"/>
          </w:rPr>
          <w:t xml:space="preserve"> </w:t>
        </w:r>
      </w:ins>
      <w:r>
        <w:rPr>
          <w:i/>
          <w:noProof/>
          <w:lang w:val="it-IT"/>
        </w:rPr>
        <w:t>su 100</w:t>
      </w:r>
    </w:p>
    <w:p>
      <w:pPr>
        <w:keepNext/>
        <w:keepLines/>
        <w:ind w:left="567" w:hanging="567"/>
        <w:rPr>
          <w:noProof/>
          <w:lang w:val="it-IT"/>
        </w:rPr>
        <w:pPrChange w:id="11627" w:author="Author">
          <w:pPr>
            <w:keepNext/>
            <w:keepLines/>
            <w:tabs>
              <w:tab w:val="left" w:pos="180"/>
            </w:tabs>
          </w:pPr>
        </w:pPrChange>
      </w:pPr>
      <w:r>
        <w:rPr>
          <w:noProof/>
          <w:lang w:val="it-IT"/>
        </w:rPr>
        <w:sym w:font="Symbol" w:char="00B7"/>
      </w:r>
      <w:r>
        <w:rPr>
          <w:noProof/>
          <w:lang w:val="it-IT"/>
        </w:rPr>
        <w:t xml:space="preserve"> </w:t>
      </w:r>
      <w:r>
        <w:rPr>
          <w:noProof/>
          <w:lang w:val="it-IT"/>
        </w:rPr>
        <w:tab/>
        <w:t>diverticolite (febbre, nausea, diarrea, stipsi, mal di stomaco)</w:t>
      </w:r>
    </w:p>
    <w:p>
      <w:pPr>
        <w:keepNext/>
        <w:keepLines/>
        <w:ind w:left="567" w:hanging="567"/>
        <w:rPr>
          <w:noProof/>
          <w:lang w:val="it-IT"/>
        </w:rPr>
        <w:pPrChange w:id="11628" w:author="Author">
          <w:pPr>
            <w:keepNext/>
            <w:keepLines/>
            <w:tabs>
              <w:tab w:val="left" w:pos="180"/>
            </w:tabs>
          </w:pPr>
        </w:pPrChange>
      </w:pPr>
      <w:r>
        <w:rPr>
          <w:noProof/>
          <w:lang w:val="it-IT"/>
        </w:rPr>
        <w:sym w:font="Symbol" w:char="00B7"/>
      </w:r>
      <w:r>
        <w:rPr>
          <w:noProof/>
          <w:lang w:val="it-IT"/>
        </w:rPr>
        <w:t xml:space="preserve"> </w:t>
      </w:r>
      <w:r>
        <w:rPr>
          <w:noProof/>
          <w:lang w:val="it-IT"/>
        </w:rPr>
        <w:tab/>
        <w:t>aree arrossate e gonfie nella bocca</w:t>
      </w:r>
    </w:p>
    <w:p>
      <w:pPr>
        <w:keepNext/>
        <w:keepLines/>
        <w:ind w:left="567" w:hanging="567"/>
        <w:rPr>
          <w:noProof/>
          <w:lang w:val="it-IT"/>
        </w:rPr>
        <w:pPrChange w:id="11629" w:author="Author">
          <w:pPr>
            <w:keepNext/>
            <w:keepLines/>
            <w:tabs>
              <w:tab w:val="left" w:pos="180"/>
            </w:tabs>
          </w:pPr>
        </w:pPrChange>
      </w:pPr>
      <w:r>
        <w:rPr>
          <w:noProof/>
          <w:lang w:val="it-IT"/>
        </w:rPr>
        <w:sym w:font="Symbol" w:char="00B7"/>
      </w:r>
      <w:r>
        <w:rPr>
          <w:noProof/>
          <w:lang w:val="it-IT"/>
        </w:rPr>
        <w:t xml:space="preserve"> </w:t>
      </w:r>
      <w:r>
        <w:rPr>
          <w:noProof/>
          <w:lang w:val="it-IT"/>
        </w:rPr>
        <w:tab/>
        <w:t>elevati livelli di grassi nel sangue (trigliceridi)</w:t>
      </w:r>
    </w:p>
    <w:p>
      <w:pPr>
        <w:keepNext/>
        <w:keepLines/>
        <w:ind w:left="567" w:hanging="567"/>
        <w:rPr>
          <w:noProof/>
          <w:lang w:val="it-IT"/>
        </w:rPr>
        <w:pPrChange w:id="11630" w:author="Author">
          <w:pPr>
            <w:keepNext/>
            <w:keepLines/>
            <w:tabs>
              <w:tab w:val="left" w:pos="180"/>
            </w:tabs>
          </w:pPr>
        </w:pPrChange>
      </w:pPr>
      <w:r>
        <w:rPr>
          <w:noProof/>
          <w:lang w:val="it-IT"/>
        </w:rPr>
        <w:sym w:font="Symbol" w:char="00B7"/>
      </w:r>
      <w:r>
        <w:rPr>
          <w:noProof/>
          <w:lang w:val="it-IT"/>
        </w:rPr>
        <w:t xml:space="preserve"> </w:t>
      </w:r>
      <w:r>
        <w:rPr>
          <w:noProof/>
          <w:lang w:val="it-IT"/>
        </w:rPr>
        <w:tab/>
        <w:t>ulcera gastrica</w:t>
      </w:r>
    </w:p>
    <w:p>
      <w:pPr>
        <w:keepNext/>
        <w:keepLines/>
        <w:ind w:left="567" w:hanging="567"/>
        <w:rPr>
          <w:noProof/>
          <w:lang w:val="it-IT"/>
        </w:rPr>
        <w:pPrChange w:id="11631" w:author="Author">
          <w:pPr>
            <w:keepNext/>
            <w:keepLines/>
            <w:tabs>
              <w:tab w:val="left" w:pos="180"/>
            </w:tabs>
          </w:pPr>
        </w:pPrChange>
      </w:pPr>
      <w:r>
        <w:rPr>
          <w:noProof/>
          <w:lang w:val="it-IT"/>
        </w:rPr>
        <w:sym w:font="Symbol" w:char="00B7"/>
      </w:r>
      <w:r>
        <w:rPr>
          <w:noProof/>
          <w:lang w:val="it-IT"/>
        </w:rPr>
        <w:t xml:space="preserve"> </w:t>
      </w:r>
      <w:r>
        <w:rPr>
          <w:noProof/>
          <w:lang w:val="it-IT"/>
        </w:rPr>
        <w:tab/>
        <w:t xml:space="preserve">calcoli renali </w:t>
      </w:r>
    </w:p>
    <w:p>
      <w:pPr>
        <w:ind w:left="567" w:hanging="567"/>
        <w:rPr>
          <w:noProof/>
          <w:lang w:val="it-IT"/>
        </w:rPr>
        <w:pPrChange w:id="11632" w:author="Author">
          <w:pPr>
            <w:tabs>
              <w:tab w:val="left" w:pos="180"/>
            </w:tabs>
          </w:pPr>
        </w:pPrChange>
      </w:pPr>
      <w:r>
        <w:rPr>
          <w:noProof/>
          <w:lang w:val="it-IT"/>
        </w:rPr>
        <w:sym w:font="Symbol" w:char="00B7"/>
      </w:r>
      <w:r>
        <w:rPr>
          <w:noProof/>
          <w:lang w:val="it-IT"/>
        </w:rPr>
        <w:t xml:space="preserve"> </w:t>
      </w:r>
      <w:r>
        <w:rPr>
          <w:noProof/>
          <w:lang w:val="it-IT"/>
        </w:rPr>
        <w:tab/>
        <w:t>ipotiroidismo.</w:t>
      </w:r>
    </w:p>
    <w:p>
      <w:pPr>
        <w:tabs>
          <w:tab w:val="left" w:pos="180"/>
        </w:tabs>
        <w:rPr>
          <w:b/>
          <w:noProof/>
          <w:lang w:val="it-IT"/>
        </w:rPr>
      </w:pPr>
    </w:p>
    <w:p>
      <w:pPr>
        <w:pStyle w:val="Standard"/>
        <w:rPr>
          <w:b/>
          <w:noProof/>
          <w:lang w:val="it-IT"/>
        </w:rPr>
      </w:pPr>
      <w:r>
        <w:rPr>
          <w:b/>
          <w:noProof/>
          <w:lang w:val="it-IT"/>
        </w:rPr>
        <w:t>Effetti indesiderati rari:</w:t>
      </w:r>
    </w:p>
    <w:p>
      <w:pPr>
        <w:pStyle w:val="Standard"/>
        <w:rPr>
          <w:i/>
          <w:noProof/>
          <w:lang w:val="it-IT"/>
        </w:rPr>
      </w:pPr>
      <w:r>
        <w:rPr>
          <w:i/>
          <w:noProof/>
          <w:lang w:val="it-IT"/>
        </w:rPr>
        <w:t>Questi possono colpire fino a 1 persona</w:t>
      </w:r>
      <w:ins w:id="11633" w:author="Author">
        <w:r>
          <w:rPr>
            <w:i/>
            <w:noProof/>
            <w:lang w:val="it-IT"/>
          </w:rPr>
          <w:t xml:space="preserve"> </w:t>
        </w:r>
      </w:ins>
      <w:r>
        <w:rPr>
          <w:i/>
          <w:noProof/>
          <w:lang w:val="it-IT"/>
        </w:rPr>
        <w:t>su 1</w:t>
      </w:r>
      <w:ins w:id="11634" w:author="Author">
        <w:r>
          <w:rPr>
            <w:i/>
            <w:noProof/>
            <w:lang w:val="it-IT"/>
          </w:rPr>
          <w:t> </w:t>
        </w:r>
      </w:ins>
      <w:r>
        <w:rPr>
          <w:i/>
          <w:noProof/>
          <w:lang w:val="it-IT"/>
        </w:rPr>
        <w:t>000</w:t>
      </w:r>
    </w:p>
    <w:p>
      <w:pPr>
        <w:pStyle w:val="Standard"/>
        <w:ind w:left="567" w:hanging="567"/>
        <w:rPr>
          <w:noProof/>
          <w:lang w:val="it-IT"/>
        </w:rPr>
        <w:pPrChange w:id="11635" w:author="Author">
          <w:pPr>
            <w:pStyle w:val="Standard"/>
            <w:ind w:left="548" w:hanging="562"/>
          </w:pPr>
        </w:pPrChange>
      </w:pPr>
      <w:r>
        <w:rPr>
          <w:noProof/>
          <w:lang w:val="it-IT"/>
        </w:rPr>
        <w:sym w:font="Symbol" w:char="00B7"/>
      </w:r>
      <w:ins w:id="11636" w:author="Author">
        <w:r>
          <w:rPr>
            <w:noProof/>
            <w:lang w:val="it-IT"/>
          </w:rPr>
          <w:tab/>
        </w:r>
      </w:ins>
      <w:del w:id="11637" w:author="Author">
        <w:r>
          <w:rPr>
            <w:noProof/>
            <w:lang w:val="it-IT"/>
          </w:rPr>
          <w:delText xml:space="preserve"> </w:delText>
        </w:r>
      </w:del>
      <w:r>
        <w:rPr>
          <w:noProof/>
          <w:lang w:val="it-IT"/>
        </w:rPr>
        <w:t>sindrome di Stevens-Johnson (eruzione cutanea, che può comportare formazione di vesciche gravi e desquamazione della pelle)</w:t>
      </w:r>
    </w:p>
    <w:p>
      <w:pPr>
        <w:pStyle w:val="Standard"/>
        <w:keepNext/>
        <w:ind w:left="567" w:hanging="567"/>
        <w:rPr>
          <w:noProof/>
          <w:lang w:val="it-IT"/>
        </w:rPr>
        <w:pPrChange w:id="11638" w:author="Author">
          <w:pPr>
            <w:pStyle w:val="Standard"/>
            <w:ind w:left="548" w:hanging="562"/>
          </w:pPr>
        </w:pPrChange>
      </w:pPr>
      <w:r>
        <w:rPr>
          <w:noProof/>
          <w:lang w:val="it-IT"/>
        </w:rPr>
        <w:sym w:font="Symbol" w:char="00B7"/>
      </w:r>
      <w:ins w:id="11639" w:author="Author">
        <w:r>
          <w:rPr>
            <w:noProof/>
            <w:lang w:val="it-IT"/>
          </w:rPr>
          <w:tab/>
        </w:r>
      </w:ins>
      <w:del w:id="11640" w:author="Author">
        <w:r>
          <w:rPr>
            <w:noProof/>
            <w:lang w:val="it-IT"/>
          </w:rPr>
          <w:delText xml:space="preserve"> </w:delText>
        </w:r>
      </w:del>
      <w:r>
        <w:rPr>
          <w:noProof/>
          <w:lang w:val="it-IT"/>
        </w:rPr>
        <w:t>reazioni allergiche fatali (anafilassi)</w:t>
      </w:r>
    </w:p>
    <w:p>
      <w:pPr>
        <w:pStyle w:val="Standard"/>
        <w:ind w:left="567" w:hanging="567"/>
        <w:rPr>
          <w:noProof/>
          <w:lang w:val="it-IT"/>
        </w:rPr>
        <w:pPrChange w:id="11641" w:author="Author">
          <w:pPr>
            <w:pStyle w:val="Standard"/>
            <w:ind w:left="548" w:hanging="562"/>
          </w:pPr>
        </w:pPrChange>
      </w:pPr>
      <w:r>
        <w:rPr>
          <w:noProof/>
          <w:lang w:val="it-IT"/>
        </w:rPr>
        <w:sym w:font="Symbol" w:char="00B7"/>
      </w:r>
      <w:ins w:id="11642" w:author="Author">
        <w:r>
          <w:rPr>
            <w:noProof/>
            <w:lang w:val="it-IT"/>
          </w:rPr>
          <w:tab/>
        </w:r>
      </w:ins>
      <w:del w:id="11643" w:author="Author">
        <w:r>
          <w:rPr>
            <w:noProof/>
            <w:lang w:val="it-IT"/>
          </w:rPr>
          <w:delText xml:space="preserve"> </w:delText>
        </w:r>
      </w:del>
      <w:r>
        <w:rPr>
          <w:noProof/>
          <w:lang w:val="it-IT"/>
        </w:rPr>
        <w:t>infiammazione del fegato (epatite), ittero.</w:t>
      </w:r>
    </w:p>
    <w:p>
      <w:pPr>
        <w:tabs>
          <w:tab w:val="left" w:pos="180"/>
        </w:tabs>
        <w:rPr>
          <w:b/>
          <w:noProof/>
          <w:lang w:val="it-IT"/>
        </w:rPr>
      </w:pPr>
    </w:p>
    <w:p>
      <w:pPr>
        <w:tabs>
          <w:tab w:val="left" w:pos="180"/>
        </w:tabs>
        <w:rPr>
          <w:noProof/>
          <w:szCs w:val="22"/>
          <w:lang w:val="it-IT"/>
        </w:rPr>
      </w:pPr>
      <w:r>
        <w:rPr>
          <w:b/>
          <w:noProof/>
          <w:szCs w:val="22"/>
          <w:lang w:val="it-IT"/>
        </w:rPr>
        <w:t>Effetti indesiderati molto rari:</w:t>
      </w:r>
      <w:r>
        <w:rPr>
          <w:noProof/>
          <w:szCs w:val="22"/>
          <w:lang w:val="it-IT"/>
        </w:rPr>
        <w:t xml:space="preserve"> </w:t>
      </w:r>
      <w:r>
        <w:rPr>
          <w:noProof/>
          <w:szCs w:val="22"/>
          <w:lang w:val="it-IT"/>
        </w:rPr>
        <w:br/>
      </w:r>
      <w:r>
        <w:rPr>
          <w:i/>
          <w:noProof/>
          <w:szCs w:val="22"/>
          <w:lang w:val="it-IT"/>
        </w:rPr>
        <w:t>Possono interessare fino a 1 persona</w:t>
      </w:r>
      <w:ins w:id="11644" w:author="Author">
        <w:r>
          <w:rPr>
            <w:i/>
            <w:noProof/>
            <w:szCs w:val="22"/>
            <w:lang w:val="it-IT"/>
          </w:rPr>
          <w:t xml:space="preserve"> </w:t>
        </w:r>
      </w:ins>
      <w:r>
        <w:rPr>
          <w:i/>
          <w:noProof/>
          <w:szCs w:val="22"/>
          <w:lang w:val="it-IT"/>
        </w:rPr>
        <w:t>su 10</w:t>
      </w:r>
      <w:del w:id="11645" w:author="Author">
        <w:r>
          <w:rPr>
            <w:i/>
            <w:noProof/>
            <w:szCs w:val="22"/>
            <w:lang w:val="it-IT"/>
          </w:rPr>
          <w:delText>.</w:delText>
        </w:r>
      </w:del>
      <w:ins w:id="11646" w:author="Author">
        <w:r>
          <w:rPr>
            <w:i/>
            <w:noProof/>
            <w:szCs w:val="22"/>
            <w:lang w:val="it-IT"/>
          </w:rPr>
          <w:t> </w:t>
        </w:r>
      </w:ins>
      <w:r>
        <w:rPr>
          <w:i/>
          <w:noProof/>
          <w:szCs w:val="22"/>
          <w:lang w:val="it-IT"/>
        </w:rPr>
        <w:t>000</w:t>
      </w:r>
      <w:r>
        <w:rPr>
          <w:noProof/>
          <w:szCs w:val="22"/>
          <w:lang w:val="it-IT"/>
        </w:rPr>
        <w:t xml:space="preserve"> </w:t>
      </w:r>
      <w:del w:id="11647" w:author="Author">
        <w:r>
          <w:rPr>
            <w:noProof/>
            <w:szCs w:val="22"/>
            <w:lang w:val="it-IT"/>
          </w:rPr>
          <w:br/>
        </w:r>
      </w:del>
    </w:p>
    <w:p>
      <w:pPr>
        <w:ind w:left="567" w:hanging="567"/>
        <w:rPr>
          <w:noProof/>
          <w:szCs w:val="22"/>
          <w:lang w:val="it-IT"/>
        </w:rPr>
        <w:pPrChange w:id="11648" w:author="Author">
          <w:pPr>
            <w:tabs>
              <w:tab w:val="left" w:pos="180"/>
            </w:tabs>
          </w:pPr>
        </w:pPrChange>
      </w:pPr>
      <w:r>
        <w:rPr>
          <w:noProof/>
          <w:szCs w:val="22"/>
          <w:lang w:val="it-IT"/>
        </w:rPr>
        <w:sym w:font="Symbol" w:char="00B7"/>
      </w:r>
      <w:r>
        <w:rPr>
          <w:noProof/>
          <w:szCs w:val="22"/>
          <w:lang w:val="it-IT"/>
        </w:rPr>
        <w:t xml:space="preserve"> </w:t>
      </w:r>
      <w:r>
        <w:rPr>
          <w:noProof/>
          <w:szCs w:val="22"/>
          <w:lang w:val="it-IT"/>
        </w:rPr>
        <w:tab/>
        <w:t>basso numero dei globuli bianchi, dei globuli rossi e delle piastrine negli esami del sangue</w:t>
      </w:r>
    </w:p>
    <w:p>
      <w:pPr>
        <w:ind w:left="567" w:hanging="567"/>
        <w:rPr>
          <w:noProof/>
          <w:szCs w:val="22"/>
          <w:lang w:val="it-IT"/>
        </w:rPr>
        <w:pPrChange w:id="11649" w:author="Author">
          <w:pPr>
            <w:tabs>
              <w:tab w:val="left" w:pos="180"/>
            </w:tabs>
          </w:pPr>
        </w:pPrChange>
      </w:pPr>
      <w:r>
        <w:rPr>
          <w:noProof/>
          <w:szCs w:val="22"/>
          <w:lang w:val="it-IT"/>
        </w:rPr>
        <w:sym w:font="Symbol" w:char="00B7"/>
      </w:r>
      <w:r>
        <w:rPr>
          <w:noProof/>
          <w:szCs w:val="22"/>
          <w:lang w:val="it-IT"/>
        </w:rPr>
        <w:t xml:space="preserve"> </w:t>
      </w:r>
      <w:r>
        <w:rPr>
          <w:noProof/>
          <w:szCs w:val="22"/>
          <w:lang w:val="it-IT"/>
        </w:rPr>
        <w:tab/>
        <w:t>insufficienza epatica.</w:t>
      </w:r>
    </w:p>
    <w:p>
      <w:pPr>
        <w:tabs>
          <w:tab w:val="left" w:pos="180"/>
        </w:tabs>
        <w:rPr>
          <w:noProof/>
          <w:szCs w:val="22"/>
          <w:lang w:val="it-IT"/>
        </w:rPr>
      </w:pPr>
    </w:p>
    <w:p>
      <w:pPr>
        <w:rPr>
          <w:b/>
          <w:noProof/>
          <w:szCs w:val="22"/>
          <w:lang w:val="it-IT"/>
        </w:rPr>
      </w:pPr>
      <w:r>
        <w:rPr>
          <w:b/>
          <w:noProof/>
          <w:szCs w:val="22"/>
          <w:lang w:val="it-IT"/>
        </w:rPr>
        <w:t>Effetti indesiderati nei bambini e negli adolescenti con AIGs o AIGp</w:t>
      </w:r>
    </w:p>
    <w:p>
      <w:pPr>
        <w:rPr>
          <w:del w:id="11650" w:author="Author"/>
          <w:noProof/>
          <w:szCs w:val="22"/>
          <w:lang w:val="it-IT"/>
        </w:rPr>
      </w:pPr>
      <w:r>
        <w:rPr>
          <w:noProof/>
          <w:szCs w:val="22"/>
          <w:lang w:val="it-IT"/>
        </w:rPr>
        <w:t>Gli effetti indesiderati osservati nei bambini e negli adolescenti con AIGs o AIGp sono generalmente simili a quelli registrati negli adulti. Alcuni effetti indesiderati vengono riscontrati più spesso nei bambini e negli adolescenti: infiammazione del naso e della gola, mal di testa, sensazione di malessere (nausea) e basse conte dei globuli bianchi.</w:t>
      </w:r>
    </w:p>
    <w:p>
      <w:pPr>
        <w:rPr>
          <w:noProof/>
          <w:szCs w:val="22"/>
          <w:lang w:val="it-IT"/>
        </w:rPr>
        <w:pPrChange w:id="11651" w:author="Author">
          <w:pPr>
            <w:tabs>
              <w:tab w:val="left" w:pos="180"/>
            </w:tabs>
          </w:pPr>
        </w:pPrChange>
      </w:pPr>
    </w:p>
    <w:p>
      <w:pPr>
        <w:tabs>
          <w:tab w:val="left" w:pos="180"/>
        </w:tabs>
        <w:rPr>
          <w:noProof/>
          <w:szCs w:val="22"/>
          <w:lang w:val="it-IT"/>
        </w:rPr>
      </w:pPr>
    </w:p>
    <w:p>
      <w:pPr>
        <w:keepNext/>
        <w:keepLines/>
        <w:tabs>
          <w:tab w:val="left" w:pos="180"/>
        </w:tabs>
        <w:rPr>
          <w:b/>
          <w:noProof/>
          <w:szCs w:val="22"/>
          <w:lang w:val="it-IT"/>
        </w:rPr>
      </w:pPr>
      <w:r>
        <w:rPr>
          <w:b/>
          <w:noProof/>
          <w:szCs w:val="22"/>
          <w:lang w:val="it-IT"/>
        </w:rPr>
        <w:t>Segnalazione degli effetti indesiderati</w:t>
      </w:r>
    </w:p>
    <w:p>
      <w:pPr>
        <w:tabs>
          <w:tab w:val="left" w:pos="180"/>
        </w:tabs>
        <w:rPr>
          <w:noProof/>
          <w:szCs w:val="22"/>
          <w:lang w:val="it-IT"/>
        </w:rPr>
      </w:pPr>
      <w:r>
        <w:rPr>
          <w:noProof/>
          <w:szCs w:val="22"/>
          <w:lang w:val="it-IT"/>
        </w:rPr>
        <w:t xml:space="preserve">Se si manifesta un qualsiasi effetto indesiderato, compresi quelli non elencati in questo foglio, si rivolga al medico, al farmacista o all’infermiere. Lei può inoltre segnalare gli effetti indesiderati direttamente tramite </w:t>
      </w:r>
      <w:r>
        <w:rPr>
          <w:noProof/>
          <w:szCs w:val="22"/>
          <w:highlight w:val="lightGray"/>
          <w:lang w:val="it-IT"/>
        </w:rPr>
        <w:t>il sistema nazionale di segnalazione riportato nell’</w:t>
      </w:r>
      <w:r>
        <w:rPr>
          <w:noProof/>
          <w:lang w:val="it-IT"/>
        </w:rPr>
        <w:fldChar w:fldCharType="begin"/>
      </w:r>
      <w:r>
        <w:rPr>
          <w:noProof/>
          <w:lang w:val="it-IT"/>
          <w:rPrChange w:id="11652" w:author="Author">
            <w:rPr/>
          </w:rPrChange>
        </w:rPr>
        <w:instrText>HYPERLINK "https://www.ema.europa.eu/documents/template-form/qrd-appendix-v-adverse-drug-reaction-reporting-details_en.docx"</w:instrText>
      </w:r>
      <w:r>
        <w:rPr>
          <w:noProof/>
          <w:lang w:val="it-IT"/>
        </w:rPr>
        <w:fldChar w:fldCharType="separate"/>
      </w:r>
      <w:r>
        <w:rPr>
          <w:rStyle w:val="Hyperlink"/>
          <w:noProof/>
          <w:color w:val="0033CC"/>
          <w:szCs w:val="22"/>
          <w:highlight w:val="lightGray"/>
          <w:lang w:val="it-IT"/>
        </w:rPr>
        <w:t>allegato V</w:t>
      </w:r>
      <w:r>
        <w:rPr>
          <w:noProof/>
          <w:lang w:val="it-IT"/>
        </w:rPr>
        <w:fldChar w:fldCharType="end"/>
      </w:r>
      <w:r>
        <w:rPr>
          <w:noProof/>
          <w:szCs w:val="22"/>
          <w:lang w:val="it-IT"/>
        </w:rPr>
        <w:t>. Segnalando gli effetti indesiderati lei può contribuire a fornire maggiori informazioni sulla sicurezza di questo medicinale.</w:t>
      </w:r>
    </w:p>
    <w:p>
      <w:pPr>
        <w:tabs>
          <w:tab w:val="left" w:pos="180"/>
        </w:tabs>
        <w:rPr>
          <w:noProof/>
          <w:szCs w:val="22"/>
          <w:lang w:val="it-IT"/>
        </w:rPr>
      </w:pPr>
    </w:p>
    <w:p>
      <w:pPr>
        <w:tabs>
          <w:tab w:val="left" w:pos="180"/>
        </w:tabs>
        <w:rPr>
          <w:noProof/>
          <w:lang w:val="it-IT"/>
        </w:rPr>
      </w:pPr>
    </w:p>
    <w:p>
      <w:pPr>
        <w:tabs>
          <w:tab w:val="left" w:pos="180"/>
        </w:tabs>
        <w:ind w:left="567" w:hanging="567"/>
        <w:rPr>
          <w:noProof/>
          <w:szCs w:val="22"/>
          <w:lang w:val="it-IT"/>
        </w:rPr>
      </w:pPr>
      <w:r>
        <w:rPr>
          <w:b/>
          <w:noProof/>
          <w:szCs w:val="22"/>
          <w:lang w:val="it-IT"/>
        </w:rPr>
        <w:t>5.</w:t>
      </w:r>
      <w:r>
        <w:rPr>
          <w:noProof/>
          <w:szCs w:val="22"/>
          <w:lang w:val="it-IT"/>
        </w:rPr>
        <w:tab/>
      </w:r>
      <w:r>
        <w:rPr>
          <w:noProof/>
          <w:szCs w:val="22"/>
          <w:lang w:val="it-IT"/>
        </w:rPr>
        <w:tab/>
      </w:r>
      <w:r>
        <w:rPr>
          <w:b/>
          <w:noProof/>
          <w:szCs w:val="22"/>
          <w:lang w:val="it-IT"/>
        </w:rPr>
        <w:t>Come conservare RoActemra</w:t>
      </w:r>
    </w:p>
    <w:p>
      <w:pPr>
        <w:tabs>
          <w:tab w:val="left" w:pos="180"/>
        </w:tabs>
        <w:rPr>
          <w:noProof/>
          <w:lang w:val="it-IT"/>
        </w:rPr>
      </w:pPr>
    </w:p>
    <w:p>
      <w:pPr>
        <w:tabs>
          <w:tab w:val="left" w:pos="180"/>
        </w:tabs>
        <w:rPr>
          <w:noProof/>
          <w:lang w:val="it-IT"/>
        </w:rPr>
      </w:pPr>
      <w:del w:id="11653" w:author="Author">
        <w:r>
          <w:rPr>
            <w:noProof/>
            <w:lang w:val="it-IT"/>
          </w:rPr>
          <w:delText xml:space="preserve">Tenere </w:delText>
        </w:r>
      </w:del>
      <w:ins w:id="11654" w:author="Author">
        <w:r>
          <w:rPr>
            <w:noProof/>
            <w:lang w:val="it-IT"/>
          </w:rPr>
          <w:t xml:space="preserve">Conservi </w:t>
        </w:r>
      </w:ins>
      <w:r>
        <w:rPr>
          <w:noProof/>
          <w:lang w:val="it-IT"/>
        </w:rPr>
        <w:t>questo medicinale fuori dalla vista e dalla portata dei bambini.</w:t>
      </w:r>
    </w:p>
    <w:p>
      <w:pPr>
        <w:tabs>
          <w:tab w:val="left" w:pos="180"/>
        </w:tabs>
        <w:rPr>
          <w:noProof/>
          <w:lang w:val="it-IT"/>
        </w:rPr>
      </w:pPr>
    </w:p>
    <w:p>
      <w:pPr>
        <w:tabs>
          <w:tab w:val="left" w:pos="180"/>
        </w:tabs>
        <w:rPr>
          <w:noProof/>
          <w:lang w:val="it-IT"/>
        </w:rPr>
      </w:pPr>
      <w:r>
        <w:rPr>
          <w:noProof/>
          <w:lang w:val="it-IT"/>
        </w:rPr>
        <w:t>Non usi questo medicinale dopo la data di scadenza che è riportata sull</w:t>
      </w:r>
      <w:ins w:id="11655" w:author="Author">
        <w:r>
          <w:rPr>
            <w:noProof/>
            <w:lang w:val="it-IT"/>
          </w:rPr>
          <w:t>a confezione</w:t>
        </w:r>
      </w:ins>
      <w:del w:id="11656" w:author="Author">
        <w:r>
          <w:rPr>
            <w:noProof/>
            <w:lang w:val="it-IT"/>
          </w:rPr>
          <w:delText>’astuccio</w:delText>
        </w:r>
      </w:del>
      <w:r>
        <w:rPr>
          <w:noProof/>
          <w:lang w:val="it-IT"/>
        </w:rPr>
        <w:t xml:space="preserve"> e sull'etichetta della siringa preriempita (Scad./EXP). La data di scadenza si riferisce all’ultimo giorno del mese.</w:t>
      </w:r>
    </w:p>
    <w:p>
      <w:pPr>
        <w:tabs>
          <w:tab w:val="left" w:pos="180"/>
        </w:tabs>
        <w:rPr>
          <w:noProof/>
          <w:lang w:val="it-IT"/>
        </w:rPr>
      </w:pPr>
    </w:p>
    <w:p>
      <w:pPr>
        <w:tabs>
          <w:tab w:val="left" w:pos="180"/>
        </w:tabs>
        <w:rPr>
          <w:noProof/>
          <w:szCs w:val="22"/>
          <w:lang w:val="it-IT"/>
        </w:rPr>
      </w:pPr>
      <w:r>
        <w:rPr>
          <w:noProof/>
          <w:lang w:val="it-IT"/>
        </w:rPr>
        <w:t xml:space="preserve">Conservare in frigorifero (2 °C – 8 °C). Non congelare. </w:t>
      </w:r>
      <w:r>
        <w:rPr>
          <w:noProof/>
          <w:szCs w:val="22"/>
          <w:lang w:val="it-IT"/>
        </w:rPr>
        <w:t>Una volta tolta dal frigorifero, la siringa preriempita può essere conservata per un massimo di 2 settimane a temperatura pari o inferiore a 30°C.</w:t>
      </w:r>
    </w:p>
    <w:p>
      <w:pPr>
        <w:tabs>
          <w:tab w:val="left" w:pos="180"/>
        </w:tabs>
        <w:rPr>
          <w:noProof/>
          <w:lang w:val="it-IT"/>
        </w:rPr>
      </w:pPr>
    </w:p>
    <w:p>
      <w:pPr>
        <w:tabs>
          <w:tab w:val="left" w:pos="180"/>
        </w:tabs>
        <w:rPr>
          <w:noProof/>
          <w:lang w:val="it-IT"/>
        </w:rPr>
      </w:pPr>
      <w:r>
        <w:rPr>
          <w:noProof/>
          <w:lang w:val="it-IT"/>
        </w:rPr>
        <w:t>Tenere le siringhe preriempite nell’imballaggio esterno per proteggerle dalla luce e dall’umidità.</w:t>
      </w:r>
    </w:p>
    <w:p>
      <w:pPr>
        <w:tabs>
          <w:tab w:val="left" w:pos="180"/>
        </w:tabs>
        <w:rPr>
          <w:noProof/>
          <w:lang w:val="it-IT"/>
        </w:rPr>
      </w:pPr>
    </w:p>
    <w:p>
      <w:pPr>
        <w:tabs>
          <w:tab w:val="left" w:pos="180"/>
        </w:tabs>
        <w:spacing w:line="280" w:lineRule="atLeast"/>
        <w:rPr>
          <w:noProof/>
          <w:szCs w:val="22"/>
          <w:lang w:val="it-IT"/>
        </w:rPr>
      </w:pPr>
      <w:r>
        <w:rPr>
          <w:noProof/>
          <w:szCs w:val="22"/>
          <w:lang w:val="it-IT"/>
        </w:rPr>
        <w:t>Il medicinale non deve essere usato se la soluzione è torbida o contiene particelle, se non è trasparente o presenta un colore diverso dal giallastro, o se qualsiasi parte della siringa preriempita appare danneggiata.</w:t>
      </w:r>
    </w:p>
    <w:p>
      <w:pPr>
        <w:tabs>
          <w:tab w:val="left" w:pos="180"/>
        </w:tabs>
        <w:rPr>
          <w:noProof/>
          <w:lang w:val="it-IT"/>
        </w:rPr>
      </w:pPr>
    </w:p>
    <w:p>
      <w:pPr>
        <w:tabs>
          <w:tab w:val="left" w:pos="180"/>
        </w:tabs>
        <w:rPr>
          <w:noProof/>
          <w:lang w:val="it-IT"/>
        </w:rPr>
      </w:pPr>
      <w:r>
        <w:rPr>
          <w:noProof/>
          <w:lang w:val="it-IT"/>
        </w:rPr>
        <w:t xml:space="preserve">La siringa non deve essere agitata. Dopo aver rimosso il cappuccio, l'iniezione deve essere avviata entro 5 minuti per evitare che il medicinale si </w:t>
      </w:r>
      <w:r>
        <w:rPr>
          <w:noProof/>
          <w:szCs w:val="22"/>
          <w:lang w:val="it-IT"/>
        </w:rPr>
        <w:t>secchi</w:t>
      </w:r>
      <w:r>
        <w:rPr>
          <w:noProof/>
          <w:lang w:val="it-IT"/>
        </w:rPr>
        <w:t xml:space="preserve"> e blocchi l'ago. Se la siringa preriempita non viene utilizzata entro 5 minuti dalla rimozione del cappuccio, è necessario smaltirla in un contenitore resistente alla perforazione e utilizzare una nuova siringa preriempita. </w:t>
      </w:r>
      <w:r>
        <w:rPr>
          <w:noProof/>
          <w:lang w:val="it-IT"/>
        </w:rPr>
        <w:br/>
      </w:r>
      <w:r>
        <w:rPr>
          <w:noProof/>
          <w:lang w:val="it-IT"/>
        </w:rPr>
        <w:br/>
        <w:t xml:space="preserve">Se dopo l'inserimento dell'ago </w:t>
      </w:r>
      <w:r>
        <w:rPr>
          <w:noProof/>
          <w:szCs w:val="22"/>
          <w:lang w:val="it-IT"/>
        </w:rPr>
        <w:t>non è possibile spingere lo stantuffo</w:t>
      </w:r>
      <w:r>
        <w:rPr>
          <w:noProof/>
          <w:lang w:val="it-IT"/>
        </w:rPr>
        <w:t>, è necessario gettare la siringa preriempita in un contenitore resistente alla perforazione e utilizzare una nuova siringa preriempita.</w:t>
      </w:r>
    </w:p>
    <w:p>
      <w:pPr>
        <w:tabs>
          <w:tab w:val="left" w:pos="180"/>
        </w:tabs>
        <w:rPr>
          <w:noProof/>
          <w:lang w:val="it-IT"/>
        </w:rPr>
      </w:pPr>
    </w:p>
    <w:p>
      <w:pPr>
        <w:tabs>
          <w:tab w:val="left" w:pos="180"/>
        </w:tabs>
        <w:rPr>
          <w:noProof/>
          <w:lang w:val="it-IT"/>
        </w:rPr>
      </w:pPr>
    </w:p>
    <w:p>
      <w:pPr>
        <w:keepNext/>
        <w:keepLines/>
        <w:tabs>
          <w:tab w:val="left" w:pos="180"/>
        </w:tabs>
        <w:ind w:left="567" w:hanging="567"/>
        <w:rPr>
          <w:b/>
          <w:noProof/>
          <w:szCs w:val="22"/>
          <w:lang w:val="it-IT"/>
        </w:rPr>
      </w:pPr>
      <w:r>
        <w:rPr>
          <w:b/>
          <w:noProof/>
          <w:szCs w:val="22"/>
          <w:lang w:val="it-IT"/>
        </w:rPr>
        <w:t>6.</w:t>
      </w:r>
      <w:r>
        <w:rPr>
          <w:noProof/>
          <w:szCs w:val="22"/>
          <w:lang w:val="it-IT"/>
        </w:rPr>
        <w:tab/>
      </w:r>
      <w:r>
        <w:rPr>
          <w:noProof/>
          <w:szCs w:val="22"/>
          <w:lang w:val="it-IT"/>
        </w:rPr>
        <w:tab/>
      </w:r>
      <w:r>
        <w:rPr>
          <w:b/>
          <w:noProof/>
          <w:szCs w:val="22"/>
          <w:lang w:val="it-IT"/>
        </w:rPr>
        <w:t>Contenuto della confezione e altre informazioni</w:t>
      </w:r>
    </w:p>
    <w:p>
      <w:pPr>
        <w:keepNext/>
        <w:keepLines/>
        <w:tabs>
          <w:tab w:val="left" w:pos="180"/>
        </w:tabs>
        <w:rPr>
          <w:b/>
          <w:bCs/>
          <w:noProof/>
          <w:lang w:val="it-IT"/>
        </w:rPr>
      </w:pPr>
    </w:p>
    <w:p>
      <w:pPr>
        <w:tabs>
          <w:tab w:val="left" w:pos="180"/>
        </w:tabs>
        <w:rPr>
          <w:b/>
          <w:noProof/>
          <w:lang w:val="it-IT"/>
        </w:rPr>
      </w:pPr>
      <w:r>
        <w:rPr>
          <w:b/>
          <w:bCs/>
          <w:noProof/>
          <w:lang w:val="it-IT"/>
        </w:rPr>
        <w:t>Cosa contiene RoActemra</w:t>
      </w:r>
    </w:p>
    <w:p>
      <w:pPr>
        <w:ind w:left="567" w:hanging="567"/>
        <w:rPr>
          <w:noProof/>
          <w:lang w:val="it-IT"/>
        </w:rPr>
      </w:pPr>
      <w:r>
        <w:rPr>
          <w:noProof/>
          <w:lang w:val="it-IT"/>
        </w:rPr>
        <w:sym w:font="Symbol" w:char="00B7"/>
      </w:r>
      <w:r>
        <w:rPr>
          <w:noProof/>
          <w:lang w:val="it-IT"/>
        </w:rPr>
        <w:t xml:space="preserve"> </w:t>
      </w:r>
      <w:r>
        <w:rPr>
          <w:noProof/>
          <w:lang w:val="it-IT"/>
        </w:rPr>
        <w:tab/>
        <w:t xml:space="preserve">Il principio attivo è tocilizumab. </w:t>
      </w:r>
    </w:p>
    <w:p>
      <w:pPr>
        <w:tabs>
          <w:tab w:val="left" w:pos="567"/>
        </w:tabs>
        <w:ind w:left="567" w:hanging="567"/>
        <w:rPr>
          <w:noProof/>
          <w:lang w:val="it-IT"/>
        </w:rPr>
        <w:pPrChange w:id="11657" w:author="Author">
          <w:pPr>
            <w:tabs>
              <w:tab w:val="left" w:pos="180"/>
            </w:tabs>
            <w:ind w:left="567" w:hanging="567"/>
          </w:pPr>
        </w:pPrChange>
      </w:pPr>
      <w:r>
        <w:rPr>
          <w:noProof/>
          <w:lang w:val="it-IT"/>
        </w:rPr>
        <w:tab/>
        <w:t>Ciascuna siringa preriempita da 0,9 mL contiene 162 mg di tocilizumab.</w:t>
      </w:r>
    </w:p>
    <w:p>
      <w:pPr>
        <w:tabs>
          <w:tab w:val="left" w:pos="180"/>
        </w:tabs>
        <w:ind w:left="567" w:hanging="567"/>
        <w:rPr>
          <w:noProof/>
          <w:lang w:val="it-IT"/>
        </w:rPr>
      </w:pPr>
    </w:p>
    <w:p>
      <w:pPr>
        <w:ind w:left="567" w:hanging="567"/>
        <w:outlineLvl w:val="0"/>
        <w:rPr>
          <w:bCs/>
          <w:noProof/>
          <w:szCs w:val="22"/>
          <w:lang w:val="it-IT"/>
        </w:rPr>
        <w:pPrChange w:id="11658" w:author="Author">
          <w:pPr>
            <w:tabs>
              <w:tab w:val="left" w:pos="180"/>
            </w:tabs>
            <w:ind w:left="567" w:hanging="567"/>
            <w:outlineLvl w:val="0"/>
          </w:pPr>
        </w:pPrChange>
      </w:pPr>
      <w:r>
        <w:rPr>
          <w:noProof/>
          <w:szCs w:val="22"/>
          <w:lang w:val="it-IT"/>
        </w:rPr>
        <w:sym w:font="Symbol" w:char="00B7"/>
      </w:r>
      <w:r>
        <w:rPr>
          <w:noProof/>
          <w:szCs w:val="22"/>
          <w:lang w:val="it-IT"/>
        </w:rPr>
        <w:t xml:space="preserve"> </w:t>
      </w:r>
      <w:r>
        <w:rPr>
          <w:noProof/>
          <w:szCs w:val="22"/>
          <w:lang w:val="it-IT"/>
        </w:rPr>
        <w:tab/>
        <w:t xml:space="preserve">Gli altri eccipienti sono </w:t>
      </w:r>
      <w:r>
        <w:rPr>
          <w:bCs/>
          <w:noProof/>
          <w:szCs w:val="22"/>
          <w:lang w:val="it-IT"/>
        </w:rPr>
        <w:t>L-istidina, L-istidina monocloridrato monoidrato, L-arginina/L-arginina cloridrato, L-metionina, polisorbato 80 e acqua per preparazioni iniettabili</w:t>
      </w:r>
      <w:r>
        <w:rPr>
          <w:noProof/>
          <w:color w:val="1F1F1F"/>
          <w:szCs w:val="22"/>
          <w:lang w:val="it-IT" w:eastAsia="it-IT"/>
          <w:rPrChange w:id="11659" w:author="Author">
            <w:rPr>
              <w:rFonts w:ascii="inherit" w:hAnsi="inherit" w:cs="Courier New"/>
              <w:color w:val="1F1F1F"/>
              <w:sz w:val="42"/>
              <w:szCs w:val="42"/>
              <w:lang w:val="it-IT" w:eastAsia="it-IT"/>
            </w:rPr>
          </w:rPrChange>
        </w:rPr>
        <w:t xml:space="preserve"> </w:t>
      </w:r>
      <w:r>
        <w:rPr>
          <w:bCs/>
          <w:noProof/>
          <w:szCs w:val="22"/>
          <w:lang w:val="it-IT"/>
        </w:rPr>
        <w:t>(vedere paragrafo 2 “RoActemra contiene polisorbato</w:t>
      </w:r>
      <w:ins w:id="11660" w:author="Author">
        <w:r>
          <w:rPr>
            <w:bCs/>
            <w:noProof/>
            <w:szCs w:val="22"/>
            <w:lang w:val="it-IT"/>
          </w:rPr>
          <w:t> 80 (E 433)</w:t>
        </w:r>
      </w:ins>
      <w:r>
        <w:rPr>
          <w:bCs/>
          <w:noProof/>
          <w:szCs w:val="22"/>
          <w:lang w:val="it-IT"/>
        </w:rPr>
        <w:t>”).</w:t>
      </w:r>
    </w:p>
    <w:p>
      <w:pPr>
        <w:tabs>
          <w:tab w:val="left" w:pos="180"/>
        </w:tabs>
        <w:rPr>
          <w:b/>
          <w:bCs/>
          <w:noProof/>
          <w:lang w:val="it-IT"/>
        </w:rPr>
      </w:pPr>
    </w:p>
    <w:p>
      <w:pPr>
        <w:keepNext/>
        <w:keepLines/>
        <w:tabs>
          <w:tab w:val="left" w:pos="180"/>
        </w:tabs>
        <w:rPr>
          <w:b/>
          <w:bCs/>
          <w:noProof/>
          <w:lang w:val="it-IT"/>
        </w:rPr>
      </w:pPr>
      <w:r>
        <w:rPr>
          <w:b/>
          <w:bCs/>
          <w:noProof/>
          <w:lang w:val="it-IT"/>
        </w:rPr>
        <w:t>Descrizione dell’aspetto di RoActemra e contenuto della confezione</w:t>
      </w:r>
    </w:p>
    <w:p>
      <w:pPr>
        <w:keepNext/>
        <w:keepLines/>
        <w:tabs>
          <w:tab w:val="left" w:pos="180"/>
        </w:tabs>
        <w:rPr>
          <w:del w:id="11661" w:author="Author"/>
          <w:noProof/>
          <w:szCs w:val="22"/>
          <w:lang w:val="it-IT"/>
        </w:rPr>
      </w:pPr>
      <w:r>
        <w:rPr>
          <w:noProof/>
          <w:lang w:val="it-IT"/>
        </w:rPr>
        <w:t>RoActemra è una soluzione iniettabile. La soluzione è da trasparente a leggermente giallastra.</w:t>
      </w:r>
    </w:p>
    <w:p>
      <w:pPr>
        <w:keepNext/>
        <w:keepLines/>
        <w:tabs>
          <w:tab w:val="left" w:pos="180"/>
        </w:tabs>
        <w:rPr>
          <w:noProof/>
          <w:lang w:val="it-IT"/>
        </w:rPr>
      </w:pPr>
    </w:p>
    <w:p>
      <w:pPr>
        <w:tabs>
          <w:tab w:val="left" w:pos="180"/>
        </w:tabs>
        <w:rPr>
          <w:del w:id="11662" w:author="Author"/>
          <w:noProof/>
          <w:lang w:val="it-IT"/>
        </w:rPr>
      </w:pPr>
      <w:r>
        <w:rPr>
          <w:noProof/>
          <w:lang w:val="it-IT"/>
        </w:rPr>
        <w:t>RoActemra è fornito in siringa preriempita da 0,9 mL contenente 162 mg di tocilizumab soluzione iniettabile.</w:t>
      </w:r>
      <w:ins w:id="11663" w:author="Author">
        <w:r>
          <w:rPr>
            <w:noProof/>
            <w:lang w:val="it-IT"/>
          </w:rPr>
          <w:t xml:space="preserve"> </w:t>
        </w:r>
      </w:ins>
    </w:p>
    <w:p>
      <w:pPr>
        <w:tabs>
          <w:tab w:val="left" w:pos="180"/>
        </w:tabs>
        <w:rPr>
          <w:del w:id="11664" w:author="Author"/>
          <w:iCs/>
          <w:noProof/>
          <w:lang w:val="it-IT"/>
        </w:rPr>
      </w:pPr>
    </w:p>
    <w:p>
      <w:pPr>
        <w:keepNext/>
        <w:keepLines/>
        <w:tabs>
          <w:tab w:val="left" w:pos="180"/>
        </w:tabs>
        <w:rPr>
          <w:noProof/>
          <w:lang w:val="it-IT"/>
        </w:rPr>
      </w:pPr>
      <w:r>
        <w:rPr>
          <w:iCs/>
          <w:noProof/>
          <w:szCs w:val="22"/>
          <w:lang w:val="it-IT"/>
        </w:rPr>
        <w:t xml:space="preserve">Ogni confezione contiene 4 siringhe preriempite </w:t>
      </w:r>
      <w:r>
        <w:rPr>
          <w:noProof/>
          <w:lang w:val="it-IT"/>
        </w:rPr>
        <w:t>con confezioni multiple che contengono 12 (3 confezioni da 4) siringhe preriempite. È probabile che non tutte le confezioni siano commercializzate.</w:t>
      </w:r>
    </w:p>
    <w:p>
      <w:pPr>
        <w:tabs>
          <w:tab w:val="left" w:pos="180"/>
        </w:tabs>
        <w:rPr>
          <w:noProof/>
          <w:u w:val="single"/>
          <w:lang w:val="it-IT"/>
        </w:rPr>
      </w:pPr>
    </w:p>
    <w:p>
      <w:pPr>
        <w:keepNext/>
        <w:keepLines/>
        <w:tabs>
          <w:tab w:val="left" w:pos="180"/>
        </w:tabs>
        <w:rPr>
          <w:b/>
          <w:bCs/>
          <w:noProof/>
          <w:lang w:val="it-IT"/>
        </w:rPr>
      </w:pPr>
      <w:r>
        <w:rPr>
          <w:b/>
          <w:bCs/>
          <w:noProof/>
          <w:lang w:val="it-IT"/>
        </w:rPr>
        <w:t>Titolare dell'autorizzazione all'immissione in commercio</w:t>
      </w:r>
    </w:p>
    <w:p>
      <w:pPr>
        <w:keepNext/>
        <w:keepLines/>
        <w:rPr>
          <w:noProof/>
          <w:lang w:val="de-DE"/>
          <w:rPrChange w:id="11665" w:author="Author">
            <w:rPr>
              <w:lang w:val="it-IT"/>
            </w:rPr>
          </w:rPrChange>
        </w:rPr>
      </w:pPr>
      <w:r>
        <w:rPr>
          <w:noProof/>
          <w:lang w:val="de-DE"/>
          <w:rPrChange w:id="11666" w:author="Author">
            <w:rPr>
              <w:lang w:val="it-IT"/>
            </w:rPr>
          </w:rPrChange>
        </w:rPr>
        <w:t xml:space="preserve">Roche Registration GmbH </w:t>
      </w:r>
    </w:p>
    <w:p>
      <w:pPr>
        <w:keepNext/>
        <w:keepLines/>
        <w:rPr>
          <w:noProof/>
          <w:lang w:val="de-DE"/>
          <w:rPrChange w:id="11667" w:author="Author">
            <w:rPr>
              <w:lang w:val="it-IT"/>
            </w:rPr>
          </w:rPrChange>
        </w:rPr>
      </w:pPr>
      <w:r>
        <w:rPr>
          <w:noProof/>
          <w:lang w:val="de-DE"/>
          <w:rPrChange w:id="11668" w:author="Author">
            <w:rPr>
              <w:lang w:val="it-IT"/>
            </w:rPr>
          </w:rPrChange>
        </w:rPr>
        <w:t>Emil-Barell-Strasse 1</w:t>
      </w:r>
    </w:p>
    <w:p>
      <w:pPr>
        <w:keepNext/>
        <w:keepLines/>
        <w:rPr>
          <w:noProof/>
          <w:lang w:val="de-DE"/>
          <w:rPrChange w:id="11669" w:author="Author">
            <w:rPr>
              <w:lang w:val="it-IT"/>
            </w:rPr>
          </w:rPrChange>
        </w:rPr>
      </w:pPr>
      <w:r>
        <w:rPr>
          <w:noProof/>
          <w:lang w:val="de-DE"/>
          <w:rPrChange w:id="11670" w:author="Author">
            <w:rPr>
              <w:lang w:val="it-IT"/>
            </w:rPr>
          </w:rPrChange>
        </w:rPr>
        <w:t>79639 Grenzach-Wyhlen</w:t>
      </w:r>
    </w:p>
    <w:p>
      <w:pPr>
        <w:rPr>
          <w:noProof/>
          <w:lang w:val="it-IT"/>
        </w:rPr>
      </w:pPr>
      <w:r>
        <w:rPr>
          <w:noProof/>
          <w:lang w:val="it-IT"/>
        </w:rPr>
        <w:t>Germania</w:t>
      </w:r>
    </w:p>
    <w:p>
      <w:pPr>
        <w:tabs>
          <w:tab w:val="left" w:pos="180"/>
        </w:tabs>
        <w:rPr>
          <w:b/>
          <w:bCs/>
          <w:noProof/>
          <w:lang w:val="it-IT"/>
        </w:rPr>
      </w:pPr>
    </w:p>
    <w:p>
      <w:pPr>
        <w:tabs>
          <w:tab w:val="left" w:pos="180"/>
        </w:tabs>
        <w:rPr>
          <w:b/>
          <w:bCs/>
          <w:noProof/>
          <w:lang w:val="it-IT"/>
        </w:rPr>
      </w:pPr>
      <w:r>
        <w:rPr>
          <w:b/>
          <w:bCs/>
          <w:noProof/>
          <w:lang w:val="it-IT"/>
        </w:rPr>
        <w:t>Produttore</w:t>
      </w:r>
    </w:p>
    <w:p>
      <w:pPr>
        <w:tabs>
          <w:tab w:val="left" w:pos="180"/>
        </w:tabs>
        <w:rPr>
          <w:noProof/>
          <w:lang w:val="it-IT"/>
          <w:rPrChange w:id="11671" w:author="Author">
            <w:rPr/>
          </w:rPrChange>
        </w:rPr>
      </w:pPr>
      <w:r>
        <w:rPr>
          <w:noProof/>
          <w:lang w:val="it-IT"/>
          <w:rPrChange w:id="11672" w:author="Author">
            <w:rPr/>
          </w:rPrChange>
        </w:rPr>
        <w:t>Roche Pharma AG</w:t>
      </w:r>
    </w:p>
    <w:p>
      <w:pPr>
        <w:tabs>
          <w:tab w:val="left" w:pos="180"/>
        </w:tabs>
        <w:rPr>
          <w:noProof/>
          <w:lang w:val="it-IT"/>
          <w:rPrChange w:id="11673" w:author="Author">
            <w:rPr/>
          </w:rPrChange>
        </w:rPr>
      </w:pPr>
      <w:r>
        <w:rPr>
          <w:noProof/>
          <w:lang w:val="it-IT"/>
          <w:rPrChange w:id="11674" w:author="Author">
            <w:rPr/>
          </w:rPrChange>
        </w:rPr>
        <w:t>Emil-Barell-Str. 1</w:t>
      </w:r>
    </w:p>
    <w:p>
      <w:pPr>
        <w:tabs>
          <w:tab w:val="left" w:pos="180"/>
        </w:tabs>
        <w:rPr>
          <w:noProof/>
          <w:lang w:val="it-IT"/>
          <w:rPrChange w:id="11675" w:author="Author">
            <w:rPr/>
          </w:rPrChange>
        </w:rPr>
      </w:pPr>
      <w:r>
        <w:rPr>
          <w:noProof/>
          <w:lang w:val="it-IT"/>
          <w:rPrChange w:id="11676" w:author="Author">
            <w:rPr/>
          </w:rPrChange>
        </w:rPr>
        <w:t>79639 Grenzach-Wyhlen</w:t>
      </w:r>
    </w:p>
    <w:p>
      <w:pPr>
        <w:tabs>
          <w:tab w:val="left" w:pos="180"/>
        </w:tabs>
        <w:rPr>
          <w:noProof/>
          <w:lang w:val="it-IT"/>
        </w:rPr>
      </w:pPr>
      <w:r>
        <w:rPr>
          <w:noProof/>
          <w:lang w:val="it-IT"/>
        </w:rPr>
        <w:t>Germania</w:t>
      </w:r>
    </w:p>
    <w:p>
      <w:pPr>
        <w:tabs>
          <w:tab w:val="left" w:pos="180"/>
        </w:tabs>
        <w:rPr>
          <w:noProof/>
          <w:lang w:val="it-IT"/>
        </w:rPr>
      </w:pPr>
    </w:p>
    <w:p>
      <w:pPr>
        <w:keepNext/>
        <w:keepLines/>
        <w:tabs>
          <w:tab w:val="left" w:pos="180"/>
        </w:tabs>
        <w:rPr>
          <w:noProof/>
          <w:lang w:val="it-IT"/>
        </w:rPr>
      </w:pPr>
      <w:r>
        <w:rPr>
          <w:noProof/>
          <w:lang w:val="it-IT"/>
        </w:rPr>
        <w:t>Per ulteriori informazioni su questo medicinale, contatti il rappresentante locale del titolare dell’autorizzazione all'immissione in commercio:</w:t>
      </w:r>
    </w:p>
    <w:p>
      <w:pPr>
        <w:keepNext/>
        <w:keepLines/>
        <w:tabs>
          <w:tab w:val="left" w:pos="180"/>
        </w:tabs>
        <w:rPr>
          <w:noProof/>
          <w:lang w:val="it-IT"/>
        </w:rPr>
      </w:pPr>
    </w:p>
    <w:tbl>
      <w:tblPr>
        <w:tblW w:w="9180" w:type="dxa"/>
        <w:tblLayout w:type="fixed"/>
        <w:tblCellMar>
          <w:top w:w="28" w:type="dxa"/>
          <w:bottom w:w="28" w:type="dxa"/>
        </w:tblCellMar>
        <w:tblLook w:val="0000" w:firstRow="0" w:lastRow="0" w:firstColumn="0" w:lastColumn="0" w:noHBand="0" w:noVBand="0"/>
        <w:tblPrChange w:id="11677" w:author="Author">
          <w:tblPr>
            <w:tblW w:w="0" w:type="auto"/>
            <w:tblLayout w:type="fixed"/>
            <w:tblLook w:val="0000" w:firstRow="0" w:lastRow="0" w:firstColumn="0" w:lastColumn="0" w:noHBand="0" w:noVBand="0"/>
          </w:tblPr>
        </w:tblPrChange>
      </w:tblPr>
      <w:tblGrid>
        <w:gridCol w:w="4590"/>
        <w:gridCol w:w="4590"/>
        <w:tblGridChange w:id="11678">
          <w:tblGrid>
            <w:gridCol w:w="4590"/>
            <w:gridCol w:w="4590"/>
          </w:tblGrid>
        </w:tblGridChange>
      </w:tblGrid>
      <w:tr>
        <w:trPr>
          <w:cantSplit/>
          <w:del w:id="11679" w:author="Author"/>
          <w:trPrChange w:id="11680" w:author="Author">
            <w:trPr>
              <w:cantSplit/>
            </w:trPr>
          </w:trPrChange>
        </w:trPr>
        <w:tc>
          <w:tcPr>
            <w:tcW w:w="4590" w:type="dxa"/>
            <w:tcPrChange w:id="11681" w:author="Author">
              <w:tcPr>
                <w:tcW w:w="4590" w:type="dxa"/>
              </w:tcPr>
            </w:tcPrChange>
          </w:tcPr>
          <w:p>
            <w:pPr>
              <w:tabs>
                <w:tab w:val="left" w:pos="180"/>
              </w:tabs>
              <w:suppressAutoHyphens/>
              <w:rPr>
                <w:del w:id="11682" w:author="Author"/>
                <w:noProof/>
                <w:szCs w:val="22"/>
                <w:lang w:val="it-IT"/>
                <w:rPrChange w:id="11683" w:author="Author">
                  <w:rPr>
                    <w:del w:id="11684" w:author="Author"/>
                    <w:lang w:val="fr-FR"/>
                  </w:rPr>
                </w:rPrChange>
              </w:rPr>
              <w:pPrChange w:id="11685" w:author="Author">
                <w:pPr>
                  <w:keepNext/>
                  <w:keepLines/>
                  <w:tabs>
                    <w:tab w:val="left" w:pos="180"/>
                  </w:tabs>
                </w:pPr>
              </w:pPrChange>
            </w:pPr>
            <w:del w:id="11686" w:author="Author">
              <w:r>
                <w:rPr>
                  <w:b/>
                  <w:noProof/>
                  <w:szCs w:val="22"/>
                  <w:lang w:val="it-IT"/>
                  <w:rPrChange w:id="11687" w:author="Author">
                    <w:rPr>
                      <w:b/>
                      <w:lang w:val="fr-FR"/>
                    </w:rPr>
                  </w:rPrChange>
                </w:rPr>
                <w:delText>België/Belgique/Belgien</w:delText>
              </w:r>
            </w:del>
          </w:p>
          <w:p>
            <w:pPr>
              <w:tabs>
                <w:tab w:val="left" w:pos="180"/>
              </w:tabs>
              <w:suppressAutoHyphens/>
              <w:rPr>
                <w:del w:id="11688" w:author="Author"/>
                <w:noProof/>
                <w:szCs w:val="22"/>
                <w:lang w:val="it-IT"/>
                <w:rPrChange w:id="11689" w:author="Author">
                  <w:rPr>
                    <w:del w:id="11690" w:author="Author"/>
                    <w:lang w:val="fr-FR"/>
                  </w:rPr>
                </w:rPrChange>
              </w:rPr>
              <w:pPrChange w:id="11691" w:author="Author">
                <w:pPr>
                  <w:keepNext/>
                  <w:keepLines/>
                  <w:tabs>
                    <w:tab w:val="left" w:pos="180"/>
                  </w:tabs>
                </w:pPr>
              </w:pPrChange>
            </w:pPr>
            <w:del w:id="11692" w:author="Author">
              <w:r>
                <w:rPr>
                  <w:noProof/>
                  <w:szCs w:val="22"/>
                  <w:lang w:val="it-IT"/>
                  <w:rPrChange w:id="11693" w:author="Author">
                    <w:rPr>
                      <w:lang w:val="fr-FR"/>
                    </w:rPr>
                  </w:rPrChange>
                </w:rPr>
                <w:delText>N.V. Roche S.A.</w:delText>
              </w:r>
            </w:del>
          </w:p>
          <w:p>
            <w:pPr>
              <w:tabs>
                <w:tab w:val="left" w:pos="180"/>
              </w:tabs>
              <w:suppressAutoHyphens/>
              <w:rPr>
                <w:del w:id="11694" w:author="Author"/>
                <w:noProof/>
                <w:szCs w:val="22"/>
                <w:lang w:val="it-IT"/>
                <w:rPrChange w:id="11695" w:author="Author">
                  <w:rPr>
                    <w:del w:id="11696" w:author="Author"/>
                    <w:lang w:val="it-IT"/>
                  </w:rPr>
                </w:rPrChange>
              </w:rPr>
              <w:pPrChange w:id="11697" w:author="Author">
                <w:pPr>
                  <w:keepNext/>
                  <w:keepLines/>
                  <w:tabs>
                    <w:tab w:val="left" w:pos="180"/>
                  </w:tabs>
                </w:pPr>
              </w:pPrChange>
            </w:pPr>
            <w:del w:id="11698" w:author="Author">
              <w:r>
                <w:rPr>
                  <w:noProof/>
                  <w:szCs w:val="22"/>
                  <w:lang w:val="it-IT"/>
                </w:rPr>
                <w:delText>Tél/Tel: +32 (0) 2 525 82 11</w:delText>
              </w:r>
            </w:del>
          </w:p>
          <w:p>
            <w:pPr>
              <w:tabs>
                <w:tab w:val="left" w:pos="180"/>
              </w:tabs>
              <w:suppressAutoHyphens/>
              <w:rPr>
                <w:del w:id="11699" w:author="Author"/>
                <w:b/>
                <w:noProof/>
                <w:szCs w:val="22"/>
                <w:lang w:val="it-IT"/>
                <w:rPrChange w:id="11700" w:author="Author">
                  <w:rPr>
                    <w:del w:id="11701" w:author="Author"/>
                    <w:b/>
                    <w:lang w:val="it-IT"/>
                  </w:rPr>
                </w:rPrChange>
              </w:rPr>
              <w:pPrChange w:id="11702" w:author="Author">
                <w:pPr>
                  <w:keepNext/>
                  <w:keepLines/>
                  <w:tabs>
                    <w:tab w:val="left" w:pos="180"/>
                  </w:tabs>
                </w:pPr>
              </w:pPrChange>
            </w:pPr>
          </w:p>
        </w:tc>
        <w:tc>
          <w:tcPr>
            <w:tcW w:w="4590" w:type="dxa"/>
            <w:tcPrChange w:id="11703" w:author="Author">
              <w:tcPr>
                <w:tcW w:w="4590" w:type="dxa"/>
              </w:tcPr>
            </w:tcPrChange>
          </w:tcPr>
          <w:p>
            <w:pPr>
              <w:tabs>
                <w:tab w:val="left" w:pos="180"/>
              </w:tabs>
              <w:suppressAutoHyphens/>
              <w:rPr>
                <w:del w:id="11704" w:author="Author"/>
                <w:noProof/>
                <w:szCs w:val="22"/>
                <w:lang w:val="it-IT"/>
                <w:rPrChange w:id="11705" w:author="Author">
                  <w:rPr>
                    <w:del w:id="11706" w:author="Author"/>
                    <w:lang w:val="fr-FR"/>
                  </w:rPr>
                </w:rPrChange>
              </w:rPr>
              <w:pPrChange w:id="11707" w:author="Author">
                <w:pPr>
                  <w:keepNext/>
                  <w:keepLines/>
                  <w:tabs>
                    <w:tab w:val="left" w:pos="180"/>
                  </w:tabs>
                  <w:suppressAutoHyphens/>
                </w:pPr>
              </w:pPrChange>
            </w:pPr>
            <w:del w:id="11708" w:author="Author">
              <w:r>
                <w:rPr>
                  <w:b/>
                  <w:noProof/>
                  <w:szCs w:val="22"/>
                  <w:lang w:val="it-IT"/>
                  <w:rPrChange w:id="11709" w:author="Author">
                    <w:rPr>
                      <w:b/>
                      <w:lang w:val="fr-FR"/>
                    </w:rPr>
                  </w:rPrChange>
                </w:rPr>
                <w:delText>Luxembourg/Luxemburg</w:delText>
              </w:r>
            </w:del>
          </w:p>
          <w:p>
            <w:pPr>
              <w:tabs>
                <w:tab w:val="left" w:pos="180"/>
              </w:tabs>
              <w:suppressAutoHyphens/>
              <w:rPr>
                <w:del w:id="11710" w:author="Author"/>
                <w:noProof/>
                <w:szCs w:val="22"/>
                <w:lang w:val="it-IT"/>
                <w:rPrChange w:id="11711" w:author="Author">
                  <w:rPr>
                    <w:del w:id="11712" w:author="Author"/>
                    <w:lang w:val="fr-FR"/>
                  </w:rPr>
                </w:rPrChange>
              </w:rPr>
              <w:pPrChange w:id="11713" w:author="Author">
                <w:pPr>
                  <w:keepNext/>
                  <w:keepLines/>
                  <w:tabs>
                    <w:tab w:val="left" w:pos="180"/>
                  </w:tabs>
                </w:pPr>
              </w:pPrChange>
            </w:pPr>
            <w:del w:id="11714" w:author="Author">
              <w:r>
                <w:rPr>
                  <w:noProof/>
                  <w:szCs w:val="22"/>
                  <w:lang w:val="it-IT"/>
                  <w:rPrChange w:id="11715" w:author="Author">
                    <w:rPr>
                      <w:lang w:val="fr-FR"/>
                    </w:rPr>
                  </w:rPrChange>
                </w:rPr>
                <w:delText>(Voir/siehe Belgique/Belgien)</w:delText>
              </w:r>
            </w:del>
          </w:p>
          <w:p>
            <w:pPr>
              <w:tabs>
                <w:tab w:val="left" w:pos="180"/>
              </w:tabs>
              <w:suppressAutoHyphens/>
              <w:rPr>
                <w:del w:id="11716" w:author="Author"/>
                <w:b/>
                <w:noProof/>
                <w:szCs w:val="22"/>
                <w:lang w:val="it-IT"/>
                <w:rPrChange w:id="11717" w:author="Author">
                  <w:rPr>
                    <w:del w:id="11718" w:author="Author"/>
                    <w:b/>
                    <w:lang w:val="fr-FR"/>
                  </w:rPr>
                </w:rPrChange>
              </w:rPr>
              <w:pPrChange w:id="11719" w:author="Author">
                <w:pPr>
                  <w:keepNext/>
                  <w:keepLines/>
                  <w:tabs>
                    <w:tab w:val="left" w:pos="180"/>
                  </w:tabs>
                  <w:suppressAutoHyphens/>
                </w:pPr>
              </w:pPrChange>
            </w:pPr>
          </w:p>
        </w:tc>
      </w:tr>
      <w:tr>
        <w:trPr>
          <w:cantSplit/>
          <w:del w:id="11720" w:author="Author"/>
          <w:trPrChange w:id="11721" w:author="Author">
            <w:trPr>
              <w:cantSplit/>
            </w:trPr>
          </w:trPrChange>
        </w:trPr>
        <w:tc>
          <w:tcPr>
            <w:tcW w:w="4590" w:type="dxa"/>
            <w:tcPrChange w:id="11722" w:author="Author">
              <w:tcPr>
                <w:tcW w:w="4590" w:type="dxa"/>
              </w:tcPr>
            </w:tcPrChange>
          </w:tcPr>
          <w:p>
            <w:pPr>
              <w:tabs>
                <w:tab w:val="left" w:pos="180"/>
              </w:tabs>
              <w:suppressAutoHyphens/>
              <w:autoSpaceDE w:val="0"/>
              <w:autoSpaceDN w:val="0"/>
              <w:adjustRightInd w:val="0"/>
              <w:rPr>
                <w:del w:id="11723" w:author="Author"/>
                <w:b/>
                <w:bCs/>
                <w:noProof/>
                <w:szCs w:val="22"/>
                <w:lang w:val="it-IT"/>
              </w:rPr>
              <w:pPrChange w:id="11724" w:author="Author">
                <w:pPr>
                  <w:tabs>
                    <w:tab w:val="left" w:pos="180"/>
                  </w:tabs>
                  <w:autoSpaceDE w:val="0"/>
                  <w:autoSpaceDN w:val="0"/>
                  <w:adjustRightInd w:val="0"/>
                </w:pPr>
              </w:pPrChange>
            </w:pPr>
            <w:del w:id="11725" w:author="Author">
              <w:r>
                <w:rPr>
                  <w:b/>
                  <w:bCs/>
                  <w:noProof/>
                  <w:szCs w:val="22"/>
                  <w:lang w:val="it-IT"/>
                </w:rPr>
                <w:delText>България</w:delText>
              </w:r>
            </w:del>
          </w:p>
          <w:p>
            <w:pPr>
              <w:tabs>
                <w:tab w:val="left" w:pos="180"/>
              </w:tabs>
              <w:suppressAutoHyphens/>
              <w:rPr>
                <w:del w:id="11726" w:author="Author"/>
                <w:noProof/>
                <w:szCs w:val="22"/>
                <w:lang w:val="it-IT"/>
              </w:rPr>
            </w:pPr>
            <w:del w:id="11727" w:author="Author">
              <w:r>
                <w:rPr>
                  <w:noProof/>
                  <w:szCs w:val="22"/>
                  <w:lang w:val="it-IT"/>
                </w:rPr>
                <w:delText>РошБългарияЕООД</w:delText>
              </w:r>
            </w:del>
          </w:p>
          <w:p>
            <w:pPr>
              <w:tabs>
                <w:tab w:val="left" w:pos="180"/>
              </w:tabs>
              <w:suppressAutoHyphens/>
              <w:rPr>
                <w:del w:id="11728" w:author="Author"/>
                <w:noProof/>
                <w:szCs w:val="22"/>
                <w:lang w:val="it-IT"/>
              </w:rPr>
            </w:pPr>
            <w:del w:id="11729" w:author="Author">
              <w:r>
                <w:rPr>
                  <w:noProof/>
                  <w:szCs w:val="22"/>
                  <w:lang w:val="it-IT"/>
                </w:rPr>
                <w:delText>Тел: +359 2 474 5444</w:delText>
              </w:r>
            </w:del>
          </w:p>
        </w:tc>
        <w:tc>
          <w:tcPr>
            <w:tcW w:w="4590" w:type="dxa"/>
            <w:tcPrChange w:id="11730" w:author="Author">
              <w:tcPr>
                <w:tcW w:w="4590" w:type="dxa"/>
              </w:tcPr>
            </w:tcPrChange>
          </w:tcPr>
          <w:p>
            <w:pPr>
              <w:tabs>
                <w:tab w:val="left" w:pos="180"/>
              </w:tabs>
              <w:suppressAutoHyphens/>
              <w:rPr>
                <w:del w:id="11731" w:author="Author"/>
                <w:b/>
                <w:noProof/>
                <w:szCs w:val="22"/>
                <w:lang w:val="it-IT"/>
                <w:rPrChange w:id="11732" w:author="Author">
                  <w:rPr>
                    <w:del w:id="11733" w:author="Author"/>
                    <w:b/>
                    <w:lang w:val="en-GB"/>
                  </w:rPr>
                </w:rPrChange>
              </w:rPr>
              <w:pPrChange w:id="11734" w:author="Author">
                <w:pPr>
                  <w:tabs>
                    <w:tab w:val="left" w:pos="180"/>
                  </w:tabs>
                </w:pPr>
              </w:pPrChange>
            </w:pPr>
            <w:del w:id="11735" w:author="Author">
              <w:r>
                <w:rPr>
                  <w:b/>
                  <w:noProof/>
                  <w:szCs w:val="22"/>
                  <w:lang w:val="it-IT"/>
                  <w:rPrChange w:id="11736" w:author="Author">
                    <w:rPr>
                      <w:b/>
                      <w:lang w:val="en-GB"/>
                    </w:rPr>
                  </w:rPrChange>
                </w:rPr>
                <w:delText>Magyarország</w:delText>
              </w:r>
            </w:del>
          </w:p>
          <w:p>
            <w:pPr>
              <w:tabs>
                <w:tab w:val="left" w:pos="180"/>
              </w:tabs>
              <w:suppressAutoHyphens/>
              <w:rPr>
                <w:del w:id="11737" w:author="Author"/>
                <w:noProof/>
                <w:szCs w:val="22"/>
                <w:lang w:val="it-IT"/>
                <w:rPrChange w:id="11738" w:author="Author">
                  <w:rPr>
                    <w:del w:id="11739" w:author="Author"/>
                    <w:lang w:val="en-GB"/>
                  </w:rPr>
                </w:rPrChange>
              </w:rPr>
              <w:pPrChange w:id="11740" w:author="Author">
                <w:pPr>
                  <w:tabs>
                    <w:tab w:val="left" w:pos="180"/>
                  </w:tabs>
                </w:pPr>
              </w:pPrChange>
            </w:pPr>
            <w:del w:id="11741" w:author="Author">
              <w:r>
                <w:rPr>
                  <w:noProof/>
                  <w:szCs w:val="22"/>
                  <w:lang w:val="it-IT"/>
                  <w:rPrChange w:id="11742" w:author="Author">
                    <w:rPr>
                      <w:lang w:val="en-GB"/>
                    </w:rPr>
                  </w:rPrChange>
                </w:rPr>
                <w:delText>Roche (Magyarország) Kft.</w:delText>
              </w:r>
            </w:del>
          </w:p>
          <w:p>
            <w:pPr>
              <w:tabs>
                <w:tab w:val="left" w:pos="180"/>
              </w:tabs>
              <w:suppressAutoHyphens/>
              <w:rPr>
                <w:del w:id="11743" w:author="Author"/>
                <w:noProof/>
                <w:szCs w:val="22"/>
                <w:lang w:val="it-IT"/>
                <w:rPrChange w:id="11744" w:author="Author">
                  <w:rPr>
                    <w:del w:id="11745" w:author="Author"/>
                    <w:lang w:val="en-GB"/>
                  </w:rPr>
                </w:rPrChange>
              </w:rPr>
              <w:pPrChange w:id="11746" w:author="Author">
                <w:pPr>
                  <w:tabs>
                    <w:tab w:val="left" w:pos="180"/>
                  </w:tabs>
                </w:pPr>
              </w:pPrChange>
            </w:pPr>
            <w:del w:id="11747" w:author="Author">
              <w:r>
                <w:rPr>
                  <w:noProof/>
                  <w:szCs w:val="22"/>
                  <w:lang w:val="it-IT"/>
                  <w:rPrChange w:id="11748" w:author="Author">
                    <w:rPr>
                      <w:lang w:val="en-GB"/>
                    </w:rPr>
                  </w:rPrChange>
                </w:rPr>
                <w:delText xml:space="preserve">Tel: +36 - </w:delText>
              </w:r>
              <w:r>
                <w:rPr>
                  <w:noProof/>
                  <w:szCs w:val="22"/>
                  <w:lang w:val="it-IT"/>
                  <w:rPrChange w:id="11749" w:author="Author">
                    <w:rPr>
                      <w:szCs w:val="22"/>
                      <w:lang w:val="en-GB"/>
                    </w:rPr>
                  </w:rPrChange>
                </w:rPr>
                <w:delText>1 279 4500</w:delText>
              </w:r>
            </w:del>
          </w:p>
          <w:p>
            <w:pPr>
              <w:tabs>
                <w:tab w:val="left" w:pos="180"/>
              </w:tabs>
              <w:suppressAutoHyphens/>
              <w:rPr>
                <w:del w:id="11750" w:author="Author"/>
                <w:noProof/>
                <w:szCs w:val="22"/>
                <w:lang w:val="it-IT"/>
                <w:rPrChange w:id="11751" w:author="Author">
                  <w:rPr>
                    <w:del w:id="11752" w:author="Author"/>
                    <w:lang w:val="en-GB"/>
                  </w:rPr>
                </w:rPrChange>
              </w:rPr>
              <w:pPrChange w:id="11753" w:author="Author">
                <w:pPr>
                  <w:tabs>
                    <w:tab w:val="left" w:pos="180"/>
                  </w:tabs>
                </w:pPr>
              </w:pPrChange>
            </w:pPr>
          </w:p>
        </w:tc>
      </w:tr>
      <w:tr>
        <w:trPr>
          <w:cantSplit/>
          <w:del w:id="11754" w:author="Author"/>
          <w:trPrChange w:id="11755" w:author="Author">
            <w:trPr>
              <w:cantSplit/>
            </w:trPr>
          </w:trPrChange>
        </w:trPr>
        <w:tc>
          <w:tcPr>
            <w:tcW w:w="4590" w:type="dxa"/>
            <w:tcPrChange w:id="11756" w:author="Author">
              <w:tcPr>
                <w:tcW w:w="4590" w:type="dxa"/>
              </w:tcPr>
            </w:tcPrChange>
          </w:tcPr>
          <w:p>
            <w:pPr>
              <w:tabs>
                <w:tab w:val="left" w:pos="180"/>
              </w:tabs>
              <w:suppressAutoHyphens/>
              <w:rPr>
                <w:del w:id="11757" w:author="Author"/>
                <w:b/>
                <w:noProof/>
                <w:szCs w:val="22"/>
                <w:lang w:val="it-IT"/>
                <w:rPrChange w:id="11758" w:author="Author">
                  <w:rPr>
                    <w:del w:id="11759" w:author="Author"/>
                    <w:b/>
                    <w:lang w:val="it-IT"/>
                  </w:rPr>
                </w:rPrChange>
              </w:rPr>
              <w:pPrChange w:id="11760" w:author="Author">
                <w:pPr>
                  <w:tabs>
                    <w:tab w:val="left" w:pos="180"/>
                  </w:tabs>
                </w:pPr>
              </w:pPrChange>
            </w:pPr>
            <w:del w:id="11761" w:author="Author">
              <w:r>
                <w:rPr>
                  <w:b/>
                  <w:noProof/>
                  <w:szCs w:val="22"/>
                  <w:lang w:val="it-IT"/>
                </w:rPr>
                <w:delText>Českárepublika</w:delText>
              </w:r>
            </w:del>
          </w:p>
          <w:p>
            <w:pPr>
              <w:tabs>
                <w:tab w:val="left" w:pos="180"/>
              </w:tabs>
              <w:suppressAutoHyphens/>
              <w:rPr>
                <w:del w:id="11762" w:author="Author"/>
                <w:bCs/>
                <w:noProof/>
                <w:szCs w:val="22"/>
                <w:lang w:val="it-IT"/>
              </w:rPr>
              <w:pPrChange w:id="11763" w:author="Author">
                <w:pPr>
                  <w:tabs>
                    <w:tab w:val="left" w:pos="180"/>
                  </w:tabs>
                </w:pPr>
              </w:pPrChange>
            </w:pPr>
            <w:del w:id="11764" w:author="Author">
              <w:r>
                <w:rPr>
                  <w:bCs/>
                  <w:noProof/>
                  <w:szCs w:val="22"/>
                  <w:lang w:val="it-IT"/>
                </w:rPr>
                <w:delText>Roche s. r. o.</w:delText>
              </w:r>
            </w:del>
          </w:p>
          <w:p>
            <w:pPr>
              <w:tabs>
                <w:tab w:val="left" w:pos="180"/>
              </w:tabs>
              <w:suppressAutoHyphens/>
              <w:rPr>
                <w:del w:id="11765" w:author="Author"/>
                <w:noProof/>
                <w:szCs w:val="22"/>
                <w:lang w:val="it-IT"/>
                <w:rPrChange w:id="11766" w:author="Author">
                  <w:rPr>
                    <w:del w:id="11767" w:author="Author"/>
                    <w:lang w:val="it-IT"/>
                  </w:rPr>
                </w:rPrChange>
              </w:rPr>
              <w:pPrChange w:id="11768" w:author="Author">
                <w:pPr>
                  <w:tabs>
                    <w:tab w:val="left" w:pos="180"/>
                  </w:tabs>
                </w:pPr>
              </w:pPrChange>
            </w:pPr>
            <w:del w:id="11769" w:author="Author">
              <w:r>
                <w:rPr>
                  <w:noProof/>
                  <w:szCs w:val="22"/>
                  <w:lang w:val="it-IT"/>
                </w:rPr>
                <w:delText>Tel: +420 - 2 20382111</w:delText>
              </w:r>
            </w:del>
          </w:p>
          <w:p>
            <w:pPr>
              <w:tabs>
                <w:tab w:val="left" w:pos="180"/>
              </w:tabs>
              <w:suppressAutoHyphens/>
              <w:rPr>
                <w:del w:id="11770" w:author="Author"/>
                <w:noProof/>
                <w:szCs w:val="22"/>
                <w:lang w:val="it-IT"/>
                <w:rPrChange w:id="11771" w:author="Author">
                  <w:rPr>
                    <w:del w:id="11772" w:author="Author"/>
                    <w:lang w:val="it-IT"/>
                  </w:rPr>
                </w:rPrChange>
              </w:rPr>
              <w:pPrChange w:id="11773" w:author="Author">
                <w:pPr>
                  <w:tabs>
                    <w:tab w:val="left" w:pos="180"/>
                  </w:tabs>
                </w:pPr>
              </w:pPrChange>
            </w:pPr>
          </w:p>
        </w:tc>
        <w:tc>
          <w:tcPr>
            <w:tcW w:w="4590" w:type="dxa"/>
            <w:tcPrChange w:id="11774" w:author="Author">
              <w:tcPr>
                <w:tcW w:w="4590" w:type="dxa"/>
              </w:tcPr>
            </w:tcPrChange>
          </w:tcPr>
          <w:p>
            <w:pPr>
              <w:tabs>
                <w:tab w:val="left" w:pos="180"/>
              </w:tabs>
              <w:suppressAutoHyphens/>
              <w:autoSpaceDE w:val="0"/>
              <w:autoSpaceDN w:val="0"/>
              <w:adjustRightInd w:val="0"/>
              <w:rPr>
                <w:del w:id="11775" w:author="Author"/>
                <w:noProof/>
                <w:szCs w:val="22"/>
                <w:lang w:val="it-IT"/>
                <w:rPrChange w:id="11776" w:author="Author">
                  <w:rPr>
                    <w:del w:id="11777" w:author="Author"/>
                    <w:lang w:val="it-IT"/>
                  </w:rPr>
                </w:rPrChange>
              </w:rPr>
              <w:pPrChange w:id="11778" w:author="Author">
                <w:pPr>
                  <w:tabs>
                    <w:tab w:val="left" w:pos="180"/>
                  </w:tabs>
                  <w:autoSpaceDE w:val="0"/>
                  <w:autoSpaceDN w:val="0"/>
                  <w:adjustRightInd w:val="0"/>
                </w:pPr>
              </w:pPrChange>
            </w:pPr>
            <w:del w:id="11779" w:author="Author">
              <w:r>
                <w:rPr>
                  <w:b/>
                  <w:noProof/>
                  <w:szCs w:val="22"/>
                  <w:lang w:val="it-IT"/>
                  <w:rPrChange w:id="11780" w:author="Author">
                    <w:rPr>
                      <w:b/>
                      <w:lang w:val="it-IT"/>
                    </w:rPr>
                  </w:rPrChange>
                </w:rPr>
                <w:delText>Malta</w:delText>
              </w:r>
              <w:r>
                <w:rPr>
                  <w:noProof/>
                  <w:szCs w:val="22"/>
                  <w:lang w:val="it-IT"/>
                  <w:rPrChange w:id="11781" w:author="Author">
                    <w:rPr>
                      <w:lang w:val="it-IT"/>
                    </w:rPr>
                  </w:rPrChange>
                </w:rPr>
                <w:delText>(See Ireland)</w:delText>
              </w:r>
            </w:del>
          </w:p>
          <w:p>
            <w:pPr>
              <w:tabs>
                <w:tab w:val="left" w:pos="180"/>
              </w:tabs>
              <w:suppressAutoHyphens/>
              <w:autoSpaceDE w:val="0"/>
              <w:autoSpaceDN w:val="0"/>
              <w:adjustRightInd w:val="0"/>
              <w:rPr>
                <w:del w:id="11782" w:author="Author"/>
                <w:noProof/>
                <w:szCs w:val="22"/>
                <w:lang w:val="it-IT"/>
                <w:rPrChange w:id="11783" w:author="Author">
                  <w:rPr>
                    <w:del w:id="11784" w:author="Author"/>
                    <w:lang w:val="it-IT"/>
                  </w:rPr>
                </w:rPrChange>
              </w:rPr>
              <w:pPrChange w:id="11785" w:author="Author">
                <w:pPr>
                  <w:tabs>
                    <w:tab w:val="left" w:pos="180"/>
                  </w:tabs>
                  <w:autoSpaceDE w:val="0"/>
                  <w:autoSpaceDN w:val="0"/>
                  <w:adjustRightInd w:val="0"/>
                </w:pPr>
              </w:pPrChange>
            </w:pPr>
          </w:p>
        </w:tc>
      </w:tr>
      <w:tr>
        <w:trPr>
          <w:cantSplit/>
          <w:del w:id="11786" w:author="Author"/>
          <w:trPrChange w:id="11787" w:author="Author">
            <w:trPr>
              <w:cantSplit/>
            </w:trPr>
          </w:trPrChange>
        </w:trPr>
        <w:tc>
          <w:tcPr>
            <w:tcW w:w="4590" w:type="dxa"/>
            <w:tcPrChange w:id="11788" w:author="Author">
              <w:tcPr>
                <w:tcW w:w="4590" w:type="dxa"/>
              </w:tcPr>
            </w:tcPrChange>
          </w:tcPr>
          <w:p>
            <w:pPr>
              <w:tabs>
                <w:tab w:val="left" w:pos="180"/>
              </w:tabs>
              <w:suppressAutoHyphens/>
              <w:rPr>
                <w:del w:id="11789" w:author="Author"/>
                <w:noProof/>
                <w:szCs w:val="22"/>
                <w:lang w:val="it-IT"/>
              </w:rPr>
              <w:pPrChange w:id="11790" w:author="Author">
                <w:pPr>
                  <w:tabs>
                    <w:tab w:val="left" w:pos="180"/>
                  </w:tabs>
                </w:pPr>
              </w:pPrChange>
            </w:pPr>
            <w:del w:id="11791" w:author="Author">
              <w:r>
                <w:rPr>
                  <w:b/>
                  <w:noProof/>
                  <w:szCs w:val="22"/>
                  <w:lang w:val="it-IT"/>
                </w:rPr>
                <w:delText>Danmark</w:delText>
              </w:r>
            </w:del>
          </w:p>
          <w:p>
            <w:pPr>
              <w:tabs>
                <w:tab w:val="left" w:pos="180"/>
              </w:tabs>
              <w:suppressAutoHyphens/>
              <w:rPr>
                <w:del w:id="11792" w:author="Author"/>
                <w:noProof/>
                <w:szCs w:val="22"/>
                <w:lang w:val="it-IT"/>
              </w:rPr>
              <w:pPrChange w:id="11793" w:author="Author">
                <w:pPr>
                  <w:tabs>
                    <w:tab w:val="left" w:pos="180"/>
                  </w:tabs>
                </w:pPr>
              </w:pPrChange>
            </w:pPr>
            <w:del w:id="11794" w:author="Author">
              <w:r>
                <w:rPr>
                  <w:noProof/>
                  <w:szCs w:val="22"/>
                  <w:lang w:val="it-IT"/>
                </w:rPr>
                <w:delText>Roche Pharmaceuticals A/S</w:delText>
              </w:r>
            </w:del>
          </w:p>
          <w:p>
            <w:pPr>
              <w:tabs>
                <w:tab w:val="left" w:pos="180"/>
              </w:tabs>
              <w:suppressAutoHyphens/>
              <w:rPr>
                <w:del w:id="11795" w:author="Author"/>
                <w:noProof/>
                <w:szCs w:val="22"/>
                <w:lang w:val="it-IT"/>
              </w:rPr>
              <w:pPrChange w:id="11796" w:author="Author">
                <w:pPr>
                  <w:tabs>
                    <w:tab w:val="left" w:pos="180"/>
                  </w:tabs>
                </w:pPr>
              </w:pPrChange>
            </w:pPr>
            <w:del w:id="11797" w:author="Author">
              <w:r>
                <w:rPr>
                  <w:noProof/>
                  <w:szCs w:val="22"/>
                  <w:lang w:val="it-IT"/>
                </w:rPr>
                <w:delText>Tlf.: +45 - 36 39 99 99</w:delText>
              </w:r>
            </w:del>
          </w:p>
          <w:p>
            <w:pPr>
              <w:tabs>
                <w:tab w:val="left" w:pos="180"/>
              </w:tabs>
              <w:suppressAutoHyphens/>
              <w:rPr>
                <w:del w:id="11798" w:author="Author"/>
                <w:b/>
                <w:noProof/>
                <w:szCs w:val="22"/>
                <w:lang w:val="it-IT"/>
              </w:rPr>
              <w:pPrChange w:id="11799" w:author="Author">
                <w:pPr>
                  <w:tabs>
                    <w:tab w:val="left" w:pos="180"/>
                  </w:tabs>
                </w:pPr>
              </w:pPrChange>
            </w:pPr>
          </w:p>
        </w:tc>
        <w:tc>
          <w:tcPr>
            <w:tcW w:w="4590" w:type="dxa"/>
            <w:tcPrChange w:id="11800" w:author="Author">
              <w:tcPr>
                <w:tcW w:w="4590" w:type="dxa"/>
              </w:tcPr>
            </w:tcPrChange>
          </w:tcPr>
          <w:p>
            <w:pPr>
              <w:tabs>
                <w:tab w:val="left" w:pos="180"/>
              </w:tabs>
              <w:suppressAutoHyphens/>
              <w:rPr>
                <w:del w:id="11801" w:author="Author"/>
                <w:noProof/>
                <w:szCs w:val="22"/>
                <w:lang w:val="it-IT"/>
              </w:rPr>
              <w:pPrChange w:id="11802" w:author="Author">
                <w:pPr>
                  <w:tabs>
                    <w:tab w:val="left" w:pos="180"/>
                  </w:tabs>
                </w:pPr>
              </w:pPrChange>
            </w:pPr>
            <w:del w:id="11803" w:author="Author">
              <w:r>
                <w:rPr>
                  <w:b/>
                  <w:noProof/>
                  <w:szCs w:val="22"/>
                  <w:lang w:val="it-IT"/>
                </w:rPr>
                <w:delText>Nederland</w:delText>
              </w:r>
            </w:del>
          </w:p>
          <w:p>
            <w:pPr>
              <w:tabs>
                <w:tab w:val="left" w:pos="180"/>
              </w:tabs>
              <w:suppressAutoHyphens/>
              <w:rPr>
                <w:del w:id="11804" w:author="Author"/>
                <w:noProof/>
                <w:szCs w:val="22"/>
                <w:lang w:val="it-IT"/>
              </w:rPr>
              <w:pPrChange w:id="11805" w:author="Author">
                <w:pPr>
                  <w:tabs>
                    <w:tab w:val="left" w:pos="180"/>
                  </w:tabs>
                </w:pPr>
              </w:pPrChange>
            </w:pPr>
            <w:del w:id="11806" w:author="Author">
              <w:r>
                <w:rPr>
                  <w:noProof/>
                  <w:szCs w:val="22"/>
                  <w:lang w:val="it-IT"/>
                </w:rPr>
                <w:delText>Roche NederlandB.V.</w:delText>
              </w:r>
            </w:del>
          </w:p>
          <w:p>
            <w:pPr>
              <w:tabs>
                <w:tab w:val="left" w:pos="180"/>
              </w:tabs>
              <w:suppressAutoHyphens/>
              <w:rPr>
                <w:del w:id="11807" w:author="Author"/>
                <w:noProof/>
                <w:szCs w:val="22"/>
                <w:lang w:val="it-IT"/>
              </w:rPr>
              <w:pPrChange w:id="11808" w:author="Author">
                <w:pPr>
                  <w:tabs>
                    <w:tab w:val="left" w:pos="180"/>
                  </w:tabs>
                </w:pPr>
              </w:pPrChange>
            </w:pPr>
            <w:del w:id="11809" w:author="Author">
              <w:r>
                <w:rPr>
                  <w:noProof/>
                  <w:szCs w:val="22"/>
                  <w:lang w:val="it-IT"/>
                </w:rPr>
                <w:delText>Tel: +31 (0) 348 438050</w:delText>
              </w:r>
            </w:del>
          </w:p>
          <w:p>
            <w:pPr>
              <w:tabs>
                <w:tab w:val="left" w:pos="180"/>
              </w:tabs>
              <w:suppressAutoHyphens/>
              <w:rPr>
                <w:del w:id="11810" w:author="Author"/>
                <w:noProof/>
                <w:szCs w:val="22"/>
                <w:lang w:val="it-IT"/>
              </w:rPr>
              <w:pPrChange w:id="11811" w:author="Author">
                <w:pPr>
                  <w:tabs>
                    <w:tab w:val="left" w:pos="180"/>
                  </w:tabs>
                </w:pPr>
              </w:pPrChange>
            </w:pPr>
          </w:p>
        </w:tc>
      </w:tr>
      <w:tr>
        <w:trPr>
          <w:cantSplit/>
          <w:del w:id="11812" w:author="Author"/>
          <w:trPrChange w:id="11813" w:author="Author">
            <w:trPr>
              <w:cantSplit/>
            </w:trPr>
          </w:trPrChange>
        </w:trPr>
        <w:tc>
          <w:tcPr>
            <w:tcW w:w="4590" w:type="dxa"/>
            <w:tcPrChange w:id="11814" w:author="Author">
              <w:tcPr>
                <w:tcW w:w="4590" w:type="dxa"/>
              </w:tcPr>
            </w:tcPrChange>
          </w:tcPr>
          <w:p>
            <w:pPr>
              <w:tabs>
                <w:tab w:val="left" w:pos="180"/>
              </w:tabs>
              <w:suppressAutoHyphens/>
              <w:rPr>
                <w:del w:id="11815" w:author="Author"/>
                <w:noProof/>
                <w:szCs w:val="22"/>
                <w:lang w:val="it-IT"/>
                <w:rPrChange w:id="11816" w:author="Author">
                  <w:rPr>
                    <w:del w:id="11817" w:author="Author"/>
                    <w:lang w:val="en-GB"/>
                  </w:rPr>
                </w:rPrChange>
              </w:rPr>
              <w:pPrChange w:id="11818" w:author="Author">
                <w:pPr>
                  <w:tabs>
                    <w:tab w:val="left" w:pos="180"/>
                  </w:tabs>
                </w:pPr>
              </w:pPrChange>
            </w:pPr>
            <w:del w:id="11819" w:author="Author">
              <w:r>
                <w:rPr>
                  <w:b/>
                  <w:noProof/>
                  <w:szCs w:val="22"/>
                  <w:lang w:val="it-IT"/>
                  <w:rPrChange w:id="11820" w:author="Author">
                    <w:rPr>
                      <w:b/>
                      <w:lang w:val="en-GB"/>
                    </w:rPr>
                  </w:rPrChange>
                </w:rPr>
                <w:delText>Deutschland</w:delText>
              </w:r>
            </w:del>
          </w:p>
          <w:p>
            <w:pPr>
              <w:tabs>
                <w:tab w:val="left" w:pos="180"/>
              </w:tabs>
              <w:suppressAutoHyphens/>
              <w:rPr>
                <w:del w:id="11821" w:author="Author"/>
                <w:noProof/>
                <w:szCs w:val="22"/>
                <w:lang w:val="it-IT"/>
                <w:rPrChange w:id="11822" w:author="Author">
                  <w:rPr>
                    <w:del w:id="11823" w:author="Author"/>
                    <w:lang w:val="en-GB"/>
                  </w:rPr>
                </w:rPrChange>
              </w:rPr>
              <w:pPrChange w:id="11824" w:author="Author">
                <w:pPr>
                  <w:tabs>
                    <w:tab w:val="left" w:pos="180"/>
                  </w:tabs>
                </w:pPr>
              </w:pPrChange>
            </w:pPr>
            <w:del w:id="11825" w:author="Author">
              <w:r>
                <w:rPr>
                  <w:noProof/>
                  <w:szCs w:val="22"/>
                  <w:lang w:val="it-IT"/>
                  <w:rPrChange w:id="11826" w:author="Author">
                    <w:rPr>
                      <w:lang w:val="en-GB"/>
                    </w:rPr>
                  </w:rPrChange>
                </w:rPr>
                <w:delText>Roche Pharma AG</w:delText>
              </w:r>
            </w:del>
          </w:p>
          <w:p>
            <w:pPr>
              <w:tabs>
                <w:tab w:val="left" w:pos="180"/>
              </w:tabs>
              <w:suppressAutoHyphens/>
              <w:rPr>
                <w:del w:id="11827" w:author="Author"/>
                <w:noProof/>
                <w:szCs w:val="22"/>
                <w:lang w:val="it-IT"/>
                <w:rPrChange w:id="11828" w:author="Author">
                  <w:rPr>
                    <w:del w:id="11829" w:author="Author"/>
                    <w:lang w:val="en-GB"/>
                  </w:rPr>
                </w:rPrChange>
              </w:rPr>
              <w:pPrChange w:id="11830" w:author="Author">
                <w:pPr>
                  <w:tabs>
                    <w:tab w:val="left" w:pos="180"/>
                  </w:tabs>
                </w:pPr>
              </w:pPrChange>
            </w:pPr>
            <w:del w:id="11831" w:author="Author">
              <w:r>
                <w:rPr>
                  <w:noProof/>
                  <w:szCs w:val="22"/>
                  <w:lang w:val="it-IT"/>
                  <w:rPrChange w:id="11832" w:author="Author">
                    <w:rPr>
                      <w:lang w:val="en-GB"/>
                    </w:rPr>
                  </w:rPrChange>
                </w:rPr>
                <w:delText xml:space="preserve">Tel: +49 (0) 7624 140 </w:delText>
              </w:r>
            </w:del>
          </w:p>
          <w:p>
            <w:pPr>
              <w:tabs>
                <w:tab w:val="left" w:pos="180"/>
              </w:tabs>
              <w:suppressAutoHyphens/>
              <w:rPr>
                <w:del w:id="11833" w:author="Author"/>
                <w:noProof/>
                <w:szCs w:val="22"/>
                <w:lang w:val="it-IT"/>
                <w:rPrChange w:id="11834" w:author="Author">
                  <w:rPr>
                    <w:del w:id="11835" w:author="Author"/>
                    <w:lang w:val="it-IT"/>
                  </w:rPr>
                </w:rPrChange>
              </w:rPr>
              <w:pPrChange w:id="11836" w:author="Author">
                <w:pPr>
                  <w:tabs>
                    <w:tab w:val="left" w:pos="180"/>
                  </w:tabs>
                </w:pPr>
              </w:pPrChange>
            </w:pPr>
            <w:del w:id="11837" w:author="Author">
              <w:r>
                <w:rPr>
                  <w:noProof/>
                  <w:szCs w:val="22"/>
                  <w:lang w:val="it-IT"/>
                </w:rPr>
                <w:delText>oder</w:delText>
              </w:r>
            </w:del>
          </w:p>
          <w:p>
            <w:pPr>
              <w:tabs>
                <w:tab w:val="left" w:pos="180"/>
              </w:tabs>
              <w:suppressAutoHyphens/>
              <w:rPr>
                <w:del w:id="11838" w:author="Author"/>
                <w:rFonts w:eastAsia="MS PGothic"/>
                <w:bCs/>
                <w:noProof/>
                <w:szCs w:val="22"/>
                <w:lang w:val="it-IT"/>
              </w:rPr>
              <w:pPrChange w:id="11839" w:author="Author">
                <w:pPr>
                  <w:tabs>
                    <w:tab w:val="left" w:pos="180"/>
                  </w:tabs>
                </w:pPr>
              </w:pPrChange>
            </w:pPr>
            <w:del w:id="11840" w:author="Author">
              <w:r>
                <w:rPr>
                  <w:bCs/>
                  <w:noProof/>
                  <w:szCs w:val="22"/>
                  <w:lang w:val="it-IT"/>
                </w:rPr>
                <w:delText>Chugai Pharma Europe Ltd.</w:delText>
              </w:r>
            </w:del>
          </w:p>
          <w:p>
            <w:pPr>
              <w:tabs>
                <w:tab w:val="left" w:pos="180"/>
              </w:tabs>
              <w:suppressAutoHyphens/>
              <w:rPr>
                <w:del w:id="11841" w:author="Author"/>
                <w:rFonts w:eastAsia="MS PGothic"/>
                <w:bCs/>
                <w:noProof/>
                <w:szCs w:val="22"/>
                <w:lang w:val="it-IT"/>
              </w:rPr>
              <w:pPrChange w:id="11842" w:author="Author">
                <w:pPr>
                  <w:tabs>
                    <w:tab w:val="left" w:pos="180"/>
                  </w:tabs>
                </w:pPr>
              </w:pPrChange>
            </w:pPr>
            <w:del w:id="11843" w:author="Author">
              <w:r>
                <w:rPr>
                  <w:bCs/>
                  <w:noProof/>
                  <w:szCs w:val="22"/>
                  <w:lang w:val="it-IT"/>
                </w:rPr>
                <w:delText>ZweigniederlassungDeutschland</w:delText>
              </w:r>
            </w:del>
          </w:p>
          <w:p>
            <w:pPr>
              <w:tabs>
                <w:tab w:val="left" w:pos="180"/>
              </w:tabs>
              <w:suppressAutoHyphens/>
              <w:rPr>
                <w:del w:id="11844" w:author="Author"/>
                <w:noProof/>
                <w:szCs w:val="22"/>
                <w:lang w:val="it-IT"/>
              </w:rPr>
              <w:pPrChange w:id="11845" w:author="Author">
                <w:pPr>
                  <w:tabs>
                    <w:tab w:val="left" w:pos="180"/>
                  </w:tabs>
                </w:pPr>
              </w:pPrChange>
            </w:pPr>
            <w:del w:id="11846" w:author="Author">
              <w:r>
                <w:rPr>
                  <w:bCs/>
                  <w:noProof/>
                  <w:szCs w:val="22"/>
                  <w:lang w:val="it-IT"/>
                </w:rPr>
                <w:delText>Tel: +49 (0) 69 663000 0</w:delText>
              </w:r>
            </w:del>
          </w:p>
          <w:p>
            <w:pPr>
              <w:tabs>
                <w:tab w:val="left" w:pos="180"/>
              </w:tabs>
              <w:suppressAutoHyphens/>
              <w:rPr>
                <w:del w:id="11847" w:author="Author"/>
                <w:b/>
                <w:noProof/>
                <w:szCs w:val="22"/>
                <w:lang w:val="it-IT"/>
                <w:rPrChange w:id="11848" w:author="Author">
                  <w:rPr>
                    <w:del w:id="11849" w:author="Author"/>
                    <w:b/>
                    <w:lang w:val="it-IT"/>
                  </w:rPr>
                </w:rPrChange>
              </w:rPr>
              <w:pPrChange w:id="11850" w:author="Author">
                <w:pPr>
                  <w:tabs>
                    <w:tab w:val="left" w:pos="180"/>
                  </w:tabs>
                </w:pPr>
              </w:pPrChange>
            </w:pPr>
          </w:p>
        </w:tc>
        <w:tc>
          <w:tcPr>
            <w:tcW w:w="4590" w:type="dxa"/>
            <w:tcPrChange w:id="11851" w:author="Author">
              <w:tcPr>
                <w:tcW w:w="4590" w:type="dxa"/>
              </w:tcPr>
            </w:tcPrChange>
          </w:tcPr>
          <w:p>
            <w:pPr>
              <w:tabs>
                <w:tab w:val="left" w:pos="180"/>
              </w:tabs>
              <w:suppressAutoHyphens/>
              <w:rPr>
                <w:del w:id="11852" w:author="Author"/>
                <w:b/>
                <w:noProof/>
                <w:snapToGrid w:val="0"/>
                <w:szCs w:val="22"/>
                <w:lang w:val="it-IT"/>
              </w:rPr>
              <w:pPrChange w:id="11853" w:author="Author">
                <w:pPr>
                  <w:tabs>
                    <w:tab w:val="left" w:pos="180"/>
                  </w:tabs>
                </w:pPr>
              </w:pPrChange>
            </w:pPr>
            <w:del w:id="11854" w:author="Author">
              <w:r>
                <w:rPr>
                  <w:b/>
                  <w:noProof/>
                  <w:snapToGrid w:val="0"/>
                  <w:szCs w:val="22"/>
                  <w:lang w:val="it-IT"/>
                </w:rPr>
                <w:delText>Norge</w:delText>
              </w:r>
            </w:del>
          </w:p>
          <w:p>
            <w:pPr>
              <w:tabs>
                <w:tab w:val="left" w:pos="180"/>
              </w:tabs>
              <w:suppressAutoHyphens/>
              <w:rPr>
                <w:del w:id="11855" w:author="Author"/>
                <w:noProof/>
                <w:snapToGrid w:val="0"/>
                <w:szCs w:val="22"/>
                <w:lang w:val="it-IT"/>
              </w:rPr>
              <w:pPrChange w:id="11856" w:author="Author">
                <w:pPr>
                  <w:tabs>
                    <w:tab w:val="left" w:pos="180"/>
                  </w:tabs>
                </w:pPr>
              </w:pPrChange>
            </w:pPr>
            <w:del w:id="11857" w:author="Author">
              <w:r>
                <w:rPr>
                  <w:noProof/>
                  <w:szCs w:val="22"/>
                  <w:lang w:val="it-IT"/>
                </w:rPr>
                <w:delText>Roche Norge AS</w:delText>
              </w:r>
            </w:del>
          </w:p>
          <w:p>
            <w:pPr>
              <w:tabs>
                <w:tab w:val="left" w:pos="180"/>
              </w:tabs>
              <w:suppressAutoHyphens/>
              <w:rPr>
                <w:del w:id="11858" w:author="Author"/>
                <w:noProof/>
                <w:szCs w:val="22"/>
                <w:lang w:val="it-IT"/>
              </w:rPr>
              <w:pPrChange w:id="11859" w:author="Author">
                <w:pPr>
                  <w:tabs>
                    <w:tab w:val="left" w:pos="180"/>
                  </w:tabs>
                </w:pPr>
              </w:pPrChange>
            </w:pPr>
            <w:del w:id="11860" w:author="Author">
              <w:r>
                <w:rPr>
                  <w:noProof/>
                  <w:szCs w:val="22"/>
                  <w:lang w:val="it-IT"/>
                </w:rPr>
                <w:delText>Tlf: +47 - 22 78 90 00</w:delText>
              </w:r>
            </w:del>
          </w:p>
          <w:p>
            <w:pPr>
              <w:tabs>
                <w:tab w:val="left" w:pos="180"/>
              </w:tabs>
              <w:suppressAutoHyphens/>
              <w:rPr>
                <w:del w:id="11861" w:author="Author"/>
                <w:noProof/>
                <w:szCs w:val="22"/>
                <w:lang w:val="it-IT"/>
              </w:rPr>
              <w:pPrChange w:id="11862" w:author="Author">
                <w:pPr>
                  <w:tabs>
                    <w:tab w:val="left" w:pos="180"/>
                  </w:tabs>
                </w:pPr>
              </w:pPrChange>
            </w:pPr>
          </w:p>
        </w:tc>
      </w:tr>
      <w:tr>
        <w:trPr>
          <w:cantSplit/>
          <w:del w:id="11863" w:author="Author"/>
          <w:trPrChange w:id="11864" w:author="Author">
            <w:trPr>
              <w:cantSplit/>
            </w:trPr>
          </w:trPrChange>
        </w:trPr>
        <w:tc>
          <w:tcPr>
            <w:tcW w:w="4590" w:type="dxa"/>
            <w:tcPrChange w:id="11865" w:author="Author">
              <w:tcPr>
                <w:tcW w:w="4590" w:type="dxa"/>
              </w:tcPr>
            </w:tcPrChange>
          </w:tcPr>
          <w:p>
            <w:pPr>
              <w:tabs>
                <w:tab w:val="left" w:pos="180"/>
              </w:tabs>
              <w:suppressAutoHyphens/>
              <w:rPr>
                <w:del w:id="11866" w:author="Author"/>
                <w:b/>
                <w:noProof/>
                <w:szCs w:val="22"/>
                <w:lang w:val="it-IT"/>
              </w:rPr>
              <w:pPrChange w:id="11867" w:author="Author">
                <w:pPr>
                  <w:tabs>
                    <w:tab w:val="left" w:pos="180"/>
                  </w:tabs>
                </w:pPr>
              </w:pPrChange>
            </w:pPr>
            <w:del w:id="11868" w:author="Author">
              <w:r>
                <w:rPr>
                  <w:b/>
                  <w:noProof/>
                  <w:szCs w:val="22"/>
                  <w:lang w:val="it-IT"/>
                </w:rPr>
                <w:delText>Eesti</w:delText>
              </w:r>
            </w:del>
          </w:p>
          <w:p>
            <w:pPr>
              <w:tabs>
                <w:tab w:val="left" w:pos="180"/>
              </w:tabs>
              <w:suppressAutoHyphens/>
              <w:rPr>
                <w:del w:id="11869" w:author="Author"/>
                <w:noProof/>
                <w:szCs w:val="22"/>
                <w:lang w:val="it-IT"/>
              </w:rPr>
              <w:pPrChange w:id="11870" w:author="Author">
                <w:pPr>
                  <w:tabs>
                    <w:tab w:val="left" w:pos="180"/>
                  </w:tabs>
                </w:pPr>
              </w:pPrChange>
            </w:pPr>
            <w:del w:id="11871" w:author="Author">
              <w:r>
                <w:rPr>
                  <w:bCs/>
                  <w:noProof/>
                  <w:szCs w:val="22"/>
                  <w:lang w:val="it-IT"/>
                </w:rPr>
                <w:delText>Roche EestiOÜ</w:delText>
              </w:r>
            </w:del>
          </w:p>
          <w:p>
            <w:pPr>
              <w:tabs>
                <w:tab w:val="left" w:pos="180"/>
              </w:tabs>
              <w:suppressAutoHyphens/>
              <w:rPr>
                <w:del w:id="11872" w:author="Author"/>
                <w:noProof/>
                <w:szCs w:val="22"/>
                <w:lang w:val="it-IT"/>
              </w:rPr>
              <w:pPrChange w:id="11873" w:author="Author">
                <w:pPr>
                  <w:tabs>
                    <w:tab w:val="left" w:pos="180"/>
                  </w:tabs>
                </w:pPr>
              </w:pPrChange>
            </w:pPr>
            <w:del w:id="11874" w:author="Author">
              <w:r>
                <w:rPr>
                  <w:noProof/>
                  <w:szCs w:val="22"/>
                  <w:lang w:val="it-IT"/>
                </w:rPr>
                <w:delText>Tel: + 372 - 6 177 380</w:delText>
              </w:r>
            </w:del>
          </w:p>
          <w:p>
            <w:pPr>
              <w:tabs>
                <w:tab w:val="left" w:pos="180"/>
              </w:tabs>
              <w:suppressAutoHyphens/>
              <w:rPr>
                <w:del w:id="11875" w:author="Author"/>
                <w:noProof/>
                <w:szCs w:val="22"/>
                <w:lang w:val="it-IT"/>
              </w:rPr>
              <w:pPrChange w:id="11876" w:author="Author">
                <w:pPr>
                  <w:tabs>
                    <w:tab w:val="left" w:pos="180"/>
                  </w:tabs>
                </w:pPr>
              </w:pPrChange>
            </w:pPr>
          </w:p>
        </w:tc>
        <w:tc>
          <w:tcPr>
            <w:tcW w:w="4590" w:type="dxa"/>
            <w:tcPrChange w:id="11877" w:author="Author">
              <w:tcPr>
                <w:tcW w:w="4590" w:type="dxa"/>
              </w:tcPr>
            </w:tcPrChange>
          </w:tcPr>
          <w:p>
            <w:pPr>
              <w:tabs>
                <w:tab w:val="left" w:pos="180"/>
              </w:tabs>
              <w:suppressAutoHyphens/>
              <w:rPr>
                <w:del w:id="11878" w:author="Author"/>
                <w:noProof/>
                <w:szCs w:val="22"/>
                <w:lang w:val="it-IT"/>
                <w:rPrChange w:id="11879" w:author="Author">
                  <w:rPr>
                    <w:del w:id="11880" w:author="Author"/>
                    <w:lang w:val="it-IT"/>
                  </w:rPr>
                </w:rPrChange>
              </w:rPr>
              <w:pPrChange w:id="11881" w:author="Author">
                <w:pPr>
                  <w:tabs>
                    <w:tab w:val="left" w:pos="180"/>
                  </w:tabs>
                </w:pPr>
              </w:pPrChange>
            </w:pPr>
            <w:del w:id="11882" w:author="Author">
              <w:r>
                <w:rPr>
                  <w:b/>
                  <w:noProof/>
                  <w:szCs w:val="22"/>
                  <w:lang w:val="it-IT"/>
                </w:rPr>
                <w:delText>Österreich</w:delText>
              </w:r>
            </w:del>
          </w:p>
          <w:p>
            <w:pPr>
              <w:tabs>
                <w:tab w:val="left" w:pos="180"/>
              </w:tabs>
              <w:suppressAutoHyphens/>
              <w:rPr>
                <w:del w:id="11883" w:author="Author"/>
                <w:noProof/>
                <w:szCs w:val="22"/>
                <w:lang w:val="it-IT"/>
                <w:rPrChange w:id="11884" w:author="Author">
                  <w:rPr>
                    <w:del w:id="11885" w:author="Author"/>
                    <w:lang w:val="it-IT"/>
                  </w:rPr>
                </w:rPrChange>
              </w:rPr>
              <w:pPrChange w:id="11886" w:author="Author">
                <w:pPr>
                  <w:tabs>
                    <w:tab w:val="left" w:pos="180"/>
                  </w:tabs>
                </w:pPr>
              </w:pPrChange>
            </w:pPr>
            <w:del w:id="11887" w:author="Author">
              <w:r>
                <w:rPr>
                  <w:noProof/>
                  <w:szCs w:val="22"/>
                  <w:lang w:val="it-IT"/>
                  <w:rPrChange w:id="11888" w:author="Author">
                    <w:rPr>
                      <w:lang w:val="it-IT"/>
                    </w:rPr>
                  </w:rPrChange>
                </w:rPr>
                <w:delText>Roche Austria GmbH</w:delText>
              </w:r>
            </w:del>
          </w:p>
          <w:p>
            <w:pPr>
              <w:tabs>
                <w:tab w:val="left" w:pos="180"/>
              </w:tabs>
              <w:suppressAutoHyphens/>
              <w:rPr>
                <w:del w:id="11889" w:author="Author"/>
                <w:noProof/>
                <w:szCs w:val="22"/>
                <w:lang w:val="it-IT"/>
                <w:rPrChange w:id="11890" w:author="Author">
                  <w:rPr>
                    <w:del w:id="11891" w:author="Author"/>
                    <w:lang w:val="it-IT"/>
                  </w:rPr>
                </w:rPrChange>
              </w:rPr>
              <w:pPrChange w:id="11892" w:author="Author">
                <w:pPr>
                  <w:tabs>
                    <w:tab w:val="left" w:pos="180"/>
                  </w:tabs>
                </w:pPr>
              </w:pPrChange>
            </w:pPr>
            <w:del w:id="11893" w:author="Author">
              <w:r>
                <w:rPr>
                  <w:noProof/>
                  <w:szCs w:val="22"/>
                  <w:lang w:val="it-IT"/>
                  <w:rPrChange w:id="11894" w:author="Author">
                    <w:rPr>
                      <w:lang w:val="it-IT"/>
                    </w:rPr>
                  </w:rPrChange>
                </w:rPr>
                <w:delText>Tel: +43 (0) 1 27739</w:delText>
              </w:r>
            </w:del>
          </w:p>
          <w:p>
            <w:pPr>
              <w:tabs>
                <w:tab w:val="left" w:pos="180"/>
              </w:tabs>
              <w:suppressAutoHyphens/>
              <w:rPr>
                <w:del w:id="11895" w:author="Author"/>
                <w:noProof/>
                <w:szCs w:val="22"/>
                <w:lang w:val="it-IT"/>
                <w:rPrChange w:id="11896" w:author="Author">
                  <w:rPr>
                    <w:del w:id="11897" w:author="Author"/>
                    <w:lang w:val="it-IT"/>
                  </w:rPr>
                </w:rPrChange>
              </w:rPr>
              <w:pPrChange w:id="11898" w:author="Author">
                <w:pPr>
                  <w:tabs>
                    <w:tab w:val="left" w:pos="180"/>
                  </w:tabs>
                </w:pPr>
              </w:pPrChange>
            </w:pPr>
          </w:p>
        </w:tc>
      </w:tr>
      <w:tr>
        <w:trPr>
          <w:cantSplit/>
          <w:del w:id="11899" w:author="Author"/>
          <w:trPrChange w:id="11900" w:author="Author">
            <w:trPr>
              <w:cantSplit/>
            </w:trPr>
          </w:trPrChange>
        </w:trPr>
        <w:tc>
          <w:tcPr>
            <w:tcW w:w="4590" w:type="dxa"/>
            <w:tcPrChange w:id="11901" w:author="Author">
              <w:tcPr>
                <w:tcW w:w="4590" w:type="dxa"/>
              </w:tcPr>
            </w:tcPrChange>
          </w:tcPr>
          <w:p>
            <w:pPr>
              <w:tabs>
                <w:tab w:val="left" w:pos="180"/>
              </w:tabs>
              <w:suppressAutoHyphens/>
              <w:rPr>
                <w:del w:id="11902" w:author="Author"/>
                <w:noProof/>
                <w:szCs w:val="22"/>
                <w:lang w:val="it-IT"/>
                <w:rPrChange w:id="11903" w:author="Author">
                  <w:rPr>
                    <w:del w:id="11904" w:author="Author"/>
                    <w:lang w:val="en-GB"/>
                  </w:rPr>
                </w:rPrChange>
              </w:rPr>
              <w:pPrChange w:id="11905" w:author="Author">
                <w:pPr>
                  <w:tabs>
                    <w:tab w:val="left" w:pos="180"/>
                  </w:tabs>
                </w:pPr>
              </w:pPrChange>
            </w:pPr>
            <w:del w:id="11906" w:author="Author">
              <w:r>
                <w:rPr>
                  <w:b/>
                  <w:noProof/>
                  <w:szCs w:val="22"/>
                  <w:lang w:val="it-IT"/>
                </w:rPr>
                <w:delText>Ελλάδα</w:delText>
              </w:r>
            </w:del>
          </w:p>
          <w:p>
            <w:pPr>
              <w:tabs>
                <w:tab w:val="left" w:pos="180"/>
              </w:tabs>
              <w:suppressAutoHyphens/>
              <w:rPr>
                <w:del w:id="11907" w:author="Author"/>
                <w:noProof/>
                <w:szCs w:val="22"/>
                <w:lang w:val="it-IT"/>
                <w:rPrChange w:id="11908" w:author="Author">
                  <w:rPr>
                    <w:del w:id="11909" w:author="Author"/>
                    <w:lang w:val="en-GB"/>
                  </w:rPr>
                </w:rPrChange>
              </w:rPr>
              <w:pPrChange w:id="11910" w:author="Author">
                <w:pPr>
                  <w:tabs>
                    <w:tab w:val="left" w:pos="180"/>
                  </w:tabs>
                </w:pPr>
              </w:pPrChange>
            </w:pPr>
            <w:del w:id="11911" w:author="Author">
              <w:r>
                <w:rPr>
                  <w:noProof/>
                  <w:szCs w:val="22"/>
                  <w:lang w:val="it-IT"/>
                  <w:rPrChange w:id="11912" w:author="Author">
                    <w:rPr>
                      <w:lang w:val="en-GB"/>
                    </w:rPr>
                  </w:rPrChange>
                </w:rPr>
                <w:delText xml:space="preserve">Roche (Hellas) A.E. </w:delText>
              </w:r>
            </w:del>
          </w:p>
          <w:p>
            <w:pPr>
              <w:tabs>
                <w:tab w:val="left" w:pos="180"/>
              </w:tabs>
              <w:suppressAutoHyphens/>
              <w:rPr>
                <w:del w:id="11913" w:author="Author"/>
                <w:noProof/>
                <w:szCs w:val="22"/>
                <w:lang w:val="it-IT"/>
              </w:rPr>
              <w:pPrChange w:id="11914" w:author="Author">
                <w:pPr>
                  <w:tabs>
                    <w:tab w:val="left" w:pos="180"/>
                  </w:tabs>
                </w:pPr>
              </w:pPrChange>
            </w:pPr>
            <w:del w:id="11915" w:author="Author">
              <w:r>
                <w:rPr>
                  <w:noProof/>
                  <w:szCs w:val="22"/>
                  <w:lang w:val="it-IT"/>
                </w:rPr>
                <w:delText>Τηλ: +30 210 61 66 100</w:delText>
              </w:r>
            </w:del>
          </w:p>
          <w:p>
            <w:pPr>
              <w:tabs>
                <w:tab w:val="left" w:pos="180"/>
              </w:tabs>
              <w:suppressAutoHyphens/>
              <w:rPr>
                <w:del w:id="11916" w:author="Author"/>
                <w:noProof/>
                <w:szCs w:val="22"/>
                <w:lang w:val="it-IT"/>
              </w:rPr>
              <w:pPrChange w:id="11917" w:author="Author">
                <w:pPr>
                  <w:tabs>
                    <w:tab w:val="left" w:pos="180"/>
                  </w:tabs>
                </w:pPr>
              </w:pPrChange>
            </w:pPr>
          </w:p>
        </w:tc>
        <w:tc>
          <w:tcPr>
            <w:tcW w:w="4590" w:type="dxa"/>
            <w:tcPrChange w:id="11918" w:author="Author">
              <w:tcPr>
                <w:tcW w:w="4590" w:type="dxa"/>
              </w:tcPr>
            </w:tcPrChange>
          </w:tcPr>
          <w:p>
            <w:pPr>
              <w:tabs>
                <w:tab w:val="left" w:pos="180"/>
              </w:tabs>
              <w:suppressAutoHyphens/>
              <w:rPr>
                <w:del w:id="11919" w:author="Author"/>
                <w:b/>
                <w:noProof/>
                <w:szCs w:val="22"/>
                <w:lang w:val="it-IT"/>
                <w:rPrChange w:id="11920" w:author="Author">
                  <w:rPr>
                    <w:del w:id="11921" w:author="Author"/>
                    <w:b/>
                    <w:lang w:val="it-IT"/>
                  </w:rPr>
                </w:rPrChange>
              </w:rPr>
              <w:pPrChange w:id="11922" w:author="Author">
                <w:pPr>
                  <w:tabs>
                    <w:tab w:val="left" w:pos="180"/>
                  </w:tabs>
                </w:pPr>
              </w:pPrChange>
            </w:pPr>
            <w:del w:id="11923" w:author="Author">
              <w:r>
                <w:rPr>
                  <w:b/>
                  <w:noProof/>
                  <w:szCs w:val="22"/>
                  <w:lang w:val="it-IT"/>
                </w:rPr>
                <w:delText>Polska</w:delText>
              </w:r>
            </w:del>
          </w:p>
          <w:p>
            <w:pPr>
              <w:tabs>
                <w:tab w:val="left" w:pos="180"/>
              </w:tabs>
              <w:suppressAutoHyphens/>
              <w:rPr>
                <w:del w:id="11924" w:author="Author"/>
                <w:noProof/>
                <w:szCs w:val="22"/>
                <w:lang w:val="it-IT"/>
                <w:rPrChange w:id="11925" w:author="Author">
                  <w:rPr>
                    <w:del w:id="11926" w:author="Author"/>
                    <w:lang w:val="it-IT"/>
                  </w:rPr>
                </w:rPrChange>
              </w:rPr>
              <w:pPrChange w:id="11927" w:author="Author">
                <w:pPr>
                  <w:tabs>
                    <w:tab w:val="left" w:pos="180"/>
                  </w:tabs>
                </w:pPr>
              </w:pPrChange>
            </w:pPr>
            <w:del w:id="11928" w:author="Author">
              <w:r>
                <w:rPr>
                  <w:noProof/>
                  <w:szCs w:val="22"/>
                  <w:lang w:val="it-IT"/>
                  <w:rPrChange w:id="11929" w:author="Author">
                    <w:rPr>
                      <w:lang w:val="it-IT"/>
                    </w:rPr>
                  </w:rPrChange>
                </w:rPr>
                <w:delText>Roche PolskaSp.zo.o.</w:delText>
              </w:r>
            </w:del>
          </w:p>
          <w:p>
            <w:pPr>
              <w:tabs>
                <w:tab w:val="left" w:pos="180"/>
              </w:tabs>
              <w:suppressAutoHyphens/>
              <w:rPr>
                <w:del w:id="11930" w:author="Author"/>
                <w:noProof/>
                <w:szCs w:val="22"/>
                <w:lang w:val="it-IT"/>
              </w:rPr>
              <w:pPrChange w:id="11931" w:author="Author">
                <w:pPr>
                  <w:tabs>
                    <w:tab w:val="left" w:pos="180"/>
                  </w:tabs>
                </w:pPr>
              </w:pPrChange>
            </w:pPr>
            <w:del w:id="11932" w:author="Author">
              <w:r>
                <w:rPr>
                  <w:noProof/>
                  <w:szCs w:val="22"/>
                  <w:lang w:val="it-IT"/>
                </w:rPr>
                <w:delText>Tel: +48 - 22 345 18 88</w:delText>
              </w:r>
            </w:del>
          </w:p>
          <w:p>
            <w:pPr>
              <w:tabs>
                <w:tab w:val="left" w:pos="180"/>
              </w:tabs>
              <w:suppressAutoHyphens/>
              <w:rPr>
                <w:del w:id="11933" w:author="Author"/>
                <w:noProof/>
                <w:szCs w:val="22"/>
                <w:lang w:val="it-IT"/>
              </w:rPr>
              <w:pPrChange w:id="11934" w:author="Author">
                <w:pPr>
                  <w:tabs>
                    <w:tab w:val="left" w:pos="180"/>
                  </w:tabs>
                </w:pPr>
              </w:pPrChange>
            </w:pPr>
          </w:p>
        </w:tc>
      </w:tr>
      <w:tr>
        <w:trPr>
          <w:cantSplit/>
          <w:del w:id="11935" w:author="Author"/>
          <w:trPrChange w:id="11936" w:author="Author">
            <w:trPr>
              <w:cantSplit/>
            </w:trPr>
          </w:trPrChange>
        </w:trPr>
        <w:tc>
          <w:tcPr>
            <w:tcW w:w="4590" w:type="dxa"/>
            <w:tcPrChange w:id="11937" w:author="Author">
              <w:tcPr>
                <w:tcW w:w="4590" w:type="dxa"/>
              </w:tcPr>
            </w:tcPrChange>
          </w:tcPr>
          <w:p>
            <w:pPr>
              <w:tabs>
                <w:tab w:val="left" w:pos="180"/>
              </w:tabs>
              <w:suppressAutoHyphens/>
              <w:rPr>
                <w:del w:id="11938" w:author="Author"/>
                <w:b/>
                <w:noProof/>
                <w:szCs w:val="22"/>
                <w:lang w:val="it-IT"/>
              </w:rPr>
              <w:pPrChange w:id="11939" w:author="Author">
                <w:pPr>
                  <w:tabs>
                    <w:tab w:val="left" w:pos="180"/>
                  </w:tabs>
                </w:pPr>
              </w:pPrChange>
            </w:pPr>
            <w:del w:id="11940" w:author="Author">
              <w:r>
                <w:rPr>
                  <w:b/>
                  <w:noProof/>
                  <w:szCs w:val="22"/>
                  <w:lang w:val="it-IT"/>
                </w:rPr>
                <w:delText>España</w:delText>
              </w:r>
            </w:del>
          </w:p>
          <w:p>
            <w:pPr>
              <w:tabs>
                <w:tab w:val="left" w:pos="180"/>
              </w:tabs>
              <w:suppressAutoHyphens/>
              <w:rPr>
                <w:del w:id="11941" w:author="Author"/>
                <w:noProof/>
                <w:szCs w:val="22"/>
                <w:lang w:val="it-IT"/>
              </w:rPr>
              <w:pPrChange w:id="11942" w:author="Author">
                <w:pPr>
                  <w:tabs>
                    <w:tab w:val="left" w:pos="180"/>
                  </w:tabs>
                </w:pPr>
              </w:pPrChange>
            </w:pPr>
            <w:del w:id="11943" w:author="Author">
              <w:r>
                <w:rPr>
                  <w:noProof/>
                  <w:szCs w:val="22"/>
                  <w:lang w:val="it-IT"/>
                </w:rPr>
                <w:delText>Roche Farma S.A.</w:delText>
              </w:r>
            </w:del>
          </w:p>
          <w:p>
            <w:pPr>
              <w:tabs>
                <w:tab w:val="left" w:pos="180"/>
              </w:tabs>
              <w:suppressAutoHyphens/>
              <w:rPr>
                <w:del w:id="11944" w:author="Author"/>
                <w:noProof/>
                <w:szCs w:val="22"/>
                <w:lang w:val="it-IT"/>
              </w:rPr>
              <w:pPrChange w:id="11945" w:author="Author">
                <w:pPr>
                  <w:tabs>
                    <w:tab w:val="left" w:pos="180"/>
                  </w:tabs>
                </w:pPr>
              </w:pPrChange>
            </w:pPr>
            <w:del w:id="11946" w:author="Author">
              <w:r>
                <w:rPr>
                  <w:noProof/>
                  <w:szCs w:val="22"/>
                  <w:lang w:val="it-IT"/>
                </w:rPr>
                <w:delText>Tel: +34 - 91 324 81 00</w:delText>
              </w:r>
            </w:del>
          </w:p>
          <w:p>
            <w:pPr>
              <w:tabs>
                <w:tab w:val="left" w:pos="180"/>
              </w:tabs>
              <w:suppressAutoHyphens/>
              <w:rPr>
                <w:del w:id="11947" w:author="Author"/>
                <w:noProof/>
                <w:szCs w:val="22"/>
                <w:lang w:val="it-IT"/>
              </w:rPr>
              <w:pPrChange w:id="11948" w:author="Author">
                <w:pPr>
                  <w:tabs>
                    <w:tab w:val="left" w:pos="180"/>
                  </w:tabs>
                </w:pPr>
              </w:pPrChange>
            </w:pPr>
          </w:p>
        </w:tc>
        <w:tc>
          <w:tcPr>
            <w:tcW w:w="4590" w:type="dxa"/>
            <w:tcPrChange w:id="11949" w:author="Author">
              <w:tcPr>
                <w:tcW w:w="4590" w:type="dxa"/>
              </w:tcPr>
            </w:tcPrChange>
          </w:tcPr>
          <w:p>
            <w:pPr>
              <w:tabs>
                <w:tab w:val="left" w:pos="180"/>
              </w:tabs>
              <w:suppressAutoHyphens/>
              <w:rPr>
                <w:del w:id="11950" w:author="Author"/>
                <w:noProof/>
                <w:szCs w:val="22"/>
                <w:lang w:val="it-IT"/>
              </w:rPr>
              <w:pPrChange w:id="11951" w:author="Author">
                <w:pPr>
                  <w:tabs>
                    <w:tab w:val="left" w:pos="180"/>
                  </w:tabs>
                </w:pPr>
              </w:pPrChange>
            </w:pPr>
            <w:del w:id="11952" w:author="Author">
              <w:r>
                <w:rPr>
                  <w:b/>
                  <w:noProof/>
                  <w:szCs w:val="22"/>
                  <w:lang w:val="it-IT"/>
                </w:rPr>
                <w:delText>Portugal</w:delText>
              </w:r>
            </w:del>
          </w:p>
          <w:p>
            <w:pPr>
              <w:tabs>
                <w:tab w:val="left" w:pos="180"/>
              </w:tabs>
              <w:suppressAutoHyphens/>
              <w:rPr>
                <w:del w:id="11953" w:author="Author"/>
                <w:noProof/>
                <w:szCs w:val="22"/>
                <w:lang w:val="it-IT"/>
              </w:rPr>
              <w:pPrChange w:id="11954" w:author="Author">
                <w:pPr>
                  <w:tabs>
                    <w:tab w:val="left" w:pos="180"/>
                  </w:tabs>
                </w:pPr>
              </w:pPrChange>
            </w:pPr>
            <w:del w:id="11955" w:author="Author">
              <w:r>
                <w:rPr>
                  <w:noProof/>
                  <w:szCs w:val="22"/>
                  <w:lang w:val="it-IT"/>
                </w:rPr>
                <w:delText>Roche FarmacêuticaQuímica, Lda</w:delText>
              </w:r>
            </w:del>
          </w:p>
          <w:p>
            <w:pPr>
              <w:tabs>
                <w:tab w:val="left" w:pos="180"/>
              </w:tabs>
              <w:suppressAutoHyphens/>
              <w:rPr>
                <w:del w:id="11956" w:author="Author"/>
                <w:noProof/>
                <w:szCs w:val="22"/>
                <w:lang w:val="it-IT"/>
              </w:rPr>
              <w:pPrChange w:id="11957" w:author="Author">
                <w:pPr>
                  <w:tabs>
                    <w:tab w:val="left" w:pos="180"/>
                  </w:tabs>
                </w:pPr>
              </w:pPrChange>
            </w:pPr>
            <w:del w:id="11958" w:author="Author">
              <w:r>
                <w:rPr>
                  <w:noProof/>
                  <w:szCs w:val="22"/>
                  <w:lang w:val="it-IT"/>
                </w:rPr>
                <w:delText>Tel: +351 - 21 425 70 00</w:delText>
              </w:r>
            </w:del>
          </w:p>
          <w:p>
            <w:pPr>
              <w:tabs>
                <w:tab w:val="left" w:pos="180"/>
              </w:tabs>
              <w:suppressAutoHyphens/>
              <w:rPr>
                <w:del w:id="11959" w:author="Author"/>
                <w:noProof/>
                <w:szCs w:val="22"/>
                <w:lang w:val="it-IT"/>
              </w:rPr>
              <w:pPrChange w:id="11960" w:author="Author">
                <w:pPr>
                  <w:tabs>
                    <w:tab w:val="left" w:pos="180"/>
                  </w:tabs>
                </w:pPr>
              </w:pPrChange>
            </w:pPr>
          </w:p>
        </w:tc>
      </w:tr>
      <w:tr>
        <w:trPr>
          <w:cantSplit/>
          <w:del w:id="11961" w:author="Author"/>
          <w:trPrChange w:id="11962" w:author="Author">
            <w:trPr>
              <w:cantSplit/>
            </w:trPr>
          </w:trPrChange>
        </w:trPr>
        <w:tc>
          <w:tcPr>
            <w:tcW w:w="4590" w:type="dxa"/>
            <w:tcPrChange w:id="11963" w:author="Author">
              <w:tcPr>
                <w:tcW w:w="4590" w:type="dxa"/>
              </w:tcPr>
            </w:tcPrChange>
          </w:tcPr>
          <w:p>
            <w:pPr>
              <w:tabs>
                <w:tab w:val="left" w:pos="180"/>
              </w:tabs>
              <w:suppressAutoHyphens/>
              <w:rPr>
                <w:del w:id="11964" w:author="Author"/>
                <w:noProof/>
                <w:szCs w:val="22"/>
                <w:lang w:val="it-IT"/>
              </w:rPr>
              <w:pPrChange w:id="11965" w:author="Author">
                <w:pPr>
                  <w:tabs>
                    <w:tab w:val="left" w:pos="180"/>
                  </w:tabs>
                </w:pPr>
              </w:pPrChange>
            </w:pPr>
            <w:del w:id="11966" w:author="Author">
              <w:r>
                <w:rPr>
                  <w:b/>
                  <w:noProof/>
                  <w:szCs w:val="22"/>
                  <w:lang w:val="it-IT"/>
                </w:rPr>
                <w:delText>France</w:delText>
              </w:r>
            </w:del>
          </w:p>
          <w:p>
            <w:pPr>
              <w:tabs>
                <w:tab w:val="left" w:pos="180"/>
              </w:tabs>
              <w:suppressAutoHyphens/>
              <w:rPr>
                <w:del w:id="11967" w:author="Author"/>
                <w:noProof/>
                <w:szCs w:val="22"/>
                <w:lang w:val="it-IT"/>
              </w:rPr>
              <w:pPrChange w:id="11968" w:author="Author">
                <w:pPr>
                  <w:tabs>
                    <w:tab w:val="left" w:pos="180"/>
                  </w:tabs>
                </w:pPr>
              </w:pPrChange>
            </w:pPr>
            <w:del w:id="11969" w:author="Author">
              <w:r>
                <w:rPr>
                  <w:noProof/>
                  <w:szCs w:val="22"/>
                  <w:lang w:val="it-IT"/>
                </w:rPr>
                <w:delText>Roche</w:delText>
              </w:r>
            </w:del>
          </w:p>
          <w:p>
            <w:pPr>
              <w:tabs>
                <w:tab w:val="left" w:pos="180"/>
              </w:tabs>
              <w:suppressAutoHyphens/>
              <w:rPr>
                <w:del w:id="11970" w:author="Author"/>
                <w:noProof/>
                <w:szCs w:val="22"/>
                <w:lang w:val="it-IT"/>
              </w:rPr>
              <w:pPrChange w:id="11971" w:author="Author">
                <w:pPr>
                  <w:tabs>
                    <w:tab w:val="left" w:pos="180"/>
                  </w:tabs>
                </w:pPr>
              </w:pPrChange>
            </w:pPr>
            <w:del w:id="11972" w:author="Author">
              <w:r>
                <w:rPr>
                  <w:noProof/>
                  <w:szCs w:val="22"/>
                  <w:lang w:val="it-IT"/>
                </w:rPr>
                <w:delText>Tél: +33 (0) 1 47 61 40 00</w:delText>
              </w:r>
            </w:del>
          </w:p>
          <w:p>
            <w:pPr>
              <w:tabs>
                <w:tab w:val="left" w:pos="180"/>
              </w:tabs>
              <w:suppressAutoHyphens/>
              <w:rPr>
                <w:del w:id="11973" w:author="Author"/>
                <w:rFonts w:eastAsia="PMingLiU"/>
                <w:noProof/>
                <w:szCs w:val="22"/>
                <w:lang w:val="it-IT"/>
              </w:rPr>
              <w:pPrChange w:id="11974" w:author="Author">
                <w:pPr>
                  <w:tabs>
                    <w:tab w:val="left" w:pos="180"/>
                  </w:tabs>
                </w:pPr>
              </w:pPrChange>
            </w:pPr>
            <w:del w:id="11975" w:author="Author">
              <w:r>
                <w:rPr>
                  <w:noProof/>
                  <w:szCs w:val="22"/>
                  <w:lang w:val="it-IT"/>
                </w:rPr>
                <w:delText>ou</w:delText>
              </w:r>
            </w:del>
          </w:p>
          <w:p>
            <w:pPr>
              <w:tabs>
                <w:tab w:val="left" w:pos="180"/>
              </w:tabs>
              <w:suppressAutoHyphens/>
              <w:rPr>
                <w:del w:id="11976" w:author="Author"/>
                <w:rFonts w:eastAsia="PMingLiU"/>
                <w:noProof/>
                <w:szCs w:val="22"/>
                <w:lang w:val="it-IT"/>
              </w:rPr>
              <w:pPrChange w:id="11977" w:author="Author">
                <w:pPr>
                  <w:tabs>
                    <w:tab w:val="left" w:pos="180"/>
                  </w:tabs>
                </w:pPr>
              </w:pPrChange>
            </w:pPr>
            <w:del w:id="11978" w:author="Author">
              <w:r>
                <w:rPr>
                  <w:noProof/>
                  <w:szCs w:val="22"/>
                  <w:lang w:val="it-IT"/>
                </w:rPr>
                <w:delText>ChugaiPharma France</w:delText>
              </w:r>
            </w:del>
          </w:p>
          <w:p>
            <w:pPr>
              <w:tabs>
                <w:tab w:val="left" w:pos="180"/>
              </w:tabs>
              <w:suppressAutoHyphens/>
              <w:rPr>
                <w:del w:id="11979" w:author="Author"/>
                <w:noProof/>
                <w:szCs w:val="22"/>
                <w:lang w:val="it-IT"/>
              </w:rPr>
              <w:pPrChange w:id="11980" w:author="Author">
                <w:pPr>
                  <w:tabs>
                    <w:tab w:val="left" w:pos="180"/>
                  </w:tabs>
                </w:pPr>
              </w:pPrChange>
            </w:pPr>
            <w:del w:id="11981" w:author="Author">
              <w:r>
                <w:rPr>
                  <w:noProof/>
                  <w:szCs w:val="22"/>
                  <w:lang w:val="it-IT"/>
                </w:rPr>
                <w:delText>Tél: +33 (0) 1 56 37 05 20</w:delText>
              </w:r>
            </w:del>
          </w:p>
          <w:p>
            <w:pPr>
              <w:tabs>
                <w:tab w:val="left" w:pos="180"/>
              </w:tabs>
              <w:suppressAutoHyphens/>
              <w:rPr>
                <w:del w:id="11982" w:author="Author"/>
                <w:b/>
                <w:noProof/>
                <w:szCs w:val="22"/>
                <w:lang w:val="it-IT"/>
              </w:rPr>
              <w:pPrChange w:id="11983" w:author="Author">
                <w:pPr>
                  <w:tabs>
                    <w:tab w:val="left" w:pos="180"/>
                  </w:tabs>
                </w:pPr>
              </w:pPrChange>
            </w:pPr>
          </w:p>
        </w:tc>
        <w:tc>
          <w:tcPr>
            <w:tcW w:w="4590" w:type="dxa"/>
            <w:tcPrChange w:id="11984" w:author="Author">
              <w:tcPr>
                <w:tcW w:w="4590" w:type="dxa"/>
              </w:tcPr>
            </w:tcPrChange>
          </w:tcPr>
          <w:p>
            <w:pPr>
              <w:tabs>
                <w:tab w:val="left" w:pos="-720"/>
                <w:tab w:val="left" w:pos="180"/>
                <w:tab w:val="left" w:pos="567"/>
                <w:tab w:val="left" w:pos="4536"/>
              </w:tabs>
              <w:suppressAutoHyphens/>
              <w:rPr>
                <w:del w:id="11985" w:author="Author"/>
                <w:b/>
                <w:noProof/>
                <w:szCs w:val="22"/>
                <w:lang w:val="it-IT"/>
              </w:rPr>
              <w:pPrChange w:id="11986" w:author="Author">
                <w:pPr>
                  <w:tabs>
                    <w:tab w:val="left" w:pos="-720"/>
                    <w:tab w:val="left" w:pos="180"/>
                    <w:tab w:val="left" w:pos="567"/>
                    <w:tab w:val="left" w:pos="4536"/>
                  </w:tabs>
                  <w:suppressAutoHyphens/>
                  <w:spacing w:line="260" w:lineRule="exact"/>
                </w:pPr>
              </w:pPrChange>
            </w:pPr>
            <w:del w:id="11987" w:author="Author">
              <w:r>
                <w:rPr>
                  <w:b/>
                  <w:noProof/>
                  <w:szCs w:val="22"/>
                  <w:lang w:val="it-IT"/>
                </w:rPr>
                <w:delText>România</w:delText>
              </w:r>
            </w:del>
          </w:p>
          <w:p>
            <w:pPr>
              <w:tabs>
                <w:tab w:val="left" w:pos="-720"/>
                <w:tab w:val="left" w:pos="180"/>
                <w:tab w:val="left" w:pos="4536"/>
              </w:tabs>
              <w:suppressAutoHyphens/>
              <w:rPr>
                <w:del w:id="11988" w:author="Author"/>
                <w:noProof/>
                <w:szCs w:val="22"/>
                <w:lang w:val="it-IT"/>
              </w:rPr>
            </w:pPr>
            <w:del w:id="11989" w:author="Author">
              <w:r>
                <w:rPr>
                  <w:noProof/>
                  <w:szCs w:val="22"/>
                  <w:lang w:val="it-IT"/>
                </w:rPr>
                <w:delText>Roche România S.R.L.</w:delText>
              </w:r>
            </w:del>
          </w:p>
          <w:p>
            <w:pPr>
              <w:tabs>
                <w:tab w:val="left" w:pos="-720"/>
                <w:tab w:val="left" w:pos="180"/>
                <w:tab w:val="left" w:pos="4536"/>
              </w:tabs>
              <w:suppressAutoHyphens/>
              <w:rPr>
                <w:del w:id="11990" w:author="Author"/>
                <w:noProof/>
                <w:szCs w:val="22"/>
                <w:lang w:val="it-IT"/>
              </w:rPr>
            </w:pPr>
            <w:del w:id="11991" w:author="Author">
              <w:r>
                <w:rPr>
                  <w:noProof/>
                  <w:szCs w:val="22"/>
                  <w:lang w:val="it-IT"/>
                </w:rPr>
                <w:delText>Tel: +40 21 206 47 01</w:delText>
              </w:r>
            </w:del>
          </w:p>
          <w:p>
            <w:pPr>
              <w:tabs>
                <w:tab w:val="left" w:pos="-720"/>
                <w:tab w:val="left" w:pos="180"/>
                <w:tab w:val="left" w:pos="4536"/>
              </w:tabs>
              <w:suppressAutoHyphens/>
              <w:rPr>
                <w:del w:id="11992" w:author="Author"/>
                <w:noProof/>
                <w:szCs w:val="22"/>
                <w:lang w:val="it-IT"/>
              </w:rPr>
            </w:pPr>
          </w:p>
        </w:tc>
      </w:tr>
      <w:tr>
        <w:trPr>
          <w:cantSplit/>
          <w:del w:id="11993" w:author="Author"/>
          <w:trPrChange w:id="11994" w:author="Author">
            <w:trPr>
              <w:cantSplit/>
            </w:trPr>
          </w:trPrChange>
        </w:trPr>
        <w:tc>
          <w:tcPr>
            <w:tcW w:w="4590" w:type="dxa"/>
            <w:tcPrChange w:id="11995" w:author="Author">
              <w:tcPr>
                <w:tcW w:w="4590" w:type="dxa"/>
              </w:tcPr>
            </w:tcPrChange>
          </w:tcPr>
          <w:p>
            <w:pPr>
              <w:tabs>
                <w:tab w:val="left" w:pos="180"/>
              </w:tabs>
              <w:suppressAutoHyphens/>
              <w:rPr>
                <w:del w:id="11996" w:author="Author"/>
                <w:b/>
                <w:noProof/>
                <w:szCs w:val="22"/>
                <w:lang w:val="it-IT"/>
                <w:rPrChange w:id="11997" w:author="Author">
                  <w:rPr>
                    <w:del w:id="11998" w:author="Author"/>
                    <w:b/>
                    <w:lang w:val="fr-FR"/>
                  </w:rPr>
                </w:rPrChange>
              </w:rPr>
              <w:pPrChange w:id="11999" w:author="Author">
                <w:pPr>
                  <w:tabs>
                    <w:tab w:val="left" w:pos="180"/>
                  </w:tabs>
                </w:pPr>
              </w:pPrChange>
            </w:pPr>
            <w:del w:id="12000" w:author="Author">
              <w:r>
                <w:rPr>
                  <w:b/>
                  <w:noProof/>
                  <w:szCs w:val="22"/>
                  <w:lang w:val="it-IT"/>
                  <w:rPrChange w:id="12001" w:author="Author">
                    <w:rPr>
                      <w:b/>
                      <w:lang w:val="fr-FR"/>
                    </w:rPr>
                  </w:rPrChange>
                </w:rPr>
                <w:delText>Hrvatska</w:delText>
              </w:r>
            </w:del>
          </w:p>
          <w:p>
            <w:pPr>
              <w:tabs>
                <w:tab w:val="left" w:pos="180"/>
              </w:tabs>
              <w:suppressAutoHyphens/>
              <w:rPr>
                <w:del w:id="12002" w:author="Author"/>
                <w:noProof/>
                <w:szCs w:val="22"/>
                <w:lang w:val="it-IT"/>
                <w:rPrChange w:id="12003" w:author="Author">
                  <w:rPr>
                    <w:del w:id="12004" w:author="Author"/>
                    <w:lang w:val="fr-FR"/>
                  </w:rPr>
                </w:rPrChange>
              </w:rPr>
              <w:pPrChange w:id="12005" w:author="Author">
                <w:pPr>
                  <w:tabs>
                    <w:tab w:val="left" w:pos="180"/>
                  </w:tabs>
                </w:pPr>
              </w:pPrChange>
            </w:pPr>
            <w:del w:id="12006" w:author="Author">
              <w:r>
                <w:rPr>
                  <w:noProof/>
                  <w:szCs w:val="22"/>
                  <w:lang w:val="it-IT"/>
                  <w:rPrChange w:id="12007" w:author="Author">
                    <w:rPr>
                      <w:lang w:val="fr-FR"/>
                    </w:rPr>
                  </w:rPrChange>
                </w:rPr>
                <w:delText>Roche d.o.o.</w:delText>
              </w:r>
            </w:del>
          </w:p>
          <w:p>
            <w:pPr>
              <w:tabs>
                <w:tab w:val="left" w:pos="180"/>
              </w:tabs>
              <w:suppressAutoHyphens/>
              <w:rPr>
                <w:del w:id="12008" w:author="Author"/>
                <w:b/>
                <w:noProof/>
                <w:szCs w:val="22"/>
                <w:lang w:val="it-IT"/>
              </w:rPr>
              <w:pPrChange w:id="12009" w:author="Author">
                <w:pPr>
                  <w:tabs>
                    <w:tab w:val="left" w:pos="180"/>
                  </w:tabs>
                </w:pPr>
              </w:pPrChange>
            </w:pPr>
            <w:del w:id="12010" w:author="Author">
              <w:r>
                <w:rPr>
                  <w:noProof/>
                  <w:szCs w:val="22"/>
                  <w:lang w:val="it-IT"/>
                </w:rPr>
                <w:delText>Tel: +385 1 47 22 333</w:delText>
              </w:r>
            </w:del>
          </w:p>
          <w:p>
            <w:pPr>
              <w:tabs>
                <w:tab w:val="left" w:pos="180"/>
              </w:tabs>
              <w:suppressAutoHyphens/>
              <w:rPr>
                <w:del w:id="12011" w:author="Author"/>
                <w:b/>
                <w:noProof/>
                <w:szCs w:val="22"/>
                <w:lang w:val="it-IT"/>
              </w:rPr>
              <w:pPrChange w:id="12012" w:author="Author">
                <w:pPr>
                  <w:tabs>
                    <w:tab w:val="left" w:pos="180"/>
                  </w:tabs>
                </w:pPr>
              </w:pPrChange>
            </w:pPr>
          </w:p>
          <w:p>
            <w:pPr>
              <w:tabs>
                <w:tab w:val="left" w:pos="180"/>
              </w:tabs>
              <w:suppressAutoHyphens/>
              <w:rPr>
                <w:del w:id="12013" w:author="Author"/>
                <w:b/>
                <w:noProof/>
                <w:szCs w:val="22"/>
                <w:lang w:val="it-IT"/>
              </w:rPr>
              <w:pPrChange w:id="12014" w:author="Author">
                <w:pPr>
                  <w:tabs>
                    <w:tab w:val="left" w:pos="180"/>
                  </w:tabs>
                </w:pPr>
              </w:pPrChange>
            </w:pPr>
            <w:del w:id="12015" w:author="Author">
              <w:r>
                <w:rPr>
                  <w:b/>
                  <w:noProof/>
                  <w:szCs w:val="22"/>
                  <w:lang w:val="it-IT"/>
                </w:rPr>
                <w:delText>Ireland</w:delText>
              </w:r>
            </w:del>
          </w:p>
          <w:p>
            <w:pPr>
              <w:tabs>
                <w:tab w:val="left" w:pos="180"/>
              </w:tabs>
              <w:suppressAutoHyphens/>
              <w:rPr>
                <w:del w:id="12016" w:author="Author"/>
                <w:noProof/>
                <w:szCs w:val="22"/>
                <w:lang w:val="it-IT"/>
              </w:rPr>
              <w:pPrChange w:id="12017" w:author="Author">
                <w:pPr>
                  <w:tabs>
                    <w:tab w:val="left" w:pos="180"/>
                  </w:tabs>
                </w:pPr>
              </w:pPrChange>
            </w:pPr>
            <w:del w:id="12018" w:author="Author">
              <w:r>
                <w:rPr>
                  <w:noProof/>
                  <w:szCs w:val="22"/>
                  <w:lang w:val="it-IT"/>
                </w:rPr>
                <w:delText>Roche Products (Ireland) Ltd.</w:delText>
              </w:r>
            </w:del>
          </w:p>
          <w:p>
            <w:pPr>
              <w:tabs>
                <w:tab w:val="left" w:pos="180"/>
              </w:tabs>
              <w:suppressAutoHyphens/>
              <w:rPr>
                <w:del w:id="12019" w:author="Author"/>
                <w:noProof/>
                <w:szCs w:val="22"/>
                <w:lang w:val="it-IT"/>
              </w:rPr>
              <w:pPrChange w:id="12020" w:author="Author">
                <w:pPr>
                  <w:tabs>
                    <w:tab w:val="left" w:pos="180"/>
                  </w:tabs>
                </w:pPr>
              </w:pPrChange>
            </w:pPr>
            <w:del w:id="12021" w:author="Author">
              <w:r>
                <w:rPr>
                  <w:noProof/>
                  <w:szCs w:val="22"/>
                  <w:lang w:val="it-IT"/>
                </w:rPr>
                <w:delText>Tel: +353 (0) 1 469 0700</w:delText>
              </w:r>
            </w:del>
          </w:p>
          <w:p>
            <w:pPr>
              <w:tabs>
                <w:tab w:val="left" w:pos="180"/>
              </w:tabs>
              <w:suppressAutoHyphens/>
              <w:rPr>
                <w:del w:id="12022" w:author="Author"/>
                <w:noProof/>
                <w:szCs w:val="22"/>
                <w:lang w:val="it-IT"/>
              </w:rPr>
              <w:pPrChange w:id="12023" w:author="Author">
                <w:pPr>
                  <w:tabs>
                    <w:tab w:val="left" w:pos="180"/>
                  </w:tabs>
                </w:pPr>
              </w:pPrChange>
            </w:pPr>
          </w:p>
        </w:tc>
        <w:tc>
          <w:tcPr>
            <w:tcW w:w="4590" w:type="dxa"/>
            <w:tcPrChange w:id="12024" w:author="Author">
              <w:tcPr>
                <w:tcW w:w="4590" w:type="dxa"/>
              </w:tcPr>
            </w:tcPrChange>
          </w:tcPr>
          <w:p>
            <w:pPr>
              <w:tabs>
                <w:tab w:val="left" w:pos="180"/>
              </w:tabs>
              <w:suppressAutoHyphens/>
              <w:rPr>
                <w:del w:id="12025" w:author="Author"/>
                <w:b/>
                <w:noProof/>
                <w:szCs w:val="22"/>
                <w:lang w:val="it-IT"/>
              </w:rPr>
              <w:pPrChange w:id="12026" w:author="Author">
                <w:pPr>
                  <w:tabs>
                    <w:tab w:val="left" w:pos="180"/>
                  </w:tabs>
                </w:pPr>
              </w:pPrChange>
            </w:pPr>
          </w:p>
          <w:p>
            <w:pPr>
              <w:tabs>
                <w:tab w:val="left" w:pos="180"/>
              </w:tabs>
              <w:suppressAutoHyphens/>
              <w:rPr>
                <w:del w:id="12027" w:author="Author"/>
                <w:b/>
                <w:noProof/>
                <w:szCs w:val="22"/>
                <w:lang w:val="it-IT"/>
              </w:rPr>
              <w:pPrChange w:id="12028" w:author="Author">
                <w:pPr>
                  <w:tabs>
                    <w:tab w:val="left" w:pos="180"/>
                  </w:tabs>
                </w:pPr>
              </w:pPrChange>
            </w:pPr>
          </w:p>
          <w:p>
            <w:pPr>
              <w:tabs>
                <w:tab w:val="left" w:pos="180"/>
              </w:tabs>
              <w:suppressAutoHyphens/>
              <w:rPr>
                <w:del w:id="12029" w:author="Author"/>
                <w:b/>
                <w:noProof/>
                <w:szCs w:val="22"/>
                <w:lang w:val="it-IT"/>
              </w:rPr>
              <w:pPrChange w:id="12030" w:author="Author">
                <w:pPr>
                  <w:tabs>
                    <w:tab w:val="left" w:pos="180"/>
                  </w:tabs>
                </w:pPr>
              </w:pPrChange>
            </w:pPr>
          </w:p>
          <w:p>
            <w:pPr>
              <w:tabs>
                <w:tab w:val="left" w:pos="180"/>
              </w:tabs>
              <w:suppressAutoHyphens/>
              <w:rPr>
                <w:del w:id="12031" w:author="Author"/>
                <w:b/>
                <w:noProof/>
                <w:szCs w:val="22"/>
                <w:lang w:val="it-IT"/>
              </w:rPr>
              <w:pPrChange w:id="12032" w:author="Author">
                <w:pPr>
                  <w:tabs>
                    <w:tab w:val="left" w:pos="180"/>
                  </w:tabs>
                </w:pPr>
              </w:pPrChange>
            </w:pPr>
          </w:p>
          <w:p>
            <w:pPr>
              <w:tabs>
                <w:tab w:val="left" w:pos="180"/>
              </w:tabs>
              <w:suppressAutoHyphens/>
              <w:rPr>
                <w:del w:id="12033" w:author="Author"/>
                <w:b/>
                <w:noProof/>
                <w:szCs w:val="22"/>
                <w:lang w:val="it-IT"/>
              </w:rPr>
              <w:pPrChange w:id="12034" w:author="Author">
                <w:pPr>
                  <w:tabs>
                    <w:tab w:val="left" w:pos="180"/>
                  </w:tabs>
                </w:pPr>
              </w:pPrChange>
            </w:pPr>
            <w:del w:id="12035" w:author="Author">
              <w:r>
                <w:rPr>
                  <w:b/>
                  <w:noProof/>
                  <w:szCs w:val="22"/>
                  <w:lang w:val="it-IT"/>
                </w:rPr>
                <w:delText>Slovenija</w:delText>
              </w:r>
            </w:del>
          </w:p>
          <w:p>
            <w:pPr>
              <w:tabs>
                <w:tab w:val="left" w:pos="180"/>
              </w:tabs>
              <w:suppressAutoHyphens/>
              <w:rPr>
                <w:del w:id="12036" w:author="Author"/>
                <w:noProof/>
                <w:szCs w:val="22"/>
                <w:lang w:val="it-IT"/>
              </w:rPr>
              <w:pPrChange w:id="12037" w:author="Author">
                <w:pPr>
                  <w:tabs>
                    <w:tab w:val="left" w:pos="180"/>
                  </w:tabs>
                </w:pPr>
              </w:pPrChange>
            </w:pPr>
            <w:del w:id="12038" w:author="Author">
              <w:r>
                <w:rPr>
                  <w:noProof/>
                  <w:szCs w:val="22"/>
                  <w:lang w:val="it-IT"/>
                </w:rPr>
                <w:delText>Roche farmacevtskadružbad.o.o.</w:delText>
              </w:r>
            </w:del>
          </w:p>
          <w:p>
            <w:pPr>
              <w:tabs>
                <w:tab w:val="left" w:pos="180"/>
              </w:tabs>
              <w:suppressAutoHyphens/>
              <w:rPr>
                <w:del w:id="12039" w:author="Author"/>
                <w:rFonts w:eastAsia="MS Mincho"/>
                <w:noProof/>
                <w:szCs w:val="22"/>
                <w:lang w:val="it-IT"/>
              </w:rPr>
              <w:pPrChange w:id="12040" w:author="Author">
                <w:pPr>
                  <w:tabs>
                    <w:tab w:val="left" w:pos="180"/>
                  </w:tabs>
                </w:pPr>
              </w:pPrChange>
            </w:pPr>
            <w:del w:id="12041" w:author="Author">
              <w:r>
                <w:rPr>
                  <w:noProof/>
                  <w:szCs w:val="22"/>
                  <w:lang w:val="it-IT"/>
                </w:rPr>
                <w:delText>Tel: +386 - 1 360 26 00</w:delText>
              </w:r>
            </w:del>
          </w:p>
          <w:p>
            <w:pPr>
              <w:tabs>
                <w:tab w:val="left" w:pos="180"/>
              </w:tabs>
              <w:suppressAutoHyphens/>
              <w:rPr>
                <w:del w:id="12042" w:author="Author"/>
                <w:noProof/>
                <w:szCs w:val="22"/>
                <w:lang w:val="it-IT"/>
              </w:rPr>
              <w:pPrChange w:id="12043" w:author="Author">
                <w:pPr>
                  <w:tabs>
                    <w:tab w:val="left" w:pos="180"/>
                  </w:tabs>
                </w:pPr>
              </w:pPrChange>
            </w:pPr>
          </w:p>
        </w:tc>
      </w:tr>
      <w:tr>
        <w:trPr>
          <w:cantSplit/>
          <w:del w:id="12044" w:author="Author"/>
          <w:trPrChange w:id="12045" w:author="Author">
            <w:trPr>
              <w:cantSplit/>
            </w:trPr>
          </w:trPrChange>
        </w:trPr>
        <w:tc>
          <w:tcPr>
            <w:tcW w:w="4590" w:type="dxa"/>
            <w:tcPrChange w:id="12046" w:author="Author">
              <w:tcPr>
                <w:tcW w:w="4590" w:type="dxa"/>
              </w:tcPr>
            </w:tcPrChange>
          </w:tcPr>
          <w:p>
            <w:pPr>
              <w:tabs>
                <w:tab w:val="left" w:pos="180"/>
                <w:tab w:val="left" w:pos="720"/>
              </w:tabs>
              <w:suppressAutoHyphens/>
              <w:rPr>
                <w:del w:id="12047" w:author="Author"/>
                <w:b/>
                <w:noProof/>
                <w:snapToGrid w:val="0"/>
                <w:szCs w:val="22"/>
                <w:lang w:val="it-IT"/>
              </w:rPr>
              <w:pPrChange w:id="12048" w:author="Author">
                <w:pPr>
                  <w:tabs>
                    <w:tab w:val="left" w:pos="180"/>
                    <w:tab w:val="left" w:pos="720"/>
                  </w:tabs>
                </w:pPr>
              </w:pPrChange>
            </w:pPr>
            <w:del w:id="12049" w:author="Author">
              <w:r>
                <w:rPr>
                  <w:b/>
                  <w:noProof/>
                  <w:snapToGrid w:val="0"/>
                  <w:szCs w:val="22"/>
                  <w:lang w:val="it-IT"/>
                </w:rPr>
                <w:delText>Ísland</w:delText>
              </w:r>
            </w:del>
          </w:p>
          <w:p>
            <w:pPr>
              <w:tabs>
                <w:tab w:val="left" w:pos="180"/>
                <w:tab w:val="left" w:pos="720"/>
              </w:tabs>
              <w:suppressAutoHyphens/>
              <w:rPr>
                <w:del w:id="12050" w:author="Author"/>
                <w:noProof/>
                <w:snapToGrid w:val="0"/>
                <w:szCs w:val="22"/>
                <w:lang w:val="it-IT"/>
              </w:rPr>
              <w:pPrChange w:id="12051" w:author="Author">
                <w:pPr>
                  <w:tabs>
                    <w:tab w:val="left" w:pos="180"/>
                    <w:tab w:val="left" w:pos="720"/>
                  </w:tabs>
                </w:pPr>
              </w:pPrChange>
            </w:pPr>
            <w:del w:id="12052" w:author="Author">
              <w:r>
                <w:rPr>
                  <w:noProof/>
                  <w:szCs w:val="22"/>
                  <w:lang w:val="it-IT"/>
                </w:rPr>
                <w:delText>Roche Pharmaceuticals A/S</w:delText>
              </w:r>
            </w:del>
          </w:p>
          <w:p>
            <w:pPr>
              <w:tabs>
                <w:tab w:val="left" w:pos="180"/>
                <w:tab w:val="left" w:pos="720"/>
              </w:tabs>
              <w:suppressAutoHyphens/>
              <w:rPr>
                <w:del w:id="12053" w:author="Author"/>
                <w:noProof/>
                <w:snapToGrid w:val="0"/>
                <w:szCs w:val="22"/>
                <w:lang w:val="it-IT"/>
              </w:rPr>
              <w:pPrChange w:id="12054" w:author="Author">
                <w:pPr>
                  <w:tabs>
                    <w:tab w:val="left" w:pos="180"/>
                    <w:tab w:val="left" w:pos="720"/>
                  </w:tabs>
                </w:pPr>
              </w:pPrChange>
            </w:pPr>
            <w:del w:id="12055" w:author="Author">
              <w:r>
                <w:rPr>
                  <w:noProof/>
                  <w:szCs w:val="22"/>
                  <w:lang w:val="it-IT"/>
                </w:rPr>
                <w:delText>c/o Icepharmahf</w:delText>
              </w:r>
            </w:del>
          </w:p>
          <w:p>
            <w:pPr>
              <w:tabs>
                <w:tab w:val="left" w:pos="180"/>
              </w:tabs>
              <w:suppressAutoHyphens/>
              <w:rPr>
                <w:del w:id="12056" w:author="Author"/>
                <w:noProof/>
                <w:snapToGrid w:val="0"/>
                <w:szCs w:val="22"/>
                <w:lang w:val="it-IT"/>
                <w:rPrChange w:id="12057" w:author="Author">
                  <w:rPr>
                    <w:del w:id="12058" w:author="Author"/>
                    <w:rFonts w:ascii="Arial" w:hAnsi="Arial"/>
                    <w:snapToGrid w:val="0"/>
                    <w:lang w:val="it-IT"/>
                  </w:rPr>
                </w:rPrChange>
              </w:rPr>
              <w:pPrChange w:id="12059" w:author="Author">
                <w:pPr>
                  <w:tabs>
                    <w:tab w:val="left" w:pos="180"/>
                  </w:tabs>
                </w:pPr>
              </w:pPrChange>
            </w:pPr>
            <w:del w:id="12060" w:author="Author">
              <w:r>
                <w:rPr>
                  <w:noProof/>
                  <w:szCs w:val="22"/>
                  <w:lang w:val="it-IT"/>
                </w:rPr>
                <w:delText>Sími: +354 540 8000</w:delText>
              </w:r>
            </w:del>
          </w:p>
          <w:p>
            <w:pPr>
              <w:tabs>
                <w:tab w:val="left" w:pos="180"/>
                <w:tab w:val="left" w:pos="720"/>
              </w:tabs>
              <w:suppressAutoHyphens/>
              <w:autoSpaceDE w:val="0"/>
              <w:autoSpaceDN w:val="0"/>
              <w:adjustRightInd w:val="0"/>
              <w:rPr>
                <w:del w:id="12061" w:author="Author"/>
                <w:b/>
                <w:noProof/>
                <w:szCs w:val="22"/>
                <w:lang w:val="it-IT"/>
              </w:rPr>
              <w:pPrChange w:id="12062" w:author="Author">
                <w:pPr>
                  <w:tabs>
                    <w:tab w:val="left" w:pos="180"/>
                    <w:tab w:val="left" w:pos="720"/>
                  </w:tabs>
                  <w:autoSpaceDE w:val="0"/>
                  <w:autoSpaceDN w:val="0"/>
                  <w:adjustRightInd w:val="0"/>
                </w:pPr>
              </w:pPrChange>
            </w:pPr>
          </w:p>
        </w:tc>
        <w:tc>
          <w:tcPr>
            <w:tcW w:w="4590" w:type="dxa"/>
            <w:tcPrChange w:id="12063" w:author="Author">
              <w:tcPr>
                <w:tcW w:w="4590" w:type="dxa"/>
              </w:tcPr>
            </w:tcPrChange>
          </w:tcPr>
          <w:p>
            <w:pPr>
              <w:tabs>
                <w:tab w:val="left" w:pos="180"/>
              </w:tabs>
              <w:suppressAutoHyphens/>
              <w:rPr>
                <w:del w:id="12064" w:author="Author"/>
                <w:b/>
                <w:noProof/>
                <w:szCs w:val="22"/>
                <w:lang w:val="it-IT"/>
              </w:rPr>
              <w:pPrChange w:id="12065" w:author="Author">
                <w:pPr>
                  <w:tabs>
                    <w:tab w:val="left" w:pos="180"/>
                  </w:tabs>
                </w:pPr>
              </w:pPrChange>
            </w:pPr>
            <w:del w:id="12066" w:author="Author">
              <w:r>
                <w:rPr>
                  <w:b/>
                  <w:noProof/>
                  <w:szCs w:val="22"/>
                  <w:lang w:val="it-IT"/>
                </w:rPr>
                <w:delText>Slovenskárepublika</w:delText>
              </w:r>
            </w:del>
          </w:p>
          <w:p>
            <w:pPr>
              <w:tabs>
                <w:tab w:val="left" w:pos="180"/>
              </w:tabs>
              <w:suppressAutoHyphens/>
              <w:rPr>
                <w:del w:id="12067" w:author="Author"/>
                <w:noProof/>
                <w:szCs w:val="22"/>
                <w:lang w:val="it-IT"/>
              </w:rPr>
              <w:pPrChange w:id="12068" w:author="Author">
                <w:pPr>
                  <w:tabs>
                    <w:tab w:val="left" w:pos="180"/>
                  </w:tabs>
                </w:pPr>
              </w:pPrChange>
            </w:pPr>
            <w:del w:id="12069" w:author="Author">
              <w:r>
                <w:rPr>
                  <w:noProof/>
                  <w:szCs w:val="22"/>
                  <w:lang w:val="it-IT"/>
                </w:rPr>
                <w:delText>Roche Slovensko, s.r.o.</w:delText>
              </w:r>
            </w:del>
          </w:p>
          <w:p>
            <w:pPr>
              <w:tabs>
                <w:tab w:val="left" w:pos="180"/>
              </w:tabs>
              <w:suppressAutoHyphens/>
              <w:rPr>
                <w:del w:id="12070" w:author="Author"/>
                <w:noProof/>
                <w:szCs w:val="22"/>
                <w:lang w:val="it-IT"/>
              </w:rPr>
              <w:pPrChange w:id="12071" w:author="Author">
                <w:pPr>
                  <w:tabs>
                    <w:tab w:val="left" w:pos="180"/>
                  </w:tabs>
                </w:pPr>
              </w:pPrChange>
            </w:pPr>
            <w:del w:id="12072" w:author="Author">
              <w:r>
                <w:rPr>
                  <w:noProof/>
                  <w:szCs w:val="22"/>
                  <w:lang w:val="it-IT"/>
                </w:rPr>
                <w:delText>Tel: +421 - 2 52638201</w:delText>
              </w:r>
            </w:del>
          </w:p>
          <w:p>
            <w:pPr>
              <w:tabs>
                <w:tab w:val="left" w:pos="180"/>
              </w:tabs>
              <w:suppressAutoHyphens/>
              <w:rPr>
                <w:del w:id="12073" w:author="Author"/>
                <w:b/>
                <w:noProof/>
                <w:szCs w:val="22"/>
                <w:lang w:val="it-IT"/>
              </w:rPr>
              <w:pPrChange w:id="12074" w:author="Author">
                <w:pPr>
                  <w:tabs>
                    <w:tab w:val="left" w:pos="180"/>
                  </w:tabs>
                </w:pPr>
              </w:pPrChange>
            </w:pPr>
          </w:p>
        </w:tc>
      </w:tr>
      <w:tr>
        <w:trPr>
          <w:cantSplit/>
          <w:del w:id="12075" w:author="Author"/>
          <w:trPrChange w:id="12076" w:author="Author">
            <w:trPr>
              <w:cantSplit/>
            </w:trPr>
          </w:trPrChange>
        </w:trPr>
        <w:tc>
          <w:tcPr>
            <w:tcW w:w="4590" w:type="dxa"/>
            <w:tcPrChange w:id="12077" w:author="Author">
              <w:tcPr>
                <w:tcW w:w="4590" w:type="dxa"/>
              </w:tcPr>
            </w:tcPrChange>
          </w:tcPr>
          <w:p>
            <w:pPr>
              <w:tabs>
                <w:tab w:val="left" w:pos="180"/>
              </w:tabs>
              <w:suppressAutoHyphens/>
              <w:rPr>
                <w:del w:id="12078" w:author="Author"/>
                <w:noProof/>
                <w:szCs w:val="22"/>
                <w:lang w:val="it-IT"/>
              </w:rPr>
              <w:pPrChange w:id="12079" w:author="Author">
                <w:pPr>
                  <w:tabs>
                    <w:tab w:val="left" w:pos="180"/>
                  </w:tabs>
                </w:pPr>
              </w:pPrChange>
            </w:pPr>
            <w:del w:id="12080" w:author="Author">
              <w:r>
                <w:rPr>
                  <w:b/>
                  <w:noProof/>
                  <w:szCs w:val="22"/>
                  <w:lang w:val="it-IT"/>
                </w:rPr>
                <w:delText>Italia</w:delText>
              </w:r>
            </w:del>
          </w:p>
          <w:p>
            <w:pPr>
              <w:tabs>
                <w:tab w:val="left" w:pos="180"/>
              </w:tabs>
              <w:suppressAutoHyphens/>
              <w:rPr>
                <w:del w:id="12081" w:author="Author"/>
                <w:noProof/>
                <w:szCs w:val="22"/>
                <w:lang w:val="it-IT"/>
              </w:rPr>
              <w:pPrChange w:id="12082" w:author="Author">
                <w:pPr>
                  <w:tabs>
                    <w:tab w:val="left" w:pos="180"/>
                  </w:tabs>
                </w:pPr>
              </w:pPrChange>
            </w:pPr>
            <w:del w:id="12083" w:author="Author">
              <w:r>
                <w:rPr>
                  <w:noProof/>
                  <w:szCs w:val="22"/>
                  <w:lang w:val="it-IT"/>
                </w:rPr>
                <w:delText>Roche S.p.A.</w:delText>
              </w:r>
            </w:del>
          </w:p>
          <w:p>
            <w:pPr>
              <w:tabs>
                <w:tab w:val="left" w:pos="180"/>
              </w:tabs>
              <w:suppressAutoHyphens/>
              <w:rPr>
                <w:del w:id="12084" w:author="Author"/>
                <w:b/>
                <w:noProof/>
                <w:szCs w:val="22"/>
                <w:lang w:val="it-IT"/>
              </w:rPr>
              <w:pPrChange w:id="12085" w:author="Author">
                <w:pPr>
                  <w:tabs>
                    <w:tab w:val="left" w:pos="180"/>
                  </w:tabs>
                </w:pPr>
              </w:pPrChange>
            </w:pPr>
            <w:del w:id="12086" w:author="Author">
              <w:r>
                <w:rPr>
                  <w:noProof/>
                  <w:szCs w:val="22"/>
                  <w:lang w:val="it-IT"/>
                </w:rPr>
                <w:delText>Tel: +39 - 039 2471</w:delText>
              </w:r>
            </w:del>
          </w:p>
        </w:tc>
        <w:tc>
          <w:tcPr>
            <w:tcW w:w="4590" w:type="dxa"/>
            <w:tcPrChange w:id="12087" w:author="Author">
              <w:tcPr>
                <w:tcW w:w="4590" w:type="dxa"/>
              </w:tcPr>
            </w:tcPrChange>
          </w:tcPr>
          <w:p>
            <w:pPr>
              <w:tabs>
                <w:tab w:val="left" w:pos="180"/>
              </w:tabs>
              <w:suppressAutoHyphens/>
              <w:rPr>
                <w:del w:id="12088" w:author="Author"/>
                <w:b/>
                <w:noProof/>
                <w:szCs w:val="22"/>
                <w:lang w:val="it-IT"/>
              </w:rPr>
              <w:pPrChange w:id="12089" w:author="Author">
                <w:pPr>
                  <w:tabs>
                    <w:tab w:val="left" w:pos="180"/>
                  </w:tabs>
                </w:pPr>
              </w:pPrChange>
            </w:pPr>
            <w:del w:id="12090" w:author="Author">
              <w:r>
                <w:rPr>
                  <w:b/>
                  <w:noProof/>
                  <w:szCs w:val="22"/>
                  <w:lang w:val="it-IT"/>
                </w:rPr>
                <w:delText>Suomi/Finland</w:delText>
              </w:r>
            </w:del>
          </w:p>
          <w:p>
            <w:pPr>
              <w:tabs>
                <w:tab w:val="left" w:pos="180"/>
              </w:tabs>
              <w:suppressAutoHyphens/>
              <w:rPr>
                <w:del w:id="12091" w:author="Author"/>
                <w:noProof/>
                <w:snapToGrid w:val="0"/>
                <w:szCs w:val="22"/>
                <w:lang w:val="it-IT"/>
              </w:rPr>
              <w:pPrChange w:id="12092" w:author="Author">
                <w:pPr>
                  <w:tabs>
                    <w:tab w:val="left" w:pos="180"/>
                  </w:tabs>
                </w:pPr>
              </w:pPrChange>
            </w:pPr>
            <w:del w:id="12093" w:author="Author">
              <w:r>
                <w:rPr>
                  <w:noProof/>
                  <w:szCs w:val="22"/>
                  <w:lang w:val="it-IT"/>
                </w:rPr>
                <w:delText>Roche Oy</w:delText>
              </w:r>
            </w:del>
          </w:p>
          <w:p>
            <w:pPr>
              <w:tabs>
                <w:tab w:val="left" w:pos="180"/>
              </w:tabs>
              <w:suppressAutoHyphens/>
              <w:rPr>
                <w:del w:id="12094" w:author="Author"/>
                <w:noProof/>
                <w:szCs w:val="22"/>
                <w:lang w:val="it-IT"/>
              </w:rPr>
              <w:pPrChange w:id="12095" w:author="Author">
                <w:pPr>
                  <w:tabs>
                    <w:tab w:val="left" w:pos="180"/>
                  </w:tabs>
                </w:pPr>
              </w:pPrChange>
            </w:pPr>
            <w:del w:id="12096" w:author="Author">
              <w:r>
                <w:rPr>
                  <w:noProof/>
                  <w:szCs w:val="22"/>
                  <w:lang w:val="it-IT"/>
                </w:rPr>
                <w:delText>Puh/Tel: +358 (0) 10 554 500</w:delText>
              </w:r>
            </w:del>
          </w:p>
          <w:p>
            <w:pPr>
              <w:tabs>
                <w:tab w:val="left" w:pos="180"/>
              </w:tabs>
              <w:suppressAutoHyphens/>
              <w:rPr>
                <w:del w:id="12097" w:author="Author"/>
                <w:noProof/>
                <w:szCs w:val="22"/>
                <w:lang w:val="it-IT"/>
              </w:rPr>
              <w:pPrChange w:id="12098" w:author="Author">
                <w:pPr>
                  <w:tabs>
                    <w:tab w:val="left" w:pos="180"/>
                  </w:tabs>
                </w:pPr>
              </w:pPrChange>
            </w:pPr>
          </w:p>
        </w:tc>
      </w:tr>
      <w:tr>
        <w:trPr>
          <w:cantSplit/>
          <w:del w:id="12099" w:author="Author"/>
          <w:trPrChange w:id="12100" w:author="Author">
            <w:trPr>
              <w:cantSplit/>
            </w:trPr>
          </w:trPrChange>
        </w:trPr>
        <w:tc>
          <w:tcPr>
            <w:tcW w:w="4590" w:type="dxa"/>
            <w:tcPrChange w:id="12101" w:author="Author">
              <w:tcPr>
                <w:tcW w:w="4590" w:type="dxa"/>
              </w:tcPr>
            </w:tcPrChange>
          </w:tcPr>
          <w:p>
            <w:pPr>
              <w:tabs>
                <w:tab w:val="left" w:pos="180"/>
              </w:tabs>
              <w:suppressAutoHyphens/>
              <w:rPr>
                <w:del w:id="12102" w:author="Author"/>
                <w:noProof/>
                <w:szCs w:val="22"/>
                <w:lang w:val="it-IT"/>
                <w:rPrChange w:id="12103" w:author="Author">
                  <w:rPr>
                    <w:del w:id="12104" w:author="Author"/>
                    <w:rFonts w:ascii="Arial" w:hAnsi="Arial" w:cs="Arial"/>
                    <w:sz w:val="20"/>
                  </w:rPr>
                </w:rPrChange>
              </w:rPr>
              <w:pPrChange w:id="12105" w:author="Author">
                <w:pPr>
                  <w:tabs>
                    <w:tab w:val="left" w:pos="180"/>
                  </w:tabs>
                </w:pPr>
              </w:pPrChange>
            </w:pPr>
            <w:del w:id="12106" w:author="Author">
              <w:r>
                <w:rPr>
                  <w:b/>
                  <w:noProof/>
                  <w:szCs w:val="22"/>
                  <w:lang w:val="it-IT"/>
                </w:rPr>
                <w:delText>Kύπρος</w:delText>
              </w:r>
            </w:del>
          </w:p>
          <w:p>
            <w:pPr>
              <w:tabs>
                <w:tab w:val="left" w:pos="180"/>
              </w:tabs>
              <w:suppressAutoHyphens/>
              <w:rPr>
                <w:del w:id="12107" w:author="Author"/>
                <w:noProof/>
                <w:szCs w:val="22"/>
                <w:lang w:val="it-IT"/>
              </w:rPr>
              <w:pPrChange w:id="12108" w:author="Author">
                <w:pPr>
                  <w:tabs>
                    <w:tab w:val="left" w:pos="180"/>
                  </w:tabs>
                </w:pPr>
              </w:pPrChange>
            </w:pPr>
            <w:del w:id="12109" w:author="Author">
              <w:r>
                <w:rPr>
                  <w:noProof/>
                  <w:szCs w:val="22"/>
                  <w:lang w:val="it-IT"/>
                </w:rPr>
                <w:delText>Roche (Hellas) A.E.</w:delText>
              </w:r>
            </w:del>
          </w:p>
          <w:p>
            <w:pPr>
              <w:tabs>
                <w:tab w:val="left" w:pos="180"/>
              </w:tabs>
              <w:suppressAutoHyphens/>
              <w:rPr>
                <w:del w:id="12110" w:author="Author"/>
                <w:noProof/>
                <w:szCs w:val="22"/>
                <w:lang w:val="it-IT"/>
              </w:rPr>
              <w:pPrChange w:id="12111" w:author="Author">
                <w:pPr>
                  <w:tabs>
                    <w:tab w:val="left" w:pos="180"/>
                  </w:tabs>
                </w:pPr>
              </w:pPrChange>
            </w:pPr>
            <w:del w:id="12112" w:author="Author">
              <w:r>
                <w:rPr>
                  <w:noProof/>
                  <w:szCs w:val="22"/>
                  <w:lang w:val="it-IT"/>
                </w:rPr>
                <w:delText>Τηλ: +30 210 61 66 100</w:delText>
              </w:r>
            </w:del>
          </w:p>
        </w:tc>
        <w:tc>
          <w:tcPr>
            <w:tcW w:w="4590" w:type="dxa"/>
            <w:tcPrChange w:id="12113" w:author="Author">
              <w:tcPr>
                <w:tcW w:w="4590" w:type="dxa"/>
              </w:tcPr>
            </w:tcPrChange>
          </w:tcPr>
          <w:p>
            <w:pPr>
              <w:tabs>
                <w:tab w:val="left" w:pos="180"/>
              </w:tabs>
              <w:suppressAutoHyphens/>
              <w:rPr>
                <w:del w:id="12114" w:author="Author"/>
                <w:noProof/>
                <w:szCs w:val="22"/>
                <w:lang w:val="it-IT"/>
              </w:rPr>
              <w:pPrChange w:id="12115" w:author="Author">
                <w:pPr>
                  <w:tabs>
                    <w:tab w:val="left" w:pos="180"/>
                  </w:tabs>
                </w:pPr>
              </w:pPrChange>
            </w:pPr>
            <w:del w:id="12116" w:author="Author">
              <w:r>
                <w:rPr>
                  <w:b/>
                  <w:noProof/>
                  <w:szCs w:val="22"/>
                  <w:lang w:val="it-IT"/>
                </w:rPr>
                <w:delText>Sverige</w:delText>
              </w:r>
            </w:del>
          </w:p>
          <w:p>
            <w:pPr>
              <w:tabs>
                <w:tab w:val="left" w:pos="180"/>
              </w:tabs>
              <w:suppressAutoHyphens/>
              <w:rPr>
                <w:del w:id="12117" w:author="Author"/>
                <w:noProof/>
                <w:szCs w:val="22"/>
                <w:lang w:val="it-IT"/>
              </w:rPr>
              <w:pPrChange w:id="12118" w:author="Author">
                <w:pPr>
                  <w:tabs>
                    <w:tab w:val="left" w:pos="180"/>
                  </w:tabs>
                </w:pPr>
              </w:pPrChange>
            </w:pPr>
            <w:del w:id="12119" w:author="Author">
              <w:r>
                <w:rPr>
                  <w:noProof/>
                  <w:szCs w:val="22"/>
                  <w:lang w:val="it-IT"/>
                </w:rPr>
                <w:delText>Roche AB</w:delText>
              </w:r>
            </w:del>
          </w:p>
          <w:p>
            <w:pPr>
              <w:tabs>
                <w:tab w:val="left" w:pos="180"/>
              </w:tabs>
              <w:suppressAutoHyphens/>
              <w:rPr>
                <w:del w:id="12120" w:author="Author"/>
                <w:noProof/>
                <w:szCs w:val="22"/>
                <w:lang w:val="it-IT"/>
              </w:rPr>
            </w:pPr>
            <w:del w:id="12121" w:author="Author">
              <w:r>
                <w:rPr>
                  <w:noProof/>
                  <w:szCs w:val="22"/>
                  <w:lang w:val="it-IT"/>
                </w:rPr>
                <w:delText>Tel: +46 (0) 8 726 1200</w:delText>
              </w:r>
            </w:del>
          </w:p>
          <w:p>
            <w:pPr>
              <w:tabs>
                <w:tab w:val="left" w:pos="180"/>
              </w:tabs>
              <w:suppressAutoHyphens/>
              <w:rPr>
                <w:del w:id="12122" w:author="Author"/>
                <w:noProof/>
                <w:szCs w:val="22"/>
                <w:lang w:val="it-IT"/>
              </w:rPr>
              <w:pPrChange w:id="12123" w:author="Author">
                <w:pPr>
                  <w:tabs>
                    <w:tab w:val="left" w:pos="180"/>
                  </w:tabs>
                </w:pPr>
              </w:pPrChange>
            </w:pPr>
          </w:p>
        </w:tc>
      </w:tr>
      <w:tr>
        <w:trPr>
          <w:cantSplit/>
          <w:del w:id="12124" w:author="Author"/>
          <w:trPrChange w:id="12125" w:author="Author">
            <w:trPr>
              <w:cantSplit/>
            </w:trPr>
          </w:trPrChange>
        </w:trPr>
        <w:tc>
          <w:tcPr>
            <w:tcW w:w="4590" w:type="dxa"/>
            <w:tcPrChange w:id="12126" w:author="Author">
              <w:tcPr>
                <w:tcW w:w="4590" w:type="dxa"/>
              </w:tcPr>
            </w:tcPrChange>
          </w:tcPr>
          <w:p>
            <w:pPr>
              <w:tabs>
                <w:tab w:val="left" w:pos="180"/>
              </w:tabs>
              <w:suppressAutoHyphens/>
              <w:rPr>
                <w:del w:id="12127" w:author="Author"/>
                <w:b/>
                <w:noProof/>
                <w:szCs w:val="22"/>
                <w:lang w:val="it-IT"/>
              </w:rPr>
              <w:pPrChange w:id="12128" w:author="Author">
                <w:pPr>
                  <w:keepNext/>
                  <w:keepLines/>
                  <w:tabs>
                    <w:tab w:val="left" w:pos="180"/>
                  </w:tabs>
                </w:pPr>
              </w:pPrChange>
            </w:pPr>
            <w:del w:id="12129" w:author="Author">
              <w:r>
                <w:rPr>
                  <w:b/>
                  <w:noProof/>
                  <w:szCs w:val="22"/>
                  <w:lang w:val="it-IT"/>
                </w:rPr>
                <w:delText>Latvija</w:delText>
              </w:r>
            </w:del>
          </w:p>
          <w:p>
            <w:pPr>
              <w:tabs>
                <w:tab w:val="left" w:pos="180"/>
              </w:tabs>
              <w:suppressAutoHyphens/>
              <w:rPr>
                <w:del w:id="12130" w:author="Author"/>
                <w:noProof/>
                <w:szCs w:val="22"/>
                <w:lang w:val="it-IT"/>
              </w:rPr>
              <w:pPrChange w:id="12131" w:author="Author">
                <w:pPr>
                  <w:keepNext/>
                  <w:keepLines/>
                  <w:tabs>
                    <w:tab w:val="left" w:pos="180"/>
                  </w:tabs>
                </w:pPr>
              </w:pPrChange>
            </w:pPr>
            <w:del w:id="12132" w:author="Author">
              <w:r>
                <w:rPr>
                  <w:bCs/>
                  <w:noProof/>
                  <w:szCs w:val="22"/>
                  <w:lang w:val="it-IT"/>
                </w:rPr>
                <w:delText>Roche Latvija SIA</w:delText>
              </w:r>
            </w:del>
          </w:p>
          <w:p>
            <w:pPr>
              <w:tabs>
                <w:tab w:val="left" w:pos="180"/>
              </w:tabs>
              <w:suppressAutoHyphens/>
              <w:rPr>
                <w:del w:id="12133" w:author="Author"/>
                <w:noProof/>
                <w:szCs w:val="22"/>
                <w:lang w:val="it-IT"/>
              </w:rPr>
              <w:pPrChange w:id="12134" w:author="Author">
                <w:pPr>
                  <w:keepNext/>
                  <w:keepLines/>
                  <w:tabs>
                    <w:tab w:val="left" w:pos="180"/>
                  </w:tabs>
                </w:pPr>
              </w:pPrChange>
            </w:pPr>
            <w:del w:id="12135" w:author="Author">
              <w:r>
                <w:rPr>
                  <w:noProof/>
                  <w:szCs w:val="22"/>
                  <w:lang w:val="it-IT"/>
                </w:rPr>
                <w:delText>Tel: +371 - 6 7039831</w:delText>
              </w:r>
            </w:del>
          </w:p>
          <w:p>
            <w:pPr>
              <w:tabs>
                <w:tab w:val="left" w:pos="180"/>
              </w:tabs>
              <w:suppressAutoHyphens/>
              <w:rPr>
                <w:del w:id="12136" w:author="Author"/>
                <w:b/>
                <w:noProof/>
                <w:szCs w:val="22"/>
                <w:lang w:val="it-IT"/>
              </w:rPr>
              <w:pPrChange w:id="12137" w:author="Author">
                <w:pPr>
                  <w:keepNext/>
                  <w:keepLines/>
                  <w:tabs>
                    <w:tab w:val="left" w:pos="180"/>
                  </w:tabs>
                </w:pPr>
              </w:pPrChange>
            </w:pPr>
          </w:p>
        </w:tc>
        <w:tc>
          <w:tcPr>
            <w:tcW w:w="4590" w:type="dxa"/>
            <w:tcPrChange w:id="12138" w:author="Author">
              <w:tcPr>
                <w:tcW w:w="4590" w:type="dxa"/>
              </w:tcPr>
            </w:tcPrChange>
          </w:tcPr>
          <w:p>
            <w:pPr>
              <w:tabs>
                <w:tab w:val="left" w:pos="180"/>
              </w:tabs>
              <w:suppressAutoHyphens/>
              <w:rPr>
                <w:del w:id="12139" w:author="Author"/>
                <w:noProof/>
                <w:szCs w:val="22"/>
                <w:lang w:val="it-IT"/>
              </w:rPr>
              <w:pPrChange w:id="12140" w:author="Author">
                <w:pPr>
                  <w:keepNext/>
                  <w:keepLines/>
                  <w:tabs>
                    <w:tab w:val="left" w:pos="180"/>
                  </w:tabs>
                </w:pPr>
              </w:pPrChange>
            </w:pPr>
          </w:p>
        </w:tc>
      </w:tr>
      <w:tr>
        <w:trPr>
          <w:cantSplit/>
          <w:del w:id="12141" w:author="Author"/>
          <w:trPrChange w:id="12142" w:author="Author">
            <w:trPr>
              <w:cantSplit/>
            </w:trPr>
          </w:trPrChange>
        </w:trPr>
        <w:tc>
          <w:tcPr>
            <w:tcW w:w="4590" w:type="dxa"/>
            <w:tcPrChange w:id="12143" w:author="Author">
              <w:tcPr>
                <w:tcW w:w="4590" w:type="dxa"/>
              </w:tcPr>
            </w:tcPrChange>
          </w:tcPr>
          <w:p>
            <w:pPr>
              <w:tabs>
                <w:tab w:val="left" w:pos="180"/>
              </w:tabs>
              <w:suppressAutoHyphens/>
              <w:rPr>
                <w:del w:id="12144" w:author="Author"/>
                <w:b/>
                <w:noProof/>
                <w:szCs w:val="22"/>
                <w:lang w:val="it-IT"/>
              </w:rPr>
            </w:pPr>
            <w:del w:id="12145" w:author="Author">
              <w:r>
                <w:rPr>
                  <w:b/>
                  <w:noProof/>
                  <w:szCs w:val="22"/>
                  <w:lang w:val="it-IT"/>
                </w:rPr>
                <w:delText>Lietuva</w:delText>
              </w:r>
            </w:del>
          </w:p>
          <w:p>
            <w:pPr>
              <w:tabs>
                <w:tab w:val="left" w:pos="180"/>
              </w:tabs>
              <w:suppressAutoHyphens/>
              <w:rPr>
                <w:del w:id="12146" w:author="Author"/>
                <w:noProof/>
                <w:szCs w:val="22"/>
                <w:lang w:val="it-IT"/>
              </w:rPr>
            </w:pPr>
            <w:del w:id="12147" w:author="Author">
              <w:r>
                <w:rPr>
                  <w:noProof/>
                  <w:szCs w:val="22"/>
                  <w:lang w:val="it-IT"/>
                </w:rPr>
                <w:delText>UAB “Roche Lietuva”</w:delText>
              </w:r>
            </w:del>
          </w:p>
          <w:p>
            <w:pPr>
              <w:tabs>
                <w:tab w:val="left" w:pos="180"/>
              </w:tabs>
              <w:suppressAutoHyphens/>
              <w:rPr>
                <w:del w:id="12148" w:author="Author"/>
                <w:noProof/>
                <w:szCs w:val="22"/>
                <w:lang w:val="it-IT"/>
              </w:rPr>
            </w:pPr>
            <w:del w:id="12149" w:author="Author">
              <w:r>
                <w:rPr>
                  <w:noProof/>
                  <w:szCs w:val="22"/>
                  <w:lang w:val="it-IT"/>
                </w:rPr>
                <w:delText>Tel: +370 5 2546799</w:delText>
              </w:r>
            </w:del>
          </w:p>
          <w:p>
            <w:pPr>
              <w:tabs>
                <w:tab w:val="left" w:pos="180"/>
              </w:tabs>
              <w:suppressAutoHyphens/>
              <w:rPr>
                <w:del w:id="12150" w:author="Author"/>
                <w:noProof/>
                <w:szCs w:val="22"/>
                <w:lang w:val="it-IT"/>
              </w:rPr>
              <w:pPrChange w:id="12151" w:author="Author">
                <w:pPr>
                  <w:tabs>
                    <w:tab w:val="left" w:pos="180"/>
                  </w:tabs>
                </w:pPr>
              </w:pPrChange>
            </w:pPr>
          </w:p>
        </w:tc>
        <w:tc>
          <w:tcPr>
            <w:tcW w:w="4590" w:type="dxa"/>
            <w:tcPrChange w:id="12152" w:author="Author">
              <w:tcPr>
                <w:tcW w:w="4590" w:type="dxa"/>
              </w:tcPr>
            </w:tcPrChange>
          </w:tcPr>
          <w:p>
            <w:pPr>
              <w:tabs>
                <w:tab w:val="left" w:pos="180"/>
              </w:tabs>
              <w:suppressAutoHyphens/>
              <w:rPr>
                <w:del w:id="12153" w:author="Author"/>
                <w:noProof/>
                <w:szCs w:val="22"/>
                <w:lang w:val="it-IT"/>
              </w:rPr>
            </w:pPr>
          </w:p>
        </w:tc>
      </w:tr>
      <w:tr>
        <w:trPr>
          <w:cantSplit/>
          <w:ins w:id="12154" w:author="Author"/>
        </w:trPr>
        <w:tc>
          <w:tcPr>
            <w:tcW w:w="4590" w:type="dxa"/>
          </w:tcPr>
          <w:p>
            <w:pPr>
              <w:pStyle w:val="Standard1"/>
              <w:rPr>
                <w:ins w:id="12155" w:author="Author"/>
                <w:rFonts w:ascii="Times New Roman" w:hAnsi="Times New Roman"/>
                <w:b/>
                <w:noProof/>
                <w:sz w:val="22"/>
                <w:szCs w:val="22"/>
                <w:lang w:val="de-DE"/>
                <w:rPrChange w:id="12156" w:author="Author">
                  <w:rPr>
                    <w:ins w:id="12157" w:author="Author"/>
                    <w:rFonts w:ascii="Times New Roman" w:hAnsi="Times New Roman"/>
                    <w:b/>
                    <w:noProof/>
                    <w:sz w:val="22"/>
                    <w:szCs w:val="22"/>
                  </w:rPr>
                </w:rPrChange>
              </w:rPr>
            </w:pPr>
            <w:ins w:id="12158" w:author="Author">
              <w:r>
                <w:rPr>
                  <w:rFonts w:ascii="Times New Roman" w:hAnsi="Times New Roman"/>
                  <w:b/>
                  <w:noProof/>
                  <w:sz w:val="22"/>
                  <w:szCs w:val="22"/>
                  <w:lang w:val="de-DE"/>
                  <w:rPrChange w:id="12159" w:author="Author">
                    <w:rPr>
                      <w:rFonts w:ascii="Times New Roman" w:hAnsi="Times New Roman"/>
                      <w:b/>
                      <w:noProof/>
                      <w:sz w:val="22"/>
                      <w:szCs w:val="22"/>
                    </w:rPr>
                  </w:rPrChange>
                </w:rPr>
                <w:t>België/Belgique/Belgien,</w:t>
              </w:r>
            </w:ins>
          </w:p>
          <w:p>
            <w:pPr>
              <w:pStyle w:val="Standard1"/>
              <w:rPr>
                <w:ins w:id="12160" w:author="Author"/>
                <w:rFonts w:ascii="Times New Roman" w:hAnsi="Times New Roman"/>
                <w:b/>
                <w:noProof/>
                <w:sz w:val="22"/>
                <w:szCs w:val="22"/>
                <w:lang w:val="de-DE"/>
                <w:rPrChange w:id="12161" w:author="Author">
                  <w:rPr>
                    <w:ins w:id="12162" w:author="Author"/>
                    <w:rFonts w:ascii="Times New Roman" w:hAnsi="Times New Roman"/>
                    <w:b/>
                    <w:noProof/>
                    <w:sz w:val="22"/>
                    <w:szCs w:val="22"/>
                  </w:rPr>
                </w:rPrChange>
              </w:rPr>
            </w:pPr>
            <w:ins w:id="12163" w:author="Author">
              <w:r>
                <w:rPr>
                  <w:rFonts w:ascii="Times New Roman" w:hAnsi="Times New Roman"/>
                  <w:b/>
                  <w:noProof/>
                  <w:sz w:val="22"/>
                  <w:szCs w:val="22"/>
                  <w:lang w:val="de-DE"/>
                  <w:rPrChange w:id="12164" w:author="Author">
                    <w:rPr>
                      <w:rFonts w:ascii="Times New Roman" w:hAnsi="Times New Roman"/>
                      <w:b/>
                      <w:noProof/>
                      <w:sz w:val="22"/>
                      <w:szCs w:val="22"/>
                    </w:rPr>
                  </w:rPrChange>
                </w:rPr>
                <w:t>Luxembourg/Luxemburg</w:t>
              </w:r>
            </w:ins>
          </w:p>
          <w:p>
            <w:pPr>
              <w:pStyle w:val="Standard1"/>
              <w:rPr>
                <w:ins w:id="12165" w:author="Author"/>
                <w:rFonts w:ascii="Times New Roman" w:hAnsi="Times New Roman"/>
                <w:bCs/>
                <w:noProof/>
                <w:sz w:val="22"/>
                <w:szCs w:val="22"/>
                <w:lang w:val="de-DE"/>
                <w:rPrChange w:id="12166" w:author="Author">
                  <w:rPr>
                    <w:ins w:id="12167" w:author="Author"/>
                    <w:rFonts w:ascii="Times New Roman" w:hAnsi="Times New Roman"/>
                    <w:bCs/>
                    <w:noProof/>
                    <w:sz w:val="22"/>
                    <w:szCs w:val="22"/>
                  </w:rPr>
                </w:rPrChange>
              </w:rPr>
            </w:pPr>
            <w:ins w:id="12168" w:author="Author">
              <w:r>
                <w:rPr>
                  <w:rFonts w:ascii="Times New Roman" w:hAnsi="Times New Roman"/>
                  <w:bCs/>
                  <w:noProof/>
                  <w:sz w:val="22"/>
                  <w:szCs w:val="22"/>
                  <w:lang w:val="de-DE"/>
                  <w:rPrChange w:id="12169" w:author="Author">
                    <w:rPr>
                      <w:rFonts w:ascii="Times New Roman" w:hAnsi="Times New Roman"/>
                      <w:bCs/>
                      <w:noProof/>
                      <w:sz w:val="22"/>
                      <w:szCs w:val="22"/>
                    </w:rPr>
                  </w:rPrChange>
                </w:rPr>
                <w:t>N.V. Roche S.A.</w:t>
              </w:r>
            </w:ins>
          </w:p>
          <w:p>
            <w:pPr>
              <w:pStyle w:val="Standard1"/>
              <w:rPr>
                <w:ins w:id="12170" w:author="Author"/>
                <w:rFonts w:ascii="Times New Roman" w:hAnsi="Times New Roman"/>
                <w:bCs/>
                <w:noProof/>
                <w:sz w:val="22"/>
                <w:szCs w:val="22"/>
                <w:lang w:val="fr-FR"/>
                <w:rPrChange w:id="12171" w:author="Author">
                  <w:rPr>
                    <w:ins w:id="12172" w:author="Author"/>
                    <w:rFonts w:ascii="Times New Roman" w:hAnsi="Times New Roman"/>
                    <w:bCs/>
                    <w:noProof/>
                    <w:sz w:val="22"/>
                    <w:szCs w:val="22"/>
                  </w:rPr>
                </w:rPrChange>
              </w:rPr>
            </w:pPr>
            <w:ins w:id="12173" w:author="Author">
              <w:r>
                <w:rPr>
                  <w:rFonts w:ascii="Times New Roman" w:hAnsi="Times New Roman"/>
                  <w:bCs/>
                  <w:noProof/>
                  <w:sz w:val="22"/>
                  <w:szCs w:val="22"/>
                  <w:lang w:val="fr-FR"/>
                  <w:rPrChange w:id="12174" w:author="Author">
                    <w:rPr>
                      <w:rFonts w:ascii="Times New Roman" w:hAnsi="Times New Roman"/>
                      <w:bCs/>
                      <w:noProof/>
                      <w:sz w:val="22"/>
                      <w:szCs w:val="22"/>
                    </w:rPr>
                  </w:rPrChange>
                </w:rPr>
                <w:t>België/Belgique/Belgien</w:t>
              </w:r>
            </w:ins>
          </w:p>
          <w:p>
            <w:pPr>
              <w:pStyle w:val="Standard1"/>
              <w:rPr>
                <w:ins w:id="12175" w:author="Author"/>
                <w:rFonts w:ascii="Times New Roman" w:hAnsi="Times New Roman"/>
                <w:bCs/>
                <w:noProof/>
                <w:sz w:val="22"/>
                <w:szCs w:val="22"/>
                <w:lang w:val="fr-FR"/>
                <w:rPrChange w:id="12176" w:author="Author">
                  <w:rPr>
                    <w:ins w:id="12177" w:author="Author"/>
                    <w:rFonts w:ascii="Times New Roman" w:hAnsi="Times New Roman"/>
                    <w:bCs/>
                    <w:noProof/>
                    <w:sz w:val="22"/>
                    <w:szCs w:val="22"/>
                  </w:rPr>
                </w:rPrChange>
              </w:rPr>
            </w:pPr>
            <w:ins w:id="12178" w:author="Author">
              <w:r>
                <w:rPr>
                  <w:rFonts w:ascii="Times New Roman" w:hAnsi="Times New Roman"/>
                  <w:bCs/>
                  <w:noProof/>
                  <w:sz w:val="22"/>
                  <w:szCs w:val="22"/>
                  <w:lang w:val="fr-FR"/>
                  <w:rPrChange w:id="12179" w:author="Author">
                    <w:rPr>
                      <w:rFonts w:ascii="Times New Roman" w:hAnsi="Times New Roman"/>
                      <w:bCs/>
                      <w:noProof/>
                      <w:sz w:val="22"/>
                      <w:szCs w:val="22"/>
                    </w:rPr>
                  </w:rPrChange>
                </w:rPr>
                <w:t>Tél/Tel: +32 (0) 2 525 82 11</w:t>
              </w:r>
            </w:ins>
          </w:p>
          <w:p>
            <w:pPr>
              <w:pStyle w:val="Standard1"/>
              <w:rPr>
                <w:ins w:id="12180" w:author="Author"/>
                <w:rFonts w:ascii="Times New Roman" w:hAnsi="Times New Roman"/>
                <w:b/>
                <w:noProof/>
                <w:sz w:val="22"/>
                <w:szCs w:val="22"/>
                <w:lang w:val="fr-FR"/>
                <w:rPrChange w:id="12181" w:author="Author">
                  <w:rPr>
                    <w:ins w:id="12182" w:author="Author"/>
                    <w:rFonts w:ascii="Times New Roman" w:hAnsi="Times New Roman"/>
                    <w:b/>
                    <w:noProof/>
                    <w:sz w:val="22"/>
                    <w:szCs w:val="22"/>
                  </w:rPr>
                </w:rPrChange>
              </w:rPr>
            </w:pPr>
          </w:p>
        </w:tc>
        <w:tc>
          <w:tcPr>
            <w:tcW w:w="4590" w:type="dxa"/>
          </w:tcPr>
          <w:p>
            <w:pPr>
              <w:pStyle w:val="Standard1"/>
              <w:rPr>
                <w:ins w:id="12183" w:author="Author"/>
                <w:rFonts w:ascii="Times New Roman" w:hAnsi="Times New Roman"/>
                <w:b/>
                <w:bCs/>
                <w:noProof/>
                <w:sz w:val="22"/>
                <w:szCs w:val="22"/>
              </w:rPr>
            </w:pPr>
            <w:ins w:id="12184" w:author="Author">
              <w:r>
                <w:rPr>
                  <w:rFonts w:ascii="Times New Roman" w:hAnsi="Times New Roman"/>
                  <w:b/>
                  <w:bCs/>
                  <w:noProof/>
                  <w:sz w:val="22"/>
                  <w:szCs w:val="22"/>
                </w:rPr>
                <w:t>Latvija</w:t>
              </w:r>
            </w:ins>
          </w:p>
          <w:p>
            <w:pPr>
              <w:pStyle w:val="Standard1"/>
              <w:rPr>
                <w:ins w:id="12185" w:author="Author"/>
                <w:rFonts w:ascii="Times New Roman" w:hAnsi="Times New Roman"/>
                <w:noProof/>
                <w:sz w:val="22"/>
                <w:szCs w:val="22"/>
              </w:rPr>
            </w:pPr>
            <w:ins w:id="12186" w:author="Author">
              <w:r>
                <w:rPr>
                  <w:rFonts w:ascii="Times New Roman" w:hAnsi="Times New Roman"/>
                  <w:noProof/>
                  <w:sz w:val="22"/>
                  <w:szCs w:val="22"/>
                </w:rPr>
                <w:t>Roche Latvija SIA</w:t>
              </w:r>
            </w:ins>
          </w:p>
          <w:p>
            <w:pPr>
              <w:pStyle w:val="Standard1"/>
              <w:rPr>
                <w:ins w:id="12187" w:author="Author"/>
                <w:rFonts w:ascii="Times New Roman" w:hAnsi="Times New Roman"/>
                <w:noProof/>
                <w:sz w:val="22"/>
                <w:szCs w:val="22"/>
              </w:rPr>
            </w:pPr>
            <w:ins w:id="12188" w:author="Author">
              <w:r>
                <w:rPr>
                  <w:rFonts w:ascii="Times New Roman" w:hAnsi="Times New Roman"/>
                  <w:noProof/>
                  <w:sz w:val="22"/>
                  <w:szCs w:val="22"/>
                </w:rPr>
                <w:t>Tel: +371 - 6 7039831</w:t>
              </w:r>
            </w:ins>
          </w:p>
          <w:p>
            <w:pPr>
              <w:pStyle w:val="Standard1"/>
              <w:rPr>
                <w:ins w:id="12189" w:author="Author"/>
                <w:rFonts w:ascii="Times New Roman" w:hAnsi="Times New Roman"/>
                <w:noProof/>
                <w:sz w:val="22"/>
                <w:szCs w:val="22"/>
              </w:rPr>
            </w:pPr>
          </w:p>
        </w:tc>
      </w:tr>
      <w:tr>
        <w:trPr>
          <w:cantSplit/>
          <w:ins w:id="12190" w:author="Author"/>
        </w:trPr>
        <w:tc>
          <w:tcPr>
            <w:tcW w:w="4590" w:type="dxa"/>
          </w:tcPr>
          <w:p>
            <w:pPr>
              <w:pStyle w:val="Standard1"/>
              <w:rPr>
                <w:ins w:id="12191" w:author="Author"/>
                <w:rFonts w:ascii="Times New Roman" w:hAnsi="Times New Roman"/>
                <w:b/>
                <w:noProof/>
                <w:sz w:val="22"/>
                <w:szCs w:val="22"/>
              </w:rPr>
            </w:pPr>
            <w:ins w:id="12192" w:author="Author">
              <w:r>
                <w:rPr>
                  <w:rFonts w:ascii="Times New Roman" w:hAnsi="Times New Roman"/>
                  <w:b/>
                  <w:noProof/>
                  <w:sz w:val="22"/>
                  <w:szCs w:val="22"/>
                </w:rPr>
                <w:t>България</w:t>
              </w:r>
            </w:ins>
          </w:p>
          <w:p>
            <w:pPr>
              <w:pStyle w:val="Standard1"/>
              <w:rPr>
                <w:ins w:id="12193" w:author="Author"/>
                <w:rFonts w:ascii="Times New Roman" w:hAnsi="Times New Roman"/>
                <w:bCs/>
                <w:noProof/>
                <w:sz w:val="22"/>
                <w:szCs w:val="22"/>
              </w:rPr>
            </w:pPr>
            <w:ins w:id="12194" w:author="Author">
              <w:r>
                <w:rPr>
                  <w:rFonts w:ascii="Times New Roman" w:hAnsi="Times New Roman"/>
                  <w:bCs/>
                  <w:noProof/>
                  <w:sz w:val="22"/>
                  <w:szCs w:val="22"/>
                </w:rPr>
                <w:t>Рош България ЕООД</w:t>
              </w:r>
            </w:ins>
          </w:p>
          <w:p>
            <w:pPr>
              <w:pStyle w:val="Standard1"/>
              <w:rPr>
                <w:ins w:id="12195" w:author="Author"/>
                <w:rFonts w:ascii="Times New Roman" w:hAnsi="Times New Roman"/>
                <w:bCs/>
                <w:noProof/>
                <w:sz w:val="22"/>
                <w:szCs w:val="22"/>
              </w:rPr>
            </w:pPr>
            <w:ins w:id="12196" w:author="Author">
              <w:r>
                <w:rPr>
                  <w:rFonts w:ascii="Times New Roman" w:hAnsi="Times New Roman"/>
                  <w:bCs/>
                  <w:noProof/>
                  <w:sz w:val="22"/>
                  <w:szCs w:val="22"/>
                </w:rPr>
                <w:t>Тел: +359 2 474 5444</w:t>
              </w:r>
            </w:ins>
          </w:p>
          <w:p>
            <w:pPr>
              <w:pStyle w:val="Standard1"/>
              <w:rPr>
                <w:ins w:id="12197" w:author="Author"/>
                <w:rFonts w:ascii="Times New Roman" w:hAnsi="Times New Roman"/>
                <w:b/>
                <w:noProof/>
                <w:sz w:val="22"/>
                <w:szCs w:val="22"/>
              </w:rPr>
            </w:pPr>
          </w:p>
        </w:tc>
        <w:tc>
          <w:tcPr>
            <w:tcW w:w="4590" w:type="dxa"/>
          </w:tcPr>
          <w:p>
            <w:pPr>
              <w:pStyle w:val="Standard1"/>
              <w:rPr>
                <w:ins w:id="12198" w:author="Author"/>
                <w:rFonts w:ascii="Times New Roman" w:hAnsi="Times New Roman"/>
                <w:b/>
                <w:bCs/>
                <w:noProof/>
                <w:sz w:val="22"/>
                <w:szCs w:val="22"/>
              </w:rPr>
            </w:pPr>
            <w:ins w:id="12199" w:author="Author">
              <w:r>
                <w:rPr>
                  <w:rFonts w:ascii="Times New Roman" w:hAnsi="Times New Roman"/>
                  <w:b/>
                  <w:bCs/>
                  <w:noProof/>
                  <w:sz w:val="22"/>
                  <w:szCs w:val="22"/>
                </w:rPr>
                <w:t>Lietuva</w:t>
              </w:r>
            </w:ins>
          </w:p>
          <w:p>
            <w:pPr>
              <w:pStyle w:val="Standard1"/>
              <w:rPr>
                <w:ins w:id="12200" w:author="Author"/>
                <w:rFonts w:ascii="Times New Roman" w:hAnsi="Times New Roman"/>
                <w:noProof/>
                <w:sz w:val="22"/>
                <w:szCs w:val="22"/>
              </w:rPr>
            </w:pPr>
            <w:ins w:id="12201" w:author="Author">
              <w:r>
                <w:rPr>
                  <w:rFonts w:ascii="Times New Roman" w:hAnsi="Times New Roman"/>
                  <w:noProof/>
                  <w:sz w:val="22"/>
                  <w:szCs w:val="22"/>
                </w:rPr>
                <w:t>UAB “Roche Lietuva”</w:t>
              </w:r>
            </w:ins>
          </w:p>
          <w:p>
            <w:pPr>
              <w:pStyle w:val="Standard1"/>
              <w:rPr>
                <w:ins w:id="12202" w:author="Author"/>
                <w:rFonts w:ascii="Times New Roman" w:hAnsi="Times New Roman"/>
                <w:noProof/>
                <w:sz w:val="22"/>
                <w:szCs w:val="22"/>
              </w:rPr>
            </w:pPr>
            <w:ins w:id="12203" w:author="Author">
              <w:r>
                <w:rPr>
                  <w:rFonts w:ascii="Times New Roman" w:hAnsi="Times New Roman"/>
                  <w:noProof/>
                  <w:sz w:val="22"/>
                  <w:szCs w:val="22"/>
                </w:rPr>
                <w:t>Tel: +370 5 2546799</w:t>
              </w:r>
            </w:ins>
          </w:p>
          <w:p>
            <w:pPr>
              <w:pStyle w:val="Standard1"/>
              <w:rPr>
                <w:ins w:id="12204" w:author="Author"/>
                <w:rFonts w:ascii="Times New Roman" w:hAnsi="Times New Roman"/>
                <w:noProof/>
                <w:sz w:val="22"/>
                <w:szCs w:val="22"/>
              </w:rPr>
            </w:pPr>
          </w:p>
        </w:tc>
      </w:tr>
      <w:tr>
        <w:trPr>
          <w:cantSplit/>
          <w:ins w:id="12205" w:author="Author"/>
        </w:trPr>
        <w:tc>
          <w:tcPr>
            <w:tcW w:w="4590" w:type="dxa"/>
          </w:tcPr>
          <w:p>
            <w:pPr>
              <w:pStyle w:val="Standard1"/>
              <w:rPr>
                <w:ins w:id="12206" w:author="Author"/>
                <w:rFonts w:ascii="Times New Roman" w:hAnsi="Times New Roman"/>
                <w:b/>
                <w:noProof/>
                <w:sz w:val="22"/>
                <w:szCs w:val="22"/>
                <w:lang w:val="de-DE"/>
                <w:rPrChange w:id="12207" w:author="Author">
                  <w:rPr>
                    <w:ins w:id="12208" w:author="Author"/>
                    <w:rFonts w:ascii="Times New Roman" w:hAnsi="Times New Roman"/>
                    <w:b/>
                    <w:noProof/>
                    <w:sz w:val="22"/>
                    <w:szCs w:val="22"/>
                  </w:rPr>
                </w:rPrChange>
              </w:rPr>
            </w:pPr>
            <w:ins w:id="12209" w:author="Author">
              <w:r>
                <w:rPr>
                  <w:rFonts w:ascii="Times New Roman" w:hAnsi="Times New Roman"/>
                  <w:b/>
                  <w:noProof/>
                  <w:sz w:val="22"/>
                  <w:szCs w:val="22"/>
                  <w:lang w:val="de-DE"/>
                  <w:rPrChange w:id="12210" w:author="Author">
                    <w:rPr>
                      <w:rFonts w:ascii="Times New Roman" w:hAnsi="Times New Roman"/>
                      <w:b/>
                      <w:noProof/>
                      <w:sz w:val="22"/>
                      <w:szCs w:val="22"/>
                    </w:rPr>
                  </w:rPrChange>
                </w:rPr>
                <w:t>Česká republika</w:t>
              </w:r>
            </w:ins>
          </w:p>
          <w:p>
            <w:pPr>
              <w:pStyle w:val="Standard1"/>
              <w:rPr>
                <w:ins w:id="12211" w:author="Author"/>
                <w:rFonts w:ascii="Times New Roman" w:hAnsi="Times New Roman"/>
                <w:bCs/>
                <w:noProof/>
                <w:sz w:val="22"/>
                <w:szCs w:val="22"/>
                <w:lang w:val="de-DE"/>
                <w:rPrChange w:id="12212" w:author="Author">
                  <w:rPr>
                    <w:ins w:id="12213" w:author="Author"/>
                    <w:rFonts w:ascii="Times New Roman" w:hAnsi="Times New Roman"/>
                    <w:bCs/>
                    <w:noProof/>
                    <w:sz w:val="22"/>
                    <w:szCs w:val="22"/>
                  </w:rPr>
                </w:rPrChange>
              </w:rPr>
            </w:pPr>
            <w:ins w:id="12214" w:author="Author">
              <w:r>
                <w:rPr>
                  <w:rFonts w:ascii="Times New Roman" w:hAnsi="Times New Roman"/>
                  <w:bCs/>
                  <w:noProof/>
                  <w:sz w:val="22"/>
                  <w:szCs w:val="22"/>
                  <w:lang w:val="de-DE"/>
                  <w:rPrChange w:id="12215" w:author="Author">
                    <w:rPr>
                      <w:rFonts w:ascii="Times New Roman" w:hAnsi="Times New Roman"/>
                      <w:bCs/>
                      <w:noProof/>
                      <w:sz w:val="22"/>
                      <w:szCs w:val="22"/>
                    </w:rPr>
                  </w:rPrChange>
                </w:rPr>
                <w:t>Roche s. r. o.</w:t>
              </w:r>
            </w:ins>
          </w:p>
          <w:p>
            <w:pPr>
              <w:pStyle w:val="Standard1"/>
              <w:rPr>
                <w:ins w:id="12216" w:author="Author"/>
                <w:rFonts w:ascii="Times New Roman" w:hAnsi="Times New Roman"/>
                <w:bCs/>
                <w:noProof/>
                <w:sz w:val="22"/>
                <w:szCs w:val="22"/>
                <w:lang w:val="de-DE"/>
                <w:rPrChange w:id="12217" w:author="Author">
                  <w:rPr>
                    <w:ins w:id="12218" w:author="Author"/>
                    <w:rFonts w:ascii="Times New Roman" w:hAnsi="Times New Roman"/>
                    <w:bCs/>
                    <w:noProof/>
                    <w:sz w:val="22"/>
                    <w:szCs w:val="22"/>
                  </w:rPr>
                </w:rPrChange>
              </w:rPr>
            </w:pPr>
            <w:ins w:id="12219" w:author="Author">
              <w:r>
                <w:rPr>
                  <w:rFonts w:ascii="Times New Roman" w:hAnsi="Times New Roman"/>
                  <w:bCs/>
                  <w:noProof/>
                  <w:sz w:val="22"/>
                  <w:szCs w:val="22"/>
                  <w:lang w:val="de-DE"/>
                  <w:rPrChange w:id="12220" w:author="Author">
                    <w:rPr>
                      <w:rFonts w:ascii="Times New Roman" w:hAnsi="Times New Roman"/>
                      <w:bCs/>
                      <w:noProof/>
                      <w:sz w:val="22"/>
                      <w:szCs w:val="22"/>
                    </w:rPr>
                  </w:rPrChange>
                </w:rPr>
                <w:t>Tel: +420 - 2 20382111</w:t>
              </w:r>
            </w:ins>
          </w:p>
          <w:p>
            <w:pPr>
              <w:pStyle w:val="Standard1"/>
              <w:rPr>
                <w:ins w:id="12221" w:author="Author"/>
                <w:rFonts w:ascii="Times New Roman" w:hAnsi="Times New Roman"/>
                <w:b/>
                <w:noProof/>
                <w:sz w:val="22"/>
                <w:szCs w:val="22"/>
                <w:lang w:val="de-DE"/>
                <w:rPrChange w:id="12222" w:author="Author">
                  <w:rPr>
                    <w:ins w:id="12223" w:author="Author"/>
                    <w:rFonts w:ascii="Times New Roman" w:hAnsi="Times New Roman"/>
                    <w:b/>
                    <w:noProof/>
                    <w:sz w:val="22"/>
                    <w:szCs w:val="22"/>
                  </w:rPr>
                </w:rPrChange>
              </w:rPr>
            </w:pPr>
          </w:p>
        </w:tc>
        <w:tc>
          <w:tcPr>
            <w:tcW w:w="4590" w:type="dxa"/>
          </w:tcPr>
          <w:p>
            <w:pPr>
              <w:pStyle w:val="Standard1"/>
              <w:rPr>
                <w:ins w:id="12224" w:author="Author"/>
                <w:rFonts w:ascii="Times New Roman" w:hAnsi="Times New Roman"/>
                <w:b/>
                <w:bCs/>
                <w:noProof/>
                <w:sz w:val="22"/>
                <w:szCs w:val="22"/>
                <w:lang w:val="en-US"/>
                <w:rPrChange w:id="12225" w:author="TCS" w:date="2026-03-20T12:48:00Z">
                  <w:rPr>
                    <w:ins w:id="12226" w:author="Author"/>
                    <w:rFonts w:ascii="Times New Roman" w:hAnsi="Times New Roman"/>
                    <w:b/>
                    <w:bCs/>
                    <w:noProof/>
                    <w:sz w:val="22"/>
                    <w:szCs w:val="22"/>
                  </w:rPr>
                </w:rPrChange>
              </w:rPr>
            </w:pPr>
            <w:ins w:id="12227" w:author="Author">
              <w:r>
                <w:rPr>
                  <w:rFonts w:ascii="Times New Roman" w:hAnsi="Times New Roman"/>
                  <w:b/>
                  <w:bCs/>
                  <w:noProof/>
                  <w:sz w:val="22"/>
                  <w:szCs w:val="22"/>
                  <w:lang w:val="en-US"/>
                  <w:rPrChange w:id="12228" w:author="TCS" w:date="2026-03-20T12:48:00Z">
                    <w:rPr>
                      <w:rFonts w:ascii="Times New Roman" w:hAnsi="Times New Roman"/>
                      <w:b/>
                      <w:bCs/>
                      <w:noProof/>
                      <w:sz w:val="22"/>
                      <w:szCs w:val="22"/>
                    </w:rPr>
                  </w:rPrChange>
                </w:rPr>
                <w:t>Magyarország</w:t>
              </w:r>
            </w:ins>
          </w:p>
          <w:p>
            <w:pPr>
              <w:pStyle w:val="Standard1"/>
              <w:rPr>
                <w:ins w:id="12229" w:author="Author"/>
                <w:rFonts w:ascii="Times New Roman" w:hAnsi="Times New Roman"/>
                <w:noProof/>
                <w:sz w:val="22"/>
                <w:szCs w:val="22"/>
                <w:lang w:val="en-US"/>
                <w:rPrChange w:id="12230" w:author="TCS" w:date="2026-03-20T12:48:00Z">
                  <w:rPr>
                    <w:ins w:id="12231" w:author="Author"/>
                    <w:rFonts w:ascii="Times New Roman" w:hAnsi="Times New Roman"/>
                    <w:noProof/>
                    <w:sz w:val="22"/>
                    <w:szCs w:val="22"/>
                  </w:rPr>
                </w:rPrChange>
              </w:rPr>
            </w:pPr>
            <w:ins w:id="12232" w:author="Author">
              <w:r>
                <w:rPr>
                  <w:rFonts w:ascii="Times New Roman" w:hAnsi="Times New Roman"/>
                  <w:noProof/>
                  <w:sz w:val="22"/>
                  <w:szCs w:val="22"/>
                  <w:lang w:val="en-US"/>
                  <w:rPrChange w:id="12233" w:author="TCS" w:date="2026-03-20T12:48:00Z">
                    <w:rPr>
                      <w:rFonts w:ascii="Times New Roman" w:hAnsi="Times New Roman"/>
                      <w:noProof/>
                      <w:sz w:val="22"/>
                      <w:szCs w:val="22"/>
                    </w:rPr>
                  </w:rPrChange>
                </w:rPr>
                <w:t>Roche (Magyarország) Kft.</w:t>
              </w:r>
            </w:ins>
          </w:p>
          <w:p>
            <w:pPr>
              <w:pStyle w:val="Standard1"/>
              <w:rPr>
                <w:ins w:id="12234" w:author="Author"/>
                <w:rFonts w:ascii="Times New Roman" w:hAnsi="Times New Roman"/>
                <w:noProof/>
                <w:sz w:val="22"/>
                <w:szCs w:val="22"/>
                <w:lang w:val="en-US"/>
                <w:rPrChange w:id="12235" w:author="TCS" w:date="2026-03-20T12:48:00Z">
                  <w:rPr>
                    <w:ins w:id="12236" w:author="Author"/>
                    <w:rFonts w:ascii="Times New Roman" w:hAnsi="Times New Roman"/>
                    <w:noProof/>
                    <w:sz w:val="22"/>
                    <w:szCs w:val="22"/>
                  </w:rPr>
                </w:rPrChange>
              </w:rPr>
            </w:pPr>
            <w:ins w:id="12237" w:author="Author">
              <w:r>
                <w:rPr>
                  <w:rFonts w:ascii="Times New Roman" w:hAnsi="Times New Roman"/>
                  <w:noProof/>
                  <w:sz w:val="22"/>
                  <w:szCs w:val="22"/>
                  <w:lang w:val="en-US"/>
                  <w:rPrChange w:id="12238" w:author="TCS" w:date="2026-03-20T12:48:00Z">
                    <w:rPr>
                      <w:rFonts w:ascii="Times New Roman" w:hAnsi="Times New Roman"/>
                      <w:noProof/>
                      <w:sz w:val="22"/>
                      <w:szCs w:val="22"/>
                    </w:rPr>
                  </w:rPrChange>
                </w:rPr>
                <w:t>Tel: +36 - 1 279 4500</w:t>
              </w:r>
            </w:ins>
          </w:p>
          <w:p>
            <w:pPr>
              <w:pStyle w:val="Standard1"/>
              <w:rPr>
                <w:ins w:id="12239" w:author="Author"/>
                <w:rFonts w:ascii="Times New Roman" w:hAnsi="Times New Roman"/>
                <w:noProof/>
                <w:sz w:val="22"/>
                <w:szCs w:val="22"/>
                <w:lang w:val="en-US"/>
                <w:rPrChange w:id="12240" w:author="TCS" w:date="2026-03-20T12:48:00Z">
                  <w:rPr>
                    <w:ins w:id="12241" w:author="Author"/>
                    <w:rFonts w:ascii="Times New Roman" w:hAnsi="Times New Roman"/>
                    <w:noProof/>
                    <w:sz w:val="22"/>
                    <w:szCs w:val="22"/>
                  </w:rPr>
                </w:rPrChange>
              </w:rPr>
            </w:pPr>
          </w:p>
        </w:tc>
      </w:tr>
      <w:tr>
        <w:trPr>
          <w:cantSplit/>
          <w:ins w:id="12242" w:author="Author"/>
        </w:trPr>
        <w:tc>
          <w:tcPr>
            <w:tcW w:w="4590" w:type="dxa"/>
          </w:tcPr>
          <w:p>
            <w:pPr>
              <w:pStyle w:val="Standard1"/>
              <w:rPr>
                <w:ins w:id="12243" w:author="Author"/>
                <w:rFonts w:ascii="Times New Roman" w:hAnsi="Times New Roman"/>
                <w:b/>
                <w:noProof/>
                <w:sz w:val="22"/>
                <w:szCs w:val="22"/>
                <w:lang w:val="en-US"/>
                <w:rPrChange w:id="12244" w:author="Author">
                  <w:rPr>
                    <w:ins w:id="12245" w:author="Author"/>
                    <w:rFonts w:ascii="Times New Roman" w:hAnsi="Times New Roman"/>
                    <w:b/>
                    <w:noProof/>
                    <w:sz w:val="22"/>
                    <w:szCs w:val="22"/>
                  </w:rPr>
                </w:rPrChange>
              </w:rPr>
            </w:pPr>
            <w:ins w:id="12246" w:author="Author">
              <w:r>
                <w:rPr>
                  <w:rFonts w:ascii="Times New Roman" w:hAnsi="Times New Roman"/>
                  <w:b/>
                  <w:noProof/>
                  <w:sz w:val="22"/>
                  <w:szCs w:val="22"/>
                  <w:lang w:val="en-US"/>
                  <w:rPrChange w:id="12247" w:author="Author">
                    <w:rPr>
                      <w:rFonts w:ascii="Times New Roman" w:hAnsi="Times New Roman"/>
                      <w:b/>
                      <w:noProof/>
                      <w:sz w:val="22"/>
                      <w:szCs w:val="22"/>
                    </w:rPr>
                  </w:rPrChange>
                </w:rPr>
                <w:t>Danmark</w:t>
              </w:r>
            </w:ins>
          </w:p>
          <w:p>
            <w:pPr>
              <w:pStyle w:val="Standard1"/>
              <w:rPr>
                <w:ins w:id="12248" w:author="Author"/>
                <w:rFonts w:ascii="Times New Roman" w:hAnsi="Times New Roman"/>
                <w:bCs/>
                <w:noProof/>
                <w:sz w:val="22"/>
                <w:szCs w:val="22"/>
                <w:lang w:val="en-US"/>
                <w:rPrChange w:id="12249" w:author="Author">
                  <w:rPr>
                    <w:ins w:id="12250" w:author="Author"/>
                    <w:rFonts w:ascii="Times New Roman" w:hAnsi="Times New Roman"/>
                    <w:bCs/>
                    <w:noProof/>
                    <w:sz w:val="22"/>
                    <w:szCs w:val="22"/>
                  </w:rPr>
                </w:rPrChange>
              </w:rPr>
            </w:pPr>
            <w:ins w:id="12251" w:author="Author">
              <w:r>
                <w:rPr>
                  <w:rFonts w:ascii="Times New Roman" w:hAnsi="Times New Roman"/>
                  <w:bCs/>
                  <w:noProof/>
                  <w:sz w:val="22"/>
                  <w:szCs w:val="22"/>
                  <w:lang w:val="en-US"/>
                  <w:rPrChange w:id="12252" w:author="Author">
                    <w:rPr>
                      <w:rFonts w:ascii="Times New Roman" w:hAnsi="Times New Roman"/>
                      <w:bCs/>
                      <w:noProof/>
                      <w:sz w:val="22"/>
                      <w:szCs w:val="22"/>
                    </w:rPr>
                  </w:rPrChange>
                </w:rPr>
                <w:t>Roche Pharmaceuticals A/S</w:t>
              </w:r>
            </w:ins>
          </w:p>
          <w:p>
            <w:pPr>
              <w:pStyle w:val="Standard1"/>
              <w:rPr>
                <w:ins w:id="12253" w:author="Author"/>
                <w:rFonts w:ascii="Times New Roman" w:hAnsi="Times New Roman"/>
                <w:bCs/>
                <w:noProof/>
                <w:sz w:val="22"/>
                <w:szCs w:val="22"/>
                <w:lang w:val="en-US"/>
                <w:rPrChange w:id="12254" w:author="Author">
                  <w:rPr>
                    <w:ins w:id="12255" w:author="Author"/>
                    <w:rFonts w:ascii="Times New Roman" w:hAnsi="Times New Roman"/>
                    <w:bCs/>
                    <w:noProof/>
                    <w:sz w:val="22"/>
                    <w:szCs w:val="22"/>
                  </w:rPr>
                </w:rPrChange>
              </w:rPr>
            </w:pPr>
            <w:ins w:id="12256" w:author="Author">
              <w:r>
                <w:rPr>
                  <w:rFonts w:ascii="Times New Roman" w:hAnsi="Times New Roman"/>
                  <w:bCs/>
                  <w:noProof/>
                  <w:sz w:val="22"/>
                  <w:szCs w:val="22"/>
                  <w:lang w:val="en-US"/>
                  <w:rPrChange w:id="12257" w:author="Author">
                    <w:rPr>
                      <w:rFonts w:ascii="Times New Roman" w:hAnsi="Times New Roman"/>
                      <w:bCs/>
                      <w:noProof/>
                      <w:sz w:val="22"/>
                      <w:szCs w:val="22"/>
                    </w:rPr>
                  </w:rPrChange>
                </w:rPr>
                <w:t>Tlf.: +45 - 36 39 99 99</w:t>
              </w:r>
            </w:ins>
          </w:p>
          <w:p>
            <w:pPr>
              <w:pStyle w:val="Standard1"/>
              <w:rPr>
                <w:ins w:id="12258" w:author="Author"/>
                <w:rFonts w:ascii="Times New Roman" w:hAnsi="Times New Roman"/>
                <w:b/>
                <w:noProof/>
                <w:sz w:val="22"/>
                <w:szCs w:val="22"/>
                <w:lang w:val="en-US"/>
                <w:rPrChange w:id="12259" w:author="Author">
                  <w:rPr>
                    <w:ins w:id="12260" w:author="Author"/>
                    <w:rFonts w:ascii="Times New Roman" w:hAnsi="Times New Roman"/>
                    <w:b/>
                    <w:noProof/>
                    <w:sz w:val="22"/>
                    <w:szCs w:val="22"/>
                  </w:rPr>
                </w:rPrChange>
              </w:rPr>
            </w:pPr>
          </w:p>
        </w:tc>
        <w:tc>
          <w:tcPr>
            <w:tcW w:w="4590" w:type="dxa"/>
          </w:tcPr>
          <w:p>
            <w:pPr>
              <w:pStyle w:val="Standard1"/>
              <w:rPr>
                <w:ins w:id="12261" w:author="Author"/>
                <w:rFonts w:ascii="Times New Roman" w:hAnsi="Times New Roman"/>
                <w:b/>
                <w:bCs/>
                <w:noProof/>
                <w:sz w:val="22"/>
                <w:szCs w:val="22"/>
                <w:lang w:val="nl-NL"/>
                <w:rPrChange w:id="12262" w:author="TCS" w:date="2026-03-20T12:48:00Z">
                  <w:rPr>
                    <w:ins w:id="12263" w:author="Author"/>
                    <w:rFonts w:ascii="Times New Roman" w:hAnsi="Times New Roman"/>
                    <w:b/>
                    <w:bCs/>
                    <w:noProof/>
                    <w:sz w:val="22"/>
                    <w:szCs w:val="22"/>
                  </w:rPr>
                </w:rPrChange>
              </w:rPr>
            </w:pPr>
            <w:ins w:id="12264" w:author="Author">
              <w:r>
                <w:rPr>
                  <w:rFonts w:ascii="Times New Roman" w:hAnsi="Times New Roman"/>
                  <w:b/>
                  <w:bCs/>
                  <w:noProof/>
                  <w:sz w:val="22"/>
                  <w:szCs w:val="22"/>
                  <w:lang w:val="nl-NL"/>
                  <w:rPrChange w:id="12265" w:author="TCS" w:date="2026-03-20T12:48:00Z">
                    <w:rPr>
                      <w:rFonts w:ascii="Times New Roman" w:hAnsi="Times New Roman"/>
                      <w:b/>
                      <w:bCs/>
                      <w:noProof/>
                      <w:sz w:val="22"/>
                      <w:szCs w:val="22"/>
                    </w:rPr>
                  </w:rPrChange>
                </w:rPr>
                <w:t>Nederland</w:t>
              </w:r>
            </w:ins>
          </w:p>
          <w:p>
            <w:pPr>
              <w:pStyle w:val="Standard1"/>
              <w:rPr>
                <w:ins w:id="12266" w:author="Author"/>
                <w:rFonts w:ascii="Times New Roman" w:hAnsi="Times New Roman"/>
                <w:noProof/>
                <w:sz w:val="22"/>
                <w:szCs w:val="22"/>
                <w:lang w:val="nl-NL"/>
                <w:rPrChange w:id="12267" w:author="TCS" w:date="2026-03-20T12:48:00Z">
                  <w:rPr>
                    <w:ins w:id="12268" w:author="Author"/>
                    <w:rFonts w:ascii="Times New Roman" w:hAnsi="Times New Roman"/>
                    <w:noProof/>
                    <w:sz w:val="22"/>
                    <w:szCs w:val="22"/>
                  </w:rPr>
                </w:rPrChange>
              </w:rPr>
            </w:pPr>
            <w:ins w:id="12269" w:author="Author">
              <w:r>
                <w:rPr>
                  <w:rFonts w:ascii="Times New Roman" w:hAnsi="Times New Roman"/>
                  <w:noProof/>
                  <w:sz w:val="22"/>
                  <w:szCs w:val="22"/>
                  <w:lang w:val="nl-NL"/>
                  <w:rPrChange w:id="12270" w:author="TCS" w:date="2026-03-20T12:48:00Z">
                    <w:rPr>
                      <w:rFonts w:ascii="Times New Roman" w:hAnsi="Times New Roman"/>
                      <w:noProof/>
                      <w:sz w:val="22"/>
                      <w:szCs w:val="22"/>
                    </w:rPr>
                  </w:rPrChange>
                </w:rPr>
                <w:t>Roche Nederland B.V.</w:t>
              </w:r>
            </w:ins>
          </w:p>
          <w:p>
            <w:pPr>
              <w:pStyle w:val="Standard1"/>
              <w:rPr>
                <w:ins w:id="12271" w:author="Author"/>
                <w:rFonts w:ascii="Times New Roman" w:hAnsi="Times New Roman"/>
                <w:noProof/>
                <w:sz w:val="22"/>
                <w:szCs w:val="22"/>
              </w:rPr>
            </w:pPr>
            <w:ins w:id="12272" w:author="Author">
              <w:r>
                <w:rPr>
                  <w:rFonts w:ascii="Times New Roman" w:hAnsi="Times New Roman"/>
                  <w:noProof/>
                  <w:sz w:val="22"/>
                  <w:szCs w:val="22"/>
                </w:rPr>
                <w:t>Tel: +31 (0) 348 438050</w:t>
              </w:r>
            </w:ins>
          </w:p>
          <w:p>
            <w:pPr>
              <w:pStyle w:val="Standard1"/>
              <w:rPr>
                <w:ins w:id="12273" w:author="Author"/>
                <w:rFonts w:ascii="Times New Roman" w:hAnsi="Times New Roman"/>
                <w:noProof/>
                <w:sz w:val="22"/>
                <w:szCs w:val="22"/>
              </w:rPr>
            </w:pPr>
          </w:p>
        </w:tc>
      </w:tr>
      <w:tr>
        <w:trPr>
          <w:cantSplit/>
          <w:ins w:id="12274" w:author="Author"/>
        </w:trPr>
        <w:tc>
          <w:tcPr>
            <w:tcW w:w="4590" w:type="dxa"/>
          </w:tcPr>
          <w:p>
            <w:pPr>
              <w:pStyle w:val="Standard1"/>
              <w:rPr>
                <w:ins w:id="12275" w:author="Author"/>
                <w:rFonts w:ascii="Times New Roman" w:hAnsi="Times New Roman"/>
                <w:b/>
                <w:noProof/>
                <w:sz w:val="22"/>
                <w:szCs w:val="22"/>
                <w:lang w:val="de-DE"/>
                <w:rPrChange w:id="12276" w:author="Author">
                  <w:rPr>
                    <w:ins w:id="12277" w:author="Author"/>
                    <w:rFonts w:ascii="Times New Roman" w:hAnsi="Times New Roman"/>
                    <w:b/>
                    <w:noProof/>
                    <w:sz w:val="22"/>
                    <w:szCs w:val="22"/>
                  </w:rPr>
                </w:rPrChange>
              </w:rPr>
            </w:pPr>
            <w:ins w:id="12278" w:author="Author">
              <w:r>
                <w:rPr>
                  <w:rFonts w:ascii="Times New Roman" w:hAnsi="Times New Roman"/>
                  <w:b/>
                  <w:noProof/>
                  <w:sz w:val="22"/>
                  <w:szCs w:val="22"/>
                  <w:lang w:val="de-DE"/>
                  <w:rPrChange w:id="12279" w:author="Author">
                    <w:rPr>
                      <w:rFonts w:ascii="Times New Roman" w:hAnsi="Times New Roman"/>
                      <w:b/>
                      <w:noProof/>
                      <w:sz w:val="22"/>
                      <w:szCs w:val="22"/>
                    </w:rPr>
                  </w:rPrChange>
                </w:rPr>
                <w:t>Deutschland</w:t>
              </w:r>
            </w:ins>
          </w:p>
          <w:p>
            <w:pPr>
              <w:pStyle w:val="Standard1"/>
              <w:rPr>
                <w:ins w:id="12280" w:author="Author"/>
                <w:rFonts w:ascii="Times New Roman" w:hAnsi="Times New Roman"/>
                <w:bCs/>
                <w:noProof/>
                <w:sz w:val="22"/>
                <w:szCs w:val="22"/>
                <w:lang w:val="de-DE"/>
                <w:rPrChange w:id="12281" w:author="Author">
                  <w:rPr>
                    <w:ins w:id="12282" w:author="Author"/>
                    <w:rFonts w:ascii="Times New Roman" w:hAnsi="Times New Roman"/>
                    <w:bCs/>
                    <w:noProof/>
                    <w:sz w:val="22"/>
                    <w:szCs w:val="22"/>
                  </w:rPr>
                </w:rPrChange>
              </w:rPr>
            </w:pPr>
            <w:ins w:id="12283" w:author="Author">
              <w:r>
                <w:rPr>
                  <w:rFonts w:ascii="Times New Roman" w:hAnsi="Times New Roman"/>
                  <w:bCs/>
                  <w:noProof/>
                  <w:sz w:val="22"/>
                  <w:szCs w:val="22"/>
                  <w:lang w:val="de-DE"/>
                  <w:rPrChange w:id="12284" w:author="Author">
                    <w:rPr>
                      <w:rFonts w:ascii="Times New Roman" w:hAnsi="Times New Roman"/>
                      <w:bCs/>
                      <w:noProof/>
                      <w:sz w:val="22"/>
                      <w:szCs w:val="22"/>
                    </w:rPr>
                  </w:rPrChange>
                </w:rPr>
                <w:t>Roche Pharma AG</w:t>
              </w:r>
            </w:ins>
          </w:p>
          <w:p>
            <w:pPr>
              <w:pStyle w:val="Standard1"/>
              <w:rPr>
                <w:ins w:id="12285" w:author="Author"/>
                <w:rFonts w:ascii="Times New Roman" w:hAnsi="Times New Roman"/>
                <w:b/>
                <w:noProof/>
                <w:sz w:val="22"/>
                <w:szCs w:val="22"/>
                <w:lang w:val="de-DE"/>
                <w:rPrChange w:id="12286" w:author="Author">
                  <w:rPr>
                    <w:ins w:id="12287" w:author="Author"/>
                    <w:rFonts w:ascii="Times New Roman" w:hAnsi="Times New Roman"/>
                    <w:b/>
                    <w:noProof/>
                    <w:sz w:val="22"/>
                    <w:szCs w:val="22"/>
                  </w:rPr>
                </w:rPrChange>
              </w:rPr>
            </w:pPr>
            <w:ins w:id="12288" w:author="Author">
              <w:r>
                <w:rPr>
                  <w:rFonts w:ascii="Times New Roman" w:hAnsi="Times New Roman"/>
                  <w:bCs/>
                  <w:noProof/>
                  <w:sz w:val="22"/>
                  <w:szCs w:val="22"/>
                  <w:lang w:val="de-DE"/>
                  <w:rPrChange w:id="12289" w:author="Author">
                    <w:rPr>
                      <w:rFonts w:ascii="Times New Roman" w:hAnsi="Times New Roman"/>
                      <w:bCs/>
                      <w:noProof/>
                      <w:sz w:val="22"/>
                      <w:szCs w:val="22"/>
                    </w:rPr>
                  </w:rPrChange>
                </w:rPr>
                <w:t>Tel: +49 (0) 7624 140</w:t>
              </w:r>
              <w:r>
                <w:rPr>
                  <w:rFonts w:ascii="Times New Roman" w:hAnsi="Times New Roman"/>
                  <w:b/>
                  <w:noProof/>
                  <w:sz w:val="22"/>
                  <w:szCs w:val="22"/>
                  <w:lang w:val="de-DE"/>
                  <w:rPrChange w:id="12290" w:author="Author">
                    <w:rPr>
                      <w:rFonts w:ascii="Times New Roman" w:hAnsi="Times New Roman"/>
                      <w:b/>
                      <w:noProof/>
                      <w:sz w:val="22"/>
                      <w:szCs w:val="22"/>
                    </w:rPr>
                  </w:rPrChange>
                </w:rPr>
                <w:t xml:space="preserve"> </w:t>
              </w:r>
            </w:ins>
          </w:p>
          <w:p>
            <w:pPr>
              <w:pStyle w:val="Standard1"/>
              <w:rPr>
                <w:ins w:id="12291" w:author="Author"/>
                <w:rFonts w:ascii="Times New Roman" w:hAnsi="Times New Roman"/>
                <w:b/>
                <w:noProof/>
                <w:sz w:val="22"/>
                <w:szCs w:val="22"/>
                <w:lang w:val="de-DE"/>
                <w:rPrChange w:id="12292" w:author="Author">
                  <w:rPr>
                    <w:ins w:id="12293" w:author="Author"/>
                    <w:rFonts w:ascii="Times New Roman" w:hAnsi="Times New Roman"/>
                    <w:b/>
                    <w:noProof/>
                    <w:sz w:val="22"/>
                    <w:szCs w:val="22"/>
                  </w:rPr>
                </w:rPrChange>
              </w:rPr>
            </w:pPr>
          </w:p>
        </w:tc>
        <w:tc>
          <w:tcPr>
            <w:tcW w:w="4590" w:type="dxa"/>
          </w:tcPr>
          <w:p>
            <w:pPr>
              <w:pStyle w:val="Standard1"/>
              <w:rPr>
                <w:ins w:id="12294" w:author="Author"/>
                <w:rFonts w:ascii="Times New Roman" w:hAnsi="Times New Roman"/>
                <w:b/>
                <w:bCs/>
                <w:noProof/>
                <w:sz w:val="22"/>
                <w:szCs w:val="22"/>
                <w:lang w:val="en-US"/>
                <w:rPrChange w:id="12295" w:author="Author">
                  <w:rPr>
                    <w:ins w:id="12296" w:author="Author"/>
                    <w:rFonts w:ascii="Times New Roman" w:hAnsi="Times New Roman"/>
                    <w:b/>
                    <w:bCs/>
                    <w:noProof/>
                    <w:sz w:val="22"/>
                    <w:szCs w:val="22"/>
                  </w:rPr>
                </w:rPrChange>
              </w:rPr>
            </w:pPr>
            <w:ins w:id="12297" w:author="Author">
              <w:r>
                <w:rPr>
                  <w:rFonts w:ascii="Times New Roman" w:hAnsi="Times New Roman"/>
                  <w:b/>
                  <w:bCs/>
                  <w:noProof/>
                  <w:sz w:val="22"/>
                  <w:szCs w:val="22"/>
                  <w:lang w:val="en-US"/>
                  <w:rPrChange w:id="12298" w:author="Author">
                    <w:rPr>
                      <w:rFonts w:ascii="Times New Roman" w:hAnsi="Times New Roman"/>
                      <w:b/>
                      <w:bCs/>
                      <w:noProof/>
                      <w:sz w:val="22"/>
                      <w:szCs w:val="22"/>
                    </w:rPr>
                  </w:rPrChange>
                </w:rPr>
                <w:t>Norge</w:t>
              </w:r>
            </w:ins>
          </w:p>
          <w:p>
            <w:pPr>
              <w:pStyle w:val="Standard1"/>
              <w:rPr>
                <w:ins w:id="12299" w:author="Author"/>
                <w:rFonts w:ascii="Times New Roman" w:hAnsi="Times New Roman"/>
                <w:noProof/>
                <w:sz w:val="22"/>
                <w:szCs w:val="22"/>
                <w:lang w:val="en-US"/>
                <w:rPrChange w:id="12300" w:author="Author">
                  <w:rPr>
                    <w:ins w:id="12301" w:author="Author"/>
                    <w:rFonts w:ascii="Times New Roman" w:hAnsi="Times New Roman"/>
                    <w:noProof/>
                    <w:sz w:val="22"/>
                    <w:szCs w:val="22"/>
                  </w:rPr>
                </w:rPrChange>
              </w:rPr>
            </w:pPr>
            <w:ins w:id="12302" w:author="Author">
              <w:r>
                <w:rPr>
                  <w:rFonts w:ascii="Times New Roman" w:hAnsi="Times New Roman"/>
                  <w:noProof/>
                  <w:sz w:val="22"/>
                  <w:szCs w:val="22"/>
                  <w:lang w:val="en-US"/>
                  <w:rPrChange w:id="12303" w:author="Author">
                    <w:rPr>
                      <w:rFonts w:ascii="Times New Roman" w:hAnsi="Times New Roman"/>
                      <w:noProof/>
                      <w:sz w:val="22"/>
                      <w:szCs w:val="22"/>
                    </w:rPr>
                  </w:rPrChange>
                </w:rPr>
                <w:t>Roche Norge AS</w:t>
              </w:r>
            </w:ins>
          </w:p>
          <w:p>
            <w:pPr>
              <w:pStyle w:val="Standard1"/>
              <w:rPr>
                <w:ins w:id="12304" w:author="Author"/>
                <w:rFonts w:ascii="Times New Roman" w:hAnsi="Times New Roman"/>
                <w:noProof/>
                <w:sz w:val="22"/>
                <w:szCs w:val="22"/>
                <w:lang w:val="en-US"/>
                <w:rPrChange w:id="12305" w:author="Author">
                  <w:rPr>
                    <w:ins w:id="12306" w:author="Author"/>
                    <w:rFonts w:ascii="Times New Roman" w:hAnsi="Times New Roman"/>
                    <w:noProof/>
                    <w:sz w:val="22"/>
                    <w:szCs w:val="22"/>
                  </w:rPr>
                </w:rPrChange>
              </w:rPr>
            </w:pPr>
            <w:ins w:id="12307" w:author="Author">
              <w:r>
                <w:rPr>
                  <w:rFonts w:ascii="Times New Roman" w:hAnsi="Times New Roman"/>
                  <w:noProof/>
                  <w:sz w:val="22"/>
                  <w:szCs w:val="22"/>
                  <w:lang w:val="en-US"/>
                  <w:rPrChange w:id="12308" w:author="Author">
                    <w:rPr>
                      <w:rFonts w:ascii="Times New Roman" w:hAnsi="Times New Roman"/>
                      <w:noProof/>
                      <w:sz w:val="22"/>
                      <w:szCs w:val="22"/>
                    </w:rPr>
                  </w:rPrChange>
                </w:rPr>
                <w:t>Tlf: +47 - 22 78 90 00</w:t>
              </w:r>
            </w:ins>
          </w:p>
          <w:p>
            <w:pPr>
              <w:pStyle w:val="Standard1"/>
              <w:rPr>
                <w:ins w:id="12309" w:author="Author"/>
                <w:rFonts w:ascii="Times New Roman" w:hAnsi="Times New Roman"/>
                <w:noProof/>
                <w:sz w:val="22"/>
                <w:szCs w:val="22"/>
                <w:lang w:val="en-US"/>
                <w:rPrChange w:id="12310" w:author="Author">
                  <w:rPr>
                    <w:ins w:id="12311" w:author="Author"/>
                    <w:rFonts w:ascii="Times New Roman" w:hAnsi="Times New Roman"/>
                    <w:noProof/>
                    <w:sz w:val="22"/>
                    <w:szCs w:val="22"/>
                  </w:rPr>
                </w:rPrChange>
              </w:rPr>
            </w:pPr>
          </w:p>
        </w:tc>
      </w:tr>
      <w:tr>
        <w:trPr>
          <w:cantSplit/>
          <w:ins w:id="12312" w:author="Author"/>
        </w:trPr>
        <w:tc>
          <w:tcPr>
            <w:tcW w:w="4590" w:type="dxa"/>
          </w:tcPr>
          <w:p>
            <w:pPr>
              <w:pStyle w:val="Standard1"/>
              <w:rPr>
                <w:ins w:id="12313" w:author="Author"/>
                <w:rFonts w:ascii="Times New Roman" w:hAnsi="Times New Roman"/>
                <w:b/>
                <w:noProof/>
                <w:sz w:val="22"/>
                <w:szCs w:val="22"/>
              </w:rPr>
            </w:pPr>
            <w:ins w:id="12314" w:author="Author">
              <w:r>
                <w:rPr>
                  <w:rFonts w:ascii="Times New Roman" w:hAnsi="Times New Roman"/>
                  <w:b/>
                  <w:noProof/>
                  <w:sz w:val="22"/>
                  <w:szCs w:val="22"/>
                </w:rPr>
                <w:t>Eesti</w:t>
              </w:r>
            </w:ins>
          </w:p>
          <w:p>
            <w:pPr>
              <w:pStyle w:val="Standard1"/>
              <w:rPr>
                <w:ins w:id="12315" w:author="Author"/>
                <w:rFonts w:ascii="Times New Roman" w:hAnsi="Times New Roman"/>
                <w:bCs/>
                <w:noProof/>
                <w:sz w:val="22"/>
                <w:szCs w:val="22"/>
              </w:rPr>
            </w:pPr>
            <w:ins w:id="12316" w:author="Author">
              <w:r>
                <w:rPr>
                  <w:rFonts w:ascii="Times New Roman" w:hAnsi="Times New Roman"/>
                  <w:bCs/>
                  <w:noProof/>
                  <w:sz w:val="22"/>
                  <w:szCs w:val="22"/>
                </w:rPr>
                <w:t>Roche Eesti OÜ</w:t>
              </w:r>
            </w:ins>
          </w:p>
          <w:p>
            <w:pPr>
              <w:pStyle w:val="Standard1"/>
              <w:rPr>
                <w:ins w:id="12317" w:author="Author"/>
                <w:rFonts w:ascii="Times New Roman" w:hAnsi="Times New Roman"/>
                <w:bCs/>
                <w:noProof/>
                <w:sz w:val="22"/>
                <w:szCs w:val="22"/>
              </w:rPr>
            </w:pPr>
            <w:ins w:id="12318" w:author="Author">
              <w:r>
                <w:rPr>
                  <w:rFonts w:ascii="Times New Roman" w:hAnsi="Times New Roman"/>
                  <w:bCs/>
                  <w:noProof/>
                  <w:sz w:val="22"/>
                  <w:szCs w:val="22"/>
                </w:rPr>
                <w:t>Tel: + 372 - 6 177 380</w:t>
              </w:r>
            </w:ins>
          </w:p>
          <w:p>
            <w:pPr>
              <w:pStyle w:val="Standard1"/>
              <w:rPr>
                <w:ins w:id="12319" w:author="Author"/>
                <w:rFonts w:ascii="Times New Roman" w:hAnsi="Times New Roman"/>
                <w:b/>
                <w:noProof/>
                <w:sz w:val="22"/>
                <w:szCs w:val="22"/>
              </w:rPr>
            </w:pPr>
          </w:p>
        </w:tc>
        <w:tc>
          <w:tcPr>
            <w:tcW w:w="4590" w:type="dxa"/>
          </w:tcPr>
          <w:p>
            <w:pPr>
              <w:pStyle w:val="Standard1"/>
              <w:rPr>
                <w:ins w:id="12320" w:author="Author"/>
                <w:rFonts w:ascii="Times New Roman" w:hAnsi="Times New Roman"/>
                <w:b/>
                <w:bCs/>
                <w:noProof/>
                <w:sz w:val="22"/>
                <w:szCs w:val="22"/>
                <w:lang w:val="de-DE"/>
                <w:rPrChange w:id="12321" w:author="Author">
                  <w:rPr>
                    <w:ins w:id="12322" w:author="Author"/>
                    <w:rFonts w:ascii="Times New Roman" w:hAnsi="Times New Roman"/>
                    <w:b/>
                    <w:bCs/>
                    <w:noProof/>
                    <w:sz w:val="22"/>
                    <w:szCs w:val="22"/>
                  </w:rPr>
                </w:rPrChange>
              </w:rPr>
            </w:pPr>
            <w:ins w:id="12323" w:author="Author">
              <w:r>
                <w:rPr>
                  <w:rFonts w:ascii="Times New Roman" w:hAnsi="Times New Roman"/>
                  <w:b/>
                  <w:bCs/>
                  <w:noProof/>
                  <w:sz w:val="22"/>
                  <w:szCs w:val="22"/>
                  <w:lang w:val="de-DE"/>
                  <w:rPrChange w:id="12324" w:author="Author">
                    <w:rPr>
                      <w:rFonts w:ascii="Times New Roman" w:hAnsi="Times New Roman"/>
                      <w:b/>
                      <w:bCs/>
                      <w:noProof/>
                      <w:sz w:val="22"/>
                      <w:szCs w:val="22"/>
                    </w:rPr>
                  </w:rPrChange>
                </w:rPr>
                <w:t>Österreich</w:t>
              </w:r>
            </w:ins>
          </w:p>
          <w:p>
            <w:pPr>
              <w:pStyle w:val="Standard1"/>
              <w:rPr>
                <w:ins w:id="12325" w:author="Author"/>
                <w:rFonts w:ascii="Times New Roman" w:hAnsi="Times New Roman"/>
                <w:noProof/>
                <w:sz w:val="22"/>
                <w:szCs w:val="22"/>
                <w:lang w:val="de-DE"/>
                <w:rPrChange w:id="12326" w:author="Author">
                  <w:rPr>
                    <w:ins w:id="12327" w:author="Author"/>
                    <w:rFonts w:ascii="Times New Roman" w:hAnsi="Times New Roman"/>
                    <w:noProof/>
                    <w:sz w:val="22"/>
                    <w:szCs w:val="22"/>
                  </w:rPr>
                </w:rPrChange>
              </w:rPr>
            </w:pPr>
            <w:ins w:id="12328" w:author="Author">
              <w:r>
                <w:rPr>
                  <w:rFonts w:ascii="Times New Roman" w:hAnsi="Times New Roman"/>
                  <w:noProof/>
                  <w:sz w:val="22"/>
                  <w:szCs w:val="22"/>
                  <w:lang w:val="de-DE"/>
                  <w:rPrChange w:id="12329" w:author="Author">
                    <w:rPr>
                      <w:rFonts w:ascii="Times New Roman" w:hAnsi="Times New Roman"/>
                      <w:noProof/>
                      <w:sz w:val="22"/>
                      <w:szCs w:val="22"/>
                    </w:rPr>
                  </w:rPrChange>
                </w:rPr>
                <w:t>Roche Austria GmbH</w:t>
              </w:r>
            </w:ins>
          </w:p>
          <w:p>
            <w:pPr>
              <w:pStyle w:val="Standard1"/>
              <w:rPr>
                <w:ins w:id="12330" w:author="Author"/>
                <w:rFonts w:ascii="Times New Roman" w:hAnsi="Times New Roman"/>
                <w:noProof/>
                <w:sz w:val="22"/>
                <w:szCs w:val="22"/>
                <w:lang w:val="de-DE"/>
                <w:rPrChange w:id="12331" w:author="Author">
                  <w:rPr>
                    <w:ins w:id="12332" w:author="Author"/>
                    <w:rFonts w:ascii="Times New Roman" w:hAnsi="Times New Roman"/>
                    <w:noProof/>
                    <w:sz w:val="22"/>
                    <w:szCs w:val="22"/>
                  </w:rPr>
                </w:rPrChange>
              </w:rPr>
            </w:pPr>
            <w:ins w:id="12333" w:author="Author">
              <w:r>
                <w:rPr>
                  <w:rFonts w:ascii="Times New Roman" w:hAnsi="Times New Roman"/>
                  <w:noProof/>
                  <w:sz w:val="22"/>
                  <w:szCs w:val="22"/>
                  <w:lang w:val="de-DE"/>
                  <w:rPrChange w:id="12334" w:author="Author">
                    <w:rPr>
                      <w:rFonts w:ascii="Times New Roman" w:hAnsi="Times New Roman"/>
                      <w:noProof/>
                      <w:sz w:val="22"/>
                      <w:szCs w:val="22"/>
                    </w:rPr>
                  </w:rPrChange>
                </w:rPr>
                <w:t>Tel: +43 (0) 1 27739</w:t>
              </w:r>
            </w:ins>
          </w:p>
          <w:p>
            <w:pPr>
              <w:pStyle w:val="Standard1"/>
              <w:rPr>
                <w:ins w:id="12335" w:author="Author"/>
                <w:rFonts w:ascii="Times New Roman" w:hAnsi="Times New Roman"/>
                <w:noProof/>
                <w:sz w:val="22"/>
                <w:szCs w:val="22"/>
                <w:lang w:val="de-DE"/>
                <w:rPrChange w:id="12336" w:author="Author">
                  <w:rPr>
                    <w:ins w:id="12337" w:author="Author"/>
                    <w:rFonts w:ascii="Times New Roman" w:hAnsi="Times New Roman"/>
                    <w:noProof/>
                    <w:sz w:val="22"/>
                    <w:szCs w:val="22"/>
                  </w:rPr>
                </w:rPrChange>
              </w:rPr>
            </w:pPr>
          </w:p>
        </w:tc>
      </w:tr>
      <w:tr>
        <w:trPr>
          <w:cantSplit/>
          <w:ins w:id="12338" w:author="Author"/>
        </w:trPr>
        <w:tc>
          <w:tcPr>
            <w:tcW w:w="4590" w:type="dxa"/>
          </w:tcPr>
          <w:p>
            <w:pPr>
              <w:pStyle w:val="Standard1"/>
              <w:rPr>
                <w:ins w:id="12339" w:author="Author"/>
                <w:rFonts w:ascii="Times New Roman" w:hAnsi="Times New Roman"/>
                <w:b/>
                <w:noProof/>
                <w:sz w:val="22"/>
                <w:szCs w:val="22"/>
                <w:lang w:val="de-DE"/>
                <w:rPrChange w:id="12340" w:author="Author">
                  <w:rPr>
                    <w:ins w:id="12341" w:author="Author"/>
                    <w:rFonts w:ascii="Times New Roman" w:hAnsi="Times New Roman"/>
                    <w:b/>
                    <w:noProof/>
                    <w:sz w:val="22"/>
                    <w:szCs w:val="22"/>
                  </w:rPr>
                </w:rPrChange>
              </w:rPr>
            </w:pPr>
            <w:ins w:id="12342" w:author="Author">
              <w:r>
                <w:rPr>
                  <w:rFonts w:ascii="Times New Roman" w:hAnsi="Times New Roman"/>
                  <w:b/>
                  <w:noProof/>
                  <w:sz w:val="22"/>
                  <w:szCs w:val="22"/>
                </w:rPr>
                <w:t>Ελλάδα</w:t>
              </w:r>
              <w:r>
                <w:rPr>
                  <w:rFonts w:ascii="Times New Roman" w:hAnsi="Times New Roman"/>
                  <w:b/>
                  <w:noProof/>
                  <w:sz w:val="22"/>
                  <w:szCs w:val="22"/>
                  <w:lang w:val="de-DE"/>
                  <w:rPrChange w:id="12343" w:author="Author">
                    <w:rPr>
                      <w:rFonts w:ascii="Times New Roman" w:hAnsi="Times New Roman"/>
                      <w:b/>
                      <w:noProof/>
                      <w:sz w:val="22"/>
                      <w:szCs w:val="22"/>
                    </w:rPr>
                  </w:rPrChange>
                </w:rPr>
                <w:t>, K</w:t>
              </w:r>
              <w:r>
                <w:rPr>
                  <w:rFonts w:ascii="Times New Roman" w:hAnsi="Times New Roman"/>
                  <w:b/>
                  <w:noProof/>
                  <w:sz w:val="22"/>
                  <w:szCs w:val="22"/>
                </w:rPr>
                <w:t>ύπρος</w:t>
              </w:r>
              <w:r>
                <w:rPr>
                  <w:rFonts w:ascii="Times New Roman" w:hAnsi="Times New Roman"/>
                  <w:b/>
                  <w:noProof/>
                  <w:sz w:val="22"/>
                  <w:szCs w:val="22"/>
                  <w:lang w:val="de-DE"/>
                  <w:rPrChange w:id="12344" w:author="Author">
                    <w:rPr>
                      <w:rFonts w:ascii="Times New Roman" w:hAnsi="Times New Roman"/>
                      <w:b/>
                      <w:noProof/>
                      <w:sz w:val="22"/>
                      <w:szCs w:val="22"/>
                    </w:rPr>
                  </w:rPrChange>
                </w:rPr>
                <w:t xml:space="preserve"> </w:t>
              </w:r>
            </w:ins>
          </w:p>
          <w:p>
            <w:pPr>
              <w:pStyle w:val="Standard1"/>
              <w:rPr>
                <w:ins w:id="12345" w:author="Author"/>
                <w:rFonts w:ascii="Times New Roman" w:hAnsi="Times New Roman"/>
                <w:bCs/>
                <w:noProof/>
                <w:sz w:val="22"/>
                <w:szCs w:val="22"/>
                <w:lang w:val="de-DE"/>
                <w:rPrChange w:id="12346" w:author="Author">
                  <w:rPr>
                    <w:ins w:id="12347" w:author="Author"/>
                    <w:rFonts w:ascii="Times New Roman" w:hAnsi="Times New Roman"/>
                    <w:bCs/>
                    <w:noProof/>
                    <w:sz w:val="22"/>
                    <w:szCs w:val="22"/>
                  </w:rPr>
                </w:rPrChange>
              </w:rPr>
            </w:pPr>
            <w:ins w:id="12348" w:author="Author">
              <w:r>
                <w:rPr>
                  <w:rFonts w:ascii="Times New Roman" w:hAnsi="Times New Roman"/>
                  <w:bCs/>
                  <w:noProof/>
                  <w:sz w:val="22"/>
                  <w:szCs w:val="22"/>
                  <w:lang w:val="de-DE"/>
                  <w:rPrChange w:id="12349" w:author="Author">
                    <w:rPr>
                      <w:rFonts w:ascii="Times New Roman" w:hAnsi="Times New Roman"/>
                      <w:bCs/>
                      <w:noProof/>
                      <w:sz w:val="22"/>
                      <w:szCs w:val="22"/>
                    </w:rPr>
                  </w:rPrChange>
                </w:rPr>
                <w:t xml:space="preserve">Roche (Hellas) A.E. </w:t>
              </w:r>
            </w:ins>
          </w:p>
          <w:p>
            <w:pPr>
              <w:pStyle w:val="Standard1"/>
              <w:rPr>
                <w:ins w:id="12350" w:author="Author"/>
                <w:rFonts w:ascii="Times New Roman" w:hAnsi="Times New Roman"/>
                <w:bCs/>
                <w:noProof/>
                <w:sz w:val="22"/>
                <w:szCs w:val="22"/>
              </w:rPr>
            </w:pPr>
            <w:ins w:id="12351" w:author="Author">
              <w:r>
                <w:rPr>
                  <w:rFonts w:ascii="Times New Roman" w:hAnsi="Times New Roman"/>
                  <w:bCs/>
                  <w:noProof/>
                  <w:sz w:val="22"/>
                  <w:szCs w:val="22"/>
                </w:rPr>
                <w:t>Ελλάδα</w:t>
              </w:r>
            </w:ins>
          </w:p>
          <w:p>
            <w:pPr>
              <w:pStyle w:val="Standard1"/>
              <w:rPr>
                <w:ins w:id="12352" w:author="Author"/>
                <w:rFonts w:ascii="Times New Roman" w:hAnsi="Times New Roman"/>
                <w:bCs/>
                <w:noProof/>
                <w:sz w:val="22"/>
                <w:szCs w:val="22"/>
              </w:rPr>
            </w:pPr>
            <w:ins w:id="12353" w:author="Author">
              <w:r>
                <w:rPr>
                  <w:rFonts w:ascii="Times New Roman" w:hAnsi="Times New Roman"/>
                  <w:bCs/>
                  <w:noProof/>
                  <w:sz w:val="22"/>
                  <w:szCs w:val="22"/>
                </w:rPr>
                <w:t>Τηλ: +30 210 61 66 100</w:t>
              </w:r>
            </w:ins>
          </w:p>
          <w:p>
            <w:pPr>
              <w:pStyle w:val="Standard1"/>
              <w:rPr>
                <w:ins w:id="12354" w:author="Author"/>
                <w:rFonts w:ascii="Times New Roman" w:hAnsi="Times New Roman"/>
                <w:b/>
                <w:noProof/>
                <w:sz w:val="22"/>
                <w:szCs w:val="22"/>
              </w:rPr>
            </w:pPr>
          </w:p>
        </w:tc>
        <w:tc>
          <w:tcPr>
            <w:tcW w:w="4590" w:type="dxa"/>
          </w:tcPr>
          <w:p>
            <w:pPr>
              <w:pStyle w:val="Standard1"/>
              <w:rPr>
                <w:ins w:id="12355" w:author="Author"/>
                <w:rFonts w:ascii="Times New Roman" w:hAnsi="Times New Roman"/>
                <w:b/>
                <w:bCs/>
                <w:noProof/>
                <w:sz w:val="22"/>
                <w:szCs w:val="22"/>
              </w:rPr>
            </w:pPr>
            <w:ins w:id="12356" w:author="Author">
              <w:r>
                <w:rPr>
                  <w:rFonts w:ascii="Times New Roman" w:hAnsi="Times New Roman"/>
                  <w:b/>
                  <w:bCs/>
                  <w:noProof/>
                  <w:sz w:val="22"/>
                  <w:szCs w:val="22"/>
                </w:rPr>
                <w:t>Polska</w:t>
              </w:r>
            </w:ins>
          </w:p>
          <w:p>
            <w:pPr>
              <w:pStyle w:val="Standard1"/>
              <w:rPr>
                <w:ins w:id="12357" w:author="Author"/>
                <w:rFonts w:ascii="Times New Roman" w:hAnsi="Times New Roman"/>
                <w:noProof/>
                <w:sz w:val="22"/>
                <w:szCs w:val="22"/>
              </w:rPr>
            </w:pPr>
            <w:ins w:id="12358" w:author="Author">
              <w:r>
                <w:rPr>
                  <w:rFonts w:ascii="Times New Roman" w:hAnsi="Times New Roman"/>
                  <w:noProof/>
                  <w:sz w:val="22"/>
                  <w:szCs w:val="22"/>
                </w:rPr>
                <w:t>Roche Polska Sp.z o.o.</w:t>
              </w:r>
            </w:ins>
          </w:p>
          <w:p>
            <w:pPr>
              <w:pStyle w:val="Standard1"/>
              <w:rPr>
                <w:ins w:id="12359" w:author="Author"/>
                <w:rFonts w:ascii="Times New Roman" w:hAnsi="Times New Roman"/>
                <w:noProof/>
                <w:sz w:val="22"/>
                <w:szCs w:val="22"/>
              </w:rPr>
            </w:pPr>
            <w:ins w:id="12360" w:author="Author">
              <w:r>
                <w:rPr>
                  <w:rFonts w:ascii="Times New Roman" w:hAnsi="Times New Roman"/>
                  <w:noProof/>
                  <w:sz w:val="22"/>
                  <w:szCs w:val="22"/>
                </w:rPr>
                <w:t>Tel: +48 - 22 345 18 88</w:t>
              </w:r>
            </w:ins>
          </w:p>
          <w:p>
            <w:pPr>
              <w:pStyle w:val="Standard1"/>
              <w:rPr>
                <w:ins w:id="12361" w:author="Author"/>
                <w:rFonts w:ascii="Times New Roman" w:hAnsi="Times New Roman"/>
                <w:noProof/>
                <w:sz w:val="22"/>
                <w:szCs w:val="22"/>
              </w:rPr>
            </w:pPr>
          </w:p>
        </w:tc>
      </w:tr>
      <w:tr>
        <w:trPr>
          <w:cantSplit/>
          <w:ins w:id="12362" w:author="Author"/>
        </w:trPr>
        <w:tc>
          <w:tcPr>
            <w:tcW w:w="4590" w:type="dxa"/>
          </w:tcPr>
          <w:p>
            <w:pPr>
              <w:pStyle w:val="Standard1"/>
              <w:rPr>
                <w:ins w:id="12363" w:author="Author"/>
                <w:rFonts w:ascii="Times New Roman" w:hAnsi="Times New Roman"/>
                <w:b/>
                <w:noProof/>
                <w:sz w:val="22"/>
                <w:szCs w:val="22"/>
              </w:rPr>
            </w:pPr>
            <w:ins w:id="12364" w:author="Author">
              <w:r>
                <w:rPr>
                  <w:rFonts w:ascii="Times New Roman" w:hAnsi="Times New Roman"/>
                  <w:b/>
                  <w:noProof/>
                  <w:sz w:val="22"/>
                  <w:szCs w:val="22"/>
                </w:rPr>
                <w:t>España</w:t>
              </w:r>
            </w:ins>
          </w:p>
          <w:p>
            <w:pPr>
              <w:pStyle w:val="Standard1"/>
              <w:rPr>
                <w:ins w:id="12365" w:author="Author"/>
                <w:rFonts w:ascii="Times New Roman" w:hAnsi="Times New Roman"/>
                <w:bCs/>
                <w:noProof/>
                <w:sz w:val="22"/>
                <w:szCs w:val="22"/>
              </w:rPr>
            </w:pPr>
            <w:ins w:id="12366" w:author="Author">
              <w:r>
                <w:rPr>
                  <w:rFonts w:ascii="Times New Roman" w:hAnsi="Times New Roman"/>
                  <w:bCs/>
                  <w:noProof/>
                  <w:sz w:val="22"/>
                  <w:szCs w:val="22"/>
                </w:rPr>
                <w:t>Roche Farma S.A.</w:t>
              </w:r>
            </w:ins>
          </w:p>
          <w:p>
            <w:pPr>
              <w:pStyle w:val="Standard1"/>
              <w:rPr>
                <w:ins w:id="12367" w:author="Author"/>
                <w:rFonts w:ascii="Times New Roman" w:hAnsi="Times New Roman"/>
                <w:bCs/>
                <w:noProof/>
                <w:sz w:val="22"/>
                <w:szCs w:val="22"/>
              </w:rPr>
            </w:pPr>
            <w:ins w:id="12368" w:author="Author">
              <w:r>
                <w:rPr>
                  <w:rFonts w:ascii="Times New Roman" w:hAnsi="Times New Roman"/>
                  <w:bCs/>
                  <w:noProof/>
                  <w:sz w:val="22"/>
                  <w:szCs w:val="22"/>
                </w:rPr>
                <w:t>Tel: +34 - 91 324 81 00</w:t>
              </w:r>
            </w:ins>
          </w:p>
          <w:p>
            <w:pPr>
              <w:pStyle w:val="Standard1"/>
              <w:rPr>
                <w:ins w:id="12369" w:author="Author"/>
                <w:rFonts w:ascii="Times New Roman" w:hAnsi="Times New Roman"/>
                <w:b/>
                <w:noProof/>
                <w:sz w:val="22"/>
                <w:szCs w:val="22"/>
              </w:rPr>
            </w:pPr>
          </w:p>
        </w:tc>
        <w:tc>
          <w:tcPr>
            <w:tcW w:w="4590" w:type="dxa"/>
          </w:tcPr>
          <w:p>
            <w:pPr>
              <w:pStyle w:val="Standard1"/>
              <w:rPr>
                <w:ins w:id="12370" w:author="Author"/>
                <w:rFonts w:ascii="Times New Roman" w:hAnsi="Times New Roman"/>
                <w:b/>
                <w:bCs/>
                <w:noProof/>
                <w:sz w:val="22"/>
                <w:szCs w:val="22"/>
                <w:lang w:val="pt-BR"/>
                <w:rPrChange w:id="12371" w:author="Author">
                  <w:rPr>
                    <w:ins w:id="12372" w:author="Author"/>
                    <w:rFonts w:ascii="Times New Roman" w:hAnsi="Times New Roman"/>
                    <w:b/>
                    <w:bCs/>
                    <w:noProof/>
                    <w:sz w:val="22"/>
                    <w:szCs w:val="22"/>
                  </w:rPr>
                </w:rPrChange>
              </w:rPr>
            </w:pPr>
            <w:ins w:id="12373" w:author="Author">
              <w:r>
                <w:rPr>
                  <w:rFonts w:ascii="Times New Roman" w:hAnsi="Times New Roman"/>
                  <w:b/>
                  <w:bCs/>
                  <w:noProof/>
                  <w:sz w:val="22"/>
                  <w:szCs w:val="22"/>
                  <w:lang w:val="pt-BR"/>
                  <w:rPrChange w:id="12374" w:author="Author">
                    <w:rPr>
                      <w:rFonts w:ascii="Times New Roman" w:hAnsi="Times New Roman"/>
                      <w:b/>
                      <w:bCs/>
                      <w:noProof/>
                      <w:sz w:val="22"/>
                      <w:szCs w:val="22"/>
                    </w:rPr>
                  </w:rPrChange>
                </w:rPr>
                <w:t>Portugal</w:t>
              </w:r>
            </w:ins>
          </w:p>
          <w:p>
            <w:pPr>
              <w:pStyle w:val="Standard1"/>
              <w:rPr>
                <w:ins w:id="12375" w:author="Author"/>
                <w:rFonts w:ascii="Times New Roman" w:hAnsi="Times New Roman"/>
                <w:noProof/>
                <w:sz w:val="22"/>
                <w:szCs w:val="22"/>
                <w:lang w:val="pt-BR"/>
                <w:rPrChange w:id="12376" w:author="Author">
                  <w:rPr>
                    <w:ins w:id="12377" w:author="Author"/>
                    <w:rFonts w:ascii="Times New Roman" w:hAnsi="Times New Roman"/>
                    <w:noProof/>
                    <w:sz w:val="22"/>
                    <w:szCs w:val="22"/>
                  </w:rPr>
                </w:rPrChange>
              </w:rPr>
            </w:pPr>
            <w:ins w:id="12378" w:author="Author">
              <w:r>
                <w:rPr>
                  <w:rFonts w:ascii="Times New Roman" w:hAnsi="Times New Roman"/>
                  <w:noProof/>
                  <w:sz w:val="22"/>
                  <w:szCs w:val="22"/>
                  <w:lang w:val="pt-BR"/>
                  <w:rPrChange w:id="12379" w:author="Author">
                    <w:rPr>
                      <w:rFonts w:ascii="Times New Roman" w:hAnsi="Times New Roman"/>
                      <w:noProof/>
                      <w:sz w:val="22"/>
                      <w:szCs w:val="22"/>
                    </w:rPr>
                  </w:rPrChange>
                </w:rPr>
                <w:t>Roche Farmacêutica Química, Lda</w:t>
              </w:r>
            </w:ins>
          </w:p>
          <w:p>
            <w:pPr>
              <w:pStyle w:val="Standard1"/>
              <w:rPr>
                <w:ins w:id="12380" w:author="Author"/>
                <w:rFonts w:ascii="Times New Roman" w:hAnsi="Times New Roman"/>
                <w:noProof/>
                <w:sz w:val="22"/>
                <w:szCs w:val="22"/>
                <w:lang w:val="pt-BR"/>
                <w:rPrChange w:id="12381" w:author="Author">
                  <w:rPr>
                    <w:ins w:id="12382" w:author="Author"/>
                    <w:rFonts w:ascii="Times New Roman" w:hAnsi="Times New Roman"/>
                    <w:noProof/>
                    <w:sz w:val="22"/>
                    <w:szCs w:val="22"/>
                  </w:rPr>
                </w:rPrChange>
              </w:rPr>
            </w:pPr>
            <w:ins w:id="12383" w:author="Author">
              <w:r>
                <w:rPr>
                  <w:rFonts w:ascii="Times New Roman" w:hAnsi="Times New Roman"/>
                  <w:noProof/>
                  <w:sz w:val="22"/>
                  <w:szCs w:val="22"/>
                  <w:lang w:val="pt-BR"/>
                  <w:rPrChange w:id="12384" w:author="Author">
                    <w:rPr>
                      <w:rFonts w:ascii="Times New Roman" w:hAnsi="Times New Roman"/>
                      <w:noProof/>
                      <w:sz w:val="22"/>
                      <w:szCs w:val="22"/>
                    </w:rPr>
                  </w:rPrChange>
                </w:rPr>
                <w:t>Tel: +351 - 21 425 70 00</w:t>
              </w:r>
            </w:ins>
          </w:p>
          <w:p>
            <w:pPr>
              <w:pStyle w:val="Standard1"/>
              <w:rPr>
                <w:ins w:id="12385" w:author="Author"/>
                <w:rFonts w:ascii="Times New Roman" w:hAnsi="Times New Roman"/>
                <w:noProof/>
                <w:sz w:val="22"/>
                <w:szCs w:val="22"/>
                <w:lang w:val="pt-BR"/>
                <w:rPrChange w:id="12386" w:author="Author">
                  <w:rPr>
                    <w:ins w:id="12387" w:author="Author"/>
                    <w:rFonts w:ascii="Times New Roman" w:hAnsi="Times New Roman"/>
                    <w:noProof/>
                    <w:sz w:val="22"/>
                    <w:szCs w:val="22"/>
                  </w:rPr>
                </w:rPrChange>
              </w:rPr>
            </w:pPr>
          </w:p>
        </w:tc>
      </w:tr>
      <w:tr>
        <w:trPr>
          <w:cantSplit/>
          <w:ins w:id="12388" w:author="Author"/>
        </w:trPr>
        <w:tc>
          <w:tcPr>
            <w:tcW w:w="4590" w:type="dxa"/>
          </w:tcPr>
          <w:p>
            <w:pPr>
              <w:pStyle w:val="Standard1"/>
              <w:rPr>
                <w:ins w:id="12389" w:author="Author"/>
                <w:rFonts w:ascii="Times New Roman" w:hAnsi="Times New Roman"/>
                <w:b/>
                <w:noProof/>
                <w:sz w:val="22"/>
                <w:szCs w:val="22"/>
              </w:rPr>
            </w:pPr>
            <w:ins w:id="12390" w:author="Author">
              <w:r>
                <w:rPr>
                  <w:rFonts w:ascii="Times New Roman" w:hAnsi="Times New Roman"/>
                  <w:b/>
                  <w:noProof/>
                  <w:sz w:val="22"/>
                  <w:szCs w:val="22"/>
                </w:rPr>
                <w:t>France</w:t>
              </w:r>
            </w:ins>
          </w:p>
          <w:p>
            <w:pPr>
              <w:pStyle w:val="Standard1"/>
              <w:rPr>
                <w:ins w:id="12391" w:author="Author"/>
                <w:rFonts w:ascii="Times New Roman" w:hAnsi="Times New Roman"/>
                <w:bCs/>
                <w:noProof/>
                <w:sz w:val="22"/>
                <w:szCs w:val="22"/>
              </w:rPr>
            </w:pPr>
            <w:ins w:id="12392" w:author="Author">
              <w:r>
                <w:rPr>
                  <w:rFonts w:ascii="Times New Roman" w:hAnsi="Times New Roman"/>
                  <w:bCs/>
                  <w:noProof/>
                  <w:sz w:val="22"/>
                  <w:szCs w:val="22"/>
                </w:rPr>
                <w:t>Roche</w:t>
              </w:r>
            </w:ins>
          </w:p>
          <w:p>
            <w:pPr>
              <w:pStyle w:val="Standard1"/>
              <w:rPr>
                <w:ins w:id="12393" w:author="Author"/>
                <w:rFonts w:ascii="Times New Roman" w:hAnsi="Times New Roman"/>
                <w:bCs/>
                <w:noProof/>
                <w:sz w:val="22"/>
                <w:szCs w:val="22"/>
              </w:rPr>
            </w:pPr>
            <w:ins w:id="12394" w:author="Author">
              <w:r>
                <w:rPr>
                  <w:rFonts w:ascii="Times New Roman" w:hAnsi="Times New Roman"/>
                  <w:bCs/>
                  <w:noProof/>
                  <w:sz w:val="22"/>
                  <w:szCs w:val="22"/>
                </w:rPr>
                <w:t>Tél: +33 (0) 1 47 61 40 00</w:t>
              </w:r>
            </w:ins>
          </w:p>
          <w:p>
            <w:pPr>
              <w:pStyle w:val="Standard1"/>
              <w:rPr>
                <w:ins w:id="12395" w:author="Author"/>
                <w:rFonts w:ascii="Times New Roman" w:hAnsi="Times New Roman"/>
                <w:b/>
                <w:noProof/>
                <w:sz w:val="22"/>
                <w:szCs w:val="22"/>
              </w:rPr>
            </w:pPr>
          </w:p>
        </w:tc>
        <w:tc>
          <w:tcPr>
            <w:tcW w:w="4590" w:type="dxa"/>
          </w:tcPr>
          <w:p>
            <w:pPr>
              <w:pStyle w:val="Standard1"/>
              <w:rPr>
                <w:ins w:id="12396" w:author="Author"/>
                <w:rFonts w:ascii="Times New Roman" w:hAnsi="Times New Roman"/>
                <w:b/>
                <w:bCs/>
                <w:noProof/>
                <w:sz w:val="22"/>
                <w:szCs w:val="22"/>
              </w:rPr>
            </w:pPr>
            <w:ins w:id="12397" w:author="Author">
              <w:r>
                <w:rPr>
                  <w:rFonts w:ascii="Times New Roman" w:hAnsi="Times New Roman"/>
                  <w:b/>
                  <w:bCs/>
                  <w:noProof/>
                  <w:sz w:val="22"/>
                  <w:szCs w:val="22"/>
                </w:rPr>
                <w:t>România</w:t>
              </w:r>
            </w:ins>
          </w:p>
          <w:p>
            <w:pPr>
              <w:pStyle w:val="Standard1"/>
              <w:rPr>
                <w:ins w:id="12398" w:author="Author"/>
                <w:rFonts w:ascii="Times New Roman" w:hAnsi="Times New Roman"/>
                <w:noProof/>
                <w:sz w:val="22"/>
                <w:szCs w:val="22"/>
              </w:rPr>
            </w:pPr>
            <w:ins w:id="12399" w:author="Author">
              <w:r>
                <w:rPr>
                  <w:rFonts w:ascii="Times New Roman" w:hAnsi="Times New Roman"/>
                  <w:noProof/>
                  <w:sz w:val="22"/>
                  <w:szCs w:val="22"/>
                </w:rPr>
                <w:t>Roche România S.R.L.</w:t>
              </w:r>
            </w:ins>
          </w:p>
          <w:p>
            <w:pPr>
              <w:pStyle w:val="Standard1"/>
              <w:rPr>
                <w:ins w:id="12400" w:author="Author"/>
                <w:rFonts w:ascii="Times New Roman" w:hAnsi="Times New Roman"/>
                <w:noProof/>
                <w:sz w:val="22"/>
                <w:szCs w:val="22"/>
              </w:rPr>
            </w:pPr>
            <w:ins w:id="12401" w:author="Author">
              <w:r>
                <w:rPr>
                  <w:rFonts w:ascii="Times New Roman" w:hAnsi="Times New Roman"/>
                  <w:noProof/>
                  <w:sz w:val="22"/>
                  <w:szCs w:val="22"/>
                </w:rPr>
                <w:t>Tel: +40 21 206 47 01</w:t>
              </w:r>
            </w:ins>
          </w:p>
          <w:p>
            <w:pPr>
              <w:pStyle w:val="Standard1"/>
              <w:rPr>
                <w:ins w:id="12402" w:author="Author"/>
                <w:rFonts w:ascii="Times New Roman" w:hAnsi="Times New Roman"/>
                <w:noProof/>
                <w:sz w:val="22"/>
                <w:szCs w:val="22"/>
              </w:rPr>
            </w:pPr>
          </w:p>
        </w:tc>
      </w:tr>
      <w:tr>
        <w:trPr>
          <w:cantSplit/>
          <w:ins w:id="12403" w:author="Author"/>
        </w:trPr>
        <w:tc>
          <w:tcPr>
            <w:tcW w:w="4590" w:type="dxa"/>
          </w:tcPr>
          <w:p>
            <w:pPr>
              <w:pStyle w:val="Standard1"/>
              <w:rPr>
                <w:ins w:id="12404" w:author="Author"/>
                <w:rFonts w:ascii="Times New Roman" w:hAnsi="Times New Roman"/>
                <w:b/>
                <w:noProof/>
                <w:sz w:val="22"/>
                <w:szCs w:val="22"/>
                <w:lang w:val="de-DE"/>
                <w:rPrChange w:id="12405" w:author="Author">
                  <w:rPr>
                    <w:ins w:id="12406" w:author="Author"/>
                    <w:rFonts w:ascii="Times New Roman" w:hAnsi="Times New Roman"/>
                    <w:b/>
                    <w:noProof/>
                    <w:sz w:val="22"/>
                    <w:szCs w:val="22"/>
                  </w:rPr>
                </w:rPrChange>
              </w:rPr>
            </w:pPr>
            <w:ins w:id="12407" w:author="Author">
              <w:r>
                <w:rPr>
                  <w:rFonts w:ascii="Times New Roman" w:hAnsi="Times New Roman"/>
                  <w:b/>
                  <w:noProof/>
                  <w:sz w:val="22"/>
                  <w:szCs w:val="22"/>
                  <w:lang w:val="de-DE"/>
                  <w:rPrChange w:id="12408" w:author="Author">
                    <w:rPr>
                      <w:rFonts w:ascii="Times New Roman" w:hAnsi="Times New Roman"/>
                      <w:b/>
                      <w:noProof/>
                      <w:sz w:val="22"/>
                      <w:szCs w:val="22"/>
                    </w:rPr>
                  </w:rPrChange>
                </w:rPr>
                <w:t>Hrvatska</w:t>
              </w:r>
            </w:ins>
          </w:p>
          <w:p>
            <w:pPr>
              <w:pStyle w:val="Standard1"/>
              <w:rPr>
                <w:ins w:id="12409" w:author="Author"/>
                <w:rFonts w:ascii="Times New Roman" w:hAnsi="Times New Roman"/>
                <w:bCs/>
                <w:noProof/>
                <w:sz w:val="22"/>
                <w:szCs w:val="22"/>
                <w:lang w:val="de-DE"/>
                <w:rPrChange w:id="12410" w:author="Author">
                  <w:rPr>
                    <w:ins w:id="12411" w:author="Author"/>
                    <w:rFonts w:ascii="Times New Roman" w:hAnsi="Times New Roman"/>
                    <w:bCs/>
                    <w:noProof/>
                    <w:sz w:val="22"/>
                    <w:szCs w:val="22"/>
                  </w:rPr>
                </w:rPrChange>
              </w:rPr>
            </w:pPr>
            <w:ins w:id="12412" w:author="Author">
              <w:r>
                <w:rPr>
                  <w:rFonts w:ascii="Times New Roman" w:hAnsi="Times New Roman"/>
                  <w:bCs/>
                  <w:noProof/>
                  <w:sz w:val="22"/>
                  <w:szCs w:val="22"/>
                  <w:lang w:val="de-DE"/>
                  <w:rPrChange w:id="12413" w:author="Author">
                    <w:rPr>
                      <w:rFonts w:ascii="Times New Roman" w:hAnsi="Times New Roman"/>
                      <w:bCs/>
                      <w:noProof/>
                      <w:sz w:val="22"/>
                      <w:szCs w:val="22"/>
                    </w:rPr>
                  </w:rPrChange>
                </w:rPr>
                <w:t>Roche d.o.o</w:t>
              </w:r>
            </w:ins>
          </w:p>
          <w:p>
            <w:pPr>
              <w:pStyle w:val="Standard1"/>
              <w:rPr>
                <w:ins w:id="12414" w:author="Author"/>
                <w:rFonts w:ascii="Times New Roman" w:hAnsi="Times New Roman"/>
                <w:bCs/>
                <w:noProof/>
                <w:sz w:val="22"/>
                <w:szCs w:val="22"/>
                <w:lang w:val="de-DE"/>
                <w:rPrChange w:id="12415" w:author="Author">
                  <w:rPr>
                    <w:ins w:id="12416" w:author="Author"/>
                    <w:rFonts w:ascii="Times New Roman" w:hAnsi="Times New Roman"/>
                    <w:bCs/>
                    <w:noProof/>
                    <w:sz w:val="22"/>
                    <w:szCs w:val="22"/>
                  </w:rPr>
                </w:rPrChange>
              </w:rPr>
            </w:pPr>
            <w:ins w:id="12417" w:author="Author">
              <w:r>
                <w:rPr>
                  <w:rFonts w:ascii="Times New Roman" w:hAnsi="Times New Roman"/>
                  <w:bCs/>
                  <w:noProof/>
                  <w:sz w:val="22"/>
                  <w:szCs w:val="22"/>
                  <w:lang w:val="de-DE"/>
                  <w:rPrChange w:id="12418" w:author="Author">
                    <w:rPr>
                      <w:rFonts w:ascii="Times New Roman" w:hAnsi="Times New Roman"/>
                      <w:bCs/>
                      <w:noProof/>
                      <w:sz w:val="22"/>
                      <w:szCs w:val="22"/>
                    </w:rPr>
                  </w:rPrChange>
                </w:rPr>
                <w:t>Tel: +385 1 47 22 333</w:t>
              </w:r>
            </w:ins>
          </w:p>
          <w:p>
            <w:pPr>
              <w:pStyle w:val="Standard1"/>
              <w:rPr>
                <w:ins w:id="12419" w:author="Author"/>
                <w:rFonts w:ascii="Times New Roman" w:hAnsi="Times New Roman"/>
                <w:b/>
                <w:noProof/>
                <w:sz w:val="22"/>
                <w:szCs w:val="22"/>
                <w:lang w:val="de-DE"/>
                <w:rPrChange w:id="12420" w:author="Author">
                  <w:rPr>
                    <w:ins w:id="12421" w:author="Author"/>
                    <w:rFonts w:ascii="Times New Roman" w:hAnsi="Times New Roman"/>
                    <w:b/>
                    <w:noProof/>
                    <w:sz w:val="22"/>
                    <w:szCs w:val="22"/>
                  </w:rPr>
                </w:rPrChange>
              </w:rPr>
            </w:pPr>
          </w:p>
        </w:tc>
        <w:tc>
          <w:tcPr>
            <w:tcW w:w="4590" w:type="dxa"/>
          </w:tcPr>
          <w:p>
            <w:pPr>
              <w:pStyle w:val="Standard1"/>
              <w:rPr>
                <w:ins w:id="12422" w:author="Author"/>
                <w:rFonts w:ascii="Times New Roman" w:hAnsi="Times New Roman"/>
                <w:b/>
                <w:bCs/>
                <w:noProof/>
                <w:sz w:val="22"/>
                <w:szCs w:val="22"/>
                <w:lang w:val="de-DE"/>
                <w:rPrChange w:id="12423" w:author="Author">
                  <w:rPr>
                    <w:ins w:id="12424" w:author="Author"/>
                    <w:rFonts w:ascii="Times New Roman" w:hAnsi="Times New Roman"/>
                    <w:b/>
                    <w:bCs/>
                    <w:noProof/>
                    <w:sz w:val="22"/>
                    <w:szCs w:val="22"/>
                  </w:rPr>
                </w:rPrChange>
              </w:rPr>
            </w:pPr>
            <w:ins w:id="12425" w:author="Author">
              <w:r>
                <w:rPr>
                  <w:rFonts w:ascii="Times New Roman" w:hAnsi="Times New Roman"/>
                  <w:b/>
                  <w:bCs/>
                  <w:noProof/>
                  <w:sz w:val="22"/>
                  <w:szCs w:val="22"/>
                  <w:lang w:val="de-DE"/>
                  <w:rPrChange w:id="12426" w:author="Author">
                    <w:rPr>
                      <w:rFonts w:ascii="Times New Roman" w:hAnsi="Times New Roman"/>
                      <w:b/>
                      <w:bCs/>
                      <w:noProof/>
                      <w:sz w:val="22"/>
                      <w:szCs w:val="22"/>
                    </w:rPr>
                  </w:rPrChange>
                </w:rPr>
                <w:t>Slovenija</w:t>
              </w:r>
            </w:ins>
          </w:p>
          <w:p>
            <w:pPr>
              <w:pStyle w:val="Standard1"/>
              <w:rPr>
                <w:ins w:id="12427" w:author="Author"/>
                <w:rFonts w:ascii="Times New Roman" w:hAnsi="Times New Roman"/>
                <w:noProof/>
                <w:sz w:val="22"/>
                <w:szCs w:val="22"/>
                <w:lang w:val="de-DE"/>
                <w:rPrChange w:id="12428" w:author="Author">
                  <w:rPr>
                    <w:ins w:id="12429" w:author="Author"/>
                    <w:rFonts w:ascii="Times New Roman" w:hAnsi="Times New Roman"/>
                    <w:noProof/>
                    <w:sz w:val="22"/>
                    <w:szCs w:val="22"/>
                  </w:rPr>
                </w:rPrChange>
              </w:rPr>
            </w:pPr>
            <w:ins w:id="12430" w:author="Author">
              <w:r>
                <w:rPr>
                  <w:rFonts w:ascii="Times New Roman" w:hAnsi="Times New Roman"/>
                  <w:noProof/>
                  <w:sz w:val="22"/>
                  <w:szCs w:val="22"/>
                  <w:lang w:val="de-DE"/>
                  <w:rPrChange w:id="12431" w:author="Author">
                    <w:rPr>
                      <w:rFonts w:ascii="Times New Roman" w:hAnsi="Times New Roman"/>
                      <w:noProof/>
                      <w:sz w:val="22"/>
                      <w:szCs w:val="22"/>
                    </w:rPr>
                  </w:rPrChange>
                </w:rPr>
                <w:t>Roche farmacevtska družba d.o.o.</w:t>
              </w:r>
            </w:ins>
          </w:p>
          <w:p>
            <w:pPr>
              <w:pStyle w:val="Standard1"/>
              <w:rPr>
                <w:ins w:id="12432" w:author="Author"/>
                <w:rFonts w:ascii="Times New Roman" w:hAnsi="Times New Roman"/>
                <w:noProof/>
                <w:sz w:val="22"/>
                <w:szCs w:val="22"/>
              </w:rPr>
            </w:pPr>
            <w:ins w:id="12433" w:author="Author">
              <w:r>
                <w:rPr>
                  <w:rFonts w:ascii="Times New Roman" w:hAnsi="Times New Roman"/>
                  <w:noProof/>
                  <w:sz w:val="22"/>
                  <w:szCs w:val="22"/>
                </w:rPr>
                <w:t>Tel: +386 - 1 360 26 00</w:t>
              </w:r>
            </w:ins>
          </w:p>
          <w:p>
            <w:pPr>
              <w:pStyle w:val="Standard1"/>
              <w:rPr>
                <w:ins w:id="12434" w:author="Author"/>
                <w:rFonts w:ascii="Times New Roman" w:hAnsi="Times New Roman"/>
                <w:noProof/>
                <w:sz w:val="22"/>
                <w:szCs w:val="22"/>
              </w:rPr>
            </w:pPr>
          </w:p>
        </w:tc>
      </w:tr>
      <w:tr>
        <w:trPr>
          <w:cantSplit/>
          <w:ins w:id="12435" w:author="Author"/>
        </w:trPr>
        <w:tc>
          <w:tcPr>
            <w:tcW w:w="4590" w:type="dxa"/>
          </w:tcPr>
          <w:p>
            <w:pPr>
              <w:pStyle w:val="Standard1"/>
              <w:rPr>
                <w:ins w:id="12436" w:author="Author"/>
                <w:rFonts w:ascii="Times New Roman" w:hAnsi="Times New Roman"/>
                <w:b/>
                <w:noProof/>
                <w:sz w:val="22"/>
                <w:szCs w:val="22"/>
                <w:lang w:val="en-US"/>
                <w:rPrChange w:id="12437" w:author="Author">
                  <w:rPr>
                    <w:ins w:id="12438" w:author="Author"/>
                    <w:rFonts w:ascii="Times New Roman" w:hAnsi="Times New Roman"/>
                    <w:b/>
                    <w:noProof/>
                    <w:sz w:val="22"/>
                    <w:szCs w:val="22"/>
                  </w:rPr>
                </w:rPrChange>
              </w:rPr>
            </w:pPr>
            <w:ins w:id="12439" w:author="Author">
              <w:r>
                <w:rPr>
                  <w:rFonts w:ascii="Times New Roman" w:hAnsi="Times New Roman"/>
                  <w:b/>
                  <w:noProof/>
                  <w:sz w:val="22"/>
                  <w:szCs w:val="22"/>
                  <w:lang w:val="en-US"/>
                  <w:rPrChange w:id="12440" w:author="Author">
                    <w:rPr>
                      <w:rFonts w:ascii="Times New Roman" w:hAnsi="Times New Roman"/>
                      <w:b/>
                      <w:noProof/>
                      <w:sz w:val="22"/>
                      <w:szCs w:val="22"/>
                    </w:rPr>
                  </w:rPrChange>
                </w:rPr>
                <w:lastRenderedPageBreak/>
                <w:t>Ireland, Malta</w:t>
              </w:r>
            </w:ins>
          </w:p>
          <w:p>
            <w:pPr>
              <w:pStyle w:val="Standard1"/>
              <w:rPr>
                <w:ins w:id="12441" w:author="Author"/>
                <w:rFonts w:ascii="Times New Roman" w:hAnsi="Times New Roman"/>
                <w:bCs/>
                <w:noProof/>
                <w:sz w:val="22"/>
                <w:szCs w:val="22"/>
                <w:lang w:val="en-US"/>
                <w:rPrChange w:id="12442" w:author="Author">
                  <w:rPr>
                    <w:ins w:id="12443" w:author="Author"/>
                    <w:rFonts w:ascii="Times New Roman" w:hAnsi="Times New Roman"/>
                    <w:bCs/>
                    <w:noProof/>
                    <w:sz w:val="22"/>
                    <w:szCs w:val="22"/>
                  </w:rPr>
                </w:rPrChange>
              </w:rPr>
            </w:pPr>
            <w:ins w:id="12444" w:author="Author">
              <w:r>
                <w:rPr>
                  <w:rFonts w:ascii="Times New Roman" w:hAnsi="Times New Roman"/>
                  <w:bCs/>
                  <w:noProof/>
                  <w:sz w:val="22"/>
                  <w:szCs w:val="22"/>
                  <w:lang w:val="en-US"/>
                  <w:rPrChange w:id="12445" w:author="Author">
                    <w:rPr>
                      <w:rFonts w:ascii="Times New Roman" w:hAnsi="Times New Roman"/>
                      <w:bCs/>
                      <w:noProof/>
                      <w:sz w:val="22"/>
                      <w:szCs w:val="22"/>
                    </w:rPr>
                  </w:rPrChange>
                </w:rPr>
                <w:t>Roche Products (Ireland) Ltd.</w:t>
              </w:r>
            </w:ins>
          </w:p>
          <w:p>
            <w:pPr>
              <w:pStyle w:val="Standard1"/>
              <w:rPr>
                <w:ins w:id="12446" w:author="Author"/>
                <w:rFonts w:ascii="Times New Roman" w:hAnsi="Times New Roman"/>
                <w:bCs/>
                <w:noProof/>
                <w:sz w:val="22"/>
                <w:szCs w:val="22"/>
              </w:rPr>
            </w:pPr>
            <w:ins w:id="12447" w:author="Author">
              <w:r>
                <w:rPr>
                  <w:rFonts w:ascii="Times New Roman" w:hAnsi="Times New Roman"/>
                  <w:bCs/>
                  <w:noProof/>
                  <w:sz w:val="22"/>
                  <w:szCs w:val="22"/>
                </w:rPr>
                <w:t>Ireland/L-Irlanda</w:t>
              </w:r>
            </w:ins>
          </w:p>
          <w:p>
            <w:pPr>
              <w:pStyle w:val="Standard1"/>
              <w:rPr>
                <w:ins w:id="12448" w:author="Author"/>
                <w:rFonts w:ascii="Times New Roman" w:hAnsi="Times New Roman"/>
                <w:bCs/>
                <w:noProof/>
                <w:sz w:val="22"/>
                <w:szCs w:val="22"/>
              </w:rPr>
            </w:pPr>
            <w:ins w:id="12449" w:author="Author">
              <w:r>
                <w:rPr>
                  <w:rFonts w:ascii="Times New Roman" w:hAnsi="Times New Roman"/>
                  <w:bCs/>
                  <w:noProof/>
                  <w:sz w:val="22"/>
                  <w:szCs w:val="22"/>
                </w:rPr>
                <w:t>Tel: +353 (0) 1 469 0700</w:t>
              </w:r>
            </w:ins>
          </w:p>
          <w:p>
            <w:pPr>
              <w:pStyle w:val="Standard1"/>
              <w:rPr>
                <w:ins w:id="12450" w:author="Author"/>
                <w:rFonts w:ascii="Times New Roman" w:hAnsi="Times New Roman"/>
                <w:b/>
                <w:noProof/>
                <w:sz w:val="22"/>
                <w:szCs w:val="22"/>
              </w:rPr>
            </w:pPr>
          </w:p>
        </w:tc>
        <w:tc>
          <w:tcPr>
            <w:tcW w:w="4590" w:type="dxa"/>
          </w:tcPr>
          <w:p>
            <w:pPr>
              <w:pStyle w:val="Standard1"/>
              <w:rPr>
                <w:ins w:id="12451" w:author="Author"/>
                <w:rFonts w:ascii="Times New Roman" w:hAnsi="Times New Roman"/>
                <w:b/>
                <w:bCs/>
                <w:noProof/>
                <w:sz w:val="22"/>
                <w:szCs w:val="22"/>
              </w:rPr>
            </w:pPr>
            <w:ins w:id="12452" w:author="Author">
              <w:r>
                <w:rPr>
                  <w:rFonts w:ascii="Times New Roman" w:hAnsi="Times New Roman"/>
                  <w:b/>
                  <w:bCs/>
                  <w:noProof/>
                  <w:sz w:val="22"/>
                  <w:szCs w:val="22"/>
                </w:rPr>
                <w:t xml:space="preserve">Slovenská republika </w:t>
              </w:r>
            </w:ins>
          </w:p>
          <w:p>
            <w:pPr>
              <w:pStyle w:val="Standard1"/>
              <w:rPr>
                <w:ins w:id="12453" w:author="Author"/>
                <w:rFonts w:ascii="Times New Roman" w:hAnsi="Times New Roman"/>
                <w:noProof/>
                <w:sz w:val="22"/>
                <w:szCs w:val="22"/>
              </w:rPr>
            </w:pPr>
            <w:ins w:id="12454" w:author="Author">
              <w:r>
                <w:rPr>
                  <w:rFonts w:ascii="Times New Roman" w:hAnsi="Times New Roman"/>
                  <w:noProof/>
                  <w:sz w:val="22"/>
                  <w:szCs w:val="22"/>
                </w:rPr>
                <w:t>Roche Slovensko, s.r.o.</w:t>
              </w:r>
            </w:ins>
          </w:p>
          <w:p>
            <w:pPr>
              <w:pStyle w:val="Standard1"/>
              <w:rPr>
                <w:ins w:id="12455" w:author="Author"/>
                <w:rFonts w:ascii="Times New Roman" w:hAnsi="Times New Roman"/>
                <w:noProof/>
                <w:sz w:val="22"/>
                <w:szCs w:val="22"/>
              </w:rPr>
            </w:pPr>
            <w:ins w:id="12456" w:author="Author">
              <w:r>
                <w:rPr>
                  <w:rFonts w:ascii="Times New Roman" w:hAnsi="Times New Roman"/>
                  <w:noProof/>
                  <w:sz w:val="22"/>
                  <w:szCs w:val="22"/>
                </w:rPr>
                <w:t>Tel: +421 - 2 52638201</w:t>
              </w:r>
            </w:ins>
          </w:p>
          <w:p>
            <w:pPr>
              <w:pStyle w:val="Standard1"/>
              <w:rPr>
                <w:ins w:id="12457" w:author="Author"/>
                <w:rFonts w:ascii="Times New Roman" w:hAnsi="Times New Roman"/>
                <w:noProof/>
                <w:sz w:val="22"/>
                <w:szCs w:val="22"/>
              </w:rPr>
            </w:pPr>
          </w:p>
        </w:tc>
      </w:tr>
      <w:tr>
        <w:trPr>
          <w:cantSplit/>
          <w:ins w:id="12458" w:author="Author"/>
        </w:trPr>
        <w:tc>
          <w:tcPr>
            <w:tcW w:w="4590" w:type="dxa"/>
          </w:tcPr>
          <w:p>
            <w:pPr>
              <w:pStyle w:val="Standard1"/>
              <w:rPr>
                <w:ins w:id="12459" w:author="Author"/>
                <w:rFonts w:ascii="Times New Roman" w:hAnsi="Times New Roman"/>
                <w:b/>
                <w:noProof/>
                <w:sz w:val="22"/>
                <w:szCs w:val="22"/>
                <w:lang w:val="en-US"/>
                <w:rPrChange w:id="12460" w:author="Author">
                  <w:rPr>
                    <w:ins w:id="12461" w:author="Author"/>
                    <w:rFonts w:ascii="Times New Roman" w:hAnsi="Times New Roman"/>
                    <w:b/>
                    <w:noProof/>
                    <w:sz w:val="22"/>
                    <w:szCs w:val="22"/>
                  </w:rPr>
                </w:rPrChange>
              </w:rPr>
            </w:pPr>
            <w:ins w:id="12462" w:author="Author">
              <w:r>
                <w:rPr>
                  <w:rFonts w:ascii="Times New Roman" w:hAnsi="Times New Roman"/>
                  <w:b/>
                  <w:noProof/>
                  <w:sz w:val="22"/>
                  <w:szCs w:val="22"/>
                  <w:lang w:val="en-US"/>
                  <w:rPrChange w:id="12463" w:author="Author">
                    <w:rPr>
                      <w:rFonts w:ascii="Times New Roman" w:hAnsi="Times New Roman"/>
                      <w:b/>
                      <w:noProof/>
                      <w:sz w:val="22"/>
                      <w:szCs w:val="22"/>
                    </w:rPr>
                  </w:rPrChange>
                </w:rPr>
                <w:t xml:space="preserve">Ísland </w:t>
              </w:r>
            </w:ins>
          </w:p>
          <w:p>
            <w:pPr>
              <w:pStyle w:val="Standard1"/>
              <w:rPr>
                <w:ins w:id="12464" w:author="Author"/>
                <w:rFonts w:ascii="Times New Roman" w:hAnsi="Times New Roman"/>
                <w:bCs/>
                <w:noProof/>
                <w:sz w:val="22"/>
                <w:szCs w:val="22"/>
                <w:lang w:val="en-US"/>
                <w:rPrChange w:id="12465" w:author="Author">
                  <w:rPr>
                    <w:ins w:id="12466" w:author="Author"/>
                    <w:rFonts w:ascii="Times New Roman" w:hAnsi="Times New Roman"/>
                    <w:bCs/>
                    <w:noProof/>
                    <w:sz w:val="22"/>
                    <w:szCs w:val="22"/>
                  </w:rPr>
                </w:rPrChange>
              </w:rPr>
            </w:pPr>
            <w:ins w:id="12467" w:author="Author">
              <w:r>
                <w:rPr>
                  <w:rFonts w:ascii="Times New Roman" w:hAnsi="Times New Roman"/>
                  <w:bCs/>
                  <w:noProof/>
                  <w:sz w:val="22"/>
                  <w:szCs w:val="22"/>
                  <w:lang w:val="en-US"/>
                  <w:rPrChange w:id="12468" w:author="Author">
                    <w:rPr>
                      <w:rFonts w:ascii="Times New Roman" w:hAnsi="Times New Roman"/>
                      <w:bCs/>
                      <w:noProof/>
                      <w:sz w:val="22"/>
                      <w:szCs w:val="22"/>
                    </w:rPr>
                  </w:rPrChange>
                </w:rPr>
                <w:t>Roche Pharmaceuticals A/S</w:t>
              </w:r>
            </w:ins>
          </w:p>
          <w:p>
            <w:pPr>
              <w:pStyle w:val="Standard1"/>
              <w:rPr>
                <w:ins w:id="12469" w:author="Author"/>
                <w:rFonts w:ascii="Times New Roman" w:hAnsi="Times New Roman"/>
                <w:bCs/>
                <w:noProof/>
                <w:sz w:val="22"/>
                <w:szCs w:val="22"/>
                <w:lang w:val="en-US"/>
                <w:rPrChange w:id="12470" w:author="Author">
                  <w:rPr>
                    <w:ins w:id="12471" w:author="Author"/>
                    <w:rFonts w:ascii="Times New Roman" w:hAnsi="Times New Roman"/>
                    <w:bCs/>
                    <w:noProof/>
                    <w:sz w:val="22"/>
                    <w:szCs w:val="22"/>
                  </w:rPr>
                </w:rPrChange>
              </w:rPr>
            </w:pPr>
            <w:ins w:id="12472" w:author="Author">
              <w:r>
                <w:rPr>
                  <w:rFonts w:ascii="Times New Roman" w:hAnsi="Times New Roman"/>
                  <w:bCs/>
                  <w:noProof/>
                  <w:sz w:val="22"/>
                  <w:szCs w:val="22"/>
                  <w:lang w:val="en-US"/>
                  <w:rPrChange w:id="12473" w:author="Author">
                    <w:rPr>
                      <w:rFonts w:ascii="Times New Roman" w:hAnsi="Times New Roman"/>
                      <w:bCs/>
                      <w:noProof/>
                      <w:sz w:val="22"/>
                      <w:szCs w:val="22"/>
                    </w:rPr>
                  </w:rPrChange>
                </w:rPr>
                <w:t>c/o Icepharma hf</w:t>
              </w:r>
            </w:ins>
          </w:p>
          <w:p>
            <w:pPr>
              <w:pStyle w:val="Standard1"/>
              <w:rPr>
                <w:ins w:id="12474" w:author="Author"/>
                <w:rFonts w:ascii="Times New Roman" w:hAnsi="Times New Roman"/>
                <w:bCs/>
                <w:noProof/>
                <w:sz w:val="22"/>
                <w:szCs w:val="22"/>
              </w:rPr>
            </w:pPr>
            <w:ins w:id="12475" w:author="Author">
              <w:r>
                <w:rPr>
                  <w:rFonts w:ascii="Times New Roman" w:hAnsi="Times New Roman"/>
                  <w:bCs/>
                  <w:noProof/>
                  <w:sz w:val="22"/>
                  <w:szCs w:val="22"/>
                </w:rPr>
                <w:t>Sími: +354 540 8000</w:t>
              </w:r>
            </w:ins>
          </w:p>
          <w:p>
            <w:pPr>
              <w:pStyle w:val="Standard1"/>
              <w:rPr>
                <w:ins w:id="12476" w:author="Author"/>
                <w:rFonts w:ascii="Times New Roman" w:hAnsi="Times New Roman"/>
                <w:b/>
                <w:noProof/>
                <w:sz w:val="22"/>
                <w:szCs w:val="22"/>
              </w:rPr>
            </w:pPr>
          </w:p>
        </w:tc>
        <w:tc>
          <w:tcPr>
            <w:tcW w:w="4590" w:type="dxa"/>
          </w:tcPr>
          <w:p>
            <w:pPr>
              <w:pStyle w:val="Standard1"/>
              <w:rPr>
                <w:ins w:id="12477" w:author="Author"/>
                <w:rFonts w:ascii="Times New Roman" w:hAnsi="Times New Roman"/>
                <w:b/>
                <w:bCs/>
                <w:noProof/>
                <w:sz w:val="22"/>
                <w:szCs w:val="22"/>
                <w:lang w:val="de-DE"/>
                <w:rPrChange w:id="12478" w:author="Author">
                  <w:rPr>
                    <w:ins w:id="12479" w:author="Author"/>
                    <w:rFonts w:ascii="Times New Roman" w:hAnsi="Times New Roman"/>
                    <w:b/>
                    <w:bCs/>
                    <w:noProof/>
                    <w:sz w:val="22"/>
                    <w:szCs w:val="22"/>
                  </w:rPr>
                </w:rPrChange>
              </w:rPr>
            </w:pPr>
            <w:ins w:id="12480" w:author="Author">
              <w:r>
                <w:rPr>
                  <w:rFonts w:ascii="Times New Roman" w:hAnsi="Times New Roman"/>
                  <w:b/>
                  <w:bCs/>
                  <w:noProof/>
                  <w:sz w:val="22"/>
                  <w:szCs w:val="22"/>
                  <w:lang w:val="de-DE"/>
                  <w:rPrChange w:id="12481" w:author="Author">
                    <w:rPr>
                      <w:rFonts w:ascii="Times New Roman" w:hAnsi="Times New Roman"/>
                      <w:b/>
                      <w:bCs/>
                      <w:noProof/>
                      <w:sz w:val="22"/>
                      <w:szCs w:val="22"/>
                    </w:rPr>
                  </w:rPrChange>
                </w:rPr>
                <w:t>Suomi/Finland</w:t>
              </w:r>
            </w:ins>
          </w:p>
          <w:p>
            <w:pPr>
              <w:pStyle w:val="Standard1"/>
              <w:rPr>
                <w:ins w:id="12482" w:author="Author"/>
                <w:rFonts w:ascii="Times New Roman" w:hAnsi="Times New Roman"/>
                <w:noProof/>
                <w:sz w:val="22"/>
                <w:szCs w:val="22"/>
                <w:lang w:val="de-DE"/>
                <w:rPrChange w:id="12483" w:author="Author">
                  <w:rPr>
                    <w:ins w:id="12484" w:author="Author"/>
                    <w:rFonts w:ascii="Times New Roman" w:hAnsi="Times New Roman"/>
                    <w:noProof/>
                    <w:sz w:val="22"/>
                    <w:szCs w:val="22"/>
                  </w:rPr>
                </w:rPrChange>
              </w:rPr>
            </w:pPr>
            <w:ins w:id="12485" w:author="Author">
              <w:r>
                <w:rPr>
                  <w:rFonts w:ascii="Times New Roman" w:hAnsi="Times New Roman"/>
                  <w:noProof/>
                  <w:sz w:val="22"/>
                  <w:szCs w:val="22"/>
                  <w:lang w:val="de-DE"/>
                  <w:rPrChange w:id="12486" w:author="Author">
                    <w:rPr>
                      <w:rFonts w:ascii="Times New Roman" w:hAnsi="Times New Roman"/>
                      <w:noProof/>
                      <w:sz w:val="22"/>
                      <w:szCs w:val="22"/>
                    </w:rPr>
                  </w:rPrChange>
                </w:rPr>
                <w:t xml:space="preserve">Roche Oy </w:t>
              </w:r>
            </w:ins>
          </w:p>
          <w:p>
            <w:pPr>
              <w:pStyle w:val="Standard1"/>
              <w:rPr>
                <w:ins w:id="12487" w:author="Author"/>
                <w:rFonts w:ascii="Times New Roman" w:hAnsi="Times New Roman"/>
                <w:noProof/>
                <w:sz w:val="22"/>
                <w:szCs w:val="22"/>
                <w:lang w:val="de-DE"/>
                <w:rPrChange w:id="12488" w:author="Author">
                  <w:rPr>
                    <w:ins w:id="12489" w:author="Author"/>
                    <w:rFonts w:ascii="Times New Roman" w:hAnsi="Times New Roman"/>
                    <w:noProof/>
                    <w:sz w:val="22"/>
                    <w:szCs w:val="22"/>
                  </w:rPr>
                </w:rPrChange>
              </w:rPr>
            </w:pPr>
            <w:ins w:id="12490" w:author="Author">
              <w:r>
                <w:rPr>
                  <w:rFonts w:ascii="Times New Roman" w:hAnsi="Times New Roman"/>
                  <w:noProof/>
                  <w:sz w:val="22"/>
                  <w:szCs w:val="22"/>
                  <w:lang w:val="de-DE"/>
                  <w:rPrChange w:id="12491" w:author="Author">
                    <w:rPr>
                      <w:rFonts w:ascii="Times New Roman" w:hAnsi="Times New Roman"/>
                      <w:noProof/>
                      <w:sz w:val="22"/>
                      <w:szCs w:val="22"/>
                    </w:rPr>
                  </w:rPrChange>
                </w:rPr>
                <w:t>Puh/Tel: +358 (0) 10 554 500</w:t>
              </w:r>
            </w:ins>
          </w:p>
          <w:p>
            <w:pPr>
              <w:pStyle w:val="Standard1"/>
              <w:rPr>
                <w:ins w:id="12492" w:author="Author"/>
                <w:rFonts w:ascii="Times New Roman" w:hAnsi="Times New Roman"/>
                <w:noProof/>
                <w:sz w:val="22"/>
                <w:szCs w:val="22"/>
                <w:lang w:val="de-DE"/>
                <w:rPrChange w:id="12493" w:author="Author">
                  <w:rPr>
                    <w:ins w:id="12494" w:author="Author"/>
                    <w:rFonts w:ascii="Times New Roman" w:hAnsi="Times New Roman"/>
                    <w:noProof/>
                    <w:sz w:val="22"/>
                    <w:szCs w:val="22"/>
                  </w:rPr>
                </w:rPrChange>
              </w:rPr>
            </w:pPr>
          </w:p>
        </w:tc>
      </w:tr>
      <w:tr>
        <w:trPr>
          <w:cantSplit/>
          <w:ins w:id="12495" w:author="Author"/>
        </w:trPr>
        <w:tc>
          <w:tcPr>
            <w:tcW w:w="4590" w:type="dxa"/>
          </w:tcPr>
          <w:p>
            <w:pPr>
              <w:pStyle w:val="Standard1"/>
              <w:rPr>
                <w:ins w:id="12496" w:author="Author"/>
                <w:rFonts w:ascii="Times New Roman" w:hAnsi="Times New Roman"/>
                <w:b/>
                <w:noProof/>
                <w:sz w:val="22"/>
                <w:szCs w:val="22"/>
              </w:rPr>
            </w:pPr>
            <w:ins w:id="12497" w:author="Author">
              <w:r>
                <w:rPr>
                  <w:rFonts w:ascii="Times New Roman" w:hAnsi="Times New Roman"/>
                  <w:b/>
                  <w:noProof/>
                  <w:sz w:val="22"/>
                  <w:szCs w:val="22"/>
                </w:rPr>
                <w:t>Italia</w:t>
              </w:r>
            </w:ins>
          </w:p>
          <w:p>
            <w:pPr>
              <w:pStyle w:val="Standard1"/>
              <w:rPr>
                <w:ins w:id="12498" w:author="Author"/>
                <w:rFonts w:ascii="Times New Roman" w:hAnsi="Times New Roman"/>
                <w:bCs/>
                <w:noProof/>
                <w:sz w:val="22"/>
                <w:szCs w:val="22"/>
              </w:rPr>
            </w:pPr>
            <w:ins w:id="12499" w:author="Author">
              <w:r>
                <w:rPr>
                  <w:rFonts w:ascii="Times New Roman" w:hAnsi="Times New Roman"/>
                  <w:bCs/>
                  <w:noProof/>
                  <w:sz w:val="22"/>
                  <w:szCs w:val="22"/>
                </w:rPr>
                <w:t>Roche S.p.A.</w:t>
              </w:r>
            </w:ins>
          </w:p>
          <w:p>
            <w:pPr>
              <w:pStyle w:val="Standard1"/>
              <w:rPr>
                <w:ins w:id="12500" w:author="Author"/>
                <w:rFonts w:ascii="Times New Roman" w:hAnsi="Times New Roman"/>
                <w:bCs/>
                <w:noProof/>
                <w:sz w:val="22"/>
                <w:szCs w:val="22"/>
              </w:rPr>
            </w:pPr>
            <w:ins w:id="12501" w:author="Author">
              <w:r>
                <w:rPr>
                  <w:rFonts w:ascii="Times New Roman" w:hAnsi="Times New Roman"/>
                  <w:bCs/>
                  <w:noProof/>
                  <w:sz w:val="22"/>
                  <w:szCs w:val="22"/>
                </w:rPr>
                <w:t>Tel: +39 - 039 2471</w:t>
              </w:r>
            </w:ins>
          </w:p>
          <w:p>
            <w:pPr>
              <w:pStyle w:val="Standard1"/>
              <w:rPr>
                <w:ins w:id="12502" w:author="Author"/>
                <w:rFonts w:ascii="Times New Roman" w:hAnsi="Times New Roman"/>
                <w:b/>
                <w:noProof/>
                <w:sz w:val="22"/>
                <w:szCs w:val="22"/>
              </w:rPr>
            </w:pPr>
          </w:p>
        </w:tc>
        <w:tc>
          <w:tcPr>
            <w:tcW w:w="4590" w:type="dxa"/>
          </w:tcPr>
          <w:p>
            <w:pPr>
              <w:pStyle w:val="Standard1"/>
              <w:rPr>
                <w:ins w:id="12503" w:author="Author"/>
                <w:rFonts w:ascii="Times New Roman" w:hAnsi="Times New Roman"/>
                <w:b/>
                <w:bCs/>
                <w:noProof/>
                <w:sz w:val="22"/>
                <w:szCs w:val="22"/>
              </w:rPr>
            </w:pPr>
            <w:ins w:id="12504" w:author="Author">
              <w:r>
                <w:rPr>
                  <w:rFonts w:ascii="Times New Roman" w:hAnsi="Times New Roman"/>
                  <w:b/>
                  <w:bCs/>
                  <w:noProof/>
                  <w:sz w:val="22"/>
                  <w:szCs w:val="22"/>
                </w:rPr>
                <w:t>Sverige</w:t>
              </w:r>
            </w:ins>
          </w:p>
          <w:p>
            <w:pPr>
              <w:pStyle w:val="Standard1"/>
              <w:rPr>
                <w:ins w:id="12505" w:author="Author"/>
                <w:rFonts w:ascii="Times New Roman" w:hAnsi="Times New Roman"/>
                <w:noProof/>
                <w:sz w:val="22"/>
                <w:szCs w:val="22"/>
              </w:rPr>
            </w:pPr>
            <w:ins w:id="12506" w:author="Author">
              <w:r>
                <w:rPr>
                  <w:rFonts w:ascii="Times New Roman" w:hAnsi="Times New Roman"/>
                  <w:noProof/>
                  <w:sz w:val="22"/>
                  <w:szCs w:val="22"/>
                </w:rPr>
                <w:t>Roche AB</w:t>
              </w:r>
            </w:ins>
          </w:p>
          <w:p>
            <w:pPr>
              <w:pStyle w:val="Standard1"/>
              <w:rPr>
                <w:ins w:id="12507" w:author="Author"/>
                <w:rFonts w:ascii="Times New Roman" w:hAnsi="Times New Roman"/>
                <w:noProof/>
                <w:sz w:val="22"/>
                <w:szCs w:val="22"/>
              </w:rPr>
            </w:pPr>
            <w:ins w:id="12508" w:author="Author">
              <w:r>
                <w:rPr>
                  <w:rFonts w:ascii="Times New Roman" w:hAnsi="Times New Roman"/>
                  <w:noProof/>
                  <w:sz w:val="22"/>
                  <w:szCs w:val="22"/>
                </w:rPr>
                <w:t>Tel: +46 (0) 8 726 1200</w:t>
              </w:r>
            </w:ins>
          </w:p>
          <w:p>
            <w:pPr>
              <w:pStyle w:val="Standard1"/>
              <w:rPr>
                <w:ins w:id="12509" w:author="Author"/>
                <w:rFonts w:ascii="Times New Roman" w:hAnsi="Times New Roman"/>
                <w:noProof/>
                <w:sz w:val="22"/>
                <w:szCs w:val="22"/>
              </w:rPr>
            </w:pPr>
          </w:p>
        </w:tc>
      </w:tr>
    </w:tbl>
    <w:p>
      <w:pPr>
        <w:tabs>
          <w:tab w:val="left" w:pos="180"/>
        </w:tabs>
        <w:ind w:right="-449"/>
        <w:rPr>
          <w:noProof/>
          <w:lang w:val="it-IT"/>
        </w:rPr>
      </w:pPr>
    </w:p>
    <w:p>
      <w:pPr>
        <w:tabs>
          <w:tab w:val="left" w:pos="180"/>
        </w:tabs>
        <w:ind w:right="-449"/>
        <w:rPr>
          <w:b/>
          <w:noProof/>
          <w:lang w:val="it-IT"/>
        </w:rPr>
      </w:pPr>
      <w:r>
        <w:rPr>
          <w:b/>
          <w:noProof/>
          <w:lang w:val="it-IT"/>
        </w:rPr>
        <w:t xml:space="preserve">Questo foglio illustrativo è stato aggiornato il </w:t>
      </w:r>
    </w:p>
    <w:p>
      <w:pPr>
        <w:tabs>
          <w:tab w:val="left" w:pos="180"/>
        </w:tabs>
        <w:ind w:right="-449"/>
        <w:rPr>
          <w:b/>
          <w:noProof/>
          <w:lang w:val="it-IT"/>
        </w:rPr>
      </w:pPr>
    </w:p>
    <w:p>
      <w:pPr>
        <w:tabs>
          <w:tab w:val="left" w:pos="180"/>
        </w:tabs>
        <w:ind w:right="-449"/>
        <w:rPr>
          <w:noProof/>
          <w:lang w:val="it-IT"/>
        </w:rPr>
      </w:pPr>
      <w:r>
        <w:rPr>
          <w:b/>
          <w:noProof/>
          <w:lang w:val="it-IT"/>
        </w:rPr>
        <w:t>Altre fonti di informazione</w:t>
      </w:r>
    </w:p>
    <w:p>
      <w:pPr>
        <w:numPr>
          <w:ilvl w:val="12"/>
          <w:numId w:val="0"/>
        </w:numPr>
        <w:tabs>
          <w:tab w:val="left" w:pos="180"/>
        </w:tabs>
        <w:ind w:right="-2"/>
        <w:rPr>
          <w:noProof/>
          <w:szCs w:val="22"/>
          <w:lang w:val="it-IT"/>
        </w:rPr>
      </w:pPr>
      <w:r>
        <w:rPr>
          <w:noProof/>
          <w:lang w:val="it-IT"/>
        </w:rPr>
        <w:t>Informazioni più dettagliate su questo medicinale sono disponibili sul sito web della Agenzia Europea dei Medicinali</w:t>
      </w:r>
      <w:del w:id="12510" w:author="Author">
        <w:r>
          <w:rPr>
            <w:noProof/>
            <w:lang w:val="it-IT"/>
          </w:rPr>
          <w:delText xml:space="preserve"> </w:delText>
        </w:r>
      </w:del>
      <w:r>
        <w:rPr>
          <w:noProof/>
          <w:lang w:val="it-IT"/>
        </w:rPr>
        <w:t>:</w:t>
      </w:r>
      <w:ins w:id="12511" w:author="Author">
        <w:r>
          <w:rPr>
            <w:noProof/>
            <w:lang w:val="it-IT"/>
          </w:rPr>
          <w:t xml:space="preserve"> </w:t>
        </w:r>
        <w:r>
          <w:rPr>
            <w:noProof/>
            <w:lang w:val="it-IT"/>
          </w:rPr>
          <w:fldChar w:fldCharType="begin"/>
        </w:r>
        <w:r>
          <w:rPr>
            <w:noProof/>
            <w:lang w:val="it-IT"/>
          </w:rPr>
          <w:instrText>HYPERLINK "https://www.ema.europa.eu/"</w:instrText>
        </w:r>
        <w:r>
          <w:rPr>
            <w:noProof/>
            <w:lang w:val="it-IT"/>
          </w:rPr>
          <w:fldChar w:fldCharType="separate"/>
        </w:r>
        <w:r>
          <w:rPr>
            <w:rStyle w:val="Hyperlink"/>
            <w:noProof/>
            <w:lang w:val="it-IT"/>
          </w:rPr>
          <w:t>https://www.ema.europa.eu</w:t>
        </w:r>
        <w:r>
          <w:rPr>
            <w:noProof/>
            <w:lang w:val="it-IT"/>
          </w:rPr>
          <w:fldChar w:fldCharType="end"/>
        </w:r>
      </w:ins>
      <w:r>
        <w:rPr>
          <w:noProof/>
          <w:lang w:val="it-IT"/>
        </w:rPr>
        <w:t xml:space="preserve">. </w:t>
      </w:r>
    </w:p>
    <w:p>
      <w:pPr>
        <w:tabs>
          <w:tab w:val="left" w:pos="180"/>
        </w:tabs>
        <w:autoSpaceDE w:val="0"/>
        <w:autoSpaceDN w:val="0"/>
        <w:adjustRightInd w:val="0"/>
        <w:rPr>
          <w:b/>
          <w:noProof/>
          <w:lang w:val="it-IT"/>
        </w:rPr>
      </w:pPr>
      <w:r>
        <w:rPr>
          <w:noProof/>
          <w:lang w:val="it-IT"/>
        </w:rPr>
        <w:br w:type="page"/>
      </w:r>
      <w:r>
        <w:rPr>
          <w:b/>
          <w:noProof/>
          <w:lang w:val="it-IT"/>
        </w:rPr>
        <w:lastRenderedPageBreak/>
        <w:t>Istruzioni necessarie per l’uso sicuro di RoActemra in siringa preriempita.</w:t>
      </w:r>
    </w:p>
    <w:p>
      <w:pPr>
        <w:tabs>
          <w:tab w:val="left" w:pos="180"/>
        </w:tabs>
        <w:autoSpaceDE w:val="0"/>
        <w:autoSpaceDN w:val="0"/>
        <w:adjustRightInd w:val="0"/>
        <w:rPr>
          <w:b/>
          <w:noProof/>
          <w:szCs w:val="22"/>
          <w:lang w:val="it-IT"/>
        </w:rPr>
      </w:pPr>
    </w:p>
    <w:p>
      <w:pPr>
        <w:tabs>
          <w:tab w:val="left" w:pos="180"/>
        </w:tabs>
        <w:autoSpaceDE w:val="0"/>
        <w:autoSpaceDN w:val="0"/>
        <w:adjustRightInd w:val="0"/>
        <w:rPr>
          <w:noProof/>
          <w:lang w:val="it-IT"/>
        </w:rPr>
      </w:pPr>
      <w:r>
        <w:rPr>
          <w:noProof/>
          <w:lang w:val="it-IT"/>
        </w:rPr>
        <w:t xml:space="preserve">Affinché lei o la persona che le presta assistenza utilizzi correttamente </w:t>
      </w:r>
      <w:r>
        <w:rPr>
          <w:b/>
          <w:noProof/>
          <w:lang w:val="it-IT"/>
        </w:rPr>
        <w:t>RoActemra</w:t>
      </w:r>
      <w:r>
        <w:rPr>
          <w:noProof/>
          <w:lang w:val="it-IT"/>
        </w:rPr>
        <w:t xml:space="preserve"> in siringa preriempita, è importante leggere, comprendere e seguire queste istruzioni. Queste istruzioni non sostituiscono l’addestramento ricevuto dall’operatore sanitario. Prima di usare </w:t>
      </w:r>
      <w:r>
        <w:rPr>
          <w:b/>
          <w:noProof/>
          <w:lang w:val="it-IT"/>
        </w:rPr>
        <w:t>RoActemra</w:t>
      </w:r>
      <w:r>
        <w:rPr>
          <w:noProof/>
          <w:lang w:val="it-IT"/>
        </w:rPr>
        <w:t xml:space="preserve"> in siringa preriempita per la prima volta, l’operatore sanitario le mostrerà come preparare e iniettare nel modo corretto il medicinale. Rivolga all’operatore sanitario qualsiasi domanda lei possa avere. Non cerchi di somministrarsi un’iniezione fino a quando non sarà sicuro di aver compreso come utilizzare </w:t>
      </w:r>
      <w:r>
        <w:rPr>
          <w:b/>
          <w:noProof/>
          <w:lang w:val="it-IT"/>
        </w:rPr>
        <w:t>RoActemra</w:t>
      </w:r>
      <w:r>
        <w:rPr>
          <w:noProof/>
          <w:lang w:val="it-IT"/>
        </w:rPr>
        <w:t xml:space="preserve"> in siringa preriempita.</w:t>
      </w:r>
    </w:p>
    <w:p>
      <w:pPr>
        <w:tabs>
          <w:tab w:val="left" w:pos="180"/>
        </w:tabs>
        <w:autoSpaceDE w:val="0"/>
        <w:autoSpaceDN w:val="0"/>
        <w:adjustRightInd w:val="0"/>
        <w:rPr>
          <w:noProof/>
          <w:lang w:val="it-IT"/>
        </w:rPr>
      </w:pPr>
    </w:p>
    <w:p>
      <w:pPr>
        <w:tabs>
          <w:tab w:val="left" w:pos="180"/>
        </w:tabs>
        <w:autoSpaceDE w:val="0"/>
        <w:autoSpaceDN w:val="0"/>
        <w:adjustRightInd w:val="0"/>
        <w:spacing w:after="120"/>
        <w:rPr>
          <w:noProof/>
          <w:lang w:val="it-IT"/>
        </w:rPr>
      </w:pPr>
      <w:r>
        <w:rPr>
          <w:noProof/>
          <w:lang w:val="it-IT"/>
        </w:rPr>
        <w:t xml:space="preserve">La invitiamo a leggere anche il Foglio illustrativo fornito in dotazione con </w:t>
      </w:r>
      <w:r>
        <w:rPr>
          <w:b/>
          <w:noProof/>
          <w:lang w:val="it-IT"/>
        </w:rPr>
        <w:t>RoActemra</w:t>
      </w:r>
      <w:r>
        <w:rPr>
          <w:noProof/>
          <w:lang w:val="it-IT"/>
        </w:rPr>
        <w:t xml:space="preserve"> in siringa preriempita per le informazioni più importanti che occorre sapere riguardo al medicinale. Durante l’impiego di </w:t>
      </w:r>
      <w:r>
        <w:rPr>
          <w:b/>
          <w:noProof/>
          <w:lang w:val="it-IT"/>
        </w:rPr>
        <w:t>RoActemra</w:t>
      </w:r>
      <w:r>
        <w:rPr>
          <w:noProof/>
          <w:lang w:val="it-IT"/>
        </w:rPr>
        <w:t xml:space="preserve"> è importante rimanere sotto la supervisione di un operatore sanitario.</w:t>
      </w:r>
    </w:p>
    <w:p>
      <w:pPr>
        <w:tabs>
          <w:tab w:val="left" w:pos="180"/>
        </w:tabs>
        <w:autoSpaceDE w:val="0"/>
        <w:autoSpaceDN w:val="0"/>
        <w:adjustRightInd w:val="0"/>
        <w:rPr>
          <w:rFonts w:ascii="HelveticaNeueLTPro-Roman" w:hAnsi="HelveticaNeueLTPro-Roman" w:cs="HelveticaNeueLTPro-Roman"/>
          <w:noProof/>
          <w:sz w:val="20"/>
          <w:lang w:val="it-IT"/>
        </w:rPr>
      </w:pPr>
    </w:p>
    <w:p>
      <w:pPr>
        <w:tabs>
          <w:tab w:val="left" w:pos="180"/>
        </w:tabs>
        <w:autoSpaceDE w:val="0"/>
        <w:autoSpaceDN w:val="0"/>
        <w:adjustRightInd w:val="0"/>
        <w:rPr>
          <w:b/>
          <w:noProof/>
          <w:lang w:val="it-IT"/>
        </w:rPr>
      </w:pPr>
      <w:r>
        <w:rPr>
          <w:b/>
          <w:noProof/>
          <w:lang w:val="it-IT"/>
        </w:rPr>
        <w:t>Informazioni importanti:</w:t>
      </w:r>
    </w:p>
    <w:p>
      <w:pPr>
        <w:tabs>
          <w:tab w:val="left" w:pos="180"/>
        </w:tabs>
        <w:autoSpaceDE w:val="0"/>
        <w:autoSpaceDN w:val="0"/>
        <w:adjustRightInd w:val="0"/>
        <w:rPr>
          <w:b/>
          <w:noProof/>
          <w:lang w:val="it-IT"/>
        </w:rPr>
      </w:pPr>
    </w:p>
    <w:p>
      <w:pPr>
        <w:autoSpaceDE w:val="0"/>
        <w:autoSpaceDN w:val="0"/>
        <w:adjustRightInd w:val="0"/>
        <w:ind w:left="567" w:hanging="567"/>
        <w:rPr>
          <w:noProof/>
          <w:lang w:val="it-IT"/>
        </w:rPr>
        <w:pPrChange w:id="12512" w:author="Author">
          <w:pPr>
            <w:tabs>
              <w:tab w:val="left" w:pos="180"/>
            </w:tabs>
            <w:autoSpaceDE w:val="0"/>
            <w:autoSpaceDN w:val="0"/>
            <w:adjustRightInd w:val="0"/>
          </w:pPr>
        </w:pPrChange>
      </w:pPr>
      <w:r>
        <w:rPr>
          <w:noProof/>
          <w:lang w:val="it-IT"/>
        </w:rPr>
        <w:sym w:font="Symbol" w:char="00B7"/>
      </w:r>
      <w:ins w:id="12513" w:author="Author">
        <w:r>
          <w:rPr>
            <w:noProof/>
            <w:szCs w:val="22"/>
            <w:lang w:val="it-IT"/>
          </w:rPr>
          <w:tab/>
        </w:r>
      </w:ins>
      <w:del w:id="12514" w:author="Author">
        <w:r>
          <w:rPr>
            <w:noProof/>
            <w:lang w:val="it-IT"/>
          </w:rPr>
          <w:delText xml:space="preserve"> </w:delText>
        </w:r>
      </w:del>
      <w:r>
        <w:rPr>
          <w:noProof/>
          <w:lang w:val="it-IT"/>
        </w:rPr>
        <w:t>Non utilizzare la siringa se appare danneggiata.</w:t>
      </w:r>
    </w:p>
    <w:p>
      <w:pPr>
        <w:autoSpaceDE w:val="0"/>
        <w:autoSpaceDN w:val="0"/>
        <w:adjustRightInd w:val="0"/>
        <w:ind w:left="567" w:hanging="567"/>
        <w:rPr>
          <w:noProof/>
          <w:lang w:val="it-IT"/>
        </w:rPr>
        <w:pPrChange w:id="12515" w:author="Author">
          <w:pPr>
            <w:tabs>
              <w:tab w:val="left" w:pos="180"/>
            </w:tabs>
            <w:autoSpaceDE w:val="0"/>
            <w:autoSpaceDN w:val="0"/>
            <w:adjustRightInd w:val="0"/>
          </w:pPr>
        </w:pPrChange>
      </w:pPr>
      <w:r>
        <w:rPr>
          <w:noProof/>
          <w:lang w:val="it-IT"/>
        </w:rPr>
        <w:sym w:font="Symbol" w:char="00B7"/>
      </w:r>
      <w:ins w:id="12516" w:author="Author">
        <w:r>
          <w:rPr>
            <w:noProof/>
            <w:szCs w:val="22"/>
            <w:lang w:val="it-IT"/>
          </w:rPr>
          <w:tab/>
        </w:r>
      </w:ins>
      <w:del w:id="12517" w:author="Author">
        <w:r>
          <w:rPr>
            <w:noProof/>
            <w:lang w:val="it-IT"/>
          </w:rPr>
          <w:delText xml:space="preserve"> </w:delText>
        </w:r>
      </w:del>
      <w:r>
        <w:rPr>
          <w:noProof/>
          <w:lang w:val="it-IT"/>
        </w:rPr>
        <w:t xml:space="preserve">Non utilizzare se la soluzione si presenta torbida, non limpida, </w:t>
      </w:r>
      <w:del w:id="12518" w:author="Author">
        <w:r>
          <w:rPr>
            <w:noProof/>
            <w:lang w:val="it-IT"/>
          </w:rPr>
          <w:delText xml:space="preserve">scolorita </w:delText>
        </w:r>
      </w:del>
      <w:ins w:id="12519" w:author="Author">
        <w:r>
          <w:rPr>
            <w:noProof/>
            <w:lang w:val="it-IT"/>
          </w:rPr>
          <w:t xml:space="preserve">se ha cambiato colore </w:t>
        </w:r>
      </w:ins>
      <w:r>
        <w:rPr>
          <w:noProof/>
          <w:lang w:val="it-IT"/>
        </w:rPr>
        <w:t xml:space="preserve">o </w:t>
      </w:r>
      <w:del w:id="12520" w:author="Author">
        <w:r>
          <w:rPr>
            <w:noProof/>
            <w:lang w:val="it-IT"/>
          </w:rPr>
          <w:delText xml:space="preserve">se </w:delText>
        </w:r>
      </w:del>
      <w:r>
        <w:rPr>
          <w:noProof/>
          <w:lang w:val="it-IT"/>
        </w:rPr>
        <w:t>contiene particelle.</w:t>
      </w:r>
    </w:p>
    <w:p>
      <w:pPr>
        <w:autoSpaceDE w:val="0"/>
        <w:autoSpaceDN w:val="0"/>
        <w:adjustRightInd w:val="0"/>
        <w:ind w:left="567" w:hanging="567"/>
        <w:rPr>
          <w:noProof/>
          <w:lang w:val="it-IT"/>
        </w:rPr>
        <w:pPrChange w:id="12521" w:author="Author">
          <w:pPr>
            <w:tabs>
              <w:tab w:val="left" w:pos="180"/>
            </w:tabs>
            <w:autoSpaceDE w:val="0"/>
            <w:autoSpaceDN w:val="0"/>
            <w:adjustRightInd w:val="0"/>
          </w:pPr>
        </w:pPrChange>
      </w:pPr>
      <w:r>
        <w:rPr>
          <w:noProof/>
          <w:lang w:val="it-IT"/>
        </w:rPr>
        <w:sym w:font="Symbol" w:char="00B7"/>
      </w:r>
      <w:ins w:id="12522" w:author="Author">
        <w:r>
          <w:rPr>
            <w:noProof/>
            <w:szCs w:val="22"/>
            <w:lang w:val="it-IT"/>
          </w:rPr>
          <w:tab/>
        </w:r>
      </w:ins>
      <w:del w:id="12523" w:author="Author">
        <w:r>
          <w:rPr>
            <w:noProof/>
            <w:lang w:val="it-IT"/>
          </w:rPr>
          <w:delText xml:space="preserve"> </w:delText>
        </w:r>
      </w:del>
      <w:r>
        <w:rPr>
          <w:noProof/>
          <w:lang w:val="it-IT"/>
        </w:rPr>
        <w:t>Non cercare mai di smontare la siringa.</w:t>
      </w:r>
    </w:p>
    <w:p>
      <w:pPr>
        <w:autoSpaceDE w:val="0"/>
        <w:autoSpaceDN w:val="0"/>
        <w:adjustRightInd w:val="0"/>
        <w:ind w:left="567" w:hanging="567"/>
        <w:rPr>
          <w:noProof/>
          <w:lang w:val="it-IT"/>
        </w:rPr>
        <w:pPrChange w:id="12524" w:author="Author">
          <w:pPr>
            <w:tabs>
              <w:tab w:val="left" w:pos="180"/>
            </w:tabs>
            <w:autoSpaceDE w:val="0"/>
            <w:autoSpaceDN w:val="0"/>
            <w:adjustRightInd w:val="0"/>
          </w:pPr>
        </w:pPrChange>
      </w:pPr>
      <w:r>
        <w:rPr>
          <w:noProof/>
          <w:lang w:val="it-IT"/>
        </w:rPr>
        <w:sym w:font="Symbol" w:char="00B7"/>
      </w:r>
      <w:ins w:id="12525" w:author="Author">
        <w:r>
          <w:rPr>
            <w:noProof/>
            <w:szCs w:val="22"/>
            <w:lang w:val="it-IT"/>
          </w:rPr>
          <w:tab/>
        </w:r>
      </w:ins>
      <w:del w:id="12526" w:author="Author">
        <w:r>
          <w:rPr>
            <w:noProof/>
            <w:lang w:val="it-IT"/>
          </w:rPr>
          <w:delText xml:space="preserve"> </w:delText>
        </w:r>
      </w:del>
      <w:r>
        <w:rPr>
          <w:noProof/>
          <w:lang w:val="it-IT"/>
        </w:rPr>
        <w:t>Non rimuovere il cappuccio protettivo dell’ago finché non si è pronti ad iniettarsi il medicinale.</w:t>
      </w:r>
    </w:p>
    <w:p>
      <w:pPr>
        <w:autoSpaceDE w:val="0"/>
        <w:autoSpaceDN w:val="0"/>
        <w:adjustRightInd w:val="0"/>
        <w:ind w:left="567" w:hanging="567"/>
        <w:rPr>
          <w:noProof/>
          <w:lang w:val="it-IT"/>
        </w:rPr>
        <w:pPrChange w:id="12527" w:author="Author">
          <w:pPr>
            <w:tabs>
              <w:tab w:val="left" w:pos="180"/>
            </w:tabs>
            <w:autoSpaceDE w:val="0"/>
            <w:autoSpaceDN w:val="0"/>
            <w:adjustRightInd w:val="0"/>
          </w:pPr>
        </w:pPrChange>
      </w:pPr>
      <w:r>
        <w:rPr>
          <w:noProof/>
          <w:lang w:val="it-IT"/>
        </w:rPr>
        <w:sym w:font="Symbol" w:char="00B7"/>
      </w:r>
      <w:ins w:id="12528" w:author="Author">
        <w:r>
          <w:rPr>
            <w:noProof/>
            <w:szCs w:val="22"/>
            <w:lang w:val="it-IT"/>
          </w:rPr>
          <w:tab/>
        </w:r>
      </w:ins>
      <w:del w:id="12529" w:author="Author">
        <w:r>
          <w:rPr>
            <w:noProof/>
            <w:lang w:val="it-IT"/>
          </w:rPr>
          <w:delText xml:space="preserve"> </w:delText>
        </w:r>
      </w:del>
      <w:r>
        <w:rPr>
          <w:noProof/>
          <w:lang w:val="it-IT"/>
        </w:rPr>
        <w:t>Non somministrare l’iniezione attraverso indumenti che coprono la pelle.</w:t>
      </w:r>
    </w:p>
    <w:p>
      <w:pPr>
        <w:autoSpaceDE w:val="0"/>
        <w:autoSpaceDN w:val="0"/>
        <w:adjustRightInd w:val="0"/>
        <w:ind w:left="567" w:hanging="567"/>
        <w:rPr>
          <w:noProof/>
          <w:lang w:val="it-IT"/>
        </w:rPr>
        <w:pPrChange w:id="12530" w:author="Author">
          <w:pPr>
            <w:tabs>
              <w:tab w:val="left" w:pos="180"/>
            </w:tabs>
            <w:autoSpaceDE w:val="0"/>
            <w:autoSpaceDN w:val="0"/>
            <w:adjustRightInd w:val="0"/>
          </w:pPr>
        </w:pPrChange>
      </w:pPr>
      <w:r>
        <w:rPr>
          <w:noProof/>
          <w:lang w:val="it-IT"/>
        </w:rPr>
        <w:sym w:font="Symbol" w:char="00B7"/>
      </w:r>
      <w:ins w:id="12531" w:author="Author">
        <w:r>
          <w:rPr>
            <w:noProof/>
            <w:szCs w:val="22"/>
            <w:lang w:val="it-IT"/>
          </w:rPr>
          <w:tab/>
        </w:r>
      </w:ins>
      <w:del w:id="12532" w:author="Author">
        <w:r>
          <w:rPr>
            <w:noProof/>
            <w:lang w:val="it-IT"/>
          </w:rPr>
          <w:delText xml:space="preserve"> </w:delText>
        </w:r>
      </w:del>
      <w:r>
        <w:rPr>
          <w:noProof/>
          <w:lang w:val="it-IT"/>
        </w:rPr>
        <w:t>Non riutilizzare mai la stessa siringa.</w:t>
      </w:r>
    </w:p>
    <w:p>
      <w:pPr>
        <w:autoSpaceDE w:val="0"/>
        <w:autoSpaceDN w:val="0"/>
        <w:adjustRightInd w:val="0"/>
        <w:ind w:left="567" w:hanging="567"/>
        <w:rPr>
          <w:noProof/>
          <w:lang w:val="it-IT"/>
        </w:rPr>
        <w:pPrChange w:id="12533" w:author="Author">
          <w:pPr>
            <w:tabs>
              <w:tab w:val="left" w:pos="180"/>
            </w:tabs>
            <w:autoSpaceDE w:val="0"/>
            <w:autoSpaceDN w:val="0"/>
            <w:adjustRightInd w:val="0"/>
          </w:pPr>
        </w:pPrChange>
      </w:pPr>
      <w:del w:id="12534" w:author="Author">
        <w:r>
          <w:rPr>
            <w:noProof/>
            <w:lang w:val="it-IT"/>
          </w:rPr>
          <w:sym w:font="Symbol" w:char="00B7"/>
        </w:r>
        <w:r>
          <w:rPr>
            <w:noProof/>
            <w:lang w:val="it-IT"/>
          </w:rPr>
          <w:delText xml:space="preserve"> </w:delText>
        </w:r>
      </w:del>
      <w:ins w:id="12535" w:author="Author">
        <w:r>
          <w:rPr>
            <w:noProof/>
            <w:lang w:val="it-IT"/>
          </w:rPr>
          <w:sym w:font="Symbol" w:char="00B7"/>
        </w:r>
        <w:r>
          <w:rPr>
            <w:noProof/>
            <w:szCs w:val="22"/>
            <w:lang w:val="it-IT"/>
          </w:rPr>
          <w:tab/>
        </w:r>
      </w:ins>
      <w:r>
        <w:rPr>
          <w:noProof/>
          <w:lang w:val="it-IT"/>
        </w:rPr>
        <w:t>Non toccare le alette di attivazione della siringa per evitare di danneggiare il dispositivo medico.</w:t>
      </w:r>
    </w:p>
    <w:p>
      <w:pPr>
        <w:tabs>
          <w:tab w:val="left" w:pos="180"/>
        </w:tabs>
        <w:autoSpaceDE w:val="0"/>
        <w:autoSpaceDN w:val="0"/>
        <w:adjustRightInd w:val="0"/>
        <w:rPr>
          <w:noProof/>
          <w:szCs w:val="22"/>
          <w:lang w:val="it-IT"/>
        </w:rPr>
      </w:pPr>
    </w:p>
    <w:p>
      <w:pPr>
        <w:tabs>
          <w:tab w:val="left" w:pos="180"/>
        </w:tabs>
        <w:autoSpaceDE w:val="0"/>
        <w:autoSpaceDN w:val="0"/>
        <w:adjustRightInd w:val="0"/>
        <w:rPr>
          <w:b/>
          <w:noProof/>
          <w:szCs w:val="22"/>
          <w:lang w:val="it-IT"/>
        </w:rPr>
      </w:pPr>
      <w:r>
        <w:rPr>
          <w:b/>
          <w:noProof/>
          <w:szCs w:val="22"/>
          <w:lang w:val="it-IT"/>
        </w:rPr>
        <w:t>Conservazione</w:t>
      </w:r>
    </w:p>
    <w:p>
      <w:pPr>
        <w:tabs>
          <w:tab w:val="left" w:pos="180"/>
        </w:tabs>
        <w:autoSpaceDE w:val="0"/>
        <w:autoSpaceDN w:val="0"/>
        <w:adjustRightInd w:val="0"/>
        <w:rPr>
          <w:b/>
          <w:noProof/>
          <w:szCs w:val="22"/>
          <w:lang w:val="it-IT"/>
        </w:rPr>
      </w:pPr>
    </w:p>
    <w:p>
      <w:pPr>
        <w:tabs>
          <w:tab w:val="left" w:pos="180"/>
        </w:tabs>
        <w:rPr>
          <w:noProof/>
          <w:szCs w:val="22"/>
          <w:lang w:val="it-IT"/>
        </w:rPr>
      </w:pPr>
      <w:r>
        <w:rPr>
          <w:noProof/>
          <w:szCs w:val="22"/>
          <w:lang w:val="it-IT"/>
        </w:rPr>
        <w:t>Tenere RoACTEMRA in siringa e tutti i medicinali fuori dalla vista e dalla portata dei bambini. Conservare sempre la siringa in frigorifero a una temperatura di 2 ºC – 8 ºC. Una volta tolta dal frigorifero, la siringa preriempita può essere conservata per un tempo totale di 2 settimane a temperatura pari o inferiore a 30°C, ma non oltre la data di scadenza originaria (Scad.). Segnare la data pertinente sulla confezione.</w:t>
      </w:r>
    </w:p>
    <w:p>
      <w:pPr>
        <w:tabs>
          <w:tab w:val="left" w:pos="180"/>
        </w:tabs>
        <w:rPr>
          <w:ins w:id="12536" w:author="Author"/>
          <w:noProof/>
          <w:szCs w:val="22"/>
          <w:lang w:val="it-IT"/>
        </w:rPr>
      </w:pPr>
      <w:r>
        <w:rPr>
          <w:noProof/>
          <w:szCs w:val="22"/>
          <w:lang w:val="it-IT"/>
        </w:rPr>
        <w:t>Proteggere la siringa dal congelamento e dalla luce. Tenere le siringhe asciutte.</w:t>
      </w:r>
    </w:p>
    <w:p>
      <w:pPr>
        <w:tabs>
          <w:tab w:val="left" w:pos="180"/>
        </w:tabs>
        <w:rPr>
          <w:noProof/>
          <w:szCs w:val="22"/>
          <w:lang w:val="it-IT"/>
        </w:rPr>
      </w:pPr>
    </w:p>
    <w:p>
      <w:pPr>
        <w:tabs>
          <w:tab w:val="left" w:pos="180"/>
        </w:tabs>
        <w:autoSpaceDE w:val="0"/>
        <w:autoSpaceDN w:val="0"/>
        <w:adjustRightInd w:val="0"/>
        <w:rPr>
          <w:b/>
          <w:noProof/>
          <w:szCs w:val="22"/>
          <w:lang w:val="it-IT"/>
        </w:rPr>
      </w:pPr>
      <w:del w:id="12537" w:author="Author">
        <w:r>
          <w:rPr>
            <w:noProof/>
            <w:szCs w:val="22"/>
            <w:lang w:val="it-IT"/>
          </w:rPr>
          <w:br w:type="page"/>
        </w:r>
      </w:del>
      <w:r>
        <w:rPr>
          <w:b/>
          <w:noProof/>
          <w:szCs w:val="22"/>
          <w:lang w:val="it-IT"/>
        </w:rPr>
        <w:t>Parti della Siringa preriempita</w:t>
      </w:r>
    </w:p>
    <w:p>
      <w:pPr>
        <w:tabs>
          <w:tab w:val="left" w:pos="180"/>
        </w:tabs>
        <w:autoSpaceDE w:val="0"/>
        <w:autoSpaceDN w:val="0"/>
        <w:adjustRightInd w:val="0"/>
        <w:spacing w:after="120"/>
        <w:rPr>
          <w:rFonts w:ascii="HelveticaNeueLTPro-Bd" w:hAnsi="HelveticaNeueLTPro-Bd" w:cs="HelveticaNeueLTPro-Bd"/>
          <w:noProof/>
          <w:sz w:val="20"/>
          <w:lang w:val="it-IT"/>
        </w:rPr>
      </w:pPr>
      <w:ins w:id="12538" w:author="Author">
        <w:r>
          <w:rPr>
            <w:rFonts w:ascii="HelveticaNeueLTPro-Bd" w:hAnsi="HelveticaNeueLTPro-Bd" w:cs="HelveticaNeueLTPro-Bd"/>
            <w:noProof/>
            <w:sz w:val="20"/>
            <w:lang w:eastAsia="en-US"/>
          </w:rPr>
          <mc:AlternateContent>
            <mc:Choice Requires="wps">
              <w:drawing>
                <wp:anchor distT="0" distB="0" distL="114300" distR="114300" simplePos="0" relativeHeight="251671552" behindDoc="0" locked="0" layoutInCell="1" allowOverlap="1">
                  <wp:simplePos x="0" y="0"/>
                  <wp:positionH relativeFrom="column">
                    <wp:posOffset>408012</wp:posOffset>
                  </wp:positionH>
                  <wp:positionV relativeFrom="paragraph">
                    <wp:posOffset>2207895</wp:posOffset>
                  </wp:positionV>
                  <wp:extent cx="798244" cy="345440"/>
                  <wp:effectExtent l="0" t="0" r="20955" b="16510"/>
                  <wp:wrapNone/>
                  <wp:docPr id="314762679" name="Text Box 1"/>
                  <wp:cNvGraphicFramePr/>
                  <a:graphic xmlns:a="http://schemas.openxmlformats.org/drawingml/2006/main">
                    <a:graphicData uri="http://schemas.microsoft.com/office/word/2010/wordprocessingShape">
                      <wps:wsp>
                        <wps:cNvSpPr txBox="1"/>
                        <wps:spPr>
                          <a:xfrm>
                            <a:off x="0" y="0"/>
                            <a:ext cx="798244" cy="345440"/>
                          </a:xfrm>
                          <a:prstGeom prst="rect">
                            <a:avLst/>
                          </a:prstGeom>
                          <a:solidFill>
                            <a:schemeClr val="lt1"/>
                          </a:solidFill>
                          <a:ln w="6350">
                            <a:solidFill>
                              <a:schemeClr val="bg1"/>
                            </a:solidFill>
                          </a:ln>
                        </wps:spPr>
                        <wps:txbx>
                          <w:txbxContent>
                            <w:p>
                              <w:pPr>
                                <w:rPr>
                                  <w:sz w:val="14"/>
                                  <w:szCs w:val="10"/>
                                  <w:lang w:val="it-IT"/>
                                  <w:rPrChange w:id="12539" w:author="Author">
                                    <w:rPr/>
                                  </w:rPrChange>
                                </w:rPr>
                              </w:pPr>
                              <w:ins w:id="12540" w:author="Author">
                                <w:r>
                                  <w:rPr>
                                    <w:sz w:val="14"/>
                                    <w:szCs w:val="10"/>
                                    <w:lang w:val="it-IT"/>
                                    <w:rPrChange w:id="12541" w:author="Author">
                                      <w:rPr>
                                        <w:sz w:val="16"/>
                                        <w:szCs w:val="12"/>
                                        <w:lang w:val="it-IT"/>
                                      </w:rPr>
                                    </w:rPrChange>
                                  </w:rPr>
                                  <w:t>C</w:t>
                                </w:r>
                                <w:r>
                                  <w:rPr>
                                    <w:sz w:val="14"/>
                                    <w:szCs w:val="10"/>
                                    <w:lang w:val="it-IT"/>
                                    <w:rPrChange w:id="12542" w:author="Author">
                                      <w:rPr>
                                        <w:lang w:val="it-IT"/>
                                      </w:rPr>
                                    </w:rPrChange>
                                  </w:rPr>
                                  <w:t>opriago</w:t>
                                </w:r>
                                <w:r>
                                  <w:rPr>
                                    <w:sz w:val="14"/>
                                    <w:szCs w:val="10"/>
                                    <w:lang w:val="it-IT"/>
                                    <w:rPrChange w:id="12543" w:author="Author">
                                      <w:rPr>
                                        <w:sz w:val="16"/>
                                        <w:szCs w:val="12"/>
                                        <w:lang w:val="it-IT"/>
                                      </w:rPr>
                                    </w:rPrChange>
                                  </w:rPr>
                                  <w:t xml:space="preserve"> (esteso e bloccato)</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2.15pt;margin-top:173.85pt;width:62.85pt;height:2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FSUQIAAKgEAAAOAAAAZHJzL2Uyb0RvYy54bWysVN9v2jAQfp+0/8Hy+wiBACUiVIyKaVLV&#10;VoKqz8ZxSCTH59mGhP31O5vwo12fpr2Y893l89333TG7b2tJDsLYClRG416fEqE45JXaZfR1s/p2&#10;R4l1TOVMghIZPQpL7+dfv8wanYoBlCBzYQiCKJs2OqOlczqNIstLUTPbAy0UBgswNXN4NbsoN6xB&#10;9FpGg35/HDVgcm2AC2vR+3AK0nnALwrB3XNRWOGIzCjW5sJpwrn1ZzSfsXRnmC4r3pXB/qGKmlUK&#10;H71APTDHyN5Uf0HVFTdgoXA9DnUERVFxEXrAbuL+h27WJdMi9ILkWH2hyf4/WP50eDGkyjM6jJPJ&#10;eDCeTClRrEapNqJ15Du0JPYsNdqmmLzWmO5adKPaZ79Fp2++LUztf7EtgnHk+3jh2INxdE6md4Mk&#10;oYRjaJiMkiRoEF0/1sa6HwJq4o2MGpQwMMsOj9ZhIZh6TvFvWZBVvqqkDBc/NmIpDTkwFFy6UCJ+&#10;8S5LKtJkdDwc9QPwu1gYvCvCdvcJAuJJhYV4Sk6te8u127bjaQv5EWkycBo3q/mqwmYemXUvzOB8&#10;ITO4M+4Zj0ICFgOdRUkJ5vdnfp+PsmOUkgbnNaP2154ZQYn8qXAgprGnkrhwSUaTAV7MbWR7G1H7&#10;egnIUIzbqXkwfb6TZ7MwUL/hai38qxhiiuPbGXVnc+lOW4SrycViEZJwpDVzj2qtuYf2inipNu0b&#10;M7rT0+EgPMF5sln6QdZTrv9SwWLvoKiC5p7gE6sd77gOYRS61fX7dnsPWdc/mPkfAAAA//8DAFBL&#10;AwQUAAYACAAAACEAYSelzt8AAAAKAQAADwAAAGRycy9kb3ducmV2LnhtbEyPQUvDQBCF74L/YRnB&#10;m91ts7Q1ZlKCIoIKYvXibZsdk2B2NmS3bfrv3Z70OMzHe98rNpPrxYHG0HlGmM8UCOLa244bhM+P&#10;x5s1iBANW9N7JoQTBdiUlxeFya0/8jsdtrERKYRDbhDaGIdcylC35EyY+YE4/b796ExM59hIO5pj&#10;Cne9XCi1lM50nBpaM9B9S/XPdu8QnvWXecjiC50iT29V9bQedHhFvL6aqjsQkab4B8NZP6lDmZx2&#10;fs82iB5hqbNEImR6tQJxBm5VGrdD0GoxB1kW8v+E8hcAAP//AwBQSwECLQAUAAYACAAAACEAtoM4&#10;kv4AAADhAQAAEwAAAAAAAAAAAAAAAAAAAAAAW0NvbnRlbnRfVHlwZXNdLnhtbFBLAQItABQABgAI&#10;AAAAIQA4/SH/1gAAAJQBAAALAAAAAAAAAAAAAAAAAC8BAABfcmVscy8ucmVsc1BLAQItABQABgAI&#10;AAAAIQAozzFSUQIAAKgEAAAOAAAAAAAAAAAAAAAAAC4CAABkcnMvZTJvRG9jLnhtbFBLAQItABQA&#10;BgAIAAAAIQBhJ6XO3wAAAAoBAAAPAAAAAAAAAAAAAAAAAKsEAABkcnMvZG93bnJldi54bWxQSwUG&#10;AAAAAAQABADzAAAAtwUAAAAA&#10;" fillcolor="white [3201]" strokecolor="white [3212]" strokeweight=".5pt">
                  <v:textbox>
                    <w:txbxContent>
                      <w:p>
                        <w:pPr>
                          <w:rPr>
                            <w:sz w:val="14"/>
                            <w:szCs w:val="10"/>
                            <w:lang w:val="it-IT"/>
                            <w:rPrChange w:id="12569" w:author="Author">
                              <w:rPr/>
                            </w:rPrChange>
                          </w:rPr>
                        </w:pPr>
                        <w:ins w:id="12570" w:author="Author">
                          <w:r>
                            <w:rPr>
                              <w:sz w:val="14"/>
                              <w:szCs w:val="10"/>
                              <w:lang w:val="it-IT"/>
                              <w:rPrChange w:id="12571" w:author="Author">
                                <w:rPr>
                                  <w:sz w:val="16"/>
                                  <w:szCs w:val="12"/>
                                  <w:lang w:val="it-IT"/>
                                </w:rPr>
                              </w:rPrChange>
                            </w:rPr>
                            <w:t>C</w:t>
                          </w:r>
                          <w:r>
                            <w:rPr>
                              <w:sz w:val="14"/>
                              <w:szCs w:val="10"/>
                              <w:lang w:val="it-IT"/>
                              <w:rPrChange w:id="12572" w:author="Author">
                                <w:rPr>
                                  <w:lang w:val="it-IT"/>
                                </w:rPr>
                              </w:rPrChange>
                            </w:rPr>
                            <w:t>opriago</w:t>
                          </w:r>
                          <w:r>
                            <w:rPr>
                              <w:sz w:val="14"/>
                              <w:szCs w:val="10"/>
                              <w:lang w:val="it-IT"/>
                              <w:rPrChange w:id="12573" w:author="Author">
                                <w:rPr>
                                  <w:sz w:val="16"/>
                                  <w:szCs w:val="12"/>
                                  <w:lang w:val="it-IT"/>
                                </w:rPr>
                              </w:rPrChange>
                            </w:rPr>
                            <w:t xml:space="preserve"> (esteso e bloccato)</w:t>
                          </w:r>
                        </w:ins>
                      </w:p>
                    </w:txbxContent>
                  </v:textbox>
                </v:shape>
              </w:pict>
            </mc:Fallback>
          </mc:AlternateContent>
        </w:r>
      </w:ins>
      <w:r>
        <w:rPr>
          <w:rFonts w:ascii="HelveticaNeueLTPro-Bd" w:hAnsi="HelveticaNeueLTPro-Bd" w:cs="HelveticaNeueLTPro-Bd"/>
          <w:noProof/>
          <w:sz w:val="20"/>
          <w:lang w:eastAsia="en-US"/>
        </w:rPr>
        <w:drawing>
          <wp:inline distT="0" distB="0" distL="0" distR="0">
            <wp:extent cx="3204210" cy="2727325"/>
            <wp:effectExtent l="0" t="0" r="0" b="0"/>
            <wp:docPr id="1" name="Immagine 1" descr="PFS 1 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S 1 I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4210" cy="2727325"/>
                    </a:xfrm>
                    <a:prstGeom prst="rect">
                      <a:avLst/>
                    </a:prstGeom>
                    <a:noFill/>
                    <a:ln>
                      <a:noFill/>
                    </a:ln>
                  </pic:spPr>
                </pic:pic>
              </a:graphicData>
            </a:graphic>
          </wp:inline>
        </w:drawing>
      </w:r>
    </w:p>
    <w:p>
      <w:pPr>
        <w:tabs>
          <w:tab w:val="left" w:pos="180"/>
        </w:tabs>
        <w:autoSpaceDE w:val="0"/>
        <w:autoSpaceDN w:val="0"/>
        <w:adjustRightInd w:val="0"/>
        <w:rPr>
          <w:del w:id="12544" w:author="Author"/>
          <w:rFonts w:ascii="HelveticaNeueLTPro-Roman" w:hAnsi="HelveticaNeueLTPro-Roman" w:cs="HelveticaNeueLTPro-Roman"/>
          <w:noProof/>
          <w:sz w:val="20"/>
          <w:lang w:val="it-IT"/>
        </w:rPr>
      </w:pPr>
    </w:p>
    <w:p>
      <w:pPr>
        <w:tabs>
          <w:tab w:val="left" w:pos="180"/>
        </w:tabs>
        <w:autoSpaceDE w:val="0"/>
        <w:autoSpaceDN w:val="0"/>
        <w:adjustRightInd w:val="0"/>
        <w:rPr>
          <w:bCs/>
          <w:noProof/>
          <w:szCs w:val="22"/>
          <w:lang w:val="it-IT"/>
          <w:rPrChange w:id="12545" w:author="Author">
            <w:rPr>
              <w:b/>
              <w:szCs w:val="22"/>
              <w:lang w:val="it-IT"/>
            </w:rPr>
          </w:rPrChange>
        </w:rPr>
      </w:pPr>
      <w:r>
        <w:rPr>
          <w:bCs/>
          <w:noProof/>
          <w:szCs w:val="22"/>
          <w:lang w:val="it-IT"/>
          <w:rPrChange w:id="12546" w:author="Author">
            <w:rPr>
              <w:b/>
              <w:szCs w:val="22"/>
              <w:lang w:val="it-IT"/>
            </w:rPr>
          </w:rPrChange>
        </w:rPr>
        <w:t>Occorrente per la somministrazione dell’iniezione:</w:t>
      </w:r>
    </w:p>
    <w:p>
      <w:pPr>
        <w:tabs>
          <w:tab w:val="left" w:pos="180"/>
        </w:tabs>
        <w:autoSpaceDE w:val="0"/>
        <w:autoSpaceDN w:val="0"/>
        <w:adjustRightInd w:val="0"/>
        <w:rPr>
          <w:noProof/>
          <w:szCs w:val="22"/>
          <w:lang w:val="it-IT"/>
        </w:rPr>
      </w:pPr>
      <w:r>
        <w:rPr>
          <w:noProof/>
          <w:szCs w:val="22"/>
          <w:lang w:val="it-IT"/>
        </w:rPr>
        <w:t>In dotazione nella confezione:</w:t>
      </w:r>
    </w:p>
    <w:p>
      <w:pPr>
        <w:pStyle w:val="ListParagraph"/>
        <w:numPr>
          <w:ilvl w:val="0"/>
          <w:numId w:val="42"/>
        </w:numPr>
        <w:autoSpaceDE w:val="0"/>
        <w:autoSpaceDN w:val="0"/>
        <w:adjustRightInd w:val="0"/>
        <w:ind w:left="567" w:hanging="567"/>
        <w:rPr>
          <w:noProof/>
          <w:szCs w:val="22"/>
        </w:rPr>
        <w:pPrChange w:id="12547" w:author="Author">
          <w:pPr>
            <w:tabs>
              <w:tab w:val="left" w:pos="180"/>
            </w:tabs>
            <w:autoSpaceDE w:val="0"/>
            <w:autoSpaceDN w:val="0"/>
            <w:adjustRightInd w:val="0"/>
            <w:ind w:left="720" w:hanging="351"/>
          </w:pPr>
        </w:pPrChange>
      </w:pPr>
      <w:del w:id="12548" w:author="Author">
        <w:r>
          <w:rPr>
            <w:noProof/>
            <w:sz w:val="22"/>
            <w:szCs w:val="22"/>
            <w:rPrChange w:id="12549" w:author="Author">
              <w:rPr/>
            </w:rPrChange>
          </w:rPr>
          <w:sym w:font="Symbol" w:char="00B7"/>
        </w:r>
        <w:r>
          <w:rPr>
            <w:noProof/>
            <w:sz w:val="22"/>
            <w:szCs w:val="22"/>
            <w:rPrChange w:id="12550" w:author="Author">
              <w:rPr/>
            </w:rPrChange>
          </w:rPr>
          <w:delText xml:space="preserve"> </w:delText>
        </w:r>
      </w:del>
      <w:r>
        <w:rPr>
          <w:noProof/>
          <w:sz w:val="22"/>
          <w:szCs w:val="22"/>
          <w:rPrChange w:id="12551" w:author="Author">
            <w:rPr/>
          </w:rPrChange>
        </w:rPr>
        <w:t>Siringa preriempita</w:t>
      </w:r>
    </w:p>
    <w:p>
      <w:pPr>
        <w:tabs>
          <w:tab w:val="left" w:pos="180"/>
        </w:tabs>
        <w:autoSpaceDE w:val="0"/>
        <w:autoSpaceDN w:val="0"/>
        <w:adjustRightInd w:val="0"/>
        <w:rPr>
          <w:ins w:id="12552" w:author="Author"/>
          <w:noProof/>
          <w:szCs w:val="22"/>
          <w:lang w:val="it-IT"/>
        </w:rPr>
        <w:pPrChange w:id="12553" w:author="Author">
          <w:pPr>
            <w:keepNext/>
            <w:keepLines/>
            <w:tabs>
              <w:tab w:val="left" w:pos="180"/>
            </w:tabs>
            <w:autoSpaceDE w:val="0"/>
            <w:autoSpaceDN w:val="0"/>
            <w:adjustRightInd w:val="0"/>
          </w:pPr>
        </w:pPrChange>
      </w:pPr>
    </w:p>
    <w:p>
      <w:pPr>
        <w:keepNext/>
        <w:keepLines/>
        <w:tabs>
          <w:tab w:val="left" w:pos="180"/>
        </w:tabs>
        <w:autoSpaceDE w:val="0"/>
        <w:autoSpaceDN w:val="0"/>
        <w:adjustRightInd w:val="0"/>
        <w:rPr>
          <w:noProof/>
          <w:szCs w:val="22"/>
          <w:lang w:val="it-IT"/>
        </w:rPr>
        <w:pPrChange w:id="12554" w:author="Author">
          <w:pPr>
            <w:tabs>
              <w:tab w:val="left" w:pos="180"/>
            </w:tabs>
            <w:autoSpaceDE w:val="0"/>
            <w:autoSpaceDN w:val="0"/>
            <w:adjustRightInd w:val="0"/>
          </w:pPr>
        </w:pPrChange>
      </w:pPr>
      <w:r>
        <w:rPr>
          <w:noProof/>
          <w:szCs w:val="22"/>
          <w:lang w:val="it-IT"/>
        </w:rPr>
        <w:lastRenderedPageBreak/>
        <w:t>Non in dotazione nella confezione:</w:t>
      </w:r>
    </w:p>
    <w:p>
      <w:pPr>
        <w:pStyle w:val="ListParagraph"/>
        <w:numPr>
          <w:ilvl w:val="0"/>
          <w:numId w:val="42"/>
        </w:numPr>
        <w:autoSpaceDE w:val="0"/>
        <w:autoSpaceDN w:val="0"/>
        <w:adjustRightInd w:val="0"/>
        <w:ind w:left="567" w:hanging="567"/>
        <w:rPr>
          <w:noProof/>
          <w:szCs w:val="22"/>
        </w:rPr>
        <w:pPrChange w:id="12555" w:author="Author">
          <w:pPr>
            <w:tabs>
              <w:tab w:val="left" w:pos="180"/>
            </w:tabs>
            <w:autoSpaceDE w:val="0"/>
            <w:autoSpaceDN w:val="0"/>
            <w:adjustRightInd w:val="0"/>
            <w:ind w:left="720" w:hanging="360"/>
          </w:pPr>
        </w:pPrChange>
      </w:pPr>
      <w:del w:id="12556" w:author="Author">
        <w:r>
          <w:rPr>
            <w:noProof/>
            <w:sz w:val="22"/>
            <w:szCs w:val="22"/>
            <w:rPrChange w:id="12557" w:author="Author">
              <w:rPr/>
            </w:rPrChange>
          </w:rPr>
          <w:sym w:font="Symbol" w:char="00B7"/>
        </w:r>
        <w:r>
          <w:rPr>
            <w:noProof/>
            <w:sz w:val="22"/>
            <w:szCs w:val="22"/>
            <w:rPrChange w:id="12558" w:author="Author">
              <w:rPr/>
            </w:rPrChange>
          </w:rPr>
          <w:delText xml:space="preserve"> </w:delText>
        </w:r>
      </w:del>
      <w:r>
        <w:rPr>
          <w:noProof/>
          <w:sz w:val="22"/>
          <w:szCs w:val="22"/>
          <w:rPrChange w:id="12559" w:author="Author">
            <w:rPr>
              <w:szCs w:val="22"/>
            </w:rPr>
          </w:rPrChange>
        </w:rPr>
        <w:t>Tampone imbevuto di alcool</w:t>
      </w:r>
    </w:p>
    <w:p>
      <w:pPr>
        <w:pStyle w:val="ListParagraph"/>
        <w:numPr>
          <w:ilvl w:val="0"/>
          <w:numId w:val="42"/>
        </w:numPr>
        <w:autoSpaceDE w:val="0"/>
        <w:autoSpaceDN w:val="0"/>
        <w:adjustRightInd w:val="0"/>
        <w:ind w:left="567" w:hanging="567"/>
        <w:rPr>
          <w:noProof/>
          <w:szCs w:val="22"/>
        </w:rPr>
        <w:pPrChange w:id="12560" w:author="Author">
          <w:pPr>
            <w:tabs>
              <w:tab w:val="left" w:pos="180"/>
            </w:tabs>
            <w:autoSpaceDE w:val="0"/>
            <w:autoSpaceDN w:val="0"/>
            <w:adjustRightInd w:val="0"/>
            <w:ind w:left="720" w:hanging="360"/>
          </w:pPr>
        </w:pPrChange>
      </w:pPr>
      <w:del w:id="12561" w:author="Author">
        <w:r>
          <w:rPr>
            <w:noProof/>
            <w:sz w:val="22"/>
            <w:szCs w:val="22"/>
            <w:rPrChange w:id="12562" w:author="Author">
              <w:rPr/>
            </w:rPrChange>
          </w:rPr>
          <w:sym w:font="Symbol" w:char="00B7"/>
        </w:r>
        <w:r>
          <w:rPr>
            <w:noProof/>
            <w:sz w:val="22"/>
            <w:szCs w:val="22"/>
            <w:rPrChange w:id="12563" w:author="Author">
              <w:rPr/>
            </w:rPrChange>
          </w:rPr>
          <w:delText xml:space="preserve"> </w:delText>
        </w:r>
      </w:del>
      <w:r>
        <w:rPr>
          <w:noProof/>
          <w:sz w:val="22"/>
          <w:szCs w:val="22"/>
          <w:rPrChange w:id="12564" w:author="Author">
            <w:rPr>
              <w:szCs w:val="22"/>
            </w:rPr>
          </w:rPrChange>
        </w:rPr>
        <w:t>Batuffolo di cotone o garza sterile</w:t>
      </w:r>
    </w:p>
    <w:p>
      <w:pPr>
        <w:pStyle w:val="ListParagraph"/>
        <w:numPr>
          <w:ilvl w:val="0"/>
          <w:numId w:val="42"/>
        </w:numPr>
        <w:autoSpaceDE w:val="0"/>
        <w:autoSpaceDN w:val="0"/>
        <w:adjustRightInd w:val="0"/>
        <w:ind w:left="567" w:hanging="567"/>
        <w:rPr>
          <w:noProof/>
          <w:szCs w:val="22"/>
        </w:rPr>
        <w:pPrChange w:id="12565" w:author="Author">
          <w:pPr>
            <w:tabs>
              <w:tab w:val="left" w:pos="180"/>
            </w:tabs>
            <w:autoSpaceDE w:val="0"/>
            <w:autoSpaceDN w:val="0"/>
            <w:adjustRightInd w:val="0"/>
            <w:ind w:left="720" w:hanging="351"/>
          </w:pPr>
        </w:pPrChange>
      </w:pPr>
      <w:del w:id="12566" w:author="Author">
        <w:r>
          <w:rPr>
            <w:noProof/>
            <w:sz w:val="22"/>
            <w:szCs w:val="22"/>
            <w:rPrChange w:id="12567" w:author="Author">
              <w:rPr/>
            </w:rPrChange>
          </w:rPr>
          <w:sym w:font="Symbol" w:char="00B7"/>
        </w:r>
        <w:r>
          <w:rPr>
            <w:noProof/>
            <w:sz w:val="22"/>
            <w:szCs w:val="22"/>
            <w:rPrChange w:id="12568" w:author="Author">
              <w:rPr/>
            </w:rPrChange>
          </w:rPr>
          <w:delText xml:space="preserve"> </w:delText>
        </w:r>
      </w:del>
      <w:r>
        <w:rPr>
          <w:noProof/>
          <w:sz w:val="22"/>
          <w:szCs w:val="22"/>
          <w:rPrChange w:id="12569" w:author="Author">
            <w:rPr>
              <w:szCs w:val="22"/>
            </w:rPr>
          </w:rPrChange>
        </w:rPr>
        <w:t>Contenitore resistente alla perforazione o contenitore per materiali taglienti per lo smaltimento sicuro del cappuccio protettivo dell’ago e della siringa usata.</w:t>
      </w:r>
    </w:p>
    <w:p>
      <w:pPr>
        <w:tabs>
          <w:tab w:val="left" w:pos="180"/>
        </w:tabs>
        <w:autoSpaceDE w:val="0"/>
        <w:autoSpaceDN w:val="0"/>
        <w:adjustRightInd w:val="0"/>
        <w:rPr>
          <w:ins w:id="12570" w:author="Author"/>
          <w:noProof/>
          <w:szCs w:val="22"/>
          <w:lang w:val="it-IT"/>
        </w:rPr>
      </w:pPr>
    </w:p>
    <w:p>
      <w:pPr>
        <w:keepNext/>
        <w:keepLines/>
        <w:tabs>
          <w:tab w:val="left" w:pos="180"/>
        </w:tabs>
        <w:autoSpaceDE w:val="0"/>
        <w:autoSpaceDN w:val="0"/>
        <w:adjustRightInd w:val="0"/>
        <w:rPr>
          <w:noProof/>
          <w:szCs w:val="22"/>
          <w:lang w:val="it-IT"/>
        </w:rPr>
        <w:pPrChange w:id="12571" w:author="Author">
          <w:pPr>
            <w:tabs>
              <w:tab w:val="left" w:pos="180"/>
            </w:tabs>
            <w:autoSpaceDE w:val="0"/>
            <w:autoSpaceDN w:val="0"/>
            <w:adjustRightInd w:val="0"/>
          </w:pPr>
        </w:pPrChange>
      </w:pPr>
      <w:r>
        <w:rPr>
          <w:noProof/>
          <w:szCs w:val="22"/>
          <w:lang w:val="it-IT"/>
        </w:rPr>
        <w:t xml:space="preserve">Dove preparare l’occorrente: </w:t>
      </w:r>
    </w:p>
    <w:p>
      <w:pPr>
        <w:pStyle w:val="ListParagraph"/>
        <w:numPr>
          <w:ilvl w:val="0"/>
          <w:numId w:val="42"/>
        </w:numPr>
        <w:autoSpaceDE w:val="0"/>
        <w:autoSpaceDN w:val="0"/>
        <w:adjustRightInd w:val="0"/>
        <w:ind w:left="567" w:hanging="567"/>
        <w:rPr>
          <w:noProof/>
          <w:szCs w:val="22"/>
        </w:rPr>
        <w:pPrChange w:id="12572" w:author="Author">
          <w:pPr>
            <w:tabs>
              <w:tab w:val="left" w:pos="180"/>
            </w:tabs>
            <w:spacing w:after="200" w:line="276" w:lineRule="auto"/>
            <w:ind w:left="720" w:hanging="360"/>
          </w:pPr>
        </w:pPrChange>
      </w:pPr>
      <w:del w:id="12573" w:author="Author">
        <w:r>
          <w:rPr>
            <w:noProof/>
            <w:sz w:val="22"/>
            <w:szCs w:val="22"/>
            <w:rPrChange w:id="12574" w:author="Author">
              <w:rPr/>
            </w:rPrChange>
          </w:rPr>
          <w:sym w:font="Symbol" w:char="00B7"/>
        </w:r>
        <w:r>
          <w:rPr>
            <w:noProof/>
            <w:sz w:val="22"/>
            <w:szCs w:val="22"/>
            <w:rPrChange w:id="12575" w:author="Author">
              <w:rPr/>
            </w:rPrChange>
          </w:rPr>
          <w:delText xml:space="preserve"> </w:delText>
        </w:r>
      </w:del>
      <w:r>
        <w:rPr>
          <w:noProof/>
          <w:sz w:val="22"/>
          <w:szCs w:val="22"/>
          <w:rPrChange w:id="12576" w:author="Author">
            <w:rPr>
              <w:szCs w:val="22"/>
            </w:rPr>
          </w:rPrChange>
        </w:rPr>
        <w:t>Utilizzare una superficie ben illuminata, pulita e piatta, come ad esempio un tavolo.</w:t>
      </w:r>
    </w:p>
    <w:p>
      <w:pPr>
        <w:tabs>
          <w:tab w:val="left" w:pos="180"/>
        </w:tabs>
        <w:autoSpaceDE w:val="0"/>
        <w:autoSpaceDN w:val="0"/>
        <w:adjustRightInd w:val="0"/>
        <w:rPr>
          <w:noProof/>
          <w:szCs w:val="22"/>
          <w:lang w:val="it-IT"/>
        </w:rPr>
      </w:pPr>
    </w:p>
    <w:p>
      <w:pPr>
        <w:tabs>
          <w:tab w:val="left" w:pos="180"/>
        </w:tabs>
        <w:autoSpaceDE w:val="0"/>
        <w:autoSpaceDN w:val="0"/>
        <w:adjustRightInd w:val="0"/>
        <w:rPr>
          <w:b/>
          <w:noProof/>
          <w:szCs w:val="22"/>
          <w:lang w:val="it-IT"/>
        </w:rPr>
      </w:pPr>
      <w:r>
        <w:rPr>
          <w:b/>
          <w:noProof/>
          <w:szCs w:val="22"/>
          <w:lang w:val="it-IT"/>
        </w:rPr>
        <w:t>Fase 1. Controllare visivamente la siringa preriempita.</w:t>
      </w:r>
    </w:p>
    <w:p>
      <w:pPr>
        <w:tabs>
          <w:tab w:val="left" w:pos="180"/>
        </w:tabs>
        <w:autoSpaceDE w:val="0"/>
        <w:autoSpaceDN w:val="0"/>
        <w:adjustRightInd w:val="0"/>
        <w:rPr>
          <w:noProof/>
          <w:szCs w:val="22"/>
          <w:lang w:val="it-IT"/>
        </w:rPr>
      </w:pPr>
    </w:p>
    <w:p>
      <w:pPr>
        <w:autoSpaceDE w:val="0"/>
        <w:autoSpaceDN w:val="0"/>
        <w:adjustRightInd w:val="0"/>
        <w:ind w:left="567" w:hanging="567"/>
        <w:rPr>
          <w:noProof/>
          <w:szCs w:val="22"/>
          <w:lang w:val="it-IT"/>
        </w:rPr>
        <w:pPrChange w:id="12577" w:author="Author">
          <w:pPr>
            <w:tabs>
              <w:tab w:val="left" w:pos="180"/>
            </w:tabs>
            <w:autoSpaceDE w:val="0"/>
            <w:autoSpaceDN w:val="0"/>
            <w:adjustRightInd w:val="0"/>
            <w:ind w:left="720" w:hanging="270"/>
          </w:pPr>
        </w:pPrChange>
      </w:pPr>
      <w:r>
        <w:rPr>
          <w:noProof/>
          <w:lang w:val="it-IT"/>
        </w:rPr>
        <w:sym w:font="Symbol" w:char="00B7"/>
      </w:r>
      <w:r>
        <w:rPr>
          <w:noProof/>
          <w:lang w:val="it-IT"/>
        </w:rPr>
        <w:t xml:space="preserve"> </w:t>
      </w:r>
      <w:r>
        <w:rPr>
          <w:noProof/>
          <w:lang w:val="it-IT"/>
        </w:rPr>
        <w:tab/>
      </w:r>
      <w:r>
        <w:rPr>
          <w:noProof/>
          <w:szCs w:val="22"/>
          <w:lang w:val="it-IT"/>
        </w:rPr>
        <w:t>Tolga la confezione contenente la siringa dal frigorifero. Apra la confezione. Non tocchi le alette di attivazione sulla siringa per evitare di danneggiare la siringa.</w:t>
      </w:r>
    </w:p>
    <w:p>
      <w:pPr>
        <w:autoSpaceDE w:val="0"/>
        <w:autoSpaceDN w:val="0"/>
        <w:adjustRightInd w:val="0"/>
        <w:ind w:left="567" w:hanging="567"/>
        <w:rPr>
          <w:noProof/>
          <w:lang w:val="it-IT"/>
        </w:rPr>
        <w:pPrChange w:id="12578" w:author="Author">
          <w:pPr>
            <w:tabs>
              <w:tab w:val="left" w:pos="180"/>
            </w:tabs>
            <w:autoSpaceDE w:val="0"/>
            <w:autoSpaceDN w:val="0"/>
            <w:adjustRightInd w:val="0"/>
            <w:ind w:left="720" w:hanging="270"/>
          </w:pPr>
        </w:pPrChange>
      </w:pPr>
      <w:r>
        <w:rPr>
          <w:noProof/>
          <w:lang w:val="it-IT"/>
        </w:rPr>
        <w:sym w:font="Symbol" w:char="00B7"/>
      </w:r>
      <w:r>
        <w:rPr>
          <w:noProof/>
          <w:lang w:val="it-IT"/>
        </w:rPr>
        <w:t xml:space="preserve"> </w:t>
      </w:r>
      <w:r>
        <w:rPr>
          <w:noProof/>
          <w:lang w:val="it-IT"/>
        </w:rPr>
        <w:tab/>
        <w:t>Estragga la siringa dalla confezione. Effettui un controllo visivo della siringa e del medicinale in essa contenuto. Questa operazione è importante perché garantisce la sicurezza d’uso della siringa e del medicinale.</w:t>
      </w:r>
    </w:p>
    <w:p>
      <w:pPr>
        <w:autoSpaceDE w:val="0"/>
        <w:autoSpaceDN w:val="0"/>
        <w:adjustRightInd w:val="0"/>
        <w:ind w:left="567" w:hanging="567"/>
        <w:rPr>
          <w:noProof/>
          <w:lang w:val="it-IT"/>
        </w:rPr>
        <w:pPrChange w:id="12579" w:author="Author">
          <w:pPr>
            <w:tabs>
              <w:tab w:val="left" w:pos="180"/>
            </w:tabs>
            <w:autoSpaceDE w:val="0"/>
            <w:autoSpaceDN w:val="0"/>
            <w:adjustRightInd w:val="0"/>
            <w:ind w:left="720" w:hanging="270"/>
          </w:pPr>
        </w:pPrChange>
      </w:pPr>
      <w:r>
        <w:rPr>
          <w:noProof/>
          <w:lang w:val="it-IT"/>
        </w:rPr>
        <w:sym w:font="Symbol" w:char="00B7"/>
      </w:r>
      <w:r>
        <w:rPr>
          <w:noProof/>
          <w:lang w:val="it-IT"/>
        </w:rPr>
        <w:t xml:space="preserve"> </w:t>
      </w:r>
      <w:r>
        <w:rPr>
          <w:noProof/>
          <w:lang w:val="it-IT"/>
        </w:rPr>
        <w:tab/>
        <w:t>Controlli la data di scadenza stampata sulla confezione e sulla siringa (vedere Fig. A) per accertarsi che non sia già passata (scaduta). Non utilizzi la siringa se la data di scadenza è già passata. Questa operazione è importante perché garantisce la sicurezza d’uso della siringa e del medicinale.</w:t>
      </w:r>
    </w:p>
    <w:p>
      <w:pPr>
        <w:tabs>
          <w:tab w:val="left" w:pos="180"/>
        </w:tabs>
        <w:autoSpaceDE w:val="0"/>
        <w:autoSpaceDN w:val="0"/>
        <w:adjustRightInd w:val="0"/>
        <w:ind w:left="720"/>
        <w:rPr>
          <w:rFonts w:ascii="HelveticaNeueLTPro-Roman" w:hAnsi="HelveticaNeueLTPro-Roman" w:cs="HelveticaNeueLTPro-Roman"/>
          <w:noProof/>
          <w:sz w:val="20"/>
          <w:lang w:val="it-IT"/>
        </w:rPr>
      </w:pPr>
    </w:p>
    <w:p>
      <w:pPr>
        <w:tabs>
          <w:tab w:val="left" w:pos="180"/>
        </w:tabs>
        <w:autoSpaceDE w:val="0"/>
        <w:autoSpaceDN w:val="0"/>
        <w:adjustRightInd w:val="0"/>
        <w:spacing w:after="120"/>
        <w:rPr>
          <w:rFonts w:ascii="HelveticaNeueLTPro-Roman" w:hAnsi="HelveticaNeueLTPro-Roman" w:cs="HelveticaNeueLTPro-Roman"/>
          <w:noProof/>
          <w:sz w:val="20"/>
          <w:lang w:val="it-IT"/>
        </w:rPr>
      </w:pPr>
      <w:r>
        <w:rPr>
          <w:rFonts w:ascii="HelveticaNeueLTPro-Roman" w:hAnsi="HelveticaNeueLTPro-Roman" w:cs="HelveticaNeueLTPro-Roman"/>
          <w:noProof/>
          <w:sz w:val="20"/>
          <w:lang w:eastAsia="en-US"/>
        </w:rPr>
        <w:drawing>
          <wp:inline distT="0" distB="0" distL="0" distR="0">
            <wp:extent cx="2345690" cy="771525"/>
            <wp:effectExtent l="0" t="0" r="0" b="0"/>
            <wp:docPr id="2" name="Immagine 2" descr="PFS 2 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FS 2 I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5690" cy="771525"/>
                    </a:xfrm>
                    <a:prstGeom prst="rect">
                      <a:avLst/>
                    </a:prstGeom>
                    <a:noFill/>
                    <a:ln>
                      <a:noFill/>
                    </a:ln>
                  </pic:spPr>
                </pic:pic>
              </a:graphicData>
            </a:graphic>
          </wp:inline>
        </w:drawing>
      </w:r>
    </w:p>
    <w:p>
      <w:pPr>
        <w:tabs>
          <w:tab w:val="left" w:pos="180"/>
        </w:tabs>
        <w:autoSpaceDE w:val="0"/>
        <w:autoSpaceDN w:val="0"/>
        <w:adjustRightInd w:val="0"/>
        <w:rPr>
          <w:ins w:id="12580" w:author="Author"/>
          <w:noProof/>
          <w:szCs w:val="22"/>
          <w:lang w:val="it-IT"/>
        </w:rPr>
      </w:pPr>
    </w:p>
    <w:p>
      <w:pPr>
        <w:tabs>
          <w:tab w:val="left" w:pos="180"/>
        </w:tabs>
        <w:autoSpaceDE w:val="0"/>
        <w:autoSpaceDN w:val="0"/>
        <w:adjustRightInd w:val="0"/>
        <w:rPr>
          <w:noProof/>
          <w:szCs w:val="22"/>
          <w:lang w:val="it-IT"/>
        </w:rPr>
      </w:pPr>
      <w:r>
        <w:rPr>
          <w:noProof/>
          <w:szCs w:val="22"/>
          <w:lang w:val="it-IT"/>
        </w:rPr>
        <w:t>Getti via la siringa preriempita e non la utilizzi se:</w:t>
      </w:r>
    </w:p>
    <w:p>
      <w:pPr>
        <w:autoSpaceDE w:val="0"/>
        <w:autoSpaceDN w:val="0"/>
        <w:adjustRightInd w:val="0"/>
        <w:ind w:left="567" w:hanging="567"/>
        <w:rPr>
          <w:noProof/>
          <w:szCs w:val="22"/>
          <w:lang w:val="it-IT"/>
        </w:rPr>
        <w:pPrChange w:id="12581" w:author="Author">
          <w:pPr>
            <w:tabs>
              <w:tab w:val="left" w:pos="180"/>
            </w:tabs>
            <w:autoSpaceDE w:val="0"/>
            <w:autoSpaceDN w:val="0"/>
            <w:adjustRightInd w:val="0"/>
            <w:ind w:left="720" w:hanging="369"/>
          </w:pPr>
        </w:pPrChange>
      </w:pPr>
      <w:r>
        <w:rPr>
          <w:noProof/>
          <w:lang w:val="it-IT"/>
        </w:rPr>
        <w:sym w:font="Symbol" w:char="00B7"/>
      </w:r>
      <w:r>
        <w:rPr>
          <w:noProof/>
          <w:lang w:val="it-IT"/>
        </w:rPr>
        <w:t xml:space="preserve"> </w:t>
      </w:r>
      <w:r>
        <w:rPr>
          <w:noProof/>
          <w:lang w:val="it-IT"/>
        </w:rPr>
        <w:tab/>
      </w:r>
      <w:r>
        <w:rPr>
          <w:noProof/>
          <w:szCs w:val="22"/>
          <w:lang w:val="it-IT"/>
        </w:rPr>
        <w:t>il medicinale al suo interno si presenta torbido;</w:t>
      </w:r>
    </w:p>
    <w:p>
      <w:pPr>
        <w:autoSpaceDE w:val="0"/>
        <w:autoSpaceDN w:val="0"/>
        <w:adjustRightInd w:val="0"/>
        <w:ind w:left="567" w:hanging="567"/>
        <w:rPr>
          <w:noProof/>
          <w:szCs w:val="22"/>
          <w:lang w:val="it-IT"/>
        </w:rPr>
        <w:pPrChange w:id="12582" w:author="Author">
          <w:pPr>
            <w:tabs>
              <w:tab w:val="left" w:pos="180"/>
            </w:tabs>
            <w:autoSpaceDE w:val="0"/>
            <w:autoSpaceDN w:val="0"/>
            <w:adjustRightInd w:val="0"/>
            <w:ind w:left="720" w:hanging="369"/>
          </w:pPr>
        </w:pPrChange>
      </w:pPr>
      <w:r>
        <w:rPr>
          <w:noProof/>
          <w:lang w:val="it-IT"/>
        </w:rPr>
        <w:sym w:font="Symbol" w:char="00B7"/>
      </w:r>
      <w:r>
        <w:rPr>
          <w:noProof/>
          <w:lang w:val="it-IT"/>
        </w:rPr>
        <w:t xml:space="preserve"> </w:t>
      </w:r>
      <w:r>
        <w:rPr>
          <w:noProof/>
          <w:lang w:val="it-IT"/>
        </w:rPr>
        <w:tab/>
      </w:r>
      <w:r>
        <w:rPr>
          <w:noProof/>
          <w:szCs w:val="22"/>
          <w:lang w:val="it-IT"/>
        </w:rPr>
        <w:t>il medicinale al suo interno contiene particelle;</w:t>
      </w:r>
    </w:p>
    <w:p>
      <w:pPr>
        <w:autoSpaceDE w:val="0"/>
        <w:autoSpaceDN w:val="0"/>
        <w:adjustRightInd w:val="0"/>
        <w:ind w:left="567" w:hanging="567"/>
        <w:rPr>
          <w:noProof/>
          <w:lang w:val="it-IT"/>
        </w:rPr>
        <w:pPrChange w:id="12583" w:author="Author">
          <w:pPr>
            <w:tabs>
              <w:tab w:val="left" w:pos="180"/>
            </w:tabs>
            <w:autoSpaceDE w:val="0"/>
            <w:autoSpaceDN w:val="0"/>
            <w:adjustRightInd w:val="0"/>
            <w:ind w:left="720" w:hanging="369"/>
          </w:pPr>
        </w:pPrChange>
      </w:pPr>
      <w:r>
        <w:rPr>
          <w:noProof/>
          <w:lang w:val="it-IT"/>
        </w:rPr>
        <w:sym w:font="Symbol" w:char="00B7"/>
      </w:r>
      <w:r>
        <w:rPr>
          <w:noProof/>
          <w:lang w:val="it-IT"/>
        </w:rPr>
        <w:t xml:space="preserve"> </w:t>
      </w:r>
      <w:r>
        <w:rPr>
          <w:noProof/>
          <w:lang w:val="it-IT"/>
        </w:rPr>
        <w:tab/>
        <w:t>il medicinale al suo interno non è trasparente o presenta un colore diverso dal leggermente giallastro;</w:t>
      </w:r>
    </w:p>
    <w:p>
      <w:pPr>
        <w:autoSpaceDE w:val="0"/>
        <w:autoSpaceDN w:val="0"/>
        <w:adjustRightInd w:val="0"/>
        <w:ind w:left="567" w:hanging="567"/>
        <w:rPr>
          <w:ins w:id="12584" w:author="Author"/>
          <w:noProof/>
          <w:lang w:val="it-IT"/>
        </w:rPr>
      </w:pPr>
      <w:r>
        <w:rPr>
          <w:noProof/>
          <w:lang w:val="it-IT"/>
        </w:rPr>
        <w:sym w:font="Symbol" w:char="00B7"/>
      </w:r>
      <w:r>
        <w:rPr>
          <w:noProof/>
          <w:lang w:val="it-IT"/>
        </w:rPr>
        <w:t xml:space="preserve"> </w:t>
      </w:r>
      <w:r>
        <w:rPr>
          <w:noProof/>
          <w:lang w:val="it-IT"/>
        </w:rPr>
        <w:tab/>
        <w:t>una parte qualsiasi della siringa preriempita appare danneggiata.</w:t>
      </w:r>
    </w:p>
    <w:p>
      <w:pPr>
        <w:autoSpaceDE w:val="0"/>
        <w:autoSpaceDN w:val="0"/>
        <w:adjustRightInd w:val="0"/>
        <w:rPr>
          <w:noProof/>
          <w:lang w:val="it-IT"/>
        </w:rPr>
        <w:pPrChange w:id="12585" w:author="Author">
          <w:pPr>
            <w:tabs>
              <w:tab w:val="left" w:pos="180"/>
            </w:tabs>
            <w:autoSpaceDE w:val="0"/>
            <w:autoSpaceDN w:val="0"/>
            <w:adjustRightInd w:val="0"/>
            <w:ind w:left="720" w:hanging="369"/>
          </w:pPr>
        </w:pPrChange>
      </w:pPr>
    </w:p>
    <w:p>
      <w:pPr>
        <w:keepNext/>
        <w:keepLines/>
        <w:tabs>
          <w:tab w:val="left" w:pos="180"/>
        </w:tabs>
        <w:autoSpaceDE w:val="0"/>
        <w:autoSpaceDN w:val="0"/>
        <w:adjustRightInd w:val="0"/>
        <w:rPr>
          <w:ins w:id="12586" w:author="Author"/>
          <w:b/>
          <w:noProof/>
          <w:szCs w:val="22"/>
          <w:lang w:val="it-IT"/>
        </w:rPr>
      </w:pPr>
      <w:r>
        <w:rPr>
          <w:b/>
          <w:noProof/>
          <w:szCs w:val="22"/>
          <w:lang w:val="it-IT"/>
        </w:rPr>
        <w:t>Fase 2. Permettere alla siringa preriempita di raggiungere la temperatura ambiente.</w:t>
      </w:r>
    </w:p>
    <w:p>
      <w:pPr>
        <w:keepNext/>
        <w:keepLines/>
        <w:tabs>
          <w:tab w:val="left" w:pos="180"/>
        </w:tabs>
        <w:autoSpaceDE w:val="0"/>
        <w:autoSpaceDN w:val="0"/>
        <w:adjustRightInd w:val="0"/>
        <w:rPr>
          <w:b/>
          <w:noProof/>
          <w:szCs w:val="22"/>
          <w:lang w:val="it-IT"/>
        </w:rPr>
      </w:pPr>
    </w:p>
    <w:p>
      <w:pPr>
        <w:keepNext/>
        <w:keepLines/>
        <w:autoSpaceDE w:val="0"/>
        <w:autoSpaceDN w:val="0"/>
        <w:adjustRightInd w:val="0"/>
        <w:ind w:left="567" w:hanging="567"/>
        <w:rPr>
          <w:noProof/>
          <w:szCs w:val="22"/>
          <w:lang w:val="it-IT"/>
        </w:rPr>
        <w:pPrChange w:id="12587" w:author="Author">
          <w:pPr>
            <w:keepNext/>
            <w:keepLines/>
            <w:tabs>
              <w:tab w:val="left" w:pos="180"/>
            </w:tabs>
            <w:autoSpaceDE w:val="0"/>
            <w:autoSpaceDN w:val="0"/>
            <w:adjustRightInd w:val="0"/>
            <w:ind w:left="720" w:hanging="342"/>
          </w:pPr>
        </w:pPrChange>
      </w:pPr>
      <w:r>
        <w:rPr>
          <w:noProof/>
          <w:szCs w:val="22"/>
          <w:lang w:val="it-IT"/>
        </w:rPr>
        <w:sym w:font="Symbol" w:char="00B7"/>
      </w:r>
      <w:r>
        <w:rPr>
          <w:noProof/>
          <w:szCs w:val="22"/>
          <w:lang w:val="it-IT"/>
        </w:rPr>
        <w:t xml:space="preserve"> </w:t>
      </w:r>
      <w:r>
        <w:rPr>
          <w:noProof/>
          <w:szCs w:val="22"/>
          <w:lang w:val="it-IT"/>
        </w:rPr>
        <w:tab/>
        <w:t>Non rimuova il cappuccio protettivo dell’ago posto sulla siringa fino alla Fase 5. La rimozione anticipata del cappuccio dell’ago può causare che il medicinale si secchi e blocchi l’ago.</w:t>
      </w:r>
    </w:p>
    <w:p>
      <w:pPr>
        <w:keepNext/>
        <w:keepLines/>
        <w:autoSpaceDE w:val="0"/>
        <w:autoSpaceDN w:val="0"/>
        <w:adjustRightInd w:val="0"/>
        <w:ind w:left="567" w:hanging="567"/>
        <w:rPr>
          <w:noProof/>
          <w:szCs w:val="22"/>
          <w:lang w:val="it-IT"/>
        </w:rPr>
        <w:pPrChange w:id="12588" w:author="Author">
          <w:pPr>
            <w:keepNext/>
            <w:keepLines/>
            <w:tabs>
              <w:tab w:val="left" w:pos="180"/>
            </w:tabs>
            <w:autoSpaceDE w:val="0"/>
            <w:autoSpaceDN w:val="0"/>
            <w:adjustRightInd w:val="0"/>
            <w:ind w:left="720" w:hanging="342"/>
          </w:pPr>
        </w:pPrChange>
      </w:pPr>
    </w:p>
    <w:p>
      <w:pPr>
        <w:keepNext/>
        <w:keepLines/>
        <w:autoSpaceDE w:val="0"/>
        <w:autoSpaceDN w:val="0"/>
        <w:adjustRightInd w:val="0"/>
        <w:ind w:left="567" w:hanging="567"/>
        <w:rPr>
          <w:noProof/>
          <w:szCs w:val="22"/>
          <w:lang w:val="it-IT"/>
        </w:rPr>
        <w:pPrChange w:id="12589" w:author="Author">
          <w:pPr>
            <w:keepNext/>
            <w:keepLines/>
            <w:tabs>
              <w:tab w:val="left" w:pos="180"/>
            </w:tabs>
            <w:autoSpaceDE w:val="0"/>
            <w:autoSpaceDN w:val="0"/>
            <w:adjustRightInd w:val="0"/>
            <w:ind w:left="720" w:hanging="342"/>
          </w:pPr>
        </w:pPrChange>
      </w:pPr>
      <w:r>
        <w:rPr>
          <w:noProof/>
          <w:szCs w:val="22"/>
          <w:lang w:val="it-IT"/>
        </w:rPr>
        <w:sym w:font="Symbol" w:char="00B7"/>
      </w:r>
      <w:r>
        <w:rPr>
          <w:noProof/>
          <w:szCs w:val="22"/>
          <w:lang w:val="it-IT"/>
        </w:rPr>
        <w:t xml:space="preserve"> </w:t>
      </w:r>
      <w:r>
        <w:rPr>
          <w:noProof/>
          <w:szCs w:val="22"/>
          <w:lang w:val="it-IT"/>
        </w:rPr>
        <w:tab/>
        <w:t>Posizioni la siringa su una superficie piatta e pulita, permettendo alla siringa di raggiungere la temperatura ambiente (18 °C – 28 °C) attendendo circa 25-30 minuti affinché si riscaldi. Se non si permette alla siringa di raggiungere la temperatura ambiente, l’iniezione potrebbe rivelarsi fastidiosa e premere lo stantuffo potrebbe risultare difficile.</w:t>
      </w:r>
    </w:p>
    <w:p>
      <w:pPr>
        <w:keepNext/>
        <w:keepLines/>
        <w:autoSpaceDE w:val="0"/>
        <w:autoSpaceDN w:val="0"/>
        <w:adjustRightInd w:val="0"/>
        <w:ind w:left="567" w:hanging="567"/>
        <w:rPr>
          <w:noProof/>
          <w:szCs w:val="22"/>
          <w:lang w:val="it-IT"/>
        </w:rPr>
        <w:pPrChange w:id="12590" w:author="Author">
          <w:pPr>
            <w:keepNext/>
            <w:keepLines/>
            <w:tabs>
              <w:tab w:val="left" w:pos="180"/>
            </w:tabs>
            <w:autoSpaceDE w:val="0"/>
            <w:autoSpaceDN w:val="0"/>
            <w:adjustRightInd w:val="0"/>
            <w:ind w:left="738" w:hanging="378"/>
          </w:pPr>
        </w:pPrChange>
      </w:pPr>
      <w:r>
        <w:rPr>
          <w:noProof/>
          <w:szCs w:val="22"/>
          <w:lang w:val="it-IT"/>
        </w:rPr>
        <w:sym w:font="Symbol" w:char="00B7"/>
      </w:r>
      <w:r>
        <w:rPr>
          <w:noProof/>
          <w:szCs w:val="22"/>
          <w:lang w:val="it-IT"/>
        </w:rPr>
        <w:t xml:space="preserve"> </w:t>
      </w:r>
      <w:r>
        <w:rPr>
          <w:noProof/>
          <w:szCs w:val="22"/>
          <w:lang w:val="it-IT"/>
        </w:rPr>
        <w:tab/>
        <w:t>Non scaldi la siringa preriempita in nessun altro modo.</w:t>
      </w:r>
    </w:p>
    <w:p>
      <w:pPr>
        <w:autoSpaceDE w:val="0"/>
        <w:autoSpaceDN w:val="0"/>
        <w:adjustRightInd w:val="0"/>
        <w:ind w:left="567" w:hanging="567"/>
        <w:rPr>
          <w:noProof/>
          <w:szCs w:val="22"/>
          <w:lang w:val="it-IT"/>
        </w:rPr>
        <w:pPrChange w:id="12591" w:author="Author">
          <w:pPr>
            <w:keepNext/>
            <w:keepLines/>
            <w:tabs>
              <w:tab w:val="left" w:pos="180"/>
            </w:tabs>
            <w:autoSpaceDE w:val="0"/>
            <w:autoSpaceDN w:val="0"/>
            <w:adjustRightInd w:val="0"/>
            <w:ind w:left="738" w:hanging="378"/>
          </w:pPr>
        </w:pPrChange>
      </w:pPr>
    </w:p>
    <w:p>
      <w:pPr>
        <w:keepNext/>
        <w:keepLines/>
        <w:tabs>
          <w:tab w:val="left" w:pos="180"/>
        </w:tabs>
        <w:autoSpaceDE w:val="0"/>
        <w:autoSpaceDN w:val="0"/>
        <w:adjustRightInd w:val="0"/>
        <w:rPr>
          <w:ins w:id="12592" w:author="Author"/>
          <w:b/>
          <w:noProof/>
          <w:szCs w:val="22"/>
          <w:lang w:val="it-IT"/>
        </w:rPr>
      </w:pPr>
      <w:r>
        <w:rPr>
          <w:b/>
          <w:noProof/>
          <w:szCs w:val="22"/>
          <w:lang w:val="it-IT"/>
        </w:rPr>
        <w:t>Fase 3. Lavarsi le mani.</w:t>
      </w:r>
    </w:p>
    <w:p>
      <w:pPr>
        <w:keepNext/>
        <w:keepLines/>
        <w:tabs>
          <w:tab w:val="left" w:pos="180"/>
        </w:tabs>
        <w:autoSpaceDE w:val="0"/>
        <w:autoSpaceDN w:val="0"/>
        <w:adjustRightInd w:val="0"/>
        <w:rPr>
          <w:b/>
          <w:noProof/>
          <w:szCs w:val="22"/>
          <w:lang w:val="it-IT"/>
        </w:rPr>
      </w:pPr>
    </w:p>
    <w:p>
      <w:pPr>
        <w:autoSpaceDE w:val="0"/>
        <w:autoSpaceDN w:val="0"/>
        <w:adjustRightInd w:val="0"/>
        <w:ind w:left="567" w:hanging="567"/>
        <w:rPr>
          <w:noProof/>
          <w:szCs w:val="22"/>
          <w:lang w:val="it-IT"/>
        </w:rPr>
        <w:pPrChange w:id="12593" w:author="Author">
          <w:pPr>
            <w:tabs>
              <w:tab w:val="left" w:pos="180"/>
            </w:tabs>
            <w:autoSpaceDE w:val="0"/>
            <w:autoSpaceDN w:val="0"/>
            <w:adjustRightInd w:val="0"/>
            <w:ind w:left="360"/>
          </w:pPr>
        </w:pPrChange>
      </w:pPr>
      <w:r>
        <w:rPr>
          <w:noProof/>
          <w:szCs w:val="22"/>
          <w:lang w:val="it-IT"/>
        </w:rPr>
        <w:sym w:font="Symbol" w:char="00B7"/>
      </w:r>
      <w:r>
        <w:rPr>
          <w:noProof/>
          <w:szCs w:val="22"/>
          <w:lang w:val="it-IT"/>
        </w:rPr>
        <w:t xml:space="preserve"> </w:t>
      </w:r>
      <w:r>
        <w:rPr>
          <w:noProof/>
          <w:szCs w:val="22"/>
          <w:lang w:val="it-IT"/>
        </w:rPr>
        <w:tab/>
        <w:t>Si lavi le mani con acqua e sapone.</w:t>
      </w:r>
    </w:p>
    <w:p>
      <w:pPr>
        <w:tabs>
          <w:tab w:val="left" w:pos="180"/>
        </w:tabs>
        <w:autoSpaceDE w:val="0"/>
        <w:autoSpaceDN w:val="0"/>
        <w:adjustRightInd w:val="0"/>
        <w:spacing w:after="120"/>
        <w:rPr>
          <w:noProof/>
          <w:szCs w:val="22"/>
          <w:lang w:val="it-IT"/>
        </w:rPr>
      </w:pPr>
    </w:p>
    <w:p>
      <w:pPr>
        <w:tabs>
          <w:tab w:val="left" w:pos="180"/>
        </w:tabs>
        <w:autoSpaceDE w:val="0"/>
        <w:autoSpaceDN w:val="0"/>
        <w:adjustRightInd w:val="0"/>
        <w:rPr>
          <w:ins w:id="12594" w:author="Author"/>
          <w:b/>
          <w:noProof/>
          <w:szCs w:val="22"/>
          <w:lang w:val="it-IT"/>
        </w:rPr>
      </w:pPr>
      <w:r>
        <w:rPr>
          <w:b/>
          <w:noProof/>
          <w:szCs w:val="22"/>
          <w:lang w:val="it-IT"/>
        </w:rPr>
        <w:t>Fase 4. Scelta e preparazione del sito di iniezione.</w:t>
      </w:r>
    </w:p>
    <w:p>
      <w:pPr>
        <w:tabs>
          <w:tab w:val="left" w:pos="180"/>
        </w:tabs>
        <w:autoSpaceDE w:val="0"/>
        <w:autoSpaceDN w:val="0"/>
        <w:adjustRightInd w:val="0"/>
        <w:rPr>
          <w:b/>
          <w:noProof/>
          <w:szCs w:val="22"/>
          <w:lang w:val="it-IT"/>
        </w:rPr>
      </w:pPr>
    </w:p>
    <w:p>
      <w:pPr>
        <w:autoSpaceDE w:val="0"/>
        <w:autoSpaceDN w:val="0"/>
        <w:adjustRightInd w:val="0"/>
        <w:ind w:left="567" w:hanging="567"/>
        <w:rPr>
          <w:noProof/>
          <w:szCs w:val="22"/>
          <w:lang w:val="it-IT"/>
        </w:rPr>
        <w:pPrChange w:id="12595" w:author="Author">
          <w:pPr>
            <w:tabs>
              <w:tab w:val="left" w:pos="180"/>
            </w:tabs>
            <w:autoSpaceDE w:val="0"/>
            <w:autoSpaceDN w:val="0"/>
            <w:adjustRightInd w:val="0"/>
            <w:ind w:left="567" w:hanging="207"/>
          </w:pPr>
        </w:pPrChange>
      </w:pPr>
      <w:r>
        <w:rPr>
          <w:noProof/>
          <w:szCs w:val="22"/>
          <w:lang w:val="it-IT"/>
        </w:rPr>
        <w:sym w:font="Symbol" w:char="00B7"/>
      </w:r>
      <w:r>
        <w:rPr>
          <w:noProof/>
          <w:szCs w:val="22"/>
          <w:lang w:val="it-IT"/>
        </w:rPr>
        <w:t xml:space="preserve"> </w:t>
      </w:r>
      <w:r>
        <w:rPr>
          <w:noProof/>
          <w:szCs w:val="22"/>
          <w:lang w:val="it-IT"/>
        </w:rPr>
        <w:tab/>
        <w:t>I siti di iniezione raccomandati sono la parte anteriore e centrale delle cosce e la parte dell’addome (pancia) sotto l’ombelico, ad eccezione dell’area di cinque centimetri attorno all’ombelico.(Vedere Fig. B)</w:t>
      </w:r>
    </w:p>
    <w:p>
      <w:pPr>
        <w:keepNext/>
        <w:autoSpaceDE w:val="0"/>
        <w:autoSpaceDN w:val="0"/>
        <w:adjustRightInd w:val="0"/>
        <w:ind w:left="567" w:hanging="567"/>
        <w:rPr>
          <w:noProof/>
          <w:szCs w:val="22"/>
          <w:lang w:val="it-IT"/>
        </w:rPr>
        <w:pPrChange w:id="12596" w:author="Author">
          <w:pPr>
            <w:tabs>
              <w:tab w:val="left" w:pos="180"/>
            </w:tabs>
            <w:autoSpaceDE w:val="0"/>
            <w:autoSpaceDN w:val="0"/>
            <w:adjustRightInd w:val="0"/>
            <w:ind w:left="567" w:hanging="207"/>
          </w:pPr>
        </w:pPrChange>
      </w:pPr>
      <w:r>
        <w:rPr>
          <w:noProof/>
          <w:szCs w:val="22"/>
          <w:lang w:val="it-IT"/>
        </w:rPr>
        <w:lastRenderedPageBreak/>
        <w:sym w:font="Symbol" w:char="00B7"/>
      </w:r>
      <w:r>
        <w:rPr>
          <w:noProof/>
          <w:szCs w:val="22"/>
          <w:lang w:val="it-IT"/>
        </w:rPr>
        <w:t xml:space="preserve"> </w:t>
      </w:r>
      <w:r>
        <w:rPr>
          <w:noProof/>
          <w:szCs w:val="22"/>
          <w:lang w:val="it-IT"/>
        </w:rPr>
        <w:tab/>
        <w:t>Se l’iniezione è eseguita dalla persona che le presta assistenza, può essere utilizzata anche la zona esterna della parte superiore delle braccia. (Vedere Fig. B).</w:t>
      </w:r>
    </w:p>
    <w:p>
      <w:pPr>
        <w:keepNext/>
        <w:tabs>
          <w:tab w:val="left" w:pos="180"/>
        </w:tabs>
        <w:autoSpaceDE w:val="0"/>
        <w:autoSpaceDN w:val="0"/>
        <w:adjustRightInd w:val="0"/>
        <w:ind w:left="720"/>
        <w:rPr>
          <w:noProof/>
          <w:szCs w:val="22"/>
          <w:lang w:val="it-IT"/>
        </w:rPr>
        <w:pPrChange w:id="12597" w:author="Author">
          <w:pPr>
            <w:tabs>
              <w:tab w:val="left" w:pos="180"/>
            </w:tabs>
            <w:autoSpaceDE w:val="0"/>
            <w:autoSpaceDN w:val="0"/>
            <w:adjustRightInd w:val="0"/>
            <w:ind w:left="720"/>
          </w:pPr>
        </w:pPrChange>
      </w:pPr>
    </w:p>
    <w:p>
      <w:pPr>
        <w:tabs>
          <w:tab w:val="left" w:pos="180"/>
        </w:tabs>
        <w:autoSpaceDE w:val="0"/>
        <w:autoSpaceDN w:val="0"/>
        <w:adjustRightInd w:val="0"/>
        <w:ind w:left="720"/>
        <w:rPr>
          <w:rFonts w:ascii="HelveticaNeueLTPro-Roman" w:hAnsi="HelveticaNeueLTPro-Roman" w:cs="HelveticaNeueLTPro-Roman"/>
          <w:noProof/>
          <w:sz w:val="20"/>
          <w:lang w:val="it-IT"/>
        </w:rPr>
      </w:pPr>
      <w:r>
        <w:rPr>
          <w:rFonts w:ascii="HelveticaNeueLTPro-Roman" w:hAnsi="HelveticaNeueLTPro-Roman" w:cs="HelveticaNeueLTPro-Roman"/>
          <w:noProof/>
          <w:sz w:val="20"/>
          <w:lang w:eastAsia="en-US"/>
        </w:rPr>
        <w:drawing>
          <wp:inline distT="0" distB="0" distL="0" distR="0">
            <wp:extent cx="2345690" cy="1932305"/>
            <wp:effectExtent l="0" t="0" r="0" b="0"/>
            <wp:docPr id="3" name="Immagine 3" descr="PENNE 3 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NE 3 I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5690" cy="1932305"/>
                    </a:xfrm>
                    <a:prstGeom prst="rect">
                      <a:avLst/>
                    </a:prstGeom>
                    <a:noFill/>
                    <a:ln>
                      <a:noFill/>
                    </a:ln>
                  </pic:spPr>
                </pic:pic>
              </a:graphicData>
            </a:graphic>
          </wp:inline>
        </w:drawing>
      </w:r>
    </w:p>
    <w:p>
      <w:pPr>
        <w:tabs>
          <w:tab w:val="left" w:pos="180"/>
        </w:tabs>
        <w:autoSpaceDE w:val="0"/>
        <w:autoSpaceDN w:val="0"/>
        <w:adjustRightInd w:val="0"/>
        <w:spacing w:after="120"/>
        <w:rPr>
          <w:rFonts w:ascii="HelveticaNeueLTPro-Roman" w:hAnsi="HelveticaNeueLTPro-Roman" w:cs="HelveticaNeueLTPro-Roman"/>
          <w:noProof/>
          <w:sz w:val="20"/>
          <w:lang w:val="it-IT"/>
        </w:rPr>
      </w:pPr>
    </w:p>
    <w:p>
      <w:pPr>
        <w:autoSpaceDE w:val="0"/>
        <w:autoSpaceDN w:val="0"/>
        <w:adjustRightInd w:val="0"/>
        <w:ind w:left="567" w:hanging="567"/>
        <w:rPr>
          <w:noProof/>
          <w:szCs w:val="22"/>
          <w:lang w:val="it-IT"/>
        </w:rPr>
        <w:pPrChange w:id="12598" w:author="Author">
          <w:pPr>
            <w:tabs>
              <w:tab w:val="left" w:pos="180"/>
            </w:tabs>
            <w:autoSpaceDE w:val="0"/>
            <w:autoSpaceDN w:val="0"/>
            <w:adjustRightInd w:val="0"/>
            <w:ind w:left="567" w:hanging="207"/>
          </w:pPr>
        </w:pPrChange>
      </w:pPr>
      <w:r>
        <w:rPr>
          <w:noProof/>
          <w:szCs w:val="22"/>
          <w:lang w:val="it-IT"/>
        </w:rPr>
        <w:sym w:font="Symbol" w:char="00B7"/>
      </w:r>
      <w:r>
        <w:rPr>
          <w:noProof/>
          <w:szCs w:val="22"/>
          <w:lang w:val="it-IT"/>
        </w:rPr>
        <w:t xml:space="preserve"> </w:t>
      </w:r>
      <w:r>
        <w:rPr>
          <w:noProof/>
          <w:szCs w:val="22"/>
          <w:lang w:val="it-IT"/>
        </w:rPr>
        <w:tab/>
        <w:t>Ogni volta che si autosomministra un’iniezione deve essere utilizzata una sede diversa ad almeno tre centimetri di distanza dall’area utilizzata per l’iniezione precedente.</w:t>
      </w:r>
    </w:p>
    <w:p>
      <w:pPr>
        <w:autoSpaceDE w:val="0"/>
        <w:autoSpaceDN w:val="0"/>
        <w:adjustRightInd w:val="0"/>
        <w:ind w:left="567" w:hanging="567"/>
        <w:rPr>
          <w:noProof/>
          <w:szCs w:val="22"/>
          <w:lang w:val="it-IT"/>
        </w:rPr>
        <w:pPrChange w:id="12599" w:author="Author">
          <w:pPr>
            <w:tabs>
              <w:tab w:val="left" w:pos="180"/>
            </w:tabs>
            <w:autoSpaceDE w:val="0"/>
            <w:autoSpaceDN w:val="0"/>
            <w:adjustRightInd w:val="0"/>
            <w:ind w:left="567" w:hanging="207"/>
          </w:pPr>
        </w:pPrChange>
      </w:pPr>
      <w:r>
        <w:rPr>
          <w:noProof/>
          <w:szCs w:val="22"/>
          <w:lang w:val="it-IT"/>
        </w:rPr>
        <w:sym w:font="Symbol" w:char="00B7"/>
      </w:r>
      <w:r>
        <w:rPr>
          <w:noProof/>
          <w:szCs w:val="22"/>
          <w:lang w:val="it-IT"/>
        </w:rPr>
        <w:t xml:space="preserve"> </w:t>
      </w:r>
      <w:r>
        <w:rPr>
          <w:noProof/>
          <w:szCs w:val="22"/>
          <w:lang w:val="it-IT"/>
        </w:rPr>
        <w:tab/>
        <w:t>Non somministri l’iniezione in zone che potrebbero essere irritate da una cintura o una fascia. Non esegua l’iniezione su nei, cicatrici, lividi o nelle aree in cui la pelle si presenta dolente, arrossata, indurita o non integra.</w:t>
      </w:r>
    </w:p>
    <w:p>
      <w:pPr>
        <w:autoSpaceDE w:val="0"/>
        <w:autoSpaceDN w:val="0"/>
        <w:adjustRightInd w:val="0"/>
        <w:ind w:left="567" w:hanging="567"/>
        <w:rPr>
          <w:noProof/>
          <w:szCs w:val="22"/>
          <w:lang w:val="it-IT"/>
        </w:rPr>
        <w:pPrChange w:id="12600" w:author="Author">
          <w:pPr>
            <w:tabs>
              <w:tab w:val="left" w:pos="180"/>
            </w:tabs>
            <w:autoSpaceDE w:val="0"/>
            <w:autoSpaceDN w:val="0"/>
            <w:adjustRightInd w:val="0"/>
            <w:ind w:left="567" w:hanging="207"/>
          </w:pPr>
        </w:pPrChange>
      </w:pPr>
      <w:r>
        <w:rPr>
          <w:noProof/>
          <w:szCs w:val="22"/>
          <w:lang w:val="it-IT"/>
        </w:rPr>
        <w:sym w:font="Symbol" w:char="00B7"/>
      </w:r>
      <w:r>
        <w:rPr>
          <w:noProof/>
          <w:szCs w:val="22"/>
          <w:lang w:val="it-IT"/>
        </w:rPr>
        <w:t xml:space="preserve"> </w:t>
      </w:r>
      <w:r>
        <w:rPr>
          <w:noProof/>
          <w:szCs w:val="22"/>
          <w:lang w:val="it-IT"/>
        </w:rPr>
        <w:tab/>
        <w:t xml:space="preserve">Disinfetti l’area scelta come sito di iniezione utilizzando il tampone imbevuto di alcool (vedere Fig. C) per ridurre il rischio di infezione. </w:t>
      </w:r>
    </w:p>
    <w:p>
      <w:pPr>
        <w:autoSpaceDE w:val="0"/>
        <w:autoSpaceDN w:val="0"/>
        <w:adjustRightInd w:val="0"/>
        <w:ind w:left="567" w:hanging="567"/>
        <w:rPr>
          <w:noProof/>
          <w:lang w:val="it-IT"/>
        </w:rPr>
        <w:pPrChange w:id="12601" w:author="Author">
          <w:pPr>
            <w:tabs>
              <w:tab w:val="left" w:pos="180"/>
            </w:tabs>
            <w:autoSpaceDE w:val="0"/>
            <w:autoSpaceDN w:val="0"/>
            <w:adjustRightInd w:val="0"/>
            <w:ind w:left="720"/>
          </w:pPr>
        </w:pPrChange>
      </w:pPr>
    </w:p>
    <w:p>
      <w:pPr>
        <w:tabs>
          <w:tab w:val="left" w:pos="180"/>
        </w:tabs>
        <w:autoSpaceDE w:val="0"/>
        <w:autoSpaceDN w:val="0"/>
        <w:adjustRightInd w:val="0"/>
        <w:spacing w:after="120"/>
        <w:rPr>
          <w:rFonts w:ascii="HelveticaNeueLTPro-Roman" w:hAnsi="HelveticaNeueLTPro-Roman" w:cs="HelveticaNeueLTPro-Roman"/>
          <w:noProof/>
          <w:sz w:val="20"/>
          <w:lang w:val="it-IT"/>
        </w:rPr>
      </w:pPr>
      <w:r>
        <w:rPr>
          <w:noProof/>
          <w:lang w:eastAsia="en-US"/>
        </w:rPr>
        <w:drawing>
          <wp:inline distT="0" distB="0" distL="0" distR="0">
            <wp:extent cx="2337435" cy="1828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7435" cy="1828800"/>
                    </a:xfrm>
                    <a:prstGeom prst="rect">
                      <a:avLst/>
                    </a:prstGeom>
                    <a:noFill/>
                    <a:ln>
                      <a:noFill/>
                    </a:ln>
                  </pic:spPr>
                </pic:pic>
              </a:graphicData>
            </a:graphic>
          </wp:inline>
        </w:drawing>
      </w:r>
    </w:p>
    <w:p>
      <w:pPr>
        <w:autoSpaceDE w:val="0"/>
        <w:autoSpaceDN w:val="0"/>
        <w:adjustRightInd w:val="0"/>
        <w:ind w:left="567" w:hanging="567"/>
        <w:rPr>
          <w:noProof/>
          <w:szCs w:val="22"/>
          <w:lang w:val="it-IT"/>
        </w:rPr>
        <w:pPrChange w:id="12602" w:author="Author">
          <w:pPr>
            <w:tabs>
              <w:tab w:val="left" w:pos="180"/>
            </w:tabs>
            <w:autoSpaceDE w:val="0"/>
            <w:autoSpaceDN w:val="0"/>
            <w:adjustRightInd w:val="0"/>
            <w:ind w:left="360"/>
          </w:pPr>
        </w:pPrChange>
      </w:pPr>
      <w:r>
        <w:rPr>
          <w:noProof/>
          <w:szCs w:val="22"/>
          <w:lang w:val="it-IT"/>
        </w:rPr>
        <w:sym w:font="Symbol" w:char="00B7"/>
      </w:r>
      <w:r>
        <w:rPr>
          <w:noProof/>
          <w:szCs w:val="22"/>
          <w:lang w:val="it-IT"/>
        </w:rPr>
        <w:t xml:space="preserve"> </w:t>
      </w:r>
      <w:r>
        <w:rPr>
          <w:noProof/>
          <w:szCs w:val="22"/>
          <w:lang w:val="it-IT"/>
        </w:rPr>
        <w:tab/>
        <w:t xml:space="preserve">Lasci che la pelle si asciughi per circa 10 secondi. </w:t>
      </w:r>
    </w:p>
    <w:p>
      <w:pPr>
        <w:autoSpaceDE w:val="0"/>
        <w:autoSpaceDN w:val="0"/>
        <w:adjustRightInd w:val="0"/>
        <w:ind w:left="567" w:hanging="567"/>
        <w:rPr>
          <w:noProof/>
          <w:szCs w:val="22"/>
          <w:lang w:val="it-IT"/>
        </w:rPr>
        <w:pPrChange w:id="12603" w:author="Author">
          <w:pPr>
            <w:tabs>
              <w:tab w:val="left" w:pos="180"/>
            </w:tabs>
            <w:autoSpaceDE w:val="0"/>
            <w:autoSpaceDN w:val="0"/>
            <w:adjustRightInd w:val="0"/>
            <w:ind w:left="567" w:hanging="207"/>
          </w:pPr>
        </w:pPrChange>
      </w:pPr>
      <w:r>
        <w:rPr>
          <w:noProof/>
          <w:szCs w:val="22"/>
          <w:lang w:val="it-IT"/>
        </w:rPr>
        <w:sym w:font="Symbol" w:char="00B7"/>
      </w:r>
      <w:r>
        <w:rPr>
          <w:noProof/>
          <w:szCs w:val="22"/>
          <w:lang w:val="it-IT"/>
        </w:rPr>
        <w:t xml:space="preserve"> </w:t>
      </w:r>
      <w:r>
        <w:rPr>
          <w:noProof/>
          <w:szCs w:val="22"/>
          <w:lang w:val="it-IT"/>
        </w:rPr>
        <w:tab/>
        <w:t>Si assicuri di non toccare quest’area prima di eseguire l’iniezione. Non soffi, né sventoli l’area disinfettata.</w:t>
      </w:r>
    </w:p>
    <w:p>
      <w:pPr>
        <w:tabs>
          <w:tab w:val="left" w:pos="180"/>
        </w:tabs>
        <w:autoSpaceDE w:val="0"/>
        <w:autoSpaceDN w:val="0"/>
        <w:adjustRightInd w:val="0"/>
        <w:rPr>
          <w:noProof/>
          <w:szCs w:val="22"/>
          <w:lang w:val="it-IT"/>
        </w:rPr>
      </w:pPr>
    </w:p>
    <w:p>
      <w:pPr>
        <w:keepNext/>
        <w:tabs>
          <w:tab w:val="left" w:pos="180"/>
        </w:tabs>
        <w:autoSpaceDE w:val="0"/>
        <w:autoSpaceDN w:val="0"/>
        <w:adjustRightInd w:val="0"/>
        <w:rPr>
          <w:ins w:id="12604" w:author="Author"/>
          <w:b/>
          <w:noProof/>
          <w:szCs w:val="22"/>
          <w:lang w:val="it-IT"/>
        </w:rPr>
      </w:pPr>
      <w:r>
        <w:rPr>
          <w:b/>
          <w:noProof/>
          <w:szCs w:val="22"/>
          <w:lang w:val="it-IT"/>
        </w:rPr>
        <w:lastRenderedPageBreak/>
        <w:t>Fase 5. Rimuovere il cappuccio protettivo dell’ago.</w:t>
      </w:r>
    </w:p>
    <w:p>
      <w:pPr>
        <w:keepNext/>
        <w:tabs>
          <w:tab w:val="left" w:pos="180"/>
        </w:tabs>
        <w:autoSpaceDE w:val="0"/>
        <w:autoSpaceDN w:val="0"/>
        <w:adjustRightInd w:val="0"/>
        <w:rPr>
          <w:b/>
          <w:noProof/>
          <w:szCs w:val="22"/>
          <w:lang w:val="it-IT"/>
        </w:rPr>
        <w:pPrChange w:id="12605" w:author="Author">
          <w:pPr>
            <w:tabs>
              <w:tab w:val="left" w:pos="180"/>
            </w:tabs>
            <w:autoSpaceDE w:val="0"/>
            <w:autoSpaceDN w:val="0"/>
            <w:adjustRightInd w:val="0"/>
          </w:pPr>
        </w:pPrChange>
      </w:pPr>
    </w:p>
    <w:p>
      <w:pPr>
        <w:keepNext/>
        <w:autoSpaceDE w:val="0"/>
        <w:autoSpaceDN w:val="0"/>
        <w:adjustRightInd w:val="0"/>
        <w:ind w:left="567" w:hanging="567"/>
        <w:rPr>
          <w:noProof/>
          <w:szCs w:val="22"/>
          <w:lang w:val="it-IT"/>
        </w:rPr>
        <w:pPrChange w:id="12606" w:author="Author">
          <w:pPr>
            <w:tabs>
              <w:tab w:val="left" w:pos="180"/>
            </w:tabs>
            <w:autoSpaceDE w:val="0"/>
            <w:autoSpaceDN w:val="0"/>
            <w:adjustRightInd w:val="0"/>
            <w:ind w:left="360"/>
          </w:pPr>
        </w:pPrChange>
      </w:pPr>
      <w:r>
        <w:rPr>
          <w:noProof/>
          <w:szCs w:val="22"/>
          <w:lang w:val="it-IT"/>
        </w:rPr>
        <w:sym w:font="Symbol" w:char="00B7"/>
      </w:r>
      <w:r>
        <w:rPr>
          <w:noProof/>
          <w:szCs w:val="22"/>
          <w:lang w:val="it-IT"/>
        </w:rPr>
        <w:t xml:space="preserve"> </w:t>
      </w:r>
      <w:r>
        <w:rPr>
          <w:noProof/>
          <w:szCs w:val="22"/>
          <w:lang w:val="it-IT"/>
        </w:rPr>
        <w:tab/>
        <w:t>Non tenga la siringa dallo stantuffo mentre rimuove il cappuccio protettivo dell’ago.</w:t>
      </w:r>
    </w:p>
    <w:p>
      <w:pPr>
        <w:keepNext/>
        <w:keepLines/>
        <w:autoSpaceDE w:val="0"/>
        <w:autoSpaceDN w:val="0"/>
        <w:adjustRightInd w:val="0"/>
        <w:ind w:left="567" w:hanging="567"/>
        <w:rPr>
          <w:ins w:id="12607" w:author="Author"/>
          <w:noProof/>
          <w:szCs w:val="22"/>
          <w:lang w:val="it-IT"/>
        </w:rPr>
      </w:pPr>
      <w:r>
        <w:rPr>
          <w:noProof/>
          <w:szCs w:val="22"/>
          <w:lang w:val="it-IT"/>
        </w:rPr>
        <w:sym w:font="Symbol" w:char="00B7"/>
      </w:r>
      <w:r>
        <w:rPr>
          <w:noProof/>
          <w:szCs w:val="22"/>
          <w:lang w:val="it-IT"/>
        </w:rPr>
        <w:t xml:space="preserve"> </w:t>
      </w:r>
      <w:r>
        <w:rPr>
          <w:noProof/>
          <w:szCs w:val="22"/>
          <w:lang w:val="it-IT"/>
        </w:rPr>
        <w:tab/>
        <w:t xml:space="preserve">Tenga saldamente con una mano </w:t>
      </w:r>
      <w:del w:id="12608" w:author="Author">
        <w:r>
          <w:rPr>
            <w:noProof/>
            <w:szCs w:val="22"/>
            <w:lang w:val="it-IT"/>
          </w:rPr>
          <w:delText>il manicotto di sicurezza</w:delText>
        </w:r>
      </w:del>
      <w:ins w:id="12609" w:author="Author">
        <w:r>
          <w:rPr>
            <w:noProof/>
            <w:szCs w:val="22"/>
            <w:lang w:val="it-IT"/>
          </w:rPr>
          <w:t>all’altezza del copriago</w:t>
        </w:r>
      </w:ins>
      <w:r>
        <w:rPr>
          <w:noProof/>
          <w:szCs w:val="22"/>
          <w:lang w:val="it-IT"/>
        </w:rPr>
        <w:t xml:space="preserve"> della siringa preriempita e con l’altra mano tiri verso l’esterno il cappuccio protettivo dell’ago. (Vedere Fig. D)</w:t>
      </w:r>
      <w:ins w:id="12610" w:author="Author">
        <w:r>
          <w:rPr>
            <w:noProof/>
            <w:szCs w:val="22"/>
            <w:lang w:val="it-IT"/>
          </w:rPr>
          <w:t>.</w:t>
        </w:r>
      </w:ins>
      <w:r>
        <w:rPr>
          <w:noProof/>
          <w:szCs w:val="22"/>
          <w:lang w:val="it-IT"/>
        </w:rPr>
        <w:t xml:space="preserve"> Se non riesce a rimuovere il cappuccio protettivo dell’ago, chieda aiuto alla persona che le presta assistenza o si rivolga a un operatore sanitario.</w:t>
      </w:r>
    </w:p>
    <w:p>
      <w:pPr>
        <w:keepNext/>
        <w:keepLines/>
        <w:autoSpaceDE w:val="0"/>
        <w:autoSpaceDN w:val="0"/>
        <w:adjustRightInd w:val="0"/>
        <w:ind w:left="567" w:hanging="567"/>
        <w:rPr>
          <w:noProof/>
          <w:szCs w:val="22"/>
          <w:lang w:val="it-IT"/>
        </w:rPr>
        <w:pPrChange w:id="12611" w:author="Author">
          <w:pPr>
            <w:tabs>
              <w:tab w:val="left" w:pos="180"/>
            </w:tabs>
            <w:autoSpaceDE w:val="0"/>
            <w:autoSpaceDN w:val="0"/>
            <w:adjustRightInd w:val="0"/>
            <w:ind w:left="567" w:hanging="207"/>
          </w:pPr>
        </w:pPrChange>
      </w:pPr>
    </w:p>
    <w:p>
      <w:pPr>
        <w:tabs>
          <w:tab w:val="left" w:pos="180"/>
        </w:tabs>
        <w:autoSpaceDE w:val="0"/>
        <w:autoSpaceDN w:val="0"/>
        <w:adjustRightInd w:val="0"/>
        <w:spacing w:after="120"/>
        <w:rPr>
          <w:rFonts w:ascii="HelveticaNeueLTPro-Roman" w:hAnsi="HelveticaNeueLTPro-Roman" w:cs="HelveticaNeueLTPro-Roman"/>
          <w:noProof/>
          <w:sz w:val="20"/>
          <w:lang w:val="it-IT"/>
        </w:rPr>
      </w:pPr>
      <w:r>
        <w:rPr>
          <w:noProof/>
          <w:lang w:eastAsia="en-US"/>
        </w:rPr>
        <w:drawing>
          <wp:inline distT="0" distB="0" distL="0" distR="0">
            <wp:extent cx="2337435" cy="1812925"/>
            <wp:effectExtent l="0" t="0" r="0"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7435" cy="1812925"/>
                    </a:xfrm>
                    <a:prstGeom prst="rect">
                      <a:avLst/>
                    </a:prstGeom>
                    <a:noFill/>
                    <a:ln>
                      <a:noFill/>
                    </a:ln>
                  </pic:spPr>
                </pic:pic>
              </a:graphicData>
            </a:graphic>
          </wp:inline>
        </w:drawing>
      </w:r>
    </w:p>
    <w:p>
      <w:pPr>
        <w:autoSpaceDE w:val="0"/>
        <w:autoSpaceDN w:val="0"/>
        <w:adjustRightInd w:val="0"/>
        <w:ind w:left="567" w:hanging="567"/>
        <w:rPr>
          <w:noProof/>
          <w:szCs w:val="22"/>
          <w:lang w:val="it-IT"/>
        </w:rPr>
        <w:pPrChange w:id="12612" w:author="Author">
          <w:pPr>
            <w:tabs>
              <w:tab w:val="left" w:pos="180"/>
            </w:tabs>
            <w:autoSpaceDE w:val="0"/>
            <w:autoSpaceDN w:val="0"/>
            <w:adjustRightInd w:val="0"/>
            <w:ind w:left="567" w:hanging="207"/>
          </w:pPr>
        </w:pPrChange>
      </w:pPr>
      <w:r>
        <w:rPr>
          <w:noProof/>
          <w:szCs w:val="22"/>
          <w:lang w:val="it-IT"/>
        </w:rPr>
        <w:sym w:font="Symbol" w:char="00B7"/>
      </w:r>
      <w:r>
        <w:rPr>
          <w:noProof/>
          <w:szCs w:val="22"/>
          <w:lang w:val="it-IT"/>
        </w:rPr>
        <w:t xml:space="preserve"> </w:t>
      </w:r>
      <w:r>
        <w:rPr>
          <w:noProof/>
          <w:szCs w:val="22"/>
          <w:lang w:val="it-IT"/>
        </w:rPr>
        <w:tab/>
        <w:t>Non tocchi l’ago ed eviti che questo entri in contatto con qualsiasi superficie.</w:t>
      </w:r>
    </w:p>
    <w:p>
      <w:pPr>
        <w:autoSpaceDE w:val="0"/>
        <w:autoSpaceDN w:val="0"/>
        <w:adjustRightInd w:val="0"/>
        <w:ind w:left="567" w:hanging="567"/>
        <w:rPr>
          <w:noProof/>
          <w:szCs w:val="22"/>
          <w:lang w:val="it-IT"/>
        </w:rPr>
        <w:pPrChange w:id="12613" w:author="Author">
          <w:pPr>
            <w:tabs>
              <w:tab w:val="left" w:pos="180"/>
            </w:tabs>
            <w:autoSpaceDE w:val="0"/>
            <w:autoSpaceDN w:val="0"/>
            <w:adjustRightInd w:val="0"/>
            <w:ind w:left="567" w:hanging="207"/>
          </w:pPr>
        </w:pPrChange>
      </w:pPr>
      <w:r>
        <w:rPr>
          <w:noProof/>
          <w:szCs w:val="22"/>
          <w:lang w:val="it-IT"/>
        </w:rPr>
        <w:sym w:font="Symbol" w:char="00B7"/>
      </w:r>
      <w:r>
        <w:rPr>
          <w:noProof/>
          <w:szCs w:val="22"/>
          <w:lang w:val="it-IT"/>
        </w:rPr>
        <w:t xml:space="preserve"> </w:t>
      </w:r>
      <w:r>
        <w:rPr>
          <w:noProof/>
          <w:szCs w:val="22"/>
          <w:lang w:val="it-IT"/>
        </w:rPr>
        <w:tab/>
        <w:t>Potrebbe esserci una piccola bolla d'aria nella siringa preriempita di RoActemra. Non è necessario rimuoverla.</w:t>
      </w:r>
    </w:p>
    <w:p>
      <w:pPr>
        <w:autoSpaceDE w:val="0"/>
        <w:autoSpaceDN w:val="0"/>
        <w:adjustRightInd w:val="0"/>
        <w:ind w:left="567" w:hanging="567"/>
        <w:rPr>
          <w:noProof/>
          <w:szCs w:val="22"/>
          <w:lang w:val="it-IT"/>
        </w:rPr>
        <w:pPrChange w:id="12614" w:author="Author">
          <w:pPr>
            <w:tabs>
              <w:tab w:val="left" w:pos="180"/>
            </w:tabs>
            <w:autoSpaceDE w:val="0"/>
            <w:autoSpaceDN w:val="0"/>
            <w:adjustRightInd w:val="0"/>
            <w:ind w:left="567" w:hanging="207"/>
          </w:pPr>
        </w:pPrChange>
      </w:pPr>
      <w:r>
        <w:rPr>
          <w:noProof/>
          <w:szCs w:val="22"/>
          <w:lang w:val="it-IT"/>
        </w:rPr>
        <w:sym w:font="Symbol" w:char="00B7"/>
      </w:r>
      <w:r>
        <w:rPr>
          <w:noProof/>
          <w:szCs w:val="22"/>
          <w:lang w:val="it-IT"/>
        </w:rPr>
        <w:t xml:space="preserve"> </w:t>
      </w:r>
      <w:r>
        <w:rPr>
          <w:noProof/>
          <w:szCs w:val="22"/>
          <w:lang w:val="it-IT"/>
        </w:rPr>
        <w:tab/>
        <w:t>È possibile che noti una goccia di liquido alla fine dell’ago. Si tratta di una condizione normale.</w:t>
      </w:r>
    </w:p>
    <w:p>
      <w:pPr>
        <w:autoSpaceDE w:val="0"/>
        <w:autoSpaceDN w:val="0"/>
        <w:adjustRightInd w:val="0"/>
        <w:ind w:left="567" w:hanging="567"/>
        <w:rPr>
          <w:noProof/>
          <w:szCs w:val="22"/>
          <w:lang w:val="it-IT"/>
        </w:rPr>
        <w:pPrChange w:id="12615" w:author="Author">
          <w:pPr>
            <w:tabs>
              <w:tab w:val="left" w:pos="180"/>
            </w:tabs>
            <w:autoSpaceDE w:val="0"/>
            <w:autoSpaceDN w:val="0"/>
            <w:adjustRightInd w:val="0"/>
            <w:ind w:left="567" w:hanging="207"/>
          </w:pPr>
        </w:pPrChange>
      </w:pPr>
      <w:r>
        <w:rPr>
          <w:noProof/>
          <w:szCs w:val="22"/>
          <w:lang w:val="it-IT"/>
        </w:rPr>
        <w:sym w:font="Symbol" w:char="00B7"/>
      </w:r>
      <w:r>
        <w:rPr>
          <w:noProof/>
          <w:szCs w:val="22"/>
          <w:lang w:val="it-IT"/>
        </w:rPr>
        <w:t xml:space="preserve"> </w:t>
      </w:r>
      <w:r>
        <w:rPr>
          <w:noProof/>
          <w:szCs w:val="22"/>
          <w:lang w:val="it-IT"/>
        </w:rPr>
        <w:tab/>
        <w:t>Getti il cappuccio protettivo dell’ago in un contenitore resistente alla perforazione o in un contenitore per materiali taglienti.</w:t>
      </w:r>
    </w:p>
    <w:p>
      <w:pPr>
        <w:tabs>
          <w:tab w:val="left" w:pos="180"/>
        </w:tabs>
        <w:autoSpaceDE w:val="0"/>
        <w:autoSpaceDN w:val="0"/>
        <w:adjustRightInd w:val="0"/>
        <w:ind w:left="567" w:hanging="207"/>
        <w:rPr>
          <w:noProof/>
          <w:szCs w:val="22"/>
          <w:lang w:val="it-IT"/>
        </w:rPr>
      </w:pPr>
    </w:p>
    <w:p>
      <w:pPr>
        <w:tabs>
          <w:tab w:val="left" w:pos="360"/>
        </w:tabs>
        <w:autoSpaceDE w:val="0"/>
        <w:autoSpaceDN w:val="0"/>
        <w:adjustRightInd w:val="0"/>
        <w:ind w:left="360"/>
        <w:rPr>
          <w:noProof/>
          <w:szCs w:val="22"/>
          <w:lang w:val="it-IT"/>
        </w:rPr>
        <w:pPrChange w:id="12616" w:author="Author">
          <w:pPr>
            <w:tabs>
              <w:tab w:val="left" w:pos="180"/>
            </w:tabs>
            <w:autoSpaceDE w:val="0"/>
            <w:autoSpaceDN w:val="0"/>
            <w:adjustRightInd w:val="0"/>
            <w:ind w:left="567" w:hanging="207"/>
          </w:pPr>
        </w:pPrChange>
      </w:pPr>
      <w:r>
        <w:rPr>
          <w:noProof/>
          <w:szCs w:val="22"/>
          <w:lang w:val="it-IT"/>
        </w:rPr>
        <w:t xml:space="preserve">N.B.: Una volta rimosso il cappuccio protettivo dell’ago, la siringa deve essere usata immediatamente. </w:t>
      </w:r>
    </w:p>
    <w:p>
      <w:pPr>
        <w:tabs>
          <w:tab w:val="left" w:pos="180"/>
        </w:tabs>
        <w:autoSpaceDE w:val="0"/>
        <w:autoSpaceDN w:val="0"/>
        <w:adjustRightInd w:val="0"/>
        <w:ind w:left="567" w:hanging="207"/>
        <w:rPr>
          <w:noProof/>
          <w:szCs w:val="22"/>
          <w:lang w:val="it-IT"/>
        </w:rPr>
      </w:pPr>
    </w:p>
    <w:p>
      <w:pPr>
        <w:autoSpaceDE w:val="0"/>
        <w:autoSpaceDN w:val="0"/>
        <w:adjustRightInd w:val="0"/>
        <w:ind w:left="567" w:hanging="567"/>
        <w:rPr>
          <w:noProof/>
          <w:szCs w:val="22"/>
          <w:lang w:val="it-IT"/>
        </w:rPr>
        <w:pPrChange w:id="12617" w:author="Author">
          <w:pPr>
            <w:tabs>
              <w:tab w:val="left" w:pos="180"/>
            </w:tabs>
            <w:autoSpaceDE w:val="0"/>
            <w:autoSpaceDN w:val="0"/>
            <w:adjustRightInd w:val="0"/>
            <w:ind w:left="567" w:hanging="207"/>
          </w:pPr>
        </w:pPrChange>
      </w:pPr>
      <w:r>
        <w:rPr>
          <w:noProof/>
          <w:szCs w:val="22"/>
          <w:lang w:val="it-IT"/>
        </w:rPr>
        <w:sym w:font="Symbol" w:char="00B7"/>
      </w:r>
      <w:r>
        <w:rPr>
          <w:noProof/>
          <w:szCs w:val="22"/>
          <w:lang w:val="it-IT"/>
        </w:rPr>
        <w:t xml:space="preserve"> </w:t>
      </w:r>
      <w:r>
        <w:rPr>
          <w:noProof/>
          <w:szCs w:val="22"/>
          <w:lang w:val="it-IT"/>
        </w:rPr>
        <w:tab/>
        <w:t xml:space="preserve">Nel caso in cui non venga utilizzata entro 5 minuti dalla rimozione del cappuccio, la siringa deve essere smaltita in un contenitore resistente alla perforazione o in un contenitore per materiali taglienti e deve essere impiegata una nuova siringa Se il cappuccio </w:t>
      </w:r>
      <w:ins w:id="12618" w:author="Author">
        <w:r>
          <w:rPr>
            <w:noProof/>
            <w:szCs w:val="22"/>
            <w:lang w:val="it-IT"/>
          </w:rPr>
          <w:t xml:space="preserve">protettivo </w:t>
        </w:r>
      </w:ins>
      <w:r>
        <w:rPr>
          <w:noProof/>
          <w:szCs w:val="22"/>
          <w:lang w:val="it-IT"/>
        </w:rPr>
        <w:t>dell’ago viene rimosso per più di 5 minuti, può essere più difficile effettuare un</w:t>
      </w:r>
      <w:ins w:id="12619" w:author="Author">
        <w:r>
          <w:rPr>
            <w:noProof/>
            <w:szCs w:val="22"/>
            <w:lang w:val="it-IT"/>
          </w:rPr>
          <w:t>’</w:t>
        </w:r>
      </w:ins>
      <w:del w:id="12620" w:author="Author">
        <w:r>
          <w:rPr>
            <w:noProof/>
            <w:szCs w:val="22"/>
            <w:lang w:val="it-IT"/>
          </w:rPr>
          <w:delText xml:space="preserve">a </w:delText>
        </w:r>
      </w:del>
      <w:r>
        <w:rPr>
          <w:noProof/>
          <w:szCs w:val="22"/>
          <w:lang w:val="it-IT"/>
        </w:rPr>
        <w:t>iniezione poiché il medicinale può seccarsi e bloccare l'ago.</w:t>
      </w:r>
    </w:p>
    <w:p>
      <w:pPr>
        <w:autoSpaceDE w:val="0"/>
        <w:autoSpaceDN w:val="0"/>
        <w:adjustRightInd w:val="0"/>
        <w:ind w:left="567" w:hanging="567"/>
        <w:rPr>
          <w:noProof/>
          <w:szCs w:val="22"/>
          <w:lang w:val="it-IT"/>
        </w:rPr>
        <w:pPrChange w:id="12621" w:author="Author">
          <w:pPr>
            <w:tabs>
              <w:tab w:val="left" w:pos="180"/>
            </w:tabs>
            <w:autoSpaceDE w:val="0"/>
            <w:autoSpaceDN w:val="0"/>
            <w:adjustRightInd w:val="0"/>
            <w:ind w:left="567" w:hanging="207"/>
          </w:pPr>
        </w:pPrChange>
      </w:pPr>
      <w:r>
        <w:rPr>
          <w:noProof/>
          <w:szCs w:val="22"/>
          <w:lang w:val="it-IT"/>
        </w:rPr>
        <w:sym w:font="Symbol" w:char="00B7"/>
      </w:r>
      <w:r>
        <w:rPr>
          <w:noProof/>
          <w:szCs w:val="22"/>
          <w:lang w:val="it-IT"/>
        </w:rPr>
        <w:t xml:space="preserve"> </w:t>
      </w:r>
      <w:r>
        <w:rPr>
          <w:noProof/>
          <w:szCs w:val="22"/>
          <w:lang w:val="it-IT"/>
        </w:rPr>
        <w:tab/>
        <w:t>Non reinserisca il cappuccio protettivo dell’ago dopo averlo rimosso.</w:t>
      </w:r>
    </w:p>
    <w:p>
      <w:pPr>
        <w:tabs>
          <w:tab w:val="left" w:pos="180"/>
        </w:tabs>
        <w:autoSpaceDE w:val="0"/>
        <w:autoSpaceDN w:val="0"/>
        <w:adjustRightInd w:val="0"/>
        <w:rPr>
          <w:noProof/>
          <w:szCs w:val="22"/>
          <w:lang w:val="it-IT"/>
        </w:rPr>
      </w:pPr>
    </w:p>
    <w:p>
      <w:pPr>
        <w:tabs>
          <w:tab w:val="left" w:pos="180"/>
        </w:tabs>
        <w:autoSpaceDE w:val="0"/>
        <w:autoSpaceDN w:val="0"/>
        <w:adjustRightInd w:val="0"/>
        <w:rPr>
          <w:ins w:id="12622" w:author="Author"/>
          <w:b/>
          <w:noProof/>
          <w:szCs w:val="22"/>
          <w:lang w:val="it-IT"/>
        </w:rPr>
      </w:pPr>
      <w:r>
        <w:rPr>
          <w:b/>
          <w:noProof/>
          <w:szCs w:val="22"/>
          <w:lang w:val="it-IT"/>
        </w:rPr>
        <w:t>Fase 6. Eseguire l’iniezione.</w:t>
      </w:r>
    </w:p>
    <w:p>
      <w:pPr>
        <w:tabs>
          <w:tab w:val="left" w:pos="180"/>
        </w:tabs>
        <w:autoSpaceDE w:val="0"/>
        <w:autoSpaceDN w:val="0"/>
        <w:adjustRightInd w:val="0"/>
        <w:rPr>
          <w:b/>
          <w:noProof/>
          <w:szCs w:val="22"/>
          <w:lang w:val="it-IT"/>
        </w:rPr>
      </w:pPr>
    </w:p>
    <w:p>
      <w:pPr>
        <w:autoSpaceDE w:val="0"/>
        <w:autoSpaceDN w:val="0"/>
        <w:adjustRightInd w:val="0"/>
        <w:ind w:left="567" w:hanging="567"/>
        <w:rPr>
          <w:noProof/>
          <w:szCs w:val="22"/>
          <w:lang w:val="it-IT"/>
        </w:rPr>
        <w:pPrChange w:id="12623" w:author="Author">
          <w:pPr>
            <w:tabs>
              <w:tab w:val="left" w:pos="180"/>
            </w:tabs>
            <w:autoSpaceDE w:val="0"/>
            <w:autoSpaceDN w:val="0"/>
            <w:adjustRightInd w:val="0"/>
            <w:ind w:left="567" w:hanging="207"/>
          </w:pPr>
        </w:pPrChange>
      </w:pPr>
      <w:r>
        <w:rPr>
          <w:noProof/>
          <w:szCs w:val="22"/>
          <w:lang w:val="it-IT"/>
        </w:rPr>
        <w:sym w:font="Symbol" w:char="00B7"/>
      </w:r>
      <w:r>
        <w:rPr>
          <w:noProof/>
          <w:szCs w:val="22"/>
          <w:lang w:val="it-IT"/>
        </w:rPr>
        <w:t xml:space="preserve"> </w:t>
      </w:r>
      <w:r>
        <w:rPr>
          <w:noProof/>
          <w:szCs w:val="22"/>
          <w:lang w:val="it-IT"/>
        </w:rPr>
        <w:tab/>
        <w:t xml:space="preserve">Tenga comodamente </w:t>
      </w:r>
      <w:del w:id="12624" w:author="Author">
        <w:r>
          <w:rPr>
            <w:noProof/>
            <w:szCs w:val="22"/>
            <w:lang w:val="it-IT"/>
          </w:rPr>
          <w:delText>il corpo della</w:delText>
        </w:r>
      </w:del>
      <w:ins w:id="12625" w:author="Author">
        <w:r>
          <w:rPr>
            <w:noProof/>
            <w:szCs w:val="22"/>
            <w:lang w:val="it-IT"/>
          </w:rPr>
          <w:t>la</w:t>
        </w:r>
      </w:ins>
      <w:r>
        <w:rPr>
          <w:noProof/>
          <w:szCs w:val="22"/>
          <w:lang w:val="it-IT"/>
        </w:rPr>
        <w:t xml:space="preserve"> siringa con una mano.</w:t>
      </w:r>
    </w:p>
    <w:p>
      <w:pPr>
        <w:autoSpaceDE w:val="0"/>
        <w:autoSpaceDN w:val="0"/>
        <w:adjustRightInd w:val="0"/>
        <w:ind w:left="567" w:hanging="567"/>
        <w:rPr>
          <w:noProof/>
          <w:szCs w:val="22"/>
          <w:lang w:val="it-IT"/>
        </w:rPr>
        <w:pPrChange w:id="12626" w:author="Author">
          <w:pPr>
            <w:tabs>
              <w:tab w:val="left" w:pos="180"/>
            </w:tabs>
            <w:autoSpaceDE w:val="0"/>
            <w:autoSpaceDN w:val="0"/>
            <w:adjustRightInd w:val="0"/>
            <w:ind w:left="567" w:hanging="207"/>
          </w:pPr>
        </w:pPrChange>
      </w:pPr>
      <w:r>
        <w:rPr>
          <w:noProof/>
          <w:szCs w:val="22"/>
          <w:lang w:val="it-IT"/>
        </w:rPr>
        <w:sym w:font="Symbol" w:char="00B7"/>
      </w:r>
      <w:r>
        <w:rPr>
          <w:noProof/>
          <w:szCs w:val="22"/>
          <w:lang w:val="it-IT"/>
        </w:rPr>
        <w:t xml:space="preserve"> </w:t>
      </w:r>
      <w:r>
        <w:rPr>
          <w:noProof/>
          <w:szCs w:val="22"/>
          <w:lang w:val="it-IT"/>
        </w:rPr>
        <w:tab/>
        <w:t>Per essere sicuro di riuscire ad inserire correttamente l’ago sotto la pelle, con l’altra mano pizzichi una plica di cute rilassata in corrispondenza al sito di iniezione precedentemente disinfettato. Questa operazione è importante per garantire che l’iniezione avvenga sotto la pelle (nel tessuto adiposo) e non a una profondità maggiore (nel muscolo). L’iniezione nel muscolo potrebbe risultare fastidiosa.</w:t>
      </w:r>
    </w:p>
    <w:p>
      <w:pPr>
        <w:autoSpaceDE w:val="0"/>
        <w:autoSpaceDN w:val="0"/>
        <w:adjustRightInd w:val="0"/>
        <w:ind w:left="567" w:hanging="567"/>
        <w:rPr>
          <w:noProof/>
          <w:szCs w:val="22"/>
          <w:lang w:val="it-IT"/>
        </w:rPr>
        <w:pPrChange w:id="12627" w:author="Author">
          <w:pPr>
            <w:tabs>
              <w:tab w:val="left" w:pos="180"/>
            </w:tabs>
            <w:autoSpaceDE w:val="0"/>
            <w:autoSpaceDN w:val="0"/>
            <w:adjustRightInd w:val="0"/>
            <w:ind w:left="567" w:hanging="207"/>
          </w:pPr>
        </w:pPrChange>
      </w:pPr>
      <w:r>
        <w:rPr>
          <w:noProof/>
          <w:szCs w:val="22"/>
          <w:lang w:val="it-IT"/>
        </w:rPr>
        <w:sym w:font="Symbol" w:char="00B7"/>
      </w:r>
      <w:r>
        <w:rPr>
          <w:noProof/>
          <w:szCs w:val="22"/>
          <w:lang w:val="it-IT"/>
        </w:rPr>
        <w:t xml:space="preserve"> </w:t>
      </w:r>
      <w:r>
        <w:rPr>
          <w:noProof/>
          <w:szCs w:val="22"/>
          <w:lang w:val="it-IT"/>
        </w:rPr>
        <w:tab/>
        <w:t>Non tenga, né spinga lo stantuffo durante l’inserimento dell’ago nella cute.</w:t>
      </w:r>
    </w:p>
    <w:p>
      <w:pPr>
        <w:keepNext/>
        <w:keepLines/>
        <w:autoSpaceDE w:val="0"/>
        <w:autoSpaceDN w:val="0"/>
        <w:adjustRightInd w:val="0"/>
        <w:ind w:left="567" w:hanging="567"/>
        <w:rPr>
          <w:noProof/>
          <w:szCs w:val="22"/>
          <w:lang w:val="it-IT"/>
        </w:rPr>
        <w:pPrChange w:id="12628" w:author="Author">
          <w:pPr>
            <w:tabs>
              <w:tab w:val="left" w:pos="180"/>
            </w:tabs>
            <w:autoSpaceDE w:val="0"/>
            <w:autoSpaceDN w:val="0"/>
            <w:adjustRightInd w:val="0"/>
            <w:ind w:left="567" w:hanging="207"/>
          </w:pPr>
        </w:pPrChange>
      </w:pPr>
      <w:r>
        <w:rPr>
          <w:noProof/>
          <w:szCs w:val="22"/>
          <w:lang w:val="it-IT"/>
        </w:rPr>
        <w:lastRenderedPageBreak/>
        <w:sym w:font="Symbol" w:char="00B7"/>
      </w:r>
      <w:r>
        <w:rPr>
          <w:noProof/>
          <w:szCs w:val="22"/>
          <w:lang w:val="it-IT"/>
        </w:rPr>
        <w:t xml:space="preserve"> </w:t>
      </w:r>
      <w:r>
        <w:rPr>
          <w:noProof/>
          <w:szCs w:val="22"/>
          <w:lang w:val="it-IT"/>
        </w:rPr>
        <w:tab/>
        <w:t>Inserisca l’ago in tutta la sua lunghezza nella plica cutanea con un angolo di inclinazione compreso tra</w:t>
      </w:r>
      <w:ins w:id="12629" w:author="Author">
        <w:r>
          <w:rPr>
            <w:noProof/>
            <w:szCs w:val="22"/>
            <w:lang w:val="it-IT"/>
          </w:rPr>
          <w:t xml:space="preserve"> </w:t>
        </w:r>
      </w:ins>
      <w:r>
        <w:rPr>
          <w:noProof/>
          <w:szCs w:val="22"/>
          <w:lang w:val="it-IT"/>
        </w:rPr>
        <w:t>45° e 90°, effettuando un movimento rapido e deciso. (Vedere Fig. E)</w:t>
      </w:r>
    </w:p>
    <w:p>
      <w:pPr>
        <w:keepNext/>
        <w:keepLines/>
        <w:tabs>
          <w:tab w:val="left" w:pos="180"/>
        </w:tabs>
        <w:autoSpaceDE w:val="0"/>
        <w:autoSpaceDN w:val="0"/>
        <w:adjustRightInd w:val="0"/>
        <w:spacing w:after="120"/>
        <w:rPr>
          <w:noProof/>
          <w:lang w:val="it-IT"/>
        </w:rPr>
        <w:pPrChange w:id="12630" w:author="Author">
          <w:pPr>
            <w:tabs>
              <w:tab w:val="left" w:pos="180"/>
            </w:tabs>
            <w:autoSpaceDE w:val="0"/>
            <w:autoSpaceDN w:val="0"/>
            <w:adjustRightInd w:val="0"/>
            <w:spacing w:after="120"/>
          </w:pPr>
        </w:pPrChange>
      </w:pPr>
    </w:p>
    <w:p>
      <w:pPr>
        <w:tabs>
          <w:tab w:val="left" w:pos="180"/>
        </w:tabs>
        <w:autoSpaceDE w:val="0"/>
        <w:autoSpaceDN w:val="0"/>
        <w:adjustRightInd w:val="0"/>
        <w:spacing w:after="120"/>
        <w:rPr>
          <w:rFonts w:ascii="HelveticaNeueLTPro-Roman" w:hAnsi="HelveticaNeueLTPro-Roman" w:cs="HelveticaNeueLTPro-Roman"/>
          <w:noProof/>
          <w:sz w:val="20"/>
          <w:lang w:val="it-IT"/>
        </w:rPr>
      </w:pPr>
      <w:r>
        <w:rPr>
          <w:noProof/>
          <w:lang w:eastAsia="en-US"/>
        </w:rPr>
        <w:drawing>
          <wp:inline distT="0" distB="0" distL="0" distR="0">
            <wp:extent cx="2337435" cy="18129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7435" cy="1812925"/>
                    </a:xfrm>
                    <a:prstGeom prst="rect">
                      <a:avLst/>
                    </a:prstGeom>
                    <a:noFill/>
                    <a:ln>
                      <a:noFill/>
                    </a:ln>
                  </pic:spPr>
                </pic:pic>
              </a:graphicData>
            </a:graphic>
          </wp:inline>
        </w:drawing>
      </w:r>
    </w:p>
    <w:p>
      <w:pPr>
        <w:tabs>
          <w:tab w:val="left" w:pos="180"/>
        </w:tabs>
        <w:autoSpaceDE w:val="0"/>
        <w:autoSpaceDN w:val="0"/>
        <w:adjustRightInd w:val="0"/>
        <w:rPr>
          <w:ins w:id="12631" w:author="Author"/>
          <w:noProof/>
          <w:szCs w:val="22"/>
          <w:lang w:val="it-IT"/>
        </w:rPr>
      </w:pPr>
    </w:p>
    <w:p>
      <w:pPr>
        <w:tabs>
          <w:tab w:val="left" w:pos="180"/>
        </w:tabs>
        <w:autoSpaceDE w:val="0"/>
        <w:autoSpaceDN w:val="0"/>
        <w:adjustRightInd w:val="0"/>
        <w:rPr>
          <w:noProof/>
          <w:szCs w:val="22"/>
          <w:lang w:val="it-IT"/>
        </w:rPr>
      </w:pPr>
      <w:r>
        <w:rPr>
          <w:noProof/>
          <w:szCs w:val="22"/>
          <w:lang w:val="it-IT"/>
        </w:rPr>
        <w:t>La scelta dell’angolo di inclinazione corretto è importante poiché assicura che il medicinale venga rilasciato sotto la pelle (nel tessuto adiposo); in caso contrario l’iniezione potrebbe risultare dolorosa e il medicinale non efficace.</w:t>
      </w:r>
    </w:p>
    <w:p>
      <w:pPr>
        <w:keepNext/>
        <w:keepLines/>
        <w:tabs>
          <w:tab w:val="left" w:pos="180"/>
        </w:tabs>
        <w:autoSpaceDE w:val="0"/>
        <w:autoSpaceDN w:val="0"/>
        <w:adjustRightInd w:val="0"/>
        <w:rPr>
          <w:noProof/>
          <w:szCs w:val="22"/>
          <w:lang w:val="it-IT"/>
        </w:rPr>
      </w:pPr>
    </w:p>
    <w:p>
      <w:pPr>
        <w:autoSpaceDE w:val="0"/>
        <w:autoSpaceDN w:val="0"/>
        <w:adjustRightInd w:val="0"/>
        <w:ind w:left="567" w:hanging="567"/>
        <w:rPr>
          <w:noProof/>
          <w:szCs w:val="22"/>
          <w:lang w:val="it-IT"/>
        </w:rPr>
        <w:pPrChange w:id="12632" w:author="Author">
          <w:pPr>
            <w:tabs>
              <w:tab w:val="left" w:pos="180"/>
            </w:tabs>
            <w:autoSpaceDE w:val="0"/>
            <w:autoSpaceDN w:val="0"/>
            <w:adjustRightInd w:val="0"/>
            <w:ind w:left="360"/>
          </w:pPr>
        </w:pPrChange>
      </w:pPr>
      <w:r>
        <w:rPr>
          <w:noProof/>
          <w:szCs w:val="22"/>
          <w:lang w:val="it-IT"/>
        </w:rPr>
        <w:sym w:font="Symbol" w:char="00B7"/>
      </w:r>
      <w:r>
        <w:rPr>
          <w:noProof/>
          <w:szCs w:val="22"/>
          <w:lang w:val="it-IT"/>
        </w:rPr>
        <w:t xml:space="preserve"> </w:t>
      </w:r>
      <w:r>
        <w:rPr>
          <w:noProof/>
          <w:szCs w:val="22"/>
          <w:lang w:val="it-IT"/>
        </w:rPr>
        <w:tab/>
        <w:t>Mantenga la siringa in posizione e rilasci la plica cutanea.</w:t>
      </w:r>
    </w:p>
    <w:p>
      <w:pPr>
        <w:keepNext/>
        <w:keepLines/>
        <w:autoSpaceDE w:val="0"/>
        <w:autoSpaceDN w:val="0"/>
        <w:adjustRightInd w:val="0"/>
        <w:ind w:left="567" w:hanging="567"/>
        <w:rPr>
          <w:noProof/>
          <w:szCs w:val="22"/>
          <w:lang w:val="it-IT"/>
        </w:rPr>
        <w:pPrChange w:id="12633" w:author="Author">
          <w:pPr>
            <w:keepNext/>
            <w:keepLines/>
            <w:tabs>
              <w:tab w:val="left" w:pos="180"/>
            </w:tabs>
            <w:autoSpaceDE w:val="0"/>
            <w:autoSpaceDN w:val="0"/>
            <w:adjustRightInd w:val="0"/>
            <w:ind w:left="567" w:hanging="207"/>
          </w:pPr>
        </w:pPrChange>
      </w:pPr>
      <w:r>
        <w:rPr>
          <w:noProof/>
          <w:szCs w:val="22"/>
          <w:lang w:val="it-IT"/>
        </w:rPr>
        <w:sym w:font="Symbol" w:char="00B7"/>
      </w:r>
      <w:r>
        <w:rPr>
          <w:noProof/>
          <w:szCs w:val="22"/>
          <w:lang w:val="it-IT"/>
        </w:rPr>
        <w:t xml:space="preserve"> </w:t>
      </w:r>
      <w:r>
        <w:rPr>
          <w:noProof/>
          <w:szCs w:val="22"/>
          <w:lang w:val="it-IT"/>
        </w:rPr>
        <w:tab/>
        <w:t xml:space="preserve">Inietti lentamente l’intera quantità di medicinale, spingendo delicatamente lo stantuffo fino a fine corsa. (Vedere Fig. F) Lo stantuffo deve essere premuto fino in fondo affinché venga somministrata l’intera dose di medicinale e le alette di attivazione siano completamente spinte di lato. Se lo stantuffo non viene premuto completamente il </w:t>
      </w:r>
      <w:del w:id="12634" w:author="Author">
        <w:r>
          <w:rPr>
            <w:noProof/>
            <w:szCs w:val="22"/>
            <w:lang w:val="it-IT"/>
          </w:rPr>
          <w:delText>manicotto di sicurezza</w:delText>
        </w:r>
      </w:del>
      <w:ins w:id="12635" w:author="Author">
        <w:r>
          <w:rPr>
            <w:noProof/>
            <w:szCs w:val="22"/>
            <w:lang w:val="it-IT"/>
          </w:rPr>
          <w:t>copriago</w:t>
        </w:r>
      </w:ins>
      <w:r>
        <w:rPr>
          <w:noProof/>
          <w:szCs w:val="22"/>
          <w:lang w:val="it-IT"/>
        </w:rPr>
        <w:t xml:space="preserve"> non si estenderà per coprire l’ago quando quest’ultimo viene estratto. Se l’ago non viene coperto</w:t>
      </w:r>
      <w:ins w:id="12636" w:author="Author">
        <w:r>
          <w:rPr>
            <w:noProof/>
            <w:szCs w:val="22"/>
            <w:lang w:val="it-IT"/>
          </w:rPr>
          <w:t xml:space="preserve"> dal copriago</w:t>
        </w:r>
      </w:ins>
      <w:r>
        <w:rPr>
          <w:noProof/>
          <w:szCs w:val="22"/>
          <w:lang w:val="it-IT"/>
        </w:rPr>
        <w:t>, proceda con cautela e riponga la siringa in un contenitore resistente alla perforazione per evitare di ferirsi con l’ago.</w:t>
      </w:r>
    </w:p>
    <w:p>
      <w:pPr>
        <w:tabs>
          <w:tab w:val="left" w:pos="180"/>
        </w:tabs>
        <w:autoSpaceDE w:val="0"/>
        <w:autoSpaceDN w:val="0"/>
        <w:adjustRightInd w:val="0"/>
        <w:rPr>
          <w:noProof/>
          <w:szCs w:val="22"/>
          <w:lang w:val="it-IT"/>
        </w:rPr>
      </w:pPr>
    </w:p>
    <w:p>
      <w:pPr>
        <w:tabs>
          <w:tab w:val="left" w:pos="180"/>
        </w:tabs>
        <w:autoSpaceDE w:val="0"/>
        <w:autoSpaceDN w:val="0"/>
        <w:adjustRightInd w:val="0"/>
        <w:spacing w:after="120"/>
        <w:rPr>
          <w:rFonts w:ascii="HelveticaNeueLTPro-Roman" w:hAnsi="HelveticaNeueLTPro-Roman" w:cs="HelveticaNeueLTPro-Roman"/>
          <w:noProof/>
          <w:sz w:val="20"/>
          <w:lang w:val="it-IT"/>
        </w:rPr>
      </w:pPr>
      <w:r>
        <w:rPr>
          <w:noProof/>
          <w:lang w:eastAsia="en-US"/>
        </w:rPr>
        <w:drawing>
          <wp:inline distT="0" distB="0" distL="0" distR="0">
            <wp:extent cx="2337435" cy="1828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7435" cy="1828800"/>
                    </a:xfrm>
                    <a:prstGeom prst="rect">
                      <a:avLst/>
                    </a:prstGeom>
                    <a:noFill/>
                    <a:ln>
                      <a:noFill/>
                    </a:ln>
                  </pic:spPr>
                </pic:pic>
              </a:graphicData>
            </a:graphic>
          </wp:inline>
        </w:drawing>
      </w:r>
    </w:p>
    <w:p>
      <w:pPr>
        <w:keepNext/>
        <w:keepLines/>
        <w:autoSpaceDE w:val="0"/>
        <w:autoSpaceDN w:val="0"/>
        <w:adjustRightInd w:val="0"/>
        <w:ind w:left="567" w:hanging="567"/>
        <w:rPr>
          <w:noProof/>
          <w:szCs w:val="22"/>
          <w:lang w:val="it-IT"/>
        </w:rPr>
        <w:pPrChange w:id="12637" w:author="Author">
          <w:pPr>
            <w:keepNext/>
            <w:keepLines/>
            <w:tabs>
              <w:tab w:val="left" w:pos="180"/>
            </w:tabs>
            <w:autoSpaceDE w:val="0"/>
            <w:autoSpaceDN w:val="0"/>
            <w:adjustRightInd w:val="0"/>
            <w:ind w:left="714" w:hanging="357"/>
          </w:pPr>
        </w:pPrChange>
      </w:pPr>
      <w:r>
        <w:rPr>
          <w:noProof/>
          <w:szCs w:val="22"/>
          <w:lang w:val="it-IT"/>
        </w:rPr>
        <w:sym w:font="Symbol" w:char="00B7"/>
      </w:r>
      <w:r>
        <w:rPr>
          <w:noProof/>
          <w:szCs w:val="22"/>
          <w:lang w:val="it-IT"/>
        </w:rPr>
        <w:tab/>
        <w:t>Quando lo stantuffo si ferma, prima di estrarre l’ago dalla cute, continui ad esercitare pressione sullo stantuffo per assicurarsi che venga iniettata l’intera quantità di medicinale.</w:t>
      </w:r>
    </w:p>
    <w:p>
      <w:pPr>
        <w:autoSpaceDE w:val="0"/>
        <w:autoSpaceDN w:val="0"/>
        <w:adjustRightInd w:val="0"/>
        <w:ind w:left="567" w:hanging="567"/>
        <w:rPr>
          <w:noProof/>
          <w:szCs w:val="22"/>
          <w:lang w:val="it-IT"/>
        </w:rPr>
        <w:pPrChange w:id="12638" w:author="Author">
          <w:pPr>
            <w:keepNext/>
            <w:keepLines/>
            <w:tabs>
              <w:tab w:val="left" w:pos="180"/>
            </w:tabs>
            <w:autoSpaceDE w:val="0"/>
            <w:autoSpaceDN w:val="0"/>
            <w:adjustRightInd w:val="0"/>
            <w:ind w:left="714" w:hanging="357"/>
          </w:pPr>
        </w:pPrChange>
      </w:pPr>
      <w:r>
        <w:rPr>
          <w:noProof/>
          <w:szCs w:val="22"/>
          <w:lang w:val="it-IT"/>
        </w:rPr>
        <w:sym w:font="Symbol" w:char="00B7"/>
      </w:r>
      <w:r>
        <w:rPr>
          <w:noProof/>
          <w:szCs w:val="22"/>
          <w:lang w:val="it-IT"/>
        </w:rPr>
        <w:tab/>
        <w:t>Continui a tenere premuto lo stantuffo mentre estrae l’ago dalla cute</w:t>
      </w:r>
      <w:del w:id="12639" w:author="Author">
        <w:r>
          <w:rPr>
            <w:noProof/>
            <w:szCs w:val="22"/>
            <w:lang w:val="it-IT"/>
          </w:rPr>
          <w:delText xml:space="preserve"> </w:delText>
        </w:r>
      </w:del>
      <w:r>
        <w:rPr>
          <w:noProof/>
          <w:szCs w:val="22"/>
          <w:lang w:val="it-IT"/>
        </w:rPr>
        <w:t>,</w:t>
      </w:r>
      <w:ins w:id="12640" w:author="Author">
        <w:r>
          <w:rPr>
            <w:noProof/>
            <w:szCs w:val="22"/>
            <w:lang w:val="it-IT"/>
          </w:rPr>
          <w:t xml:space="preserve"> </w:t>
        </w:r>
      </w:ins>
      <w:r>
        <w:rPr>
          <w:noProof/>
          <w:szCs w:val="22"/>
          <w:lang w:val="it-IT"/>
        </w:rPr>
        <w:t>mantenendo lo stesso angolo di inclinazione scelto al momento del suo inserimento. (Vedere Fig. G)</w:t>
      </w:r>
    </w:p>
    <w:p>
      <w:pPr>
        <w:keepNext/>
        <w:keepLines/>
        <w:autoSpaceDE w:val="0"/>
        <w:autoSpaceDN w:val="0"/>
        <w:adjustRightInd w:val="0"/>
        <w:ind w:left="567" w:hanging="567"/>
        <w:rPr>
          <w:noProof/>
          <w:szCs w:val="22"/>
          <w:lang w:val="it-IT"/>
        </w:rPr>
        <w:pPrChange w:id="12641" w:author="Author">
          <w:pPr>
            <w:keepNext/>
            <w:keepLines/>
            <w:tabs>
              <w:tab w:val="left" w:pos="180"/>
            </w:tabs>
            <w:autoSpaceDE w:val="0"/>
            <w:autoSpaceDN w:val="0"/>
            <w:adjustRightInd w:val="0"/>
            <w:ind w:left="714" w:hanging="357"/>
          </w:pPr>
        </w:pPrChange>
      </w:pPr>
      <w:r>
        <w:rPr>
          <w:noProof/>
          <w:szCs w:val="22"/>
          <w:lang w:val="it-IT"/>
        </w:rPr>
        <w:lastRenderedPageBreak/>
        <w:sym w:font="Symbol" w:char="00B7"/>
      </w:r>
      <w:r>
        <w:rPr>
          <w:noProof/>
          <w:szCs w:val="22"/>
          <w:lang w:val="it-IT"/>
        </w:rPr>
        <w:tab/>
        <w:t>Se dopo l'inserimento dell'ago, non è possibile premere verso il basso lo stantuffo, è necessario gettare la siringa preriempita in un contenitore resistente alla perforazione e utilizzare una nuova siringa preriempita (partendo di nuovo dalla fase 2). Se si verificano ancora difficoltà, è necessario consultare l’operatore sanitario.</w:t>
      </w:r>
    </w:p>
    <w:p>
      <w:pPr>
        <w:keepNext/>
        <w:keepLines/>
        <w:tabs>
          <w:tab w:val="left" w:pos="180"/>
        </w:tabs>
        <w:autoSpaceDE w:val="0"/>
        <w:autoSpaceDN w:val="0"/>
        <w:adjustRightInd w:val="0"/>
        <w:ind w:left="1080"/>
        <w:rPr>
          <w:noProof/>
          <w:szCs w:val="22"/>
          <w:lang w:val="it-IT"/>
        </w:rPr>
        <w:pPrChange w:id="12642" w:author="Author">
          <w:pPr>
            <w:tabs>
              <w:tab w:val="left" w:pos="180"/>
            </w:tabs>
            <w:autoSpaceDE w:val="0"/>
            <w:autoSpaceDN w:val="0"/>
            <w:adjustRightInd w:val="0"/>
            <w:ind w:left="1080"/>
          </w:pPr>
        </w:pPrChange>
      </w:pPr>
    </w:p>
    <w:p>
      <w:pPr>
        <w:tabs>
          <w:tab w:val="left" w:pos="180"/>
        </w:tabs>
        <w:autoSpaceDE w:val="0"/>
        <w:autoSpaceDN w:val="0"/>
        <w:adjustRightInd w:val="0"/>
        <w:spacing w:after="120"/>
        <w:rPr>
          <w:rFonts w:ascii="HelveticaNeueLTPro-Roman" w:hAnsi="HelveticaNeueLTPro-Roman" w:cs="HelveticaNeueLTPro-Roman"/>
          <w:noProof/>
          <w:sz w:val="20"/>
          <w:lang w:val="it-IT"/>
        </w:rPr>
      </w:pPr>
      <w:r>
        <w:rPr>
          <w:noProof/>
          <w:szCs w:val="22"/>
          <w:lang w:eastAsia="en-US"/>
        </w:rPr>
        <w:drawing>
          <wp:inline distT="0" distB="0" distL="0" distR="0">
            <wp:extent cx="2337435" cy="18288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7435" cy="1828800"/>
                    </a:xfrm>
                    <a:prstGeom prst="rect">
                      <a:avLst/>
                    </a:prstGeom>
                    <a:noFill/>
                    <a:ln>
                      <a:noFill/>
                    </a:ln>
                  </pic:spPr>
                </pic:pic>
              </a:graphicData>
            </a:graphic>
          </wp:inline>
        </w:drawing>
      </w:r>
    </w:p>
    <w:p>
      <w:pPr>
        <w:keepNext/>
        <w:keepLines/>
        <w:autoSpaceDE w:val="0"/>
        <w:autoSpaceDN w:val="0"/>
        <w:adjustRightInd w:val="0"/>
        <w:ind w:left="567" w:hanging="567"/>
        <w:rPr>
          <w:noProof/>
          <w:szCs w:val="22"/>
          <w:lang w:val="it-IT"/>
        </w:rPr>
        <w:pPrChange w:id="12643" w:author="Author">
          <w:pPr>
            <w:keepNext/>
            <w:keepLines/>
            <w:tabs>
              <w:tab w:val="left" w:pos="180"/>
            </w:tabs>
            <w:autoSpaceDE w:val="0"/>
            <w:autoSpaceDN w:val="0"/>
            <w:adjustRightInd w:val="0"/>
            <w:ind w:left="567" w:hanging="207"/>
          </w:pPr>
        </w:pPrChange>
      </w:pPr>
      <w:r>
        <w:rPr>
          <w:noProof/>
          <w:szCs w:val="22"/>
          <w:lang w:val="it-IT"/>
        </w:rPr>
        <w:sym w:font="Symbol" w:char="00B7"/>
      </w:r>
      <w:ins w:id="12644" w:author="Author">
        <w:r>
          <w:rPr>
            <w:noProof/>
            <w:szCs w:val="22"/>
            <w:lang w:val="it-IT"/>
          </w:rPr>
          <w:tab/>
        </w:r>
      </w:ins>
      <w:del w:id="12645" w:author="Author">
        <w:r>
          <w:rPr>
            <w:noProof/>
            <w:szCs w:val="22"/>
            <w:lang w:val="it-IT"/>
          </w:rPr>
          <w:delText xml:space="preserve"> </w:delText>
        </w:r>
      </w:del>
      <w:r>
        <w:rPr>
          <w:noProof/>
          <w:szCs w:val="22"/>
          <w:lang w:val="it-IT"/>
        </w:rPr>
        <w:t xml:space="preserve">Una volta estratto completamente l’ago dalla cute, rilasci lo stantuffo, permettendo al </w:t>
      </w:r>
      <w:del w:id="12646" w:author="Author">
        <w:r>
          <w:rPr>
            <w:noProof/>
            <w:szCs w:val="22"/>
            <w:lang w:val="it-IT"/>
          </w:rPr>
          <w:delText xml:space="preserve">manicotto </w:delText>
        </w:r>
      </w:del>
      <w:ins w:id="12647" w:author="Author">
        <w:r>
          <w:rPr>
            <w:noProof/>
            <w:szCs w:val="22"/>
            <w:lang w:val="it-IT"/>
          </w:rPr>
          <w:t xml:space="preserve">copriago </w:t>
        </w:r>
      </w:ins>
      <w:del w:id="12648" w:author="Author">
        <w:r>
          <w:rPr>
            <w:noProof/>
            <w:szCs w:val="22"/>
            <w:lang w:val="it-IT"/>
          </w:rPr>
          <w:delText xml:space="preserve">di sicurezza </w:delText>
        </w:r>
      </w:del>
      <w:r>
        <w:rPr>
          <w:noProof/>
          <w:szCs w:val="22"/>
          <w:lang w:val="it-IT"/>
        </w:rPr>
        <w:t>di coprire e fungere da protezione per l’ago. (Vedere Fig. H)</w:t>
      </w:r>
    </w:p>
    <w:p>
      <w:pPr>
        <w:keepNext/>
        <w:tabs>
          <w:tab w:val="left" w:pos="180"/>
        </w:tabs>
        <w:autoSpaceDE w:val="0"/>
        <w:autoSpaceDN w:val="0"/>
        <w:adjustRightInd w:val="0"/>
        <w:ind w:left="360"/>
        <w:rPr>
          <w:noProof/>
          <w:lang w:val="it-IT"/>
        </w:rPr>
        <w:pPrChange w:id="12649" w:author="Author">
          <w:pPr>
            <w:tabs>
              <w:tab w:val="left" w:pos="180"/>
            </w:tabs>
            <w:autoSpaceDE w:val="0"/>
            <w:autoSpaceDN w:val="0"/>
            <w:adjustRightInd w:val="0"/>
            <w:ind w:left="360"/>
          </w:pPr>
        </w:pPrChange>
      </w:pPr>
    </w:p>
    <w:p>
      <w:pPr>
        <w:tabs>
          <w:tab w:val="left" w:pos="180"/>
        </w:tabs>
        <w:autoSpaceDE w:val="0"/>
        <w:autoSpaceDN w:val="0"/>
        <w:adjustRightInd w:val="0"/>
        <w:spacing w:after="120"/>
        <w:rPr>
          <w:rFonts w:ascii="HelveticaNeueLTPro-Roman" w:hAnsi="HelveticaNeueLTPro-Roman" w:cs="HelveticaNeueLTPro-Roman"/>
          <w:noProof/>
          <w:sz w:val="20"/>
          <w:lang w:val="it-IT"/>
        </w:rPr>
      </w:pPr>
      <w:r>
        <w:rPr>
          <w:noProof/>
          <w:lang w:eastAsia="en-US"/>
        </w:rPr>
        <w:drawing>
          <wp:inline distT="0" distB="0" distL="0" distR="0">
            <wp:extent cx="2337435" cy="1828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7435" cy="1828800"/>
                    </a:xfrm>
                    <a:prstGeom prst="rect">
                      <a:avLst/>
                    </a:prstGeom>
                    <a:noFill/>
                    <a:ln>
                      <a:noFill/>
                    </a:ln>
                  </pic:spPr>
                </pic:pic>
              </a:graphicData>
            </a:graphic>
          </wp:inline>
        </w:drawing>
      </w:r>
    </w:p>
    <w:p>
      <w:pPr>
        <w:keepNext/>
        <w:keepLines/>
        <w:autoSpaceDE w:val="0"/>
        <w:autoSpaceDN w:val="0"/>
        <w:adjustRightInd w:val="0"/>
        <w:ind w:left="567" w:hanging="567"/>
        <w:rPr>
          <w:noProof/>
          <w:szCs w:val="22"/>
          <w:lang w:val="it-IT"/>
        </w:rPr>
        <w:pPrChange w:id="12650" w:author="Author">
          <w:pPr>
            <w:keepNext/>
            <w:keepLines/>
            <w:tabs>
              <w:tab w:val="left" w:pos="180"/>
            </w:tabs>
            <w:autoSpaceDE w:val="0"/>
            <w:autoSpaceDN w:val="0"/>
            <w:adjustRightInd w:val="0"/>
            <w:ind w:left="567" w:hanging="207"/>
          </w:pPr>
        </w:pPrChange>
      </w:pPr>
      <w:r>
        <w:rPr>
          <w:noProof/>
          <w:szCs w:val="22"/>
          <w:lang w:val="it-IT"/>
        </w:rPr>
        <w:sym w:font="Symbol" w:char="00B7"/>
      </w:r>
      <w:del w:id="12651" w:author="Author">
        <w:r>
          <w:rPr>
            <w:noProof/>
            <w:szCs w:val="22"/>
            <w:lang w:val="it-IT"/>
          </w:rPr>
          <w:delText xml:space="preserve"> </w:delText>
        </w:r>
      </w:del>
      <w:ins w:id="12652" w:author="Author">
        <w:r>
          <w:rPr>
            <w:noProof/>
            <w:szCs w:val="22"/>
            <w:lang w:val="it-IT"/>
          </w:rPr>
          <w:tab/>
        </w:r>
      </w:ins>
      <w:r>
        <w:rPr>
          <w:noProof/>
          <w:szCs w:val="22"/>
          <w:lang w:val="it-IT"/>
        </w:rPr>
        <w:t>Se nota la presenza di qualche goccia di sangue nel sito di iniezione, può premere un batuffolo di cotone o una garza sterile sul sito di iniezione per circa 10 secondi.</w:t>
      </w:r>
    </w:p>
    <w:p>
      <w:pPr>
        <w:keepNext/>
        <w:keepLines/>
        <w:autoSpaceDE w:val="0"/>
        <w:autoSpaceDN w:val="0"/>
        <w:adjustRightInd w:val="0"/>
        <w:ind w:left="567" w:hanging="567"/>
        <w:rPr>
          <w:noProof/>
          <w:szCs w:val="22"/>
          <w:lang w:val="it-IT"/>
        </w:rPr>
        <w:pPrChange w:id="12653" w:author="Author">
          <w:pPr>
            <w:keepNext/>
            <w:keepLines/>
            <w:tabs>
              <w:tab w:val="left" w:pos="180"/>
            </w:tabs>
            <w:autoSpaceDE w:val="0"/>
            <w:autoSpaceDN w:val="0"/>
            <w:adjustRightInd w:val="0"/>
            <w:ind w:left="567" w:hanging="207"/>
          </w:pPr>
        </w:pPrChange>
      </w:pPr>
      <w:r>
        <w:rPr>
          <w:noProof/>
          <w:szCs w:val="22"/>
          <w:lang w:val="it-IT"/>
        </w:rPr>
        <w:sym w:font="Symbol" w:char="00B7"/>
      </w:r>
      <w:del w:id="12654" w:author="Author">
        <w:r>
          <w:rPr>
            <w:noProof/>
            <w:szCs w:val="22"/>
            <w:lang w:val="it-IT"/>
          </w:rPr>
          <w:delText xml:space="preserve"> </w:delText>
        </w:r>
      </w:del>
      <w:ins w:id="12655" w:author="Author">
        <w:r>
          <w:rPr>
            <w:noProof/>
            <w:szCs w:val="22"/>
            <w:lang w:val="it-IT"/>
          </w:rPr>
          <w:tab/>
        </w:r>
      </w:ins>
      <w:r>
        <w:rPr>
          <w:noProof/>
          <w:szCs w:val="22"/>
          <w:lang w:val="it-IT"/>
        </w:rPr>
        <w:t>Non strofini la cute interessata dal sito di iniezione.</w:t>
      </w:r>
    </w:p>
    <w:p>
      <w:pPr>
        <w:tabs>
          <w:tab w:val="left" w:pos="180"/>
        </w:tabs>
        <w:autoSpaceDE w:val="0"/>
        <w:autoSpaceDN w:val="0"/>
        <w:adjustRightInd w:val="0"/>
        <w:rPr>
          <w:noProof/>
          <w:szCs w:val="22"/>
          <w:lang w:val="it-IT"/>
        </w:rPr>
      </w:pPr>
    </w:p>
    <w:p>
      <w:pPr>
        <w:keepNext/>
        <w:keepLines/>
        <w:tabs>
          <w:tab w:val="left" w:pos="180"/>
        </w:tabs>
        <w:autoSpaceDE w:val="0"/>
        <w:autoSpaceDN w:val="0"/>
        <w:adjustRightInd w:val="0"/>
        <w:rPr>
          <w:ins w:id="12656" w:author="Author"/>
          <w:b/>
          <w:noProof/>
          <w:szCs w:val="22"/>
          <w:lang w:val="it-IT"/>
        </w:rPr>
      </w:pPr>
      <w:r>
        <w:rPr>
          <w:b/>
          <w:noProof/>
          <w:szCs w:val="22"/>
          <w:lang w:val="it-IT"/>
        </w:rPr>
        <w:t>Fase 7. Smaltimento della siringa.</w:t>
      </w:r>
    </w:p>
    <w:p>
      <w:pPr>
        <w:keepNext/>
        <w:keepLines/>
        <w:tabs>
          <w:tab w:val="left" w:pos="180"/>
        </w:tabs>
        <w:autoSpaceDE w:val="0"/>
        <w:autoSpaceDN w:val="0"/>
        <w:adjustRightInd w:val="0"/>
        <w:rPr>
          <w:b/>
          <w:noProof/>
          <w:szCs w:val="22"/>
          <w:lang w:val="it-IT"/>
        </w:rPr>
      </w:pPr>
    </w:p>
    <w:p>
      <w:pPr>
        <w:keepNext/>
        <w:keepLines/>
        <w:autoSpaceDE w:val="0"/>
        <w:autoSpaceDN w:val="0"/>
        <w:adjustRightInd w:val="0"/>
        <w:ind w:left="567" w:hanging="567"/>
        <w:rPr>
          <w:noProof/>
          <w:szCs w:val="22"/>
          <w:lang w:val="it-IT"/>
        </w:rPr>
        <w:pPrChange w:id="12657" w:author="Author">
          <w:pPr>
            <w:keepNext/>
            <w:keepLines/>
            <w:tabs>
              <w:tab w:val="left" w:pos="180"/>
            </w:tabs>
            <w:autoSpaceDE w:val="0"/>
            <w:autoSpaceDN w:val="0"/>
            <w:adjustRightInd w:val="0"/>
            <w:ind w:left="567" w:hanging="207"/>
          </w:pPr>
        </w:pPrChange>
      </w:pPr>
      <w:r>
        <w:rPr>
          <w:noProof/>
          <w:szCs w:val="22"/>
          <w:lang w:val="it-IT"/>
        </w:rPr>
        <w:sym w:font="Symbol" w:char="00B7"/>
      </w:r>
      <w:ins w:id="12658" w:author="Author">
        <w:r>
          <w:rPr>
            <w:noProof/>
            <w:szCs w:val="22"/>
            <w:lang w:val="it-IT"/>
          </w:rPr>
          <w:tab/>
        </w:r>
      </w:ins>
      <w:del w:id="12659" w:author="Author">
        <w:r>
          <w:rPr>
            <w:noProof/>
            <w:szCs w:val="22"/>
            <w:lang w:val="it-IT"/>
          </w:rPr>
          <w:delText xml:space="preserve"> </w:delText>
        </w:r>
      </w:del>
      <w:r>
        <w:rPr>
          <w:noProof/>
          <w:szCs w:val="22"/>
          <w:lang w:val="it-IT"/>
        </w:rPr>
        <w:t xml:space="preserve">Non cerchi di reinserire il cappuccio protettivo </w:t>
      </w:r>
      <w:ins w:id="12660" w:author="Author">
        <w:r>
          <w:rPr>
            <w:noProof/>
            <w:szCs w:val="22"/>
            <w:lang w:val="it-IT"/>
          </w:rPr>
          <w:t xml:space="preserve">dell’ago </w:t>
        </w:r>
      </w:ins>
      <w:r>
        <w:rPr>
          <w:noProof/>
          <w:szCs w:val="22"/>
          <w:lang w:val="it-IT"/>
        </w:rPr>
        <w:t>sulla siringa.</w:t>
      </w:r>
    </w:p>
    <w:p>
      <w:pPr>
        <w:keepNext/>
        <w:keepLines/>
        <w:autoSpaceDE w:val="0"/>
        <w:autoSpaceDN w:val="0"/>
        <w:adjustRightInd w:val="0"/>
        <w:ind w:left="567" w:hanging="567"/>
        <w:rPr>
          <w:noProof/>
          <w:szCs w:val="22"/>
          <w:lang w:val="it-IT"/>
        </w:rPr>
        <w:pPrChange w:id="12661" w:author="Author">
          <w:pPr>
            <w:keepNext/>
            <w:keepLines/>
            <w:tabs>
              <w:tab w:val="left" w:pos="180"/>
            </w:tabs>
            <w:autoSpaceDE w:val="0"/>
            <w:autoSpaceDN w:val="0"/>
            <w:adjustRightInd w:val="0"/>
            <w:ind w:left="567" w:hanging="207"/>
          </w:pPr>
        </w:pPrChange>
      </w:pPr>
      <w:r>
        <w:rPr>
          <w:noProof/>
          <w:szCs w:val="22"/>
          <w:lang w:val="it-IT"/>
        </w:rPr>
        <w:sym w:font="Symbol" w:char="00B7"/>
      </w:r>
      <w:r>
        <w:rPr>
          <w:noProof/>
          <w:szCs w:val="22"/>
          <w:lang w:val="it-IT"/>
        </w:rPr>
        <w:t xml:space="preserve"> </w:t>
      </w:r>
      <w:ins w:id="12662" w:author="Author">
        <w:r>
          <w:rPr>
            <w:noProof/>
            <w:szCs w:val="22"/>
            <w:lang w:val="it-IT"/>
          </w:rPr>
          <w:tab/>
        </w:r>
      </w:ins>
      <w:r>
        <w:rPr>
          <w:noProof/>
          <w:szCs w:val="22"/>
          <w:lang w:val="it-IT"/>
        </w:rPr>
        <w:t>Getti le siringhe usate in un contenitore resistente alla perforazione o in un contenitore per materiali taglienti. Chieda all’operatore sanitario o al farmacista informazioni su dove reperire un contenitore per materiali taglienti o quali altri tipi di contenitori resistenti alla perforazione possono essere utilizzati per smaltire in modo sicuro le siringhe usate, se non ne possiede uno. (Vedere Fig. I)</w:t>
      </w:r>
    </w:p>
    <w:p>
      <w:pPr>
        <w:tabs>
          <w:tab w:val="left" w:pos="180"/>
        </w:tabs>
        <w:autoSpaceDE w:val="0"/>
        <w:autoSpaceDN w:val="0"/>
        <w:adjustRightInd w:val="0"/>
        <w:ind w:left="360"/>
        <w:rPr>
          <w:noProof/>
          <w:szCs w:val="22"/>
          <w:lang w:val="it-IT"/>
        </w:rPr>
      </w:pPr>
    </w:p>
    <w:p>
      <w:pPr>
        <w:tabs>
          <w:tab w:val="left" w:pos="180"/>
        </w:tabs>
        <w:autoSpaceDE w:val="0"/>
        <w:autoSpaceDN w:val="0"/>
        <w:adjustRightInd w:val="0"/>
        <w:spacing w:after="120"/>
        <w:rPr>
          <w:rFonts w:ascii="HelveticaNeueLTPro-Roman" w:hAnsi="HelveticaNeueLTPro-Roman" w:cs="HelveticaNeueLTPro-Roman"/>
          <w:noProof/>
          <w:sz w:val="20"/>
          <w:lang w:val="it-IT"/>
        </w:rPr>
      </w:pPr>
      <w:r>
        <w:rPr>
          <w:noProof/>
          <w:lang w:eastAsia="en-US"/>
        </w:rPr>
        <w:drawing>
          <wp:inline distT="0" distB="0" distL="0" distR="0">
            <wp:extent cx="2337435" cy="18288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7435" cy="1828800"/>
                    </a:xfrm>
                    <a:prstGeom prst="rect">
                      <a:avLst/>
                    </a:prstGeom>
                    <a:noFill/>
                    <a:ln>
                      <a:noFill/>
                    </a:ln>
                  </pic:spPr>
                </pic:pic>
              </a:graphicData>
            </a:graphic>
          </wp:inline>
        </w:drawing>
      </w:r>
    </w:p>
    <w:p>
      <w:pPr>
        <w:tabs>
          <w:tab w:val="left" w:pos="180"/>
        </w:tabs>
        <w:autoSpaceDE w:val="0"/>
        <w:autoSpaceDN w:val="0"/>
        <w:adjustRightInd w:val="0"/>
        <w:rPr>
          <w:noProof/>
          <w:szCs w:val="22"/>
          <w:lang w:val="it-IT"/>
        </w:rPr>
      </w:pPr>
      <w:r>
        <w:rPr>
          <w:noProof/>
          <w:szCs w:val="22"/>
          <w:lang w:val="it-IT"/>
        </w:rPr>
        <w:lastRenderedPageBreak/>
        <w:t>Verifichi con l’operatore sanitario le istruzioni relative al corretto smaltimento delle siringhe usate. Potrebbero esistere normative locali o nazionali in merito.</w:t>
      </w:r>
    </w:p>
    <w:p>
      <w:pPr>
        <w:tabs>
          <w:tab w:val="left" w:pos="180"/>
        </w:tabs>
        <w:autoSpaceDE w:val="0"/>
        <w:autoSpaceDN w:val="0"/>
        <w:adjustRightInd w:val="0"/>
        <w:rPr>
          <w:noProof/>
          <w:szCs w:val="22"/>
          <w:lang w:val="it-IT"/>
        </w:rPr>
      </w:pPr>
    </w:p>
    <w:p>
      <w:pPr>
        <w:tabs>
          <w:tab w:val="left" w:pos="180"/>
        </w:tabs>
        <w:autoSpaceDE w:val="0"/>
        <w:autoSpaceDN w:val="0"/>
        <w:adjustRightInd w:val="0"/>
        <w:rPr>
          <w:noProof/>
          <w:szCs w:val="22"/>
          <w:lang w:val="it-IT"/>
        </w:rPr>
        <w:pPrChange w:id="12663" w:author="Author">
          <w:pPr>
            <w:tabs>
              <w:tab w:val="left" w:pos="180"/>
            </w:tabs>
            <w:autoSpaceDE w:val="0"/>
            <w:autoSpaceDN w:val="0"/>
            <w:adjustRightInd w:val="0"/>
            <w:spacing w:after="120"/>
          </w:pPr>
        </w:pPrChange>
      </w:pPr>
      <w:r>
        <w:rPr>
          <w:noProof/>
          <w:szCs w:val="22"/>
          <w:lang w:val="it-IT"/>
        </w:rPr>
        <w:t>Non getti le siringhe usate o il contenitore resistente alla perforazione nei rifiuti domestici e non li ricicli.</w:t>
      </w:r>
    </w:p>
    <w:p>
      <w:pPr>
        <w:tabs>
          <w:tab w:val="left" w:pos="180"/>
        </w:tabs>
        <w:autoSpaceDE w:val="0"/>
        <w:autoSpaceDN w:val="0"/>
        <w:adjustRightInd w:val="0"/>
        <w:rPr>
          <w:noProof/>
          <w:szCs w:val="22"/>
          <w:lang w:val="it-IT"/>
        </w:rPr>
      </w:pPr>
    </w:p>
    <w:p>
      <w:pPr>
        <w:keepNext/>
        <w:keepLines/>
        <w:autoSpaceDE w:val="0"/>
        <w:autoSpaceDN w:val="0"/>
        <w:adjustRightInd w:val="0"/>
        <w:ind w:left="567" w:hanging="567"/>
        <w:rPr>
          <w:noProof/>
          <w:szCs w:val="22"/>
          <w:lang w:val="it-IT"/>
        </w:rPr>
        <w:pPrChange w:id="12664" w:author="Author">
          <w:pPr>
            <w:keepNext/>
            <w:keepLines/>
            <w:tabs>
              <w:tab w:val="left" w:pos="180"/>
            </w:tabs>
            <w:autoSpaceDE w:val="0"/>
            <w:autoSpaceDN w:val="0"/>
            <w:adjustRightInd w:val="0"/>
            <w:ind w:left="567" w:hanging="207"/>
          </w:pPr>
        </w:pPrChange>
      </w:pPr>
      <w:r>
        <w:rPr>
          <w:noProof/>
          <w:szCs w:val="22"/>
          <w:lang w:val="it-IT"/>
        </w:rPr>
        <w:sym w:font="Symbol" w:char="00B7"/>
      </w:r>
      <w:r>
        <w:rPr>
          <w:noProof/>
          <w:szCs w:val="22"/>
          <w:lang w:val="it-IT"/>
        </w:rPr>
        <w:t xml:space="preserve"> </w:t>
      </w:r>
      <w:ins w:id="12665" w:author="Author">
        <w:r>
          <w:rPr>
            <w:noProof/>
            <w:szCs w:val="22"/>
            <w:lang w:val="it-IT"/>
          </w:rPr>
          <w:tab/>
        </w:r>
      </w:ins>
      <w:r>
        <w:rPr>
          <w:noProof/>
          <w:szCs w:val="22"/>
          <w:lang w:val="it-IT"/>
        </w:rPr>
        <w:t>Smaltisca il contenitore pieno attenendosi alle istruzioni ricevute dall’operatore sanitario o dal farmacista.</w:t>
      </w:r>
    </w:p>
    <w:p>
      <w:pPr>
        <w:keepNext/>
        <w:keepLines/>
        <w:autoSpaceDE w:val="0"/>
        <w:autoSpaceDN w:val="0"/>
        <w:adjustRightInd w:val="0"/>
        <w:ind w:left="567" w:hanging="567"/>
        <w:rPr>
          <w:noProof/>
          <w:szCs w:val="22"/>
          <w:lang w:val="it-IT"/>
        </w:rPr>
        <w:pPrChange w:id="12666" w:author="Author">
          <w:pPr>
            <w:keepNext/>
            <w:keepLines/>
            <w:tabs>
              <w:tab w:val="left" w:pos="180"/>
            </w:tabs>
            <w:autoSpaceDE w:val="0"/>
            <w:autoSpaceDN w:val="0"/>
            <w:adjustRightInd w:val="0"/>
            <w:ind w:left="567" w:hanging="207"/>
          </w:pPr>
        </w:pPrChange>
      </w:pPr>
      <w:r>
        <w:rPr>
          <w:noProof/>
          <w:szCs w:val="22"/>
          <w:lang w:val="it-IT"/>
        </w:rPr>
        <w:sym w:font="Symbol" w:char="00B7"/>
      </w:r>
      <w:r>
        <w:rPr>
          <w:noProof/>
          <w:szCs w:val="22"/>
          <w:lang w:val="it-IT"/>
        </w:rPr>
        <w:t xml:space="preserve"> </w:t>
      </w:r>
      <w:ins w:id="12667" w:author="Author">
        <w:r>
          <w:rPr>
            <w:noProof/>
            <w:szCs w:val="22"/>
            <w:lang w:val="it-IT"/>
          </w:rPr>
          <w:tab/>
        </w:r>
      </w:ins>
      <w:r>
        <w:rPr>
          <w:noProof/>
          <w:szCs w:val="22"/>
          <w:lang w:val="it-IT"/>
        </w:rPr>
        <w:t>Tenga sempre il contenitore resistente alla perforazione fuori dalla vista e dalla portata dei bambini.</w:t>
      </w:r>
    </w:p>
    <w:p>
      <w:pPr>
        <w:tabs>
          <w:tab w:val="left" w:pos="180"/>
        </w:tabs>
        <w:autoSpaceDE w:val="0"/>
        <w:autoSpaceDN w:val="0"/>
        <w:adjustRightInd w:val="0"/>
        <w:rPr>
          <w:noProof/>
          <w:szCs w:val="22"/>
          <w:lang w:val="it-IT"/>
        </w:rPr>
        <w:pPrChange w:id="12668" w:author="Author">
          <w:pPr>
            <w:tabs>
              <w:tab w:val="left" w:pos="180"/>
            </w:tabs>
            <w:autoSpaceDE w:val="0"/>
            <w:autoSpaceDN w:val="0"/>
            <w:adjustRightInd w:val="0"/>
            <w:spacing w:after="120"/>
          </w:pPr>
        </w:pPrChange>
      </w:pPr>
    </w:p>
    <w:p>
      <w:pPr>
        <w:keepNext/>
        <w:keepLines/>
        <w:tabs>
          <w:tab w:val="left" w:pos="180"/>
        </w:tabs>
        <w:autoSpaceDE w:val="0"/>
        <w:autoSpaceDN w:val="0"/>
        <w:adjustRightInd w:val="0"/>
        <w:rPr>
          <w:b/>
          <w:noProof/>
          <w:szCs w:val="22"/>
          <w:lang w:val="it-IT"/>
        </w:rPr>
        <w:pPrChange w:id="12669" w:author="Author">
          <w:pPr>
            <w:tabs>
              <w:tab w:val="left" w:pos="180"/>
            </w:tabs>
            <w:autoSpaceDE w:val="0"/>
            <w:autoSpaceDN w:val="0"/>
            <w:adjustRightInd w:val="0"/>
          </w:pPr>
        </w:pPrChange>
      </w:pPr>
      <w:r>
        <w:rPr>
          <w:b/>
          <w:noProof/>
          <w:szCs w:val="22"/>
          <w:lang w:val="it-IT"/>
        </w:rPr>
        <w:t>Indicazioni per il paziente sulle reazioni di ipersensibilità (note anche come anafilassi, se gravi)</w:t>
      </w:r>
    </w:p>
    <w:p>
      <w:pPr>
        <w:keepNext/>
        <w:keepLines/>
        <w:tabs>
          <w:tab w:val="left" w:pos="180"/>
        </w:tabs>
        <w:autoSpaceDE w:val="0"/>
        <w:autoSpaceDN w:val="0"/>
        <w:adjustRightInd w:val="0"/>
        <w:rPr>
          <w:ins w:id="12670" w:author="Author"/>
          <w:noProof/>
          <w:szCs w:val="22"/>
          <w:lang w:val="it-IT"/>
        </w:rPr>
        <w:pPrChange w:id="12671" w:author="Author">
          <w:pPr>
            <w:tabs>
              <w:tab w:val="left" w:pos="180"/>
            </w:tabs>
            <w:autoSpaceDE w:val="0"/>
            <w:autoSpaceDN w:val="0"/>
            <w:adjustRightInd w:val="0"/>
          </w:pPr>
        </w:pPrChange>
      </w:pPr>
    </w:p>
    <w:p>
      <w:pPr>
        <w:tabs>
          <w:tab w:val="left" w:pos="180"/>
        </w:tabs>
        <w:autoSpaceDE w:val="0"/>
        <w:autoSpaceDN w:val="0"/>
        <w:adjustRightInd w:val="0"/>
        <w:rPr>
          <w:noProof/>
          <w:szCs w:val="22"/>
          <w:lang w:val="it-IT"/>
        </w:rPr>
      </w:pPr>
      <w:r>
        <w:rPr>
          <w:noProof/>
          <w:szCs w:val="22"/>
          <w:lang w:val="it-IT"/>
        </w:rPr>
        <w:t>Nel caso in cui, durante o a seguito di un’iniezione di RoActemra, sviluppi in qualsiasi momento, mentre non si trova in ambulatorio, sintomi quali, ma non limitati a:</w:t>
      </w:r>
      <w:r>
        <w:rPr>
          <w:noProof/>
          <w:lang w:val="it-IT"/>
        </w:rPr>
        <w:t xml:space="preserve"> </w:t>
      </w:r>
      <w:r>
        <w:rPr>
          <w:noProof/>
          <w:szCs w:val="22"/>
          <w:lang w:val="it-IT"/>
        </w:rPr>
        <w:t>eruzione cutanea, prurito, brividi, gonfiore del volto, delle labbra, della lingua o della gola, dolore al torace, respiro sibilante, difficoltà a respirare o a deglutire, capogiri o svenimento, deve immediatamente recarsi al pronto soccorso.</w:t>
      </w:r>
    </w:p>
    <w:p>
      <w:pPr>
        <w:tabs>
          <w:tab w:val="left" w:pos="180"/>
        </w:tabs>
        <w:autoSpaceDE w:val="0"/>
        <w:autoSpaceDN w:val="0"/>
        <w:adjustRightInd w:val="0"/>
        <w:spacing w:after="120"/>
        <w:rPr>
          <w:noProof/>
          <w:szCs w:val="22"/>
          <w:lang w:val="it-IT"/>
        </w:rPr>
      </w:pPr>
    </w:p>
    <w:p>
      <w:pPr>
        <w:keepNext/>
        <w:keepLines/>
        <w:tabs>
          <w:tab w:val="left" w:pos="180"/>
        </w:tabs>
        <w:autoSpaceDE w:val="0"/>
        <w:autoSpaceDN w:val="0"/>
        <w:adjustRightInd w:val="0"/>
        <w:rPr>
          <w:ins w:id="12672" w:author="Author"/>
          <w:b/>
          <w:noProof/>
          <w:lang w:val="it-IT"/>
        </w:rPr>
      </w:pPr>
      <w:r>
        <w:rPr>
          <w:b/>
          <w:noProof/>
          <w:lang w:val="it-IT"/>
        </w:rPr>
        <w:t>Indicazioni per il paziente sul riconoscimento e sul trattamento precoci per ridurne i rischi di un’infezione grave</w:t>
      </w:r>
    </w:p>
    <w:p>
      <w:pPr>
        <w:keepNext/>
        <w:keepLines/>
        <w:tabs>
          <w:tab w:val="left" w:pos="180"/>
        </w:tabs>
        <w:autoSpaceDE w:val="0"/>
        <w:autoSpaceDN w:val="0"/>
        <w:adjustRightInd w:val="0"/>
        <w:rPr>
          <w:b/>
          <w:noProof/>
          <w:lang w:val="it-IT"/>
        </w:rPr>
      </w:pPr>
    </w:p>
    <w:p>
      <w:pPr>
        <w:keepNext/>
        <w:keepLines/>
        <w:tabs>
          <w:tab w:val="left" w:pos="180"/>
        </w:tabs>
        <w:autoSpaceDE w:val="0"/>
        <w:autoSpaceDN w:val="0"/>
        <w:adjustRightInd w:val="0"/>
        <w:rPr>
          <w:ins w:id="12673" w:author="Author"/>
          <w:noProof/>
          <w:lang w:val="it-IT"/>
        </w:rPr>
      </w:pPr>
      <w:r>
        <w:rPr>
          <w:noProof/>
          <w:lang w:val="it-IT"/>
        </w:rPr>
        <w:t xml:space="preserve">Valutare attentamente i primi segni di infezione, quali: </w:t>
      </w:r>
    </w:p>
    <w:p>
      <w:pPr>
        <w:keepNext/>
        <w:keepLines/>
        <w:tabs>
          <w:tab w:val="left" w:pos="180"/>
        </w:tabs>
        <w:autoSpaceDE w:val="0"/>
        <w:autoSpaceDN w:val="0"/>
        <w:adjustRightInd w:val="0"/>
        <w:rPr>
          <w:noProof/>
          <w:lang w:val="it-IT"/>
        </w:rPr>
      </w:pPr>
    </w:p>
    <w:p>
      <w:pPr>
        <w:keepNext/>
        <w:keepLines/>
        <w:autoSpaceDE w:val="0"/>
        <w:autoSpaceDN w:val="0"/>
        <w:adjustRightInd w:val="0"/>
        <w:ind w:left="567" w:hanging="567"/>
        <w:rPr>
          <w:noProof/>
          <w:lang w:val="it-IT"/>
        </w:rPr>
        <w:pPrChange w:id="12674" w:author="Author">
          <w:pPr>
            <w:keepNext/>
            <w:keepLines/>
            <w:tabs>
              <w:tab w:val="left" w:pos="180"/>
            </w:tabs>
            <w:autoSpaceDE w:val="0"/>
            <w:autoSpaceDN w:val="0"/>
            <w:adjustRightInd w:val="0"/>
          </w:pPr>
        </w:pPrChange>
      </w:pPr>
      <w:r>
        <w:rPr>
          <w:noProof/>
          <w:szCs w:val="22"/>
          <w:lang w:val="it-IT"/>
        </w:rPr>
        <w:sym w:font="Symbol" w:char="00B7"/>
      </w:r>
      <w:r>
        <w:rPr>
          <w:noProof/>
          <w:szCs w:val="22"/>
          <w:lang w:val="it-IT"/>
        </w:rPr>
        <w:t xml:space="preserve"> </w:t>
      </w:r>
      <w:ins w:id="12675" w:author="Author">
        <w:r>
          <w:rPr>
            <w:noProof/>
            <w:szCs w:val="22"/>
            <w:lang w:val="it-IT"/>
          </w:rPr>
          <w:tab/>
        </w:r>
      </w:ins>
      <w:del w:id="12676" w:author="Author">
        <w:r>
          <w:rPr>
            <w:noProof/>
            <w:lang w:val="it-IT"/>
          </w:rPr>
          <w:delText xml:space="preserve"> </w:delText>
        </w:r>
      </w:del>
      <w:r>
        <w:rPr>
          <w:noProof/>
          <w:lang w:val="it-IT"/>
        </w:rPr>
        <w:t>dolori diffusi in tutto il corpo, febbre, brividi</w:t>
      </w:r>
    </w:p>
    <w:p>
      <w:pPr>
        <w:keepNext/>
        <w:keepLines/>
        <w:autoSpaceDE w:val="0"/>
        <w:autoSpaceDN w:val="0"/>
        <w:adjustRightInd w:val="0"/>
        <w:ind w:left="567" w:hanging="567"/>
        <w:rPr>
          <w:noProof/>
          <w:lang w:val="it-IT"/>
        </w:rPr>
        <w:pPrChange w:id="12677" w:author="Author">
          <w:pPr>
            <w:keepNext/>
            <w:keepLines/>
            <w:tabs>
              <w:tab w:val="left" w:pos="180"/>
            </w:tabs>
            <w:autoSpaceDE w:val="0"/>
            <w:autoSpaceDN w:val="0"/>
            <w:adjustRightInd w:val="0"/>
          </w:pPr>
        </w:pPrChange>
      </w:pPr>
      <w:r>
        <w:rPr>
          <w:noProof/>
          <w:szCs w:val="22"/>
          <w:lang w:val="it-IT"/>
        </w:rPr>
        <w:sym w:font="Symbol" w:char="00B7"/>
      </w:r>
      <w:r>
        <w:rPr>
          <w:noProof/>
          <w:szCs w:val="22"/>
          <w:lang w:val="it-IT"/>
        </w:rPr>
        <w:t xml:space="preserve"> </w:t>
      </w:r>
      <w:ins w:id="12678" w:author="Author">
        <w:r>
          <w:rPr>
            <w:noProof/>
            <w:szCs w:val="22"/>
            <w:lang w:val="it-IT"/>
          </w:rPr>
          <w:tab/>
        </w:r>
      </w:ins>
      <w:del w:id="12679" w:author="Author">
        <w:r>
          <w:rPr>
            <w:noProof/>
            <w:lang w:val="it-IT"/>
          </w:rPr>
          <w:delText xml:space="preserve"> </w:delText>
        </w:r>
      </w:del>
      <w:r>
        <w:rPr>
          <w:noProof/>
          <w:lang w:val="it-IT"/>
        </w:rPr>
        <w:t>tosse, senso di disagio/oppressione al torace, respiro corto</w:t>
      </w:r>
    </w:p>
    <w:p>
      <w:pPr>
        <w:autoSpaceDE w:val="0"/>
        <w:autoSpaceDN w:val="0"/>
        <w:adjustRightInd w:val="0"/>
        <w:ind w:left="567" w:hanging="567"/>
        <w:rPr>
          <w:noProof/>
          <w:lang w:val="it-IT"/>
        </w:rPr>
        <w:pPrChange w:id="12680" w:author="Author">
          <w:pPr>
            <w:tabs>
              <w:tab w:val="left" w:pos="180"/>
            </w:tabs>
            <w:autoSpaceDE w:val="0"/>
            <w:autoSpaceDN w:val="0"/>
            <w:adjustRightInd w:val="0"/>
          </w:pPr>
        </w:pPrChange>
      </w:pPr>
      <w:r>
        <w:rPr>
          <w:noProof/>
          <w:szCs w:val="22"/>
          <w:lang w:val="it-IT"/>
        </w:rPr>
        <w:sym w:font="Symbol" w:char="00B7"/>
      </w:r>
      <w:r>
        <w:rPr>
          <w:noProof/>
          <w:szCs w:val="22"/>
          <w:lang w:val="it-IT"/>
        </w:rPr>
        <w:t xml:space="preserve"> </w:t>
      </w:r>
      <w:ins w:id="12681" w:author="Author">
        <w:r>
          <w:rPr>
            <w:noProof/>
            <w:szCs w:val="22"/>
            <w:lang w:val="it-IT"/>
          </w:rPr>
          <w:tab/>
        </w:r>
      </w:ins>
      <w:del w:id="12682" w:author="Author">
        <w:r>
          <w:rPr>
            <w:noProof/>
            <w:lang w:val="it-IT"/>
          </w:rPr>
          <w:delText xml:space="preserve"> </w:delText>
        </w:r>
      </w:del>
      <w:r>
        <w:rPr>
          <w:noProof/>
          <w:lang w:val="it-IT"/>
        </w:rPr>
        <w:t>rossore, calore, gonfiore insolito della cute o delle articolazioni</w:t>
      </w:r>
    </w:p>
    <w:p>
      <w:pPr>
        <w:autoSpaceDE w:val="0"/>
        <w:autoSpaceDN w:val="0"/>
        <w:adjustRightInd w:val="0"/>
        <w:ind w:left="567" w:hanging="567"/>
        <w:rPr>
          <w:noProof/>
          <w:lang w:val="it-IT"/>
        </w:rPr>
        <w:pPrChange w:id="12683" w:author="Author">
          <w:pPr>
            <w:tabs>
              <w:tab w:val="left" w:pos="180"/>
            </w:tabs>
            <w:autoSpaceDE w:val="0"/>
            <w:autoSpaceDN w:val="0"/>
            <w:adjustRightInd w:val="0"/>
          </w:pPr>
        </w:pPrChange>
      </w:pPr>
      <w:r>
        <w:rPr>
          <w:noProof/>
          <w:szCs w:val="22"/>
          <w:lang w:val="it-IT"/>
        </w:rPr>
        <w:sym w:font="Symbol" w:char="00B7"/>
      </w:r>
      <w:r>
        <w:rPr>
          <w:noProof/>
          <w:szCs w:val="22"/>
          <w:lang w:val="it-IT"/>
        </w:rPr>
        <w:t xml:space="preserve"> </w:t>
      </w:r>
      <w:ins w:id="12684" w:author="Author">
        <w:r>
          <w:rPr>
            <w:noProof/>
            <w:szCs w:val="22"/>
            <w:lang w:val="it-IT"/>
          </w:rPr>
          <w:tab/>
        </w:r>
      </w:ins>
      <w:del w:id="12685" w:author="Author">
        <w:r>
          <w:rPr>
            <w:noProof/>
            <w:lang w:val="it-IT"/>
          </w:rPr>
          <w:delText xml:space="preserve"> </w:delText>
        </w:r>
      </w:del>
      <w:r>
        <w:rPr>
          <w:noProof/>
          <w:lang w:val="it-IT"/>
        </w:rPr>
        <w:t>dolore /dolorabilità addominale e/o cambiamenti della funzionalità intestinale.</w:t>
      </w:r>
    </w:p>
    <w:p>
      <w:pPr>
        <w:tabs>
          <w:tab w:val="left" w:pos="180"/>
        </w:tabs>
        <w:autoSpaceDE w:val="0"/>
        <w:autoSpaceDN w:val="0"/>
        <w:adjustRightInd w:val="0"/>
        <w:rPr>
          <w:ins w:id="12686" w:author="Author"/>
          <w:noProof/>
          <w:lang w:val="it-IT"/>
        </w:rPr>
      </w:pPr>
    </w:p>
    <w:p>
      <w:pPr>
        <w:tabs>
          <w:tab w:val="left" w:pos="180"/>
        </w:tabs>
        <w:autoSpaceDE w:val="0"/>
        <w:autoSpaceDN w:val="0"/>
        <w:adjustRightInd w:val="0"/>
        <w:rPr>
          <w:ins w:id="12687" w:author="Author"/>
          <w:noProof/>
          <w:lang w:val="it-IT"/>
        </w:rPr>
      </w:pPr>
      <w:r>
        <w:rPr>
          <w:noProof/>
          <w:lang w:val="it-IT"/>
        </w:rPr>
        <w:t xml:space="preserve">Se ritiene che stia sviluppando un’infezione si rivolga al medico e si sottoponga immediatamente a un controllo. </w:t>
      </w:r>
    </w:p>
    <w:p>
      <w:pPr>
        <w:tabs>
          <w:tab w:val="left" w:pos="180"/>
        </w:tabs>
        <w:autoSpaceDE w:val="0"/>
        <w:autoSpaceDN w:val="0"/>
        <w:adjustRightInd w:val="0"/>
        <w:rPr>
          <w:noProof/>
          <w:lang w:val="it-IT"/>
        </w:rPr>
      </w:pPr>
    </w:p>
    <w:p>
      <w:pPr>
        <w:tabs>
          <w:tab w:val="left" w:pos="180"/>
        </w:tabs>
        <w:autoSpaceDE w:val="0"/>
        <w:autoSpaceDN w:val="0"/>
        <w:adjustRightInd w:val="0"/>
        <w:rPr>
          <w:b/>
          <w:noProof/>
          <w:lang w:val="it-IT"/>
        </w:rPr>
      </w:pPr>
      <w:r>
        <w:rPr>
          <w:b/>
          <w:noProof/>
          <w:lang w:val="it-IT"/>
        </w:rPr>
        <w:t>Se ha dubbi o domande riguardo alla siringa, contatti l’operatore sanitario o il farmacista per ricevere assistenza.</w:t>
      </w:r>
    </w:p>
    <w:p>
      <w:pPr>
        <w:jc w:val="center"/>
        <w:outlineLvl w:val="0"/>
        <w:rPr>
          <w:b/>
          <w:noProof/>
          <w:szCs w:val="22"/>
          <w:lang w:val="it-IT" w:eastAsia="en-US"/>
        </w:rPr>
      </w:pPr>
      <w:r>
        <w:rPr>
          <w:noProof/>
          <w:lang w:val="it-IT"/>
        </w:rPr>
        <w:br w:type="page"/>
      </w:r>
      <w:r>
        <w:rPr>
          <w:rFonts w:eastAsia="Calibri"/>
          <w:b/>
          <w:noProof/>
          <w:szCs w:val="22"/>
          <w:lang w:val="it-IT" w:eastAsia="en-US"/>
        </w:rPr>
        <w:lastRenderedPageBreak/>
        <w:t>Foglio illustrativo: informazioni per l’utilizzatore</w:t>
      </w:r>
    </w:p>
    <w:p>
      <w:pPr>
        <w:jc w:val="center"/>
        <w:outlineLvl w:val="0"/>
        <w:rPr>
          <w:b/>
          <w:noProof/>
          <w:szCs w:val="22"/>
          <w:lang w:val="it-IT"/>
        </w:rPr>
      </w:pPr>
    </w:p>
    <w:p>
      <w:pPr>
        <w:jc w:val="center"/>
        <w:rPr>
          <w:b/>
          <w:bCs/>
          <w:noProof/>
          <w:szCs w:val="22"/>
          <w:lang w:val="it-IT" w:eastAsia="en-US"/>
        </w:rPr>
      </w:pPr>
      <w:r>
        <w:rPr>
          <w:rFonts w:eastAsia="Calibri"/>
          <w:b/>
          <w:bCs/>
          <w:noProof/>
          <w:szCs w:val="22"/>
          <w:lang w:val="it-IT" w:eastAsia="en-US"/>
        </w:rPr>
        <w:t>RoActemra 162 mg soluzione iniettabile in penna preriempita</w:t>
      </w:r>
      <w:r>
        <w:rPr>
          <w:rFonts w:eastAsia="Calibri"/>
          <w:noProof/>
          <w:szCs w:val="22"/>
          <w:lang w:val="it-IT" w:eastAsia="en-US"/>
        </w:rPr>
        <w:t xml:space="preserve"> </w:t>
      </w:r>
    </w:p>
    <w:p>
      <w:pPr>
        <w:jc w:val="center"/>
        <w:rPr>
          <w:noProof/>
          <w:szCs w:val="22"/>
          <w:lang w:val="it-IT" w:eastAsia="en-US"/>
        </w:rPr>
      </w:pPr>
      <w:r>
        <w:rPr>
          <w:rFonts w:eastAsia="Calibri"/>
          <w:noProof/>
          <w:szCs w:val="22"/>
          <w:lang w:val="it-IT" w:eastAsia="en-US"/>
        </w:rPr>
        <w:t>tocilizumab</w:t>
      </w:r>
    </w:p>
    <w:p>
      <w:pPr>
        <w:rPr>
          <w:noProof/>
          <w:szCs w:val="22"/>
          <w:lang w:val="it-IT"/>
        </w:rPr>
      </w:pPr>
    </w:p>
    <w:p>
      <w:pPr>
        <w:suppressAutoHyphens/>
        <w:rPr>
          <w:b/>
          <w:noProof/>
          <w:szCs w:val="22"/>
          <w:lang w:val="it-IT" w:eastAsia="en-US"/>
        </w:rPr>
      </w:pPr>
      <w:r>
        <w:rPr>
          <w:rFonts w:eastAsia="Calibri"/>
          <w:b/>
          <w:noProof/>
          <w:szCs w:val="22"/>
          <w:lang w:val="it-IT" w:eastAsia="en-US"/>
        </w:rPr>
        <w:t>Legga attentamente questo foglio prima di prendere questo medicinale perché contiene importanti informazioni per lei.</w:t>
      </w:r>
    </w:p>
    <w:p>
      <w:pPr>
        <w:suppressAutoHyphens/>
        <w:ind w:left="142" w:hanging="142"/>
        <w:rPr>
          <w:noProof/>
          <w:szCs w:val="22"/>
          <w:lang w:val="it-IT" w:eastAsia="en-US"/>
        </w:rPr>
      </w:pPr>
    </w:p>
    <w:p>
      <w:pPr>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Conservi questo foglio</w:t>
      </w:r>
      <w:r>
        <w:rPr>
          <w:rFonts w:eastAsia="Calibri"/>
          <w:noProof/>
          <w:szCs w:val="22"/>
          <w:lang w:val="it-IT" w:eastAsia="en-US"/>
          <w:rPrChange w:id="12688" w:author="Author">
            <w:rPr>
              <w:rFonts w:ascii="Calibri" w:eastAsia="Calibri" w:hAnsi="Calibri"/>
              <w:szCs w:val="22"/>
              <w:lang w:val="it-IT" w:eastAsia="en-US"/>
            </w:rPr>
          </w:rPrChange>
        </w:rPr>
        <w:t>.</w:t>
      </w:r>
      <w:r>
        <w:rPr>
          <w:rFonts w:eastAsia="Calibri"/>
          <w:noProof/>
          <w:szCs w:val="22"/>
          <w:lang w:val="it-IT" w:eastAsia="en-US"/>
        </w:rPr>
        <w:t xml:space="preserve"> Potrebbe aver bisogno di leggerlo di nuovo.</w:t>
      </w:r>
    </w:p>
    <w:p>
      <w:pPr>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Se ha qualsiasi dubbio, si rivolga al medico, al farmacista o all’infermiere.</w:t>
      </w:r>
    </w:p>
    <w:p>
      <w:pPr>
        <w:ind w:left="567" w:hanging="567"/>
        <w:rPr>
          <w:rFonts w:eastAsia="Calibri"/>
          <w:noProof/>
          <w:szCs w:val="22"/>
          <w:lang w:val="it-IT" w:eastAsia="en-US"/>
        </w:rPr>
      </w:pPr>
      <w:r>
        <w:rPr>
          <w:rFonts w:eastAsia="Calibri"/>
          <w:noProof/>
          <w:lang w:val="it-IT" w:eastAsia="en-US"/>
        </w:rPr>
        <w:sym w:font="Symbol" w:char="F0B7"/>
      </w:r>
      <w:r>
        <w:rPr>
          <w:rFonts w:eastAsia="Calibri"/>
          <w:noProof/>
          <w:szCs w:val="22"/>
          <w:lang w:val="it-IT" w:eastAsia="en-US"/>
        </w:rPr>
        <w:tab/>
        <w:t>Questo medicinale è stato prescritto soltanto per lei. Non lo dia ad altre persone, anche se i sintomi della malattia sono uguali ai suoi, perché potrebbe essere pericoloso.</w:t>
      </w:r>
    </w:p>
    <w:p>
      <w:pPr>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Se manifesta un qualsiasi effetto indesiderato, compresi quelli non elencati in questo foglio, si rivolga al medico, al farmacista o all’infermiere. Vedere paragrafo 4.</w:t>
      </w:r>
    </w:p>
    <w:p>
      <w:pPr>
        <w:ind w:left="567" w:hanging="567"/>
        <w:rPr>
          <w:noProof/>
          <w:szCs w:val="22"/>
          <w:lang w:val="it-IT"/>
        </w:rPr>
      </w:pPr>
    </w:p>
    <w:p>
      <w:pPr>
        <w:rPr>
          <w:noProof/>
          <w:szCs w:val="22"/>
          <w:lang w:val="it-IT" w:eastAsia="en-US"/>
        </w:rPr>
      </w:pPr>
      <w:r>
        <w:rPr>
          <w:rFonts w:eastAsia="Calibri"/>
          <w:noProof/>
          <w:szCs w:val="22"/>
          <w:lang w:val="it-IT" w:eastAsia="en-US"/>
        </w:rPr>
        <w:t xml:space="preserve">Oltre a questo foglio illustrativo, le sarà consegnata una </w:t>
      </w:r>
      <w:r>
        <w:rPr>
          <w:rFonts w:eastAsia="Calibri"/>
          <w:b/>
          <w:bCs/>
          <w:noProof/>
          <w:szCs w:val="22"/>
          <w:lang w:val="it-IT" w:eastAsia="en-US"/>
        </w:rPr>
        <w:t xml:space="preserve">Scheda per il Paziente, </w:t>
      </w:r>
      <w:r>
        <w:rPr>
          <w:rFonts w:eastAsia="Calibri"/>
          <w:noProof/>
          <w:szCs w:val="22"/>
          <w:lang w:val="it-IT" w:eastAsia="en-US"/>
        </w:rPr>
        <w:t xml:space="preserve">la quale contiene importanti informazioni di sicurezza che </w:t>
      </w:r>
      <w:del w:id="12689" w:author="Author">
        <w:r>
          <w:rPr>
            <w:rFonts w:eastAsia="Calibri"/>
            <w:noProof/>
            <w:szCs w:val="22"/>
            <w:lang w:val="it-IT" w:eastAsia="en-US"/>
          </w:rPr>
          <w:delText xml:space="preserve">lei </w:delText>
        </w:r>
      </w:del>
      <w:r>
        <w:rPr>
          <w:rFonts w:eastAsia="Calibri"/>
          <w:noProof/>
          <w:szCs w:val="22"/>
          <w:lang w:val="it-IT" w:eastAsia="en-US"/>
        </w:rPr>
        <w:t>deve conoscere prima che le venga somministrato RoActemra e durante il trattamento con RoActemra.</w:t>
      </w:r>
    </w:p>
    <w:p>
      <w:pPr>
        <w:rPr>
          <w:del w:id="12690" w:author="Author"/>
          <w:noProof/>
          <w:szCs w:val="22"/>
          <w:lang w:val="it-IT"/>
        </w:rPr>
      </w:pPr>
    </w:p>
    <w:p>
      <w:pPr>
        <w:rPr>
          <w:b/>
          <w:noProof/>
          <w:szCs w:val="22"/>
          <w:lang w:val="it-IT" w:eastAsia="en-US"/>
        </w:rPr>
      </w:pPr>
      <w:r>
        <w:rPr>
          <w:rFonts w:eastAsia="Calibri"/>
          <w:b/>
          <w:noProof/>
          <w:szCs w:val="22"/>
          <w:lang w:val="it-IT" w:eastAsia="en-US"/>
        </w:rPr>
        <w:t>Contenuto di questo foglio:</w:t>
      </w:r>
    </w:p>
    <w:p>
      <w:pPr>
        <w:rPr>
          <w:noProof/>
          <w:szCs w:val="22"/>
          <w:lang w:val="it-IT" w:eastAsia="en-US"/>
        </w:rPr>
      </w:pPr>
      <w:r>
        <w:rPr>
          <w:rFonts w:eastAsia="Calibri"/>
          <w:noProof/>
          <w:szCs w:val="22"/>
          <w:lang w:val="it-IT" w:eastAsia="en-US"/>
        </w:rPr>
        <w:t>1.</w:t>
      </w:r>
      <w:r>
        <w:rPr>
          <w:rFonts w:eastAsia="Calibri"/>
          <w:noProof/>
          <w:szCs w:val="22"/>
          <w:lang w:val="it-IT" w:eastAsia="en-US"/>
        </w:rPr>
        <w:tab/>
        <w:t>Cos’è RoActemra e a cosa serve</w:t>
      </w:r>
    </w:p>
    <w:p>
      <w:pPr>
        <w:rPr>
          <w:noProof/>
          <w:szCs w:val="22"/>
          <w:lang w:val="it-IT" w:eastAsia="en-US"/>
        </w:rPr>
      </w:pPr>
      <w:r>
        <w:rPr>
          <w:rFonts w:eastAsia="Calibri"/>
          <w:noProof/>
          <w:szCs w:val="22"/>
          <w:lang w:val="it-IT" w:eastAsia="en-US"/>
        </w:rPr>
        <w:t>2.</w:t>
      </w:r>
      <w:r>
        <w:rPr>
          <w:rFonts w:eastAsia="Calibri"/>
          <w:noProof/>
          <w:szCs w:val="22"/>
          <w:lang w:val="it-IT" w:eastAsia="en-US"/>
        </w:rPr>
        <w:tab/>
        <w:t>Cosa deve sapere prima di usare RoActemra</w:t>
      </w:r>
    </w:p>
    <w:p>
      <w:pPr>
        <w:rPr>
          <w:noProof/>
          <w:szCs w:val="22"/>
          <w:lang w:val="it-IT" w:eastAsia="en-US"/>
        </w:rPr>
      </w:pPr>
      <w:r>
        <w:rPr>
          <w:rFonts w:eastAsia="Calibri"/>
          <w:noProof/>
          <w:szCs w:val="22"/>
          <w:lang w:val="it-IT" w:eastAsia="en-US"/>
        </w:rPr>
        <w:t>3.</w:t>
      </w:r>
      <w:r>
        <w:rPr>
          <w:rFonts w:eastAsia="Calibri"/>
          <w:noProof/>
          <w:szCs w:val="22"/>
          <w:lang w:val="it-IT" w:eastAsia="en-US"/>
        </w:rPr>
        <w:tab/>
        <w:t>Come usare RoActemra</w:t>
      </w:r>
    </w:p>
    <w:p>
      <w:pPr>
        <w:rPr>
          <w:noProof/>
          <w:szCs w:val="22"/>
          <w:lang w:val="it-IT" w:eastAsia="en-US"/>
        </w:rPr>
      </w:pPr>
      <w:r>
        <w:rPr>
          <w:rFonts w:eastAsia="Calibri"/>
          <w:noProof/>
          <w:szCs w:val="22"/>
          <w:lang w:val="it-IT" w:eastAsia="en-US"/>
        </w:rPr>
        <w:t>4.</w:t>
      </w:r>
      <w:r>
        <w:rPr>
          <w:rFonts w:eastAsia="Calibri"/>
          <w:noProof/>
          <w:szCs w:val="22"/>
          <w:lang w:val="it-IT" w:eastAsia="en-US"/>
        </w:rPr>
        <w:tab/>
        <w:t>Possibili effetti indesiderati</w:t>
      </w:r>
    </w:p>
    <w:p>
      <w:pPr>
        <w:rPr>
          <w:noProof/>
          <w:szCs w:val="22"/>
          <w:lang w:val="it-IT" w:eastAsia="en-US"/>
        </w:rPr>
      </w:pPr>
      <w:r>
        <w:rPr>
          <w:rFonts w:eastAsia="Calibri"/>
          <w:noProof/>
          <w:szCs w:val="22"/>
          <w:lang w:val="it-IT" w:eastAsia="en-US"/>
        </w:rPr>
        <w:t>5.</w:t>
      </w:r>
      <w:r>
        <w:rPr>
          <w:rFonts w:eastAsia="Calibri"/>
          <w:noProof/>
          <w:szCs w:val="22"/>
          <w:lang w:val="it-IT" w:eastAsia="en-US"/>
        </w:rPr>
        <w:tab/>
        <w:t>Come conservare RoActemra</w:t>
      </w:r>
    </w:p>
    <w:p>
      <w:pPr>
        <w:rPr>
          <w:noProof/>
          <w:szCs w:val="22"/>
          <w:lang w:val="it-IT" w:eastAsia="en-US"/>
        </w:rPr>
      </w:pPr>
      <w:r>
        <w:rPr>
          <w:rFonts w:eastAsia="Calibri"/>
          <w:noProof/>
          <w:szCs w:val="22"/>
          <w:lang w:val="it-IT" w:eastAsia="en-US"/>
        </w:rPr>
        <w:t>6.</w:t>
      </w:r>
      <w:r>
        <w:rPr>
          <w:rFonts w:eastAsia="Calibri"/>
          <w:noProof/>
          <w:szCs w:val="22"/>
          <w:lang w:val="it-IT" w:eastAsia="en-US"/>
        </w:rPr>
        <w:tab/>
        <w:t>Contenuto della confezione e altre informazioni</w:t>
      </w:r>
    </w:p>
    <w:p>
      <w:pPr>
        <w:rPr>
          <w:b/>
          <w:noProof/>
          <w:szCs w:val="22"/>
          <w:lang w:val="it-IT"/>
        </w:rPr>
      </w:pPr>
    </w:p>
    <w:p>
      <w:pPr>
        <w:rPr>
          <w:b/>
          <w:noProof/>
          <w:szCs w:val="22"/>
          <w:lang w:val="it-IT"/>
        </w:rPr>
      </w:pPr>
    </w:p>
    <w:p>
      <w:pPr>
        <w:rPr>
          <w:b/>
          <w:noProof/>
          <w:szCs w:val="22"/>
          <w:lang w:val="it-IT" w:eastAsia="en-US"/>
        </w:rPr>
      </w:pPr>
      <w:r>
        <w:rPr>
          <w:rFonts w:eastAsia="Calibri"/>
          <w:b/>
          <w:noProof/>
          <w:szCs w:val="22"/>
          <w:lang w:val="it-IT" w:eastAsia="en-US"/>
        </w:rPr>
        <w:t>1.</w:t>
      </w:r>
      <w:r>
        <w:rPr>
          <w:rFonts w:eastAsia="Calibri"/>
          <w:b/>
          <w:noProof/>
          <w:szCs w:val="22"/>
          <w:lang w:val="it-IT" w:eastAsia="en-US"/>
        </w:rPr>
        <w:tab/>
        <w:t>Cos’è RoActemra e a cosa serve</w:t>
      </w:r>
    </w:p>
    <w:p>
      <w:pPr>
        <w:rPr>
          <w:b/>
          <w:noProof/>
          <w:szCs w:val="22"/>
          <w:lang w:val="it-IT"/>
        </w:rPr>
      </w:pPr>
    </w:p>
    <w:p>
      <w:pPr>
        <w:rPr>
          <w:noProof/>
          <w:szCs w:val="22"/>
          <w:lang w:val="it-IT" w:eastAsia="en-US"/>
        </w:rPr>
      </w:pPr>
      <w:r>
        <w:rPr>
          <w:rFonts w:eastAsia="Calibri"/>
          <w:noProof/>
          <w:szCs w:val="22"/>
          <w:lang w:val="it-IT" w:eastAsia="en-US"/>
        </w:rPr>
        <w:t xml:space="preserve">RoActemra contiene il principio attivo tocilizumab, una proteina prodotta da cellule immunitarie specifiche (anticorpo monoclonale) che blocca l’azione di una specifica proteina (citochina) chiamata interleuchina-6. Questa proteina è coinvolta nei processi infiammatori dell’organismo e il </w:t>
      </w:r>
      <w:del w:id="12691" w:author="Author">
        <w:r>
          <w:rPr>
            <w:rFonts w:eastAsia="Calibri"/>
            <w:noProof/>
            <w:szCs w:val="22"/>
            <w:lang w:val="it-IT" w:eastAsia="en-US"/>
          </w:rPr>
          <w:delText xml:space="preserve">suo </w:delText>
        </w:r>
      </w:del>
      <w:r>
        <w:rPr>
          <w:rFonts w:eastAsia="Calibri"/>
          <w:noProof/>
          <w:szCs w:val="22"/>
          <w:lang w:val="it-IT" w:eastAsia="en-US"/>
        </w:rPr>
        <w:t xml:space="preserve">blocco </w:t>
      </w:r>
      <w:ins w:id="12692" w:author="Author">
        <w:r>
          <w:rPr>
            <w:rFonts w:eastAsia="Calibri"/>
            <w:noProof/>
            <w:szCs w:val="22"/>
            <w:lang w:val="it-IT" w:eastAsia="en-US"/>
          </w:rPr>
          <w:t xml:space="preserve">di tale proteina </w:t>
        </w:r>
      </w:ins>
      <w:r>
        <w:rPr>
          <w:rFonts w:eastAsia="Calibri"/>
          <w:noProof/>
          <w:szCs w:val="22"/>
          <w:lang w:val="it-IT" w:eastAsia="en-US"/>
        </w:rPr>
        <w:t>può ridurre l’infiammazione nel</w:t>
      </w:r>
      <w:ins w:id="12693" w:author="Author">
        <w:r>
          <w:rPr>
            <w:rFonts w:eastAsia="Calibri"/>
            <w:noProof/>
            <w:szCs w:val="22"/>
            <w:lang w:val="it-IT" w:eastAsia="en-US"/>
          </w:rPr>
          <w:t>l’</w:t>
        </w:r>
      </w:ins>
      <w:del w:id="12694" w:author="Author">
        <w:r>
          <w:rPr>
            <w:rFonts w:eastAsia="Calibri"/>
            <w:noProof/>
            <w:szCs w:val="22"/>
            <w:lang w:val="it-IT" w:eastAsia="en-US"/>
          </w:rPr>
          <w:delText xml:space="preserve"> suo</w:delText>
        </w:r>
      </w:del>
      <w:r>
        <w:rPr>
          <w:rFonts w:eastAsia="Calibri"/>
          <w:noProof/>
          <w:szCs w:val="22"/>
          <w:lang w:val="it-IT" w:eastAsia="en-US"/>
        </w:rPr>
        <w:t xml:space="preserve"> organismo. RoActemra è utilizzato per trattare:</w:t>
      </w:r>
    </w:p>
    <w:p>
      <w:pPr>
        <w:rPr>
          <w:noProof/>
          <w:szCs w:val="22"/>
          <w:lang w:val="it-IT"/>
        </w:rPr>
      </w:pPr>
    </w:p>
    <w:p>
      <w:pPr>
        <w:ind w:left="567" w:hanging="567"/>
        <w:rPr>
          <w:noProof/>
          <w:szCs w:val="22"/>
          <w:lang w:val="it-IT" w:eastAsia="en-US"/>
        </w:rPr>
        <w:pPrChange w:id="12695" w:author="Author">
          <w:pPr>
            <w:ind w:left="714" w:hanging="357"/>
          </w:pPr>
        </w:pPrChange>
      </w:pPr>
      <w:r>
        <w:rPr>
          <w:rFonts w:eastAsia="Calibri"/>
          <w:noProof/>
          <w:lang w:val="it-IT" w:eastAsia="en-US"/>
        </w:rPr>
        <w:sym w:font="Symbol" w:char="F0B7"/>
      </w:r>
      <w:r>
        <w:rPr>
          <w:rFonts w:eastAsia="Calibri"/>
          <w:noProof/>
          <w:lang w:val="it-IT" w:eastAsia="en-US"/>
        </w:rPr>
        <w:tab/>
      </w:r>
      <w:r>
        <w:rPr>
          <w:rFonts w:eastAsia="Calibri"/>
          <w:b/>
          <w:bCs/>
          <w:noProof/>
          <w:szCs w:val="22"/>
          <w:lang w:val="it-IT" w:eastAsia="en-US"/>
        </w:rPr>
        <w:t>adulti con artrite reumatoide (AR) attiva da moderata a grave</w:t>
      </w:r>
      <w:r>
        <w:rPr>
          <w:rFonts w:eastAsia="Calibri"/>
          <w:noProof/>
          <w:szCs w:val="22"/>
          <w:lang w:val="it-IT" w:eastAsia="en-US"/>
        </w:rPr>
        <w:t>, una malattia autoimmune, se le precedenti terapie non hanno funzionato abbastanza.</w:t>
      </w:r>
    </w:p>
    <w:p>
      <w:pPr>
        <w:ind w:left="567" w:hanging="567"/>
        <w:rPr>
          <w:noProof/>
          <w:szCs w:val="22"/>
          <w:lang w:val="it-IT"/>
        </w:rPr>
        <w:pPrChange w:id="12696" w:author="Author">
          <w:pPr/>
        </w:pPrChange>
      </w:pPr>
    </w:p>
    <w:p>
      <w:pPr>
        <w:ind w:left="567" w:hanging="567"/>
        <w:rPr>
          <w:noProof/>
          <w:szCs w:val="22"/>
          <w:lang w:val="it-IT" w:eastAsia="en-US"/>
        </w:rPr>
        <w:pPrChange w:id="12697" w:author="Author">
          <w:pPr>
            <w:ind w:left="714" w:hanging="357"/>
          </w:pPr>
        </w:pPrChange>
      </w:pPr>
      <w:r>
        <w:rPr>
          <w:rFonts w:eastAsia="Calibri"/>
          <w:noProof/>
          <w:lang w:val="it-IT" w:eastAsia="en-US"/>
        </w:rPr>
        <w:sym w:font="Symbol" w:char="F0B7"/>
      </w:r>
      <w:r>
        <w:rPr>
          <w:rFonts w:eastAsia="Calibri"/>
          <w:noProof/>
          <w:lang w:val="it-IT" w:eastAsia="en-US"/>
        </w:rPr>
        <w:tab/>
      </w:r>
      <w:r>
        <w:rPr>
          <w:rFonts w:eastAsia="Calibri"/>
          <w:b/>
          <w:noProof/>
          <w:lang w:val="it-IT" w:eastAsia="en-US"/>
        </w:rPr>
        <w:t>adulti con artrite reumatoide (AR) grave, attiva e in progressione,</w:t>
      </w:r>
      <w:r>
        <w:rPr>
          <w:rFonts w:eastAsia="Calibri"/>
          <w:noProof/>
          <w:lang w:val="it-IT" w:eastAsia="en-US"/>
        </w:rPr>
        <w:t xml:space="preserve"> precedentemente non trattati con metotre</w:t>
      </w:r>
      <w:ins w:id="12698" w:author="Author">
        <w:r>
          <w:rPr>
            <w:rFonts w:eastAsia="Calibri"/>
            <w:noProof/>
            <w:lang w:val="it-IT" w:eastAsia="en-US"/>
          </w:rPr>
          <w:t>x</w:t>
        </w:r>
      </w:ins>
      <w:del w:id="12699" w:author="Author">
        <w:r>
          <w:rPr>
            <w:rFonts w:eastAsia="Calibri"/>
            <w:noProof/>
            <w:lang w:val="it-IT" w:eastAsia="en-US"/>
          </w:rPr>
          <w:delText>ss</w:delText>
        </w:r>
      </w:del>
      <w:r>
        <w:rPr>
          <w:rFonts w:eastAsia="Calibri"/>
          <w:noProof/>
          <w:lang w:val="it-IT" w:eastAsia="en-US"/>
        </w:rPr>
        <w:t>ato</w:t>
      </w:r>
      <w:r>
        <w:rPr>
          <w:rFonts w:eastAsia="Calibri"/>
          <w:noProof/>
          <w:szCs w:val="22"/>
          <w:lang w:val="it-IT" w:eastAsia="en-US"/>
          <w:rPrChange w:id="12700" w:author="Author">
            <w:rPr>
              <w:rFonts w:ascii="Calibri" w:eastAsia="Calibri" w:hAnsi="Calibri"/>
              <w:szCs w:val="22"/>
              <w:lang w:val="it-IT" w:eastAsia="en-US"/>
            </w:rPr>
          </w:rPrChange>
        </w:rPr>
        <w:t>.</w:t>
      </w:r>
    </w:p>
    <w:p>
      <w:pPr>
        <w:ind w:left="567"/>
        <w:rPr>
          <w:noProof/>
          <w:szCs w:val="22"/>
          <w:lang w:val="it-IT"/>
        </w:rPr>
        <w:pPrChange w:id="12701" w:author="Author">
          <w:pPr/>
        </w:pPrChange>
      </w:pPr>
    </w:p>
    <w:p>
      <w:pPr>
        <w:ind w:left="567"/>
        <w:rPr>
          <w:noProof/>
          <w:szCs w:val="22"/>
          <w:lang w:val="it-IT" w:eastAsia="en-US"/>
        </w:rPr>
        <w:pPrChange w:id="12702" w:author="Author">
          <w:pPr/>
        </w:pPrChange>
      </w:pPr>
      <w:r>
        <w:rPr>
          <w:rFonts w:eastAsia="Calibri"/>
          <w:noProof/>
          <w:szCs w:val="22"/>
          <w:lang w:val="it-IT" w:eastAsia="en-US"/>
        </w:rPr>
        <w:t xml:space="preserve">RoActemra aiuta a ridurre i sintomi della AR, come il dolore e la tumefazione delle articolazioni, e può inoltre migliorare le </w:t>
      </w:r>
      <w:del w:id="12703" w:author="Author">
        <w:r>
          <w:rPr>
            <w:rFonts w:eastAsia="Calibri"/>
            <w:noProof/>
            <w:szCs w:val="22"/>
            <w:lang w:val="it-IT" w:eastAsia="en-US"/>
          </w:rPr>
          <w:delText xml:space="preserve">sue </w:delText>
        </w:r>
      </w:del>
      <w:r>
        <w:rPr>
          <w:rFonts w:eastAsia="Calibri"/>
          <w:noProof/>
          <w:szCs w:val="22"/>
          <w:lang w:val="it-IT" w:eastAsia="en-US"/>
        </w:rPr>
        <w:t xml:space="preserve">capacità di effettuare le attività quotidiane. RoActemra ha dimostrato di rallentare il danno alla cartilagine e all’osso delle articolazioni causato dalla malattia e di migliorare la </w:t>
      </w:r>
      <w:del w:id="12704" w:author="Author">
        <w:r>
          <w:rPr>
            <w:rFonts w:eastAsia="Calibri"/>
            <w:noProof/>
            <w:szCs w:val="22"/>
            <w:lang w:val="it-IT" w:eastAsia="en-US"/>
          </w:rPr>
          <w:delText xml:space="preserve">sua </w:delText>
        </w:r>
      </w:del>
      <w:r>
        <w:rPr>
          <w:rFonts w:eastAsia="Calibri"/>
          <w:noProof/>
          <w:szCs w:val="22"/>
          <w:lang w:val="it-IT" w:eastAsia="en-US"/>
        </w:rPr>
        <w:t>capacità di svolgere le normali attività quotidiane.</w:t>
      </w:r>
    </w:p>
    <w:p>
      <w:pPr>
        <w:ind w:left="567"/>
        <w:rPr>
          <w:noProof/>
          <w:szCs w:val="22"/>
          <w:lang w:val="it-IT"/>
        </w:rPr>
        <w:pPrChange w:id="12705" w:author="Author">
          <w:pPr/>
        </w:pPrChange>
      </w:pPr>
    </w:p>
    <w:p>
      <w:pPr>
        <w:ind w:left="567"/>
        <w:rPr>
          <w:noProof/>
          <w:szCs w:val="22"/>
          <w:lang w:val="it-IT" w:eastAsia="en-US"/>
        </w:rPr>
        <w:pPrChange w:id="12706" w:author="Author">
          <w:pPr/>
        </w:pPrChange>
      </w:pPr>
      <w:r>
        <w:rPr>
          <w:rFonts w:eastAsia="Calibri"/>
          <w:noProof/>
          <w:szCs w:val="22"/>
          <w:lang w:val="it-IT" w:eastAsia="en-US"/>
        </w:rPr>
        <w:t>RoActemra è solitamente usato in associazione con un altro medicinale per la AR chiamato metotre</w:t>
      </w:r>
      <w:ins w:id="12707" w:author="Author">
        <w:r>
          <w:rPr>
            <w:rFonts w:eastAsia="Calibri"/>
            <w:noProof/>
            <w:szCs w:val="22"/>
            <w:lang w:val="it-IT" w:eastAsia="en-US"/>
          </w:rPr>
          <w:t>x</w:t>
        </w:r>
      </w:ins>
      <w:del w:id="12708" w:author="Author">
        <w:r>
          <w:rPr>
            <w:rFonts w:eastAsia="Calibri"/>
            <w:noProof/>
            <w:szCs w:val="22"/>
            <w:lang w:val="it-IT" w:eastAsia="en-US"/>
          </w:rPr>
          <w:delText>ss</w:delText>
        </w:r>
      </w:del>
      <w:r>
        <w:rPr>
          <w:rFonts w:eastAsia="Calibri"/>
          <w:noProof/>
          <w:szCs w:val="22"/>
          <w:lang w:val="it-IT" w:eastAsia="en-US"/>
        </w:rPr>
        <w:t>ato. RoActemra può comunque essere usato da solo se il medico decide che il trattamento con metotre</w:t>
      </w:r>
      <w:ins w:id="12709" w:author="Author">
        <w:r>
          <w:rPr>
            <w:rFonts w:eastAsia="Calibri"/>
            <w:noProof/>
            <w:szCs w:val="22"/>
            <w:lang w:val="it-IT" w:eastAsia="en-US"/>
          </w:rPr>
          <w:t>x</w:t>
        </w:r>
      </w:ins>
      <w:del w:id="12710" w:author="Author">
        <w:r>
          <w:rPr>
            <w:rFonts w:eastAsia="Calibri"/>
            <w:noProof/>
            <w:szCs w:val="22"/>
            <w:lang w:val="it-IT" w:eastAsia="en-US"/>
          </w:rPr>
          <w:delText>ss</w:delText>
        </w:r>
      </w:del>
      <w:r>
        <w:rPr>
          <w:rFonts w:eastAsia="Calibri"/>
          <w:noProof/>
          <w:szCs w:val="22"/>
          <w:lang w:val="it-IT" w:eastAsia="en-US"/>
        </w:rPr>
        <w:t>ato è inappropriato.</w:t>
      </w:r>
    </w:p>
    <w:p>
      <w:pPr>
        <w:keepLines/>
        <w:rPr>
          <w:noProof/>
          <w:szCs w:val="22"/>
          <w:lang w:val="it-IT"/>
        </w:rPr>
        <w:pPrChange w:id="12711" w:author="Author">
          <w:pPr>
            <w:keepNext/>
            <w:keepLines/>
          </w:pPr>
        </w:pPrChange>
      </w:pPr>
    </w:p>
    <w:p>
      <w:pPr>
        <w:keepNext/>
        <w:keepLines/>
        <w:ind w:left="567" w:hanging="567"/>
        <w:rPr>
          <w:rFonts w:eastAsia="Calibri"/>
          <w:noProof/>
          <w:szCs w:val="22"/>
          <w:lang w:val="it-IT" w:eastAsia="en-US"/>
        </w:rPr>
        <w:pPrChange w:id="12712" w:author="Author">
          <w:pPr>
            <w:keepNext/>
            <w:keepLines/>
            <w:ind w:left="573" w:hanging="573"/>
          </w:pPr>
        </w:pPrChange>
      </w:pPr>
      <w:r>
        <w:rPr>
          <w:rFonts w:eastAsia="Calibri"/>
          <w:noProof/>
          <w:lang w:val="it-IT" w:eastAsia="en-US"/>
        </w:rPr>
        <w:sym w:font="Symbol" w:char="F0B7"/>
      </w:r>
      <w:r>
        <w:rPr>
          <w:rFonts w:eastAsia="Calibri"/>
          <w:noProof/>
          <w:szCs w:val="22"/>
          <w:lang w:val="it-IT" w:eastAsia="en-US"/>
        </w:rPr>
        <w:tab/>
      </w:r>
      <w:r>
        <w:rPr>
          <w:rFonts w:eastAsia="Calibri"/>
          <w:b/>
          <w:noProof/>
          <w:lang w:val="it-IT" w:eastAsia="en-US"/>
        </w:rPr>
        <w:t xml:space="preserve">adulti con una malattia delle arterie chiamata arterite a cellule giganti </w:t>
      </w:r>
      <w:r>
        <w:rPr>
          <w:rFonts w:eastAsia="Calibri"/>
          <w:noProof/>
          <w:lang w:val="it-IT" w:eastAsia="en-US"/>
        </w:rPr>
        <w:t>(</w:t>
      </w:r>
      <w:r>
        <w:rPr>
          <w:rFonts w:eastAsia="Calibri"/>
          <w:b/>
          <w:noProof/>
          <w:lang w:val="it-IT" w:eastAsia="en-US"/>
        </w:rPr>
        <w:t>ACG</w:t>
      </w:r>
      <w:r>
        <w:rPr>
          <w:rFonts w:eastAsia="Calibri"/>
          <w:noProof/>
          <w:lang w:val="it-IT" w:eastAsia="en-US"/>
        </w:rPr>
        <w:t>), provocata dall’infiammazione delle arterie più grosse del corpo, specialmente quelle che portano il sangue alla testa e al collo. I sintomi includono mal di testa, affaticamento e dolore alla mandibola/mascella. Gli effetti possono includere ictus e cecità.</w:t>
      </w:r>
    </w:p>
    <w:p>
      <w:pPr>
        <w:keepNext/>
        <w:keepLines/>
        <w:ind w:left="567"/>
        <w:rPr>
          <w:noProof/>
          <w:szCs w:val="22"/>
          <w:lang w:val="it-IT"/>
        </w:rPr>
        <w:pPrChange w:id="12713" w:author="Author">
          <w:pPr>
            <w:keepNext/>
            <w:keepLines/>
            <w:spacing w:line="200" w:lineRule="atLeast"/>
          </w:pPr>
        </w:pPrChange>
      </w:pPr>
    </w:p>
    <w:p>
      <w:pPr>
        <w:ind w:left="567"/>
        <w:rPr>
          <w:rFonts w:eastAsia="Calibri"/>
          <w:noProof/>
          <w:lang w:val="it-IT" w:eastAsia="en-US"/>
        </w:rPr>
        <w:pPrChange w:id="12714" w:author="Author">
          <w:pPr>
            <w:keepNext/>
            <w:keepLines/>
            <w:ind w:left="357"/>
          </w:pPr>
        </w:pPrChange>
      </w:pPr>
      <w:r>
        <w:rPr>
          <w:rFonts w:eastAsia="Calibri"/>
          <w:noProof/>
          <w:lang w:val="it-IT" w:eastAsia="en-US"/>
        </w:rPr>
        <w:t>RoActemra può ridurre il dolore e il rigonfiamento di arterie e vene nella testa, nel collo e nelle braccia.</w:t>
      </w:r>
    </w:p>
    <w:p>
      <w:pPr>
        <w:ind w:left="567"/>
        <w:rPr>
          <w:noProof/>
          <w:lang w:val="it-IT"/>
        </w:rPr>
        <w:pPrChange w:id="12715" w:author="Author">
          <w:pPr>
            <w:keepNext/>
            <w:keepLines/>
          </w:pPr>
        </w:pPrChange>
      </w:pPr>
    </w:p>
    <w:p>
      <w:pPr>
        <w:ind w:left="567"/>
        <w:rPr>
          <w:rFonts w:eastAsia="Calibri"/>
          <w:noProof/>
          <w:lang w:val="it-IT" w:eastAsia="en-US"/>
        </w:rPr>
        <w:pPrChange w:id="12716" w:author="Author">
          <w:pPr>
            <w:keepNext/>
            <w:keepLines/>
            <w:ind w:left="357"/>
          </w:pPr>
        </w:pPrChange>
      </w:pPr>
      <w:r>
        <w:rPr>
          <w:rFonts w:eastAsia="Calibri"/>
          <w:noProof/>
          <w:lang w:val="it-IT" w:eastAsia="en-US"/>
        </w:rPr>
        <w:lastRenderedPageBreak/>
        <w:t>La ACG è spesso trattata con medicinali chiamati steroidi, che generalmente sono efficaci, ma possono provocare effetti indesiderati se usati a dosi elevate per periodi protratti. Inoltre, la riduzione della dose di steroidi può provocare una riacutizzazione della ACG. Aggiungere RoActemra al trattamento significa poter utilizzare gli steroidi per un periodo più breve, tenendo comunque sotto controllo la ACG.</w:t>
      </w:r>
    </w:p>
    <w:p>
      <w:pPr>
        <w:ind w:left="709"/>
        <w:rPr>
          <w:noProof/>
          <w:lang w:val="it-IT"/>
        </w:rPr>
      </w:pPr>
    </w:p>
    <w:p>
      <w:pPr>
        <w:pStyle w:val="Standard"/>
        <w:ind w:left="567" w:hanging="567"/>
        <w:rPr>
          <w:noProof/>
          <w:szCs w:val="22"/>
          <w:lang w:val="it-IT"/>
        </w:rPr>
        <w:pPrChange w:id="12717" w:author="Author">
          <w:pPr>
            <w:pStyle w:val="Standard"/>
            <w:ind w:left="360" w:hanging="360"/>
          </w:pPr>
        </w:pPrChange>
      </w:pPr>
      <w:r>
        <w:rPr>
          <w:noProof/>
          <w:lang w:val="it-IT"/>
        </w:rPr>
        <w:sym w:font="Symbol" w:char="00B7"/>
      </w:r>
      <w:r>
        <w:rPr>
          <w:noProof/>
          <w:lang w:val="it-IT"/>
        </w:rPr>
        <w:tab/>
      </w:r>
      <w:r>
        <w:rPr>
          <w:b/>
          <w:noProof/>
          <w:szCs w:val="22"/>
          <w:lang w:val="it-IT"/>
        </w:rPr>
        <w:t xml:space="preserve">bambini e adolescenti, di età uguale o superiore a 12 anni, con </w:t>
      </w:r>
      <w:r>
        <w:rPr>
          <w:b/>
          <w:i/>
          <w:noProof/>
          <w:szCs w:val="22"/>
          <w:lang w:val="it-IT"/>
        </w:rPr>
        <w:t xml:space="preserve">artrite idiopatica giovanile </w:t>
      </w:r>
      <w:r>
        <w:rPr>
          <w:rFonts w:eastAsia="SimSun"/>
          <w:b/>
          <w:i/>
          <w:noProof/>
          <w:lang w:val="it-IT" w:eastAsia="zh-CN"/>
        </w:rPr>
        <w:t>sistemica</w:t>
      </w:r>
      <w:r>
        <w:rPr>
          <w:b/>
          <w:noProof/>
          <w:szCs w:val="22"/>
          <w:lang w:val="it-IT"/>
        </w:rPr>
        <w:t xml:space="preserve"> (AIGs) attiva</w:t>
      </w:r>
      <w:r>
        <w:rPr>
          <w:noProof/>
          <w:szCs w:val="22"/>
          <w:lang w:val="it-IT"/>
        </w:rPr>
        <w:t xml:space="preserve">, una malattia infiammatoria che causa dolore e tumefazione a carico di una o più articolazioni, nonché febbre ed eruzione cutanea. </w:t>
      </w:r>
    </w:p>
    <w:p>
      <w:pPr>
        <w:pStyle w:val="Standard"/>
        <w:ind w:left="567" w:hanging="567"/>
        <w:rPr>
          <w:noProof/>
          <w:szCs w:val="22"/>
          <w:lang w:val="it-IT"/>
        </w:rPr>
        <w:pPrChange w:id="12718" w:author="Author">
          <w:pPr>
            <w:pStyle w:val="Standard"/>
            <w:ind w:left="360" w:hanging="360"/>
          </w:pPr>
        </w:pPrChange>
      </w:pPr>
      <w:r>
        <w:rPr>
          <w:b/>
          <w:noProof/>
          <w:szCs w:val="22"/>
          <w:lang w:val="it-IT"/>
        </w:rPr>
        <w:br/>
      </w:r>
      <w:r>
        <w:rPr>
          <w:noProof/>
          <w:szCs w:val="22"/>
          <w:lang w:val="it-IT"/>
        </w:rPr>
        <w:t xml:space="preserve">RoActemra è usato per determinare un miglioramento dei sintomi dell’AIGs. Può essere somministrato in </w:t>
      </w:r>
      <w:del w:id="12719" w:author="Author">
        <w:r>
          <w:rPr>
            <w:noProof/>
            <w:szCs w:val="22"/>
            <w:lang w:val="it-IT"/>
          </w:rPr>
          <w:delText xml:space="preserve">combinazione </w:delText>
        </w:r>
      </w:del>
      <w:ins w:id="12720" w:author="Author">
        <w:r>
          <w:rPr>
            <w:noProof/>
            <w:szCs w:val="22"/>
            <w:lang w:val="it-IT"/>
          </w:rPr>
          <w:t xml:space="preserve">associazione </w:t>
        </w:r>
      </w:ins>
      <w:r>
        <w:rPr>
          <w:noProof/>
          <w:szCs w:val="22"/>
          <w:lang w:val="it-IT"/>
        </w:rPr>
        <w:t>con metotre</w:t>
      </w:r>
      <w:ins w:id="12721" w:author="Author">
        <w:r>
          <w:rPr>
            <w:noProof/>
            <w:szCs w:val="22"/>
            <w:lang w:val="it-IT"/>
          </w:rPr>
          <w:t>x</w:t>
        </w:r>
      </w:ins>
      <w:del w:id="12722" w:author="Author">
        <w:r>
          <w:rPr>
            <w:noProof/>
            <w:szCs w:val="22"/>
            <w:lang w:val="it-IT"/>
          </w:rPr>
          <w:delText>ss</w:delText>
        </w:r>
      </w:del>
      <w:r>
        <w:rPr>
          <w:noProof/>
          <w:szCs w:val="22"/>
          <w:lang w:val="it-IT"/>
        </w:rPr>
        <w:t>ato o da solo.</w:t>
      </w:r>
    </w:p>
    <w:p>
      <w:pPr>
        <w:tabs>
          <w:tab w:val="left" w:pos="180"/>
        </w:tabs>
        <w:ind w:left="567" w:hanging="567"/>
        <w:rPr>
          <w:noProof/>
          <w:szCs w:val="22"/>
          <w:lang w:val="it-IT"/>
        </w:rPr>
        <w:pPrChange w:id="12723" w:author="Author">
          <w:pPr>
            <w:tabs>
              <w:tab w:val="left" w:pos="180"/>
            </w:tabs>
          </w:pPr>
        </w:pPrChange>
      </w:pPr>
    </w:p>
    <w:p>
      <w:pPr>
        <w:pStyle w:val="Standard"/>
        <w:ind w:left="567" w:hanging="567"/>
        <w:rPr>
          <w:noProof/>
          <w:szCs w:val="22"/>
          <w:lang w:val="it-IT"/>
        </w:rPr>
        <w:pPrChange w:id="12724" w:author="Author">
          <w:pPr>
            <w:pStyle w:val="Standard"/>
            <w:ind w:left="360" w:hanging="360"/>
          </w:pPr>
        </w:pPrChange>
      </w:pPr>
      <w:r>
        <w:rPr>
          <w:noProof/>
          <w:lang w:val="it-IT"/>
        </w:rPr>
        <w:sym w:font="Symbol" w:char="00B7"/>
      </w:r>
      <w:r>
        <w:rPr>
          <w:noProof/>
          <w:lang w:val="it-IT"/>
        </w:rPr>
        <w:tab/>
      </w:r>
      <w:r>
        <w:rPr>
          <w:b/>
          <w:noProof/>
          <w:szCs w:val="22"/>
          <w:lang w:val="it-IT"/>
        </w:rPr>
        <w:t xml:space="preserve">bambini e adolescenti, di età uguale o superiore a 12 anni, con </w:t>
      </w:r>
      <w:r>
        <w:rPr>
          <w:b/>
          <w:i/>
          <w:noProof/>
          <w:szCs w:val="22"/>
          <w:lang w:val="it-IT"/>
        </w:rPr>
        <w:t xml:space="preserve">artrite idiopatica giovanile </w:t>
      </w:r>
      <w:r>
        <w:rPr>
          <w:rFonts w:eastAsia="SimSun"/>
          <w:b/>
          <w:i/>
          <w:noProof/>
          <w:lang w:val="it-IT" w:eastAsia="zh-CN"/>
        </w:rPr>
        <w:t>poliarticolare</w:t>
      </w:r>
      <w:r>
        <w:rPr>
          <w:b/>
          <w:noProof/>
          <w:szCs w:val="22"/>
          <w:lang w:val="it-IT"/>
        </w:rPr>
        <w:t xml:space="preserve"> (AIGp) attiva</w:t>
      </w:r>
      <w:r>
        <w:rPr>
          <w:noProof/>
          <w:szCs w:val="22"/>
          <w:lang w:val="it-IT"/>
        </w:rPr>
        <w:t xml:space="preserve">, una malattia infiammatoria che causa dolore e tumefazione a carico di una o più articolazioni. </w:t>
      </w:r>
    </w:p>
    <w:p>
      <w:pPr>
        <w:pStyle w:val="Standard"/>
        <w:ind w:left="567" w:hanging="567"/>
        <w:rPr>
          <w:rFonts w:eastAsia="Calibri"/>
          <w:noProof/>
          <w:lang w:val="it-IT" w:eastAsia="en-US"/>
        </w:rPr>
        <w:pPrChange w:id="12725" w:author="Author">
          <w:pPr>
            <w:pStyle w:val="Standard"/>
            <w:ind w:left="360" w:hanging="360"/>
          </w:pPr>
        </w:pPrChange>
      </w:pPr>
      <w:r>
        <w:rPr>
          <w:b/>
          <w:noProof/>
          <w:szCs w:val="22"/>
          <w:lang w:val="it-IT"/>
        </w:rPr>
        <w:br/>
      </w:r>
      <w:r>
        <w:rPr>
          <w:noProof/>
          <w:szCs w:val="22"/>
          <w:lang w:val="it-IT"/>
        </w:rPr>
        <w:t xml:space="preserve">RoActemra è usato per determinare un miglioramento dei sintomi dell’AIGp. Può essere somministrato in </w:t>
      </w:r>
      <w:del w:id="12726" w:author="Author">
        <w:r>
          <w:rPr>
            <w:noProof/>
            <w:szCs w:val="22"/>
            <w:lang w:val="it-IT"/>
          </w:rPr>
          <w:delText xml:space="preserve">combinazione </w:delText>
        </w:r>
      </w:del>
      <w:ins w:id="12727" w:author="Author">
        <w:r>
          <w:rPr>
            <w:noProof/>
            <w:szCs w:val="22"/>
            <w:lang w:val="it-IT"/>
          </w:rPr>
          <w:t xml:space="preserve">associazione </w:t>
        </w:r>
      </w:ins>
      <w:r>
        <w:rPr>
          <w:noProof/>
          <w:szCs w:val="22"/>
          <w:lang w:val="it-IT"/>
        </w:rPr>
        <w:t>con metotre</w:t>
      </w:r>
      <w:ins w:id="12728" w:author="Author">
        <w:r>
          <w:rPr>
            <w:noProof/>
            <w:szCs w:val="22"/>
            <w:lang w:val="it-IT"/>
          </w:rPr>
          <w:t>x</w:t>
        </w:r>
      </w:ins>
      <w:del w:id="12729" w:author="Author">
        <w:r>
          <w:rPr>
            <w:noProof/>
            <w:szCs w:val="22"/>
            <w:lang w:val="it-IT"/>
          </w:rPr>
          <w:delText>ss</w:delText>
        </w:r>
      </w:del>
      <w:r>
        <w:rPr>
          <w:noProof/>
          <w:szCs w:val="22"/>
          <w:lang w:val="it-IT"/>
        </w:rPr>
        <w:t xml:space="preserve">ato o da solo. </w:t>
      </w:r>
    </w:p>
    <w:p>
      <w:pPr>
        <w:rPr>
          <w:noProof/>
          <w:szCs w:val="22"/>
          <w:lang w:val="it-IT"/>
        </w:rPr>
      </w:pPr>
    </w:p>
    <w:p>
      <w:pPr>
        <w:rPr>
          <w:noProof/>
          <w:szCs w:val="22"/>
          <w:lang w:val="it-IT"/>
        </w:rPr>
      </w:pPr>
    </w:p>
    <w:p>
      <w:pPr>
        <w:rPr>
          <w:b/>
          <w:noProof/>
          <w:szCs w:val="22"/>
          <w:lang w:val="it-IT" w:eastAsia="en-US"/>
        </w:rPr>
      </w:pPr>
      <w:r>
        <w:rPr>
          <w:rFonts w:eastAsia="Calibri"/>
          <w:b/>
          <w:noProof/>
          <w:szCs w:val="22"/>
          <w:lang w:val="it-IT" w:eastAsia="en-US"/>
        </w:rPr>
        <w:t>2.</w:t>
      </w:r>
      <w:r>
        <w:rPr>
          <w:rFonts w:eastAsia="Calibri"/>
          <w:b/>
          <w:noProof/>
          <w:szCs w:val="22"/>
          <w:lang w:val="it-IT" w:eastAsia="en-US"/>
        </w:rPr>
        <w:tab/>
        <w:t>Cosa deve sapere prima di usare RoActemra</w:t>
      </w:r>
    </w:p>
    <w:p>
      <w:pPr>
        <w:rPr>
          <w:b/>
          <w:noProof/>
          <w:szCs w:val="22"/>
          <w:lang w:val="it-IT"/>
        </w:rPr>
      </w:pPr>
    </w:p>
    <w:p>
      <w:pPr>
        <w:rPr>
          <w:noProof/>
          <w:szCs w:val="22"/>
          <w:lang w:val="it-IT" w:eastAsia="en-US"/>
        </w:rPr>
      </w:pPr>
      <w:r>
        <w:rPr>
          <w:rFonts w:eastAsia="Calibri"/>
          <w:b/>
          <w:noProof/>
          <w:szCs w:val="22"/>
          <w:lang w:val="it-IT" w:eastAsia="en-US"/>
        </w:rPr>
        <w:t>Non usi RoActemra</w:t>
      </w:r>
    </w:p>
    <w:p>
      <w:pPr>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 xml:space="preserve">se </w:t>
      </w:r>
      <w:r>
        <w:rPr>
          <w:noProof/>
          <w:szCs w:val="22"/>
          <w:lang w:val="it-IT"/>
        </w:rPr>
        <w:t xml:space="preserve">lei o un paziente pediatrico di cui si prende cura </w:t>
      </w:r>
      <w:r>
        <w:rPr>
          <w:rFonts w:eastAsia="Calibri"/>
          <w:noProof/>
          <w:szCs w:val="22"/>
          <w:lang w:val="it-IT" w:eastAsia="en-US"/>
        </w:rPr>
        <w:t>è allergico a tocilizumab o ad uno qualsiasi degli altri componenti di questo medicinale (elencati nel paragrafo 6).</w:t>
      </w:r>
    </w:p>
    <w:p>
      <w:pPr>
        <w:ind w:left="567" w:hanging="567"/>
        <w:rPr>
          <w:noProof/>
          <w:szCs w:val="22"/>
          <w:lang w:val="it-IT" w:eastAsia="en-US"/>
        </w:rPr>
        <w:pPrChange w:id="12730" w:author="Author">
          <w:pPr/>
        </w:pPrChange>
      </w:pPr>
      <w:r>
        <w:rPr>
          <w:rFonts w:eastAsia="Calibri"/>
          <w:noProof/>
          <w:lang w:val="it-IT" w:eastAsia="en-US"/>
        </w:rPr>
        <w:sym w:font="Symbol" w:char="F0B7"/>
      </w:r>
      <w:r>
        <w:rPr>
          <w:rFonts w:eastAsia="Calibri"/>
          <w:noProof/>
          <w:szCs w:val="22"/>
          <w:lang w:val="it-IT" w:eastAsia="en-US"/>
        </w:rPr>
        <w:tab/>
        <w:t xml:space="preserve">se </w:t>
      </w:r>
      <w:r>
        <w:rPr>
          <w:noProof/>
          <w:szCs w:val="22"/>
          <w:lang w:val="it-IT"/>
        </w:rPr>
        <w:t xml:space="preserve">lei o un paziente pediatrico di cui si prende cura </w:t>
      </w:r>
      <w:r>
        <w:rPr>
          <w:rFonts w:eastAsia="Calibri"/>
          <w:noProof/>
          <w:szCs w:val="22"/>
          <w:lang w:val="it-IT" w:eastAsia="en-US"/>
        </w:rPr>
        <w:t>ha un’infezione grave attiva.</w:t>
      </w:r>
    </w:p>
    <w:p>
      <w:pPr>
        <w:numPr>
          <w:ilvl w:val="12"/>
          <w:numId w:val="0"/>
        </w:numPr>
        <w:outlineLvl w:val="0"/>
        <w:rPr>
          <w:b/>
          <w:noProof/>
          <w:szCs w:val="22"/>
          <w:lang w:val="it-IT"/>
        </w:rPr>
      </w:pPr>
    </w:p>
    <w:p>
      <w:pPr>
        <w:rPr>
          <w:noProof/>
          <w:szCs w:val="22"/>
          <w:lang w:val="it-IT" w:eastAsia="en-US"/>
        </w:rPr>
      </w:pPr>
      <w:r>
        <w:rPr>
          <w:rFonts w:eastAsia="Calibri"/>
          <w:noProof/>
          <w:szCs w:val="22"/>
          <w:lang w:val="it-IT" w:eastAsia="en-US"/>
        </w:rPr>
        <w:t>Se una di queste condizioni la riguarda, informi il medico. Non usi RoActemra.</w:t>
      </w:r>
    </w:p>
    <w:p>
      <w:pPr>
        <w:numPr>
          <w:ilvl w:val="12"/>
          <w:numId w:val="0"/>
        </w:numPr>
        <w:outlineLvl w:val="0"/>
        <w:rPr>
          <w:b/>
          <w:noProof/>
          <w:szCs w:val="22"/>
          <w:lang w:val="it-IT"/>
        </w:rPr>
      </w:pPr>
    </w:p>
    <w:p>
      <w:pPr>
        <w:keepNext/>
        <w:keepLines/>
        <w:numPr>
          <w:ilvl w:val="12"/>
          <w:numId w:val="0"/>
        </w:numPr>
        <w:outlineLvl w:val="0"/>
        <w:rPr>
          <w:b/>
          <w:noProof/>
          <w:szCs w:val="22"/>
          <w:lang w:val="it-IT" w:eastAsia="en-US"/>
        </w:rPr>
      </w:pPr>
      <w:r>
        <w:rPr>
          <w:rFonts w:eastAsia="Calibri"/>
          <w:b/>
          <w:noProof/>
          <w:szCs w:val="22"/>
          <w:lang w:val="it-IT" w:eastAsia="en-US"/>
        </w:rPr>
        <w:t>Avvertenze e precauzioni</w:t>
      </w:r>
    </w:p>
    <w:p>
      <w:pPr>
        <w:keepNext/>
        <w:keepLines/>
        <w:numPr>
          <w:ilvl w:val="12"/>
          <w:numId w:val="0"/>
        </w:numPr>
        <w:outlineLvl w:val="0"/>
        <w:rPr>
          <w:b/>
          <w:noProof/>
          <w:szCs w:val="22"/>
          <w:lang w:val="it-IT"/>
        </w:rPr>
      </w:pPr>
    </w:p>
    <w:p>
      <w:pPr>
        <w:keepNext/>
        <w:keepLines/>
        <w:numPr>
          <w:ilvl w:val="12"/>
          <w:numId w:val="0"/>
        </w:numPr>
        <w:rPr>
          <w:noProof/>
          <w:szCs w:val="22"/>
          <w:lang w:val="it-IT" w:eastAsia="en-US"/>
        </w:rPr>
      </w:pPr>
      <w:r>
        <w:rPr>
          <w:rFonts w:eastAsia="Calibri"/>
          <w:noProof/>
          <w:szCs w:val="22"/>
          <w:lang w:val="it-IT" w:eastAsia="en-US"/>
        </w:rPr>
        <w:t>Parli con il medico, il farmacista o l’infermiere prima di usare RoActemra.</w:t>
      </w:r>
    </w:p>
    <w:p>
      <w:pPr>
        <w:keepNext/>
        <w:rPr>
          <w:b/>
          <w:noProof/>
          <w:szCs w:val="22"/>
          <w:lang w:val="it-IT"/>
        </w:rPr>
      </w:pPr>
    </w:p>
    <w:p>
      <w:pPr>
        <w:ind w:left="567" w:hanging="567"/>
        <w:rPr>
          <w:b/>
          <w:noProof/>
          <w:szCs w:val="22"/>
          <w:lang w:val="it-IT" w:eastAsia="en-US"/>
        </w:rPr>
      </w:pPr>
      <w:r>
        <w:rPr>
          <w:rFonts w:eastAsia="Calibri"/>
          <w:noProof/>
          <w:lang w:val="it-IT" w:eastAsia="en-US"/>
        </w:rPr>
        <w:sym w:font="Symbol" w:char="F0B7"/>
      </w:r>
      <w:r>
        <w:rPr>
          <w:rFonts w:eastAsia="Calibri"/>
          <w:b/>
          <w:noProof/>
          <w:szCs w:val="22"/>
          <w:lang w:val="it-IT" w:eastAsia="en-US"/>
        </w:rPr>
        <w:tab/>
      </w:r>
      <w:r>
        <w:rPr>
          <w:rFonts w:eastAsia="Calibri"/>
          <w:noProof/>
          <w:szCs w:val="22"/>
          <w:lang w:val="it-IT" w:eastAsia="en-US"/>
        </w:rPr>
        <w:t xml:space="preserve">Se manifesta </w:t>
      </w:r>
      <w:r>
        <w:rPr>
          <w:rFonts w:eastAsia="Calibri"/>
          <w:b/>
          <w:bCs/>
          <w:noProof/>
          <w:szCs w:val="22"/>
          <w:lang w:val="it-IT" w:eastAsia="en-US"/>
        </w:rPr>
        <w:t>reazioni allergiche</w:t>
      </w:r>
      <w:r>
        <w:rPr>
          <w:rFonts w:eastAsia="Calibri"/>
          <w:noProof/>
          <w:szCs w:val="22"/>
          <w:lang w:val="it-IT" w:eastAsia="en-US"/>
        </w:rPr>
        <w:t xml:space="preserve">, quali oppressione al torace, respiro sibilante, forti capogiri o una sensazione di stordimento, tumefazione delle labbra, della lingua, prurito alla pelle o al viso, orticaria o eruzione cutanea durante l’iniezione o subito dopo, </w:t>
      </w:r>
      <w:r>
        <w:rPr>
          <w:rFonts w:eastAsia="Calibri"/>
          <w:b/>
          <w:bCs/>
          <w:noProof/>
          <w:szCs w:val="22"/>
          <w:lang w:val="it-IT" w:eastAsia="en-US"/>
        </w:rPr>
        <w:t>informi immediatamente il medico</w:t>
      </w:r>
      <w:r>
        <w:rPr>
          <w:rFonts w:eastAsia="Calibri"/>
          <w:noProof/>
          <w:szCs w:val="22"/>
          <w:lang w:val="it-IT" w:eastAsia="en-US"/>
        </w:rPr>
        <w:t>.</w:t>
      </w:r>
    </w:p>
    <w:p>
      <w:pPr>
        <w:ind w:left="567" w:hanging="567"/>
        <w:rPr>
          <w:ins w:id="12731" w:author="Author"/>
          <w:noProof/>
          <w:szCs w:val="22"/>
          <w:lang w:val="it-IT"/>
        </w:rPr>
      </w:pPr>
    </w:p>
    <w:p>
      <w:pPr>
        <w:ind w:left="567" w:hanging="567"/>
        <w:rPr>
          <w:noProof/>
          <w:szCs w:val="22"/>
          <w:lang w:val="it-IT" w:eastAsia="en-US"/>
        </w:rPr>
      </w:pPr>
      <w:r>
        <w:rPr>
          <w:rFonts w:eastAsia="Calibri"/>
          <w:noProof/>
          <w:lang w:val="it-IT" w:eastAsia="en-US"/>
        </w:rPr>
        <w:sym w:font="Symbol" w:char="F0B7"/>
      </w:r>
      <w:r>
        <w:rPr>
          <w:rFonts w:eastAsia="Calibri"/>
          <w:b/>
          <w:noProof/>
          <w:szCs w:val="22"/>
          <w:lang w:val="it-IT" w:eastAsia="en-US"/>
        </w:rPr>
        <w:tab/>
      </w:r>
      <w:r>
        <w:rPr>
          <w:rFonts w:eastAsia="Calibri"/>
          <w:bCs/>
          <w:noProof/>
          <w:color w:val="000000"/>
          <w:szCs w:val="22"/>
          <w:lang w:val="it-IT" w:eastAsia="en-US"/>
        </w:rPr>
        <w:t>Se dopo la somministrazione di RoActemra manifesta qualsiasi sintomo indicativo di una reazione allergica, non assuma la dose successiva finché non avrà informato il medico E questi non le avrà detto di prenderla.</w:t>
      </w:r>
    </w:p>
    <w:p>
      <w:pPr>
        <w:ind w:left="567" w:hanging="567"/>
        <w:rPr>
          <w:ins w:id="12732" w:author="Author"/>
          <w:noProof/>
          <w:szCs w:val="22"/>
          <w:lang w:val="it-IT"/>
        </w:rPr>
      </w:pPr>
    </w:p>
    <w:p>
      <w:pPr>
        <w:ind w:left="567" w:hanging="567"/>
        <w:rPr>
          <w:noProof/>
          <w:szCs w:val="22"/>
          <w:lang w:val="it-IT" w:eastAsia="en-US"/>
        </w:rPr>
      </w:pPr>
      <w:r>
        <w:rPr>
          <w:rFonts w:eastAsia="Calibri"/>
          <w:noProof/>
          <w:lang w:val="it-IT" w:eastAsia="en-US"/>
        </w:rPr>
        <w:sym w:font="Symbol" w:char="F0B7"/>
      </w:r>
      <w:r>
        <w:rPr>
          <w:rFonts w:eastAsia="Calibri"/>
          <w:b/>
          <w:noProof/>
          <w:szCs w:val="22"/>
          <w:lang w:val="it-IT" w:eastAsia="en-US"/>
        </w:rPr>
        <w:tab/>
      </w:r>
      <w:r>
        <w:rPr>
          <w:rFonts w:eastAsia="Calibri"/>
          <w:noProof/>
          <w:szCs w:val="22"/>
          <w:lang w:val="it-IT" w:eastAsia="en-US"/>
        </w:rPr>
        <w:t>Se ha un’</w:t>
      </w:r>
      <w:r>
        <w:rPr>
          <w:rFonts w:eastAsia="Calibri"/>
          <w:b/>
          <w:bCs/>
          <w:noProof/>
          <w:szCs w:val="22"/>
          <w:lang w:val="it-IT" w:eastAsia="en-US"/>
        </w:rPr>
        <w:t>infezione</w:t>
      </w:r>
      <w:r>
        <w:rPr>
          <w:rFonts w:eastAsia="Calibri"/>
          <w:noProof/>
          <w:szCs w:val="22"/>
          <w:lang w:val="it-IT" w:eastAsia="en-US"/>
        </w:rPr>
        <w:t xml:space="preserve"> di qualsiasi tipo di breve o lunga durata, oppure se ha frequenti infezioni. </w:t>
      </w:r>
      <w:r>
        <w:rPr>
          <w:rFonts w:eastAsia="Calibri"/>
          <w:b/>
          <w:bCs/>
          <w:noProof/>
          <w:szCs w:val="22"/>
          <w:lang w:val="it-IT" w:eastAsia="en-US"/>
        </w:rPr>
        <w:t>Informi immediatamente il medico</w:t>
      </w:r>
      <w:r>
        <w:rPr>
          <w:rFonts w:eastAsia="Calibri"/>
          <w:noProof/>
          <w:szCs w:val="22"/>
          <w:lang w:val="it-IT" w:eastAsia="en-US"/>
        </w:rPr>
        <w:t xml:space="preserve"> se si sente poco bene. RoActemra può ridurre la capacità del corpo di rispondere alle infezioni e potrebbe peggiorare un’infezione esistente o aumentare le possibilità di incorrere in una nuova infezione.</w:t>
      </w:r>
    </w:p>
    <w:p>
      <w:pPr>
        <w:ind w:left="567" w:hanging="567"/>
        <w:rPr>
          <w:noProof/>
          <w:szCs w:val="22"/>
          <w:lang w:val="it-IT"/>
        </w:rPr>
      </w:pPr>
    </w:p>
    <w:p>
      <w:pPr>
        <w:keepNext/>
        <w:keepLines/>
        <w:ind w:left="567" w:hanging="567"/>
        <w:rPr>
          <w:noProof/>
          <w:szCs w:val="22"/>
          <w:lang w:val="it-IT" w:eastAsia="en-US"/>
        </w:rPr>
      </w:pPr>
      <w:r>
        <w:rPr>
          <w:rFonts w:eastAsia="Calibri"/>
          <w:noProof/>
          <w:lang w:val="it-IT" w:eastAsia="en-US"/>
        </w:rPr>
        <w:lastRenderedPageBreak/>
        <w:sym w:font="Symbol" w:char="F0B7"/>
      </w:r>
      <w:r>
        <w:rPr>
          <w:rFonts w:eastAsia="Calibri"/>
          <w:noProof/>
          <w:szCs w:val="22"/>
          <w:lang w:val="it-IT" w:eastAsia="en-US"/>
        </w:rPr>
        <w:tab/>
        <w:t xml:space="preserve">Se ha avuto la </w:t>
      </w:r>
      <w:r>
        <w:rPr>
          <w:rFonts w:eastAsia="Calibri"/>
          <w:b/>
          <w:bCs/>
          <w:noProof/>
          <w:szCs w:val="22"/>
          <w:lang w:val="it-IT" w:eastAsia="en-US"/>
        </w:rPr>
        <w:t>tubercolosi</w:t>
      </w:r>
      <w:r>
        <w:rPr>
          <w:rFonts w:eastAsia="Calibri"/>
          <w:noProof/>
          <w:szCs w:val="22"/>
          <w:lang w:val="it-IT" w:eastAsia="en-US"/>
        </w:rPr>
        <w:t>, informi il medico. Il medico ricercherà segni e sintomi della tubercolosi prima di iniziare la terapia con RoActemra. Se i sintomi della tubercolosi (tosse persistente, perdita di peso, svogliatezza, febbre lieve) o qualsiasi altra infezione appaiono durante o dopo la terapia, informi immediatamente il medico.</w:t>
      </w:r>
    </w:p>
    <w:p>
      <w:pPr>
        <w:keepNext/>
        <w:keepLines/>
        <w:ind w:left="567" w:hanging="567"/>
        <w:rPr>
          <w:noProof/>
          <w:szCs w:val="22"/>
          <w:lang w:val="it-IT"/>
        </w:rPr>
      </w:pPr>
    </w:p>
    <w:p>
      <w:pPr>
        <w:keepNext/>
        <w:keepLines/>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 xml:space="preserve">Se ha avuto </w:t>
      </w:r>
      <w:r>
        <w:rPr>
          <w:rFonts w:eastAsia="Calibri"/>
          <w:b/>
          <w:bCs/>
          <w:noProof/>
          <w:szCs w:val="22"/>
          <w:lang w:val="it-IT" w:eastAsia="en-US"/>
        </w:rPr>
        <w:t>ulcere intestinali</w:t>
      </w:r>
      <w:r>
        <w:rPr>
          <w:rFonts w:eastAsia="Calibri"/>
          <w:noProof/>
          <w:szCs w:val="22"/>
          <w:lang w:val="it-IT" w:eastAsia="en-US"/>
        </w:rPr>
        <w:t xml:space="preserve"> o </w:t>
      </w:r>
      <w:r>
        <w:rPr>
          <w:rFonts w:eastAsia="Calibri"/>
          <w:b/>
          <w:bCs/>
          <w:noProof/>
          <w:szCs w:val="22"/>
          <w:lang w:val="it-IT" w:eastAsia="en-US"/>
        </w:rPr>
        <w:t>diverticolite</w:t>
      </w:r>
      <w:r>
        <w:rPr>
          <w:rFonts w:eastAsia="Calibri"/>
          <w:noProof/>
          <w:szCs w:val="22"/>
          <w:lang w:val="it-IT" w:eastAsia="en-US"/>
        </w:rPr>
        <w:t>, informi il medico. Tra i sintomi vi potrebbero essere dolore addominale e variazioni inspiegabili delle abitudini intestinali associate a febbre.</w:t>
      </w:r>
    </w:p>
    <w:p>
      <w:pPr>
        <w:keepNext/>
        <w:keepLines/>
        <w:ind w:left="567" w:hanging="567"/>
        <w:rPr>
          <w:noProof/>
          <w:szCs w:val="22"/>
          <w:lang w:val="it-IT"/>
        </w:rPr>
      </w:pPr>
    </w:p>
    <w:p>
      <w:pPr>
        <w:keepNext/>
        <w:keepLines/>
        <w:ind w:left="567" w:hanging="567"/>
        <w:rPr>
          <w:noProof/>
          <w:szCs w:val="22"/>
          <w:lang w:val="it-IT" w:eastAsia="en-US"/>
        </w:rPr>
      </w:pPr>
      <w:r>
        <w:rPr>
          <w:rFonts w:eastAsia="Calibri"/>
          <w:noProof/>
          <w:lang w:val="it-IT" w:eastAsia="en-US"/>
        </w:rPr>
        <w:sym w:font="Symbol" w:char="F0B7"/>
      </w:r>
      <w:r>
        <w:rPr>
          <w:rFonts w:eastAsia="Calibri"/>
          <w:b/>
          <w:bCs/>
          <w:noProof/>
          <w:szCs w:val="22"/>
          <w:lang w:val="it-IT" w:eastAsia="en-US"/>
        </w:rPr>
        <w:tab/>
      </w:r>
      <w:r>
        <w:rPr>
          <w:rFonts w:eastAsia="Calibri"/>
          <w:bCs/>
          <w:noProof/>
          <w:szCs w:val="22"/>
          <w:lang w:val="it-IT" w:eastAsia="en-US"/>
        </w:rPr>
        <w:t xml:space="preserve">Se ha una </w:t>
      </w:r>
      <w:r>
        <w:rPr>
          <w:rFonts w:eastAsia="Calibri"/>
          <w:b/>
          <w:bCs/>
          <w:noProof/>
          <w:szCs w:val="22"/>
          <w:lang w:val="it-IT" w:eastAsia="en-US"/>
        </w:rPr>
        <w:t>malattia del fegato</w:t>
      </w:r>
      <w:r>
        <w:rPr>
          <w:rFonts w:eastAsia="Calibri"/>
          <w:bCs/>
          <w:noProof/>
          <w:szCs w:val="22"/>
          <w:lang w:val="it-IT" w:eastAsia="en-US"/>
        </w:rPr>
        <w:t>, informi il medico.</w:t>
      </w:r>
      <w:r>
        <w:rPr>
          <w:rFonts w:eastAsia="Calibri"/>
          <w:noProof/>
          <w:szCs w:val="22"/>
          <w:lang w:val="it-IT" w:eastAsia="en-US"/>
        </w:rPr>
        <w:t xml:space="preserve"> </w:t>
      </w:r>
      <w:r>
        <w:rPr>
          <w:rFonts w:eastAsia="Calibri"/>
          <w:bCs/>
          <w:noProof/>
          <w:szCs w:val="22"/>
          <w:lang w:val="it-IT" w:eastAsia="en-US"/>
        </w:rPr>
        <w:t>Prima di usare RoActemra il medico potrebbe voler fare un esame del sangue per esaminare la funzionalità del suo fegato.</w:t>
      </w:r>
    </w:p>
    <w:p>
      <w:pPr>
        <w:ind w:left="567" w:hanging="567"/>
        <w:rPr>
          <w:noProof/>
          <w:szCs w:val="22"/>
          <w:lang w:val="it-IT"/>
        </w:rPr>
      </w:pPr>
    </w:p>
    <w:p>
      <w:pPr>
        <w:ind w:left="567" w:hanging="567"/>
        <w:rPr>
          <w:noProof/>
          <w:szCs w:val="22"/>
          <w:lang w:val="it-IT" w:eastAsia="en-US"/>
        </w:rPr>
      </w:pPr>
      <w:r>
        <w:rPr>
          <w:rFonts w:eastAsia="Calibri"/>
          <w:noProof/>
          <w:lang w:val="it-IT" w:eastAsia="en-US"/>
        </w:rPr>
        <w:sym w:font="Symbol" w:char="F0B7"/>
      </w:r>
      <w:r>
        <w:rPr>
          <w:rFonts w:eastAsia="Calibri"/>
          <w:b/>
          <w:noProof/>
          <w:szCs w:val="22"/>
          <w:lang w:val="it-IT" w:eastAsia="en-US"/>
        </w:rPr>
        <w:tab/>
      </w:r>
      <w:r>
        <w:rPr>
          <w:rFonts w:eastAsia="Calibri"/>
          <w:b/>
          <w:bCs/>
          <w:noProof/>
          <w:szCs w:val="22"/>
          <w:lang w:val="it-IT" w:eastAsia="en-US"/>
        </w:rPr>
        <w:t>Se un paziente è stato vaccinato di recente</w:t>
      </w:r>
      <w:r>
        <w:rPr>
          <w:rFonts w:eastAsia="Calibri"/>
          <w:noProof/>
          <w:szCs w:val="22"/>
          <w:lang w:val="it-IT" w:eastAsia="en-US"/>
        </w:rPr>
        <w:t xml:space="preserve"> o prevede di sottoporsi ad una vaccinazione, deve informare il medico. Tutti i pazienti devono essere in regola con tutte le vaccinazioni prima di iniziare il trattamento con RoActemra. Alcuni tipi di vaccini non devono essere somministrati durante la terapia con RoActemra.</w:t>
      </w:r>
    </w:p>
    <w:p>
      <w:pPr>
        <w:ind w:left="567" w:hanging="567"/>
        <w:rPr>
          <w:noProof/>
          <w:szCs w:val="22"/>
          <w:lang w:val="it-IT"/>
        </w:rPr>
      </w:pPr>
    </w:p>
    <w:p>
      <w:pPr>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 xml:space="preserve">Se ha un </w:t>
      </w:r>
      <w:r>
        <w:rPr>
          <w:rFonts w:eastAsia="Calibri"/>
          <w:b/>
          <w:bCs/>
          <w:noProof/>
          <w:szCs w:val="22"/>
          <w:lang w:val="it-IT" w:eastAsia="en-US"/>
        </w:rPr>
        <w:t>tumore</w:t>
      </w:r>
      <w:r>
        <w:rPr>
          <w:rFonts w:eastAsia="Calibri"/>
          <w:noProof/>
          <w:szCs w:val="22"/>
          <w:lang w:val="it-IT" w:eastAsia="en-US"/>
        </w:rPr>
        <w:t>, informi il medico. Il medico dovrà decidere se potrà ancora ricevere RoActemra.</w:t>
      </w:r>
    </w:p>
    <w:p>
      <w:pPr>
        <w:ind w:left="567" w:hanging="567"/>
        <w:rPr>
          <w:noProof/>
          <w:szCs w:val="22"/>
          <w:lang w:val="it-IT"/>
        </w:rPr>
      </w:pPr>
    </w:p>
    <w:p>
      <w:pPr>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 xml:space="preserve">Se ha </w:t>
      </w:r>
      <w:r>
        <w:rPr>
          <w:rFonts w:eastAsia="Calibri"/>
          <w:b/>
          <w:bCs/>
          <w:noProof/>
          <w:szCs w:val="22"/>
          <w:lang w:val="it-IT" w:eastAsia="en-US"/>
        </w:rPr>
        <w:t>fattori di rischio cardiovascolari</w:t>
      </w:r>
      <w:r>
        <w:rPr>
          <w:rFonts w:eastAsia="Calibri"/>
          <w:noProof/>
          <w:szCs w:val="22"/>
          <w:lang w:val="it-IT" w:eastAsia="en-US"/>
        </w:rPr>
        <w:t xml:space="preserve"> quali aumento della pressione </w:t>
      </w:r>
      <w:del w:id="12733" w:author="Author">
        <w:r>
          <w:rPr>
            <w:rFonts w:eastAsia="Calibri"/>
            <w:noProof/>
            <w:szCs w:val="22"/>
            <w:lang w:val="it-IT" w:eastAsia="en-US"/>
          </w:rPr>
          <w:delText xml:space="preserve">arteriosa </w:delText>
        </w:r>
      </w:del>
      <w:ins w:id="12734" w:author="Author">
        <w:r>
          <w:rPr>
            <w:rFonts w:eastAsia="Calibri"/>
            <w:noProof/>
            <w:szCs w:val="22"/>
            <w:lang w:val="it-IT" w:eastAsia="en-US"/>
          </w:rPr>
          <w:t xml:space="preserve">sanguigna </w:t>
        </w:r>
      </w:ins>
      <w:r>
        <w:rPr>
          <w:rFonts w:eastAsia="Calibri"/>
          <w:noProof/>
          <w:szCs w:val="22"/>
          <w:lang w:val="it-IT" w:eastAsia="en-US"/>
        </w:rPr>
        <w:t>o aumento dei livelli di colesterolo, informi il medico. Questi fattori devono essere monitorati mentre assume RoActemra.</w:t>
      </w:r>
    </w:p>
    <w:p>
      <w:pPr>
        <w:ind w:left="567" w:hanging="567"/>
        <w:rPr>
          <w:noProof/>
          <w:szCs w:val="22"/>
          <w:lang w:val="it-IT"/>
        </w:rPr>
      </w:pPr>
    </w:p>
    <w:p>
      <w:pPr>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 xml:space="preserve">Se ha </w:t>
      </w:r>
      <w:r>
        <w:rPr>
          <w:rFonts w:eastAsia="Calibri"/>
          <w:b/>
          <w:bCs/>
          <w:noProof/>
          <w:szCs w:val="22"/>
          <w:lang w:val="it-IT" w:eastAsia="en-US"/>
        </w:rPr>
        <w:t>problemi di funzionalità renale</w:t>
      </w:r>
      <w:r>
        <w:rPr>
          <w:rFonts w:eastAsia="Calibri"/>
          <w:noProof/>
          <w:szCs w:val="22"/>
          <w:lang w:val="it-IT" w:eastAsia="en-US"/>
        </w:rPr>
        <w:t xml:space="preserve"> di grado da moderato a grave, il medico la terrà sotto controllo.</w:t>
      </w:r>
    </w:p>
    <w:p>
      <w:pPr>
        <w:ind w:left="567" w:hanging="567"/>
        <w:rPr>
          <w:noProof/>
          <w:szCs w:val="22"/>
          <w:lang w:val="it-IT"/>
        </w:rPr>
      </w:pPr>
    </w:p>
    <w:p>
      <w:pPr>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 xml:space="preserve">Se ha </w:t>
      </w:r>
      <w:r>
        <w:rPr>
          <w:rFonts w:eastAsia="Calibri"/>
          <w:b/>
          <w:bCs/>
          <w:noProof/>
          <w:szCs w:val="22"/>
          <w:lang w:val="it-IT" w:eastAsia="en-US"/>
        </w:rPr>
        <w:t>mal di testa persistente</w:t>
      </w:r>
      <w:r>
        <w:rPr>
          <w:rFonts w:eastAsia="Calibri"/>
          <w:noProof/>
          <w:szCs w:val="22"/>
          <w:lang w:val="it-IT" w:eastAsia="en-US"/>
        </w:rPr>
        <w:t>.</w:t>
      </w:r>
    </w:p>
    <w:p>
      <w:pPr>
        <w:ind w:left="567" w:hanging="567"/>
        <w:rPr>
          <w:noProof/>
          <w:szCs w:val="22"/>
          <w:lang w:val="it-IT"/>
        </w:rPr>
      </w:pPr>
    </w:p>
    <w:p>
      <w:pPr>
        <w:rPr>
          <w:noProof/>
          <w:szCs w:val="22"/>
          <w:lang w:val="it-IT" w:eastAsia="en-US"/>
        </w:rPr>
      </w:pPr>
      <w:r>
        <w:rPr>
          <w:rFonts w:eastAsia="Calibri"/>
          <w:noProof/>
          <w:szCs w:val="22"/>
          <w:lang w:val="it-IT" w:eastAsia="en-US"/>
        </w:rPr>
        <w:t>Il medico la sottoporrà ad esami del sangue prima di somministrarle RoActemra, per stabilire se presenta un basso numero dei globuli bianchi o delle piastrine, oppure un elevato livello degli enzimi del fegato.</w:t>
      </w:r>
    </w:p>
    <w:p>
      <w:pPr>
        <w:rPr>
          <w:b/>
          <w:noProof/>
          <w:szCs w:val="22"/>
          <w:lang w:val="it-IT"/>
        </w:rPr>
      </w:pPr>
    </w:p>
    <w:p>
      <w:pPr>
        <w:numPr>
          <w:ilvl w:val="12"/>
          <w:numId w:val="0"/>
        </w:numPr>
        <w:rPr>
          <w:b/>
          <w:bCs/>
          <w:noProof/>
          <w:szCs w:val="22"/>
          <w:lang w:val="it-IT" w:eastAsia="en-US"/>
        </w:rPr>
      </w:pPr>
      <w:r>
        <w:rPr>
          <w:rFonts w:eastAsia="Calibri"/>
          <w:b/>
          <w:bCs/>
          <w:noProof/>
          <w:szCs w:val="22"/>
          <w:lang w:val="it-IT" w:eastAsia="en-US"/>
        </w:rPr>
        <w:t>Bambini e adolescenti</w:t>
      </w:r>
    </w:p>
    <w:p>
      <w:pPr>
        <w:tabs>
          <w:tab w:val="left" w:pos="180"/>
        </w:tabs>
        <w:rPr>
          <w:noProof/>
          <w:lang w:val="it-IT"/>
        </w:rPr>
      </w:pPr>
      <w:del w:id="12735" w:author="Author">
        <w:r>
          <w:rPr>
            <w:noProof/>
            <w:lang w:val="it-IT"/>
          </w:rPr>
          <w:delText xml:space="preserve"> </w:delText>
        </w:r>
      </w:del>
      <w:r>
        <w:rPr>
          <w:noProof/>
          <w:lang w:val="it-IT"/>
        </w:rPr>
        <w:t>L’uso di RoActemra in penna preriempita non è raccomandato in bambini di età inferiore a 12 anni. RoActemra non deve essere somministrato a bambini affetti da AIGs che pesano meno di 10 kg.</w:t>
      </w:r>
    </w:p>
    <w:p>
      <w:pPr>
        <w:tabs>
          <w:tab w:val="left" w:pos="180"/>
        </w:tabs>
        <w:rPr>
          <w:noProof/>
          <w:lang w:val="it-IT"/>
        </w:rPr>
      </w:pPr>
    </w:p>
    <w:p>
      <w:pPr>
        <w:rPr>
          <w:bCs/>
          <w:noProof/>
          <w:szCs w:val="22"/>
          <w:lang w:val="it-IT" w:eastAsia="en-US"/>
        </w:rPr>
      </w:pPr>
      <w:r>
        <w:rPr>
          <w:noProof/>
          <w:szCs w:val="22"/>
          <w:lang w:val="it-IT"/>
        </w:rPr>
        <w:t xml:space="preserve">Se un bambino presenta una storia di </w:t>
      </w:r>
      <w:r>
        <w:rPr>
          <w:b/>
          <w:i/>
          <w:noProof/>
          <w:szCs w:val="22"/>
          <w:lang w:val="it-IT"/>
        </w:rPr>
        <w:t>sindrome da attivazione macrofagica</w:t>
      </w:r>
      <w:r>
        <w:rPr>
          <w:noProof/>
          <w:szCs w:val="22"/>
          <w:lang w:val="it-IT"/>
        </w:rPr>
        <w:t xml:space="preserve"> (attivazione e proliferazione incontrollata di specifiche cellule del sangue), informi il medico. Il medico dovrà decidere se il paziente possa essere comunque trattato con RoActemra.</w:t>
      </w:r>
    </w:p>
    <w:p>
      <w:pPr>
        <w:rPr>
          <w:noProof/>
          <w:szCs w:val="22"/>
          <w:lang w:val="it-IT"/>
        </w:rPr>
      </w:pPr>
    </w:p>
    <w:p>
      <w:pPr>
        <w:rPr>
          <w:b/>
          <w:noProof/>
          <w:szCs w:val="22"/>
          <w:lang w:val="it-IT" w:eastAsia="en-US"/>
        </w:rPr>
      </w:pPr>
      <w:r>
        <w:rPr>
          <w:rFonts w:eastAsia="Calibri"/>
          <w:b/>
          <w:noProof/>
          <w:szCs w:val="22"/>
          <w:lang w:val="it-IT" w:eastAsia="en-US"/>
        </w:rPr>
        <w:t>Altri medicinali e RoActemra</w:t>
      </w:r>
    </w:p>
    <w:p>
      <w:pPr>
        <w:rPr>
          <w:b/>
          <w:noProof/>
          <w:szCs w:val="22"/>
          <w:lang w:val="it-IT" w:eastAsia="en-US"/>
        </w:rPr>
      </w:pPr>
      <w:r>
        <w:rPr>
          <w:rFonts w:eastAsia="Calibri"/>
          <w:noProof/>
          <w:szCs w:val="22"/>
          <w:lang w:val="it-IT" w:eastAsia="en-US"/>
        </w:rPr>
        <w:t xml:space="preserve">Informi il medico se sta assumendo o ha recentemente assunto qualsiasi altro medicinale. RoActemra può influire sulle modalità di azione di alcuni medicinali e la dose di questi può necessitare di aggiustamenti. </w:t>
      </w:r>
      <w:r>
        <w:rPr>
          <w:rFonts w:eastAsia="Calibri"/>
          <w:b/>
          <w:bCs/>
          <w:noProof/>
          <w:szCs w:val="22"/>
          <w:lang w:val="it-IT" w:eastAsia="en-US"/>
        </w:rPr>
        <w:t>Informi il medico</w:t>
      </w:r>
      <w:r>
        <w:rPr>
          <w:rFonts w:eastAsia="Calibri"/>
          <w:noProof/>
          <w:szCs w:val="22"/>
          <w:lang w:val="it-IT" w:eastAsia="en-US"/>
        </w:rPr>
        <w:t xml:space="preserve"> se sta usando medicinali che contengono i seguenti principi attivi:</w:t>
      </w:r>
    </w:p>
    <w:p>
      <w:pPr>
        <w:ind w:left="567" w:hanging="567"/>
        <w:rPr>
          <w:b/>
          <w:noProof/>
          <w:szCs w:val="22"/>
          <w:lang w:val="it-IT" w:eastAsia="en-US"/>
        </w:rPr>
      </w:pPr>
      <w:r>
        <w:rPr>
          <w:rFonts w:eastAsia="Calibri"/>
          <w:noProof/>
          <w:szCs w:val="22"/>
          <w:lang w:val="it-IT" w:eastAsia="en-US"/>
        </w:rPr>
        <w:sym w:font="Symbol" w:char="F0B7"/>
      </w:r>
      <w:r>
        <w:rPr>
          <w:rFonts w:eastAsia="Calibri"/>
          <w:noProof/>
          <w:szCs w:val="22"/>
          <w:lang w:val="it-IT" w:eastAsia="en-US"/>
        </w:rPr>
        <w:tab/>
        <w:t>metilprednisolone, desametasone utilizzati per ridurre l’infiammazione</w:t>
      </w:r>
    </w:p>
    <w:p>
      <w:pPr>
        <w:ind w:left="567" w:hanging="567"/>
        <w:rPr>
          <w:rFonts w:eastAsia="SimSun"/>
          <w:noProof/>
          <w:szCs w:val="22"/>
          <w:lang w:val="it-IT" w:eastAsia="en-US"/>
        </w:rPr>
      </w:pPr>
      <w:r>
        <w:rPr>
          <w:rFonts w:eastAsia="Calibri"/>
          <w:noProof/>
          <w:szCs w:val="22"/>
          <w:lang w:val="it-IT" w:eastAsia="en-US"/>
        </w:rPr>
        <w:sym w:font="Symbol" w:char="F0B7"/>
      </w:r>
      <w:r>
        <w:rPr>
          <w:rFonts w:eastAsia="Calibri"/>
          <w:noProof/>
          <w:szCs w:val="22"/>
          <w:lang w:val="it-IT" w:eastAsia="en-US"/>
        </w:rPr>
        <w:tab/>
        <w:t>simvastatina o atorvastatina, usate per ridurre i livelli di colesterolo</w:t>
      </w:r>
    </w:p>
    <w:p>
      <w:pPr>
        <w:ind w:left="567" w:hanging="567"/>
        <w:rPr>
          <w:rFonts w:eastAsia="SimSun"/>
          <w:noProof/>
          <w:szCs w:val="22"/>
          <w:lang w:val="it-IT" w:eastAsia="en-US"/>
        </w:rPr>
      </w:pPr>
      <w:r>
        <w:rPr>
          <w:rFonts w:eastAsia="Calibri"/>
          <w:noProof/>
          <w:szCs w:val="22"/>
          <w:lang w:val="it-IT" w:eastAsia="en-US"/>
        </w:rPr>
        <w:sym w:font="Symbol" w:char="F0B7"/>
      </w:r>
      <w:r>
        <w:rPr>
          <w:rFonts w:eastAsia="Calibri"/>
          <w:noProof/>
          <w:szCs w:val="22"/>
          <w:lang w:val="it-IT" w:eastAsia="en-US"/>
        </w:rPr>
        <w:tab/>
        <w:t>bloccanti dei canali del calcio (ad es. amlodipina), usati per trattare l’aumento della pressione sanguigna</w:t>
      </w:r>
    </w:p>
    <w:p>
      <w:pPr>
        <w:ind w:left="567" w:hanging="567"/>
        <w:rPr>
          <w:rFonts w:eastAsia="SimSun"/>
          <w:noProof/>
          <w:szCs w:val="22"/>
          <w:lang w:val="it-IT" w:eastAsia="en-US"/>
        </w:rPr>
      </w:pPr>
      <w:r>
        <w:rPr>
          <w:rFonts w:eastAsia="Calibri"/>
          <w:noProof/>
          <w:szCs w:val="22"/>
          <w:lang w:val="it-IT" w:eastAsia="en-US"/>
        </w:rPr>
        <w:sym w:font="Symbol" w:char="F0B7"/>
      </w:r>
      <w:r>
        <w:rPr>
          <w:rFonts w:eastAsia="Calibri"/>
          <w:noProof/>
          <w:szCs w:val="22"/>
          <w:lang w:val="it-IT" w:eastAsia="en-US"/>
        </w:rPr>
        <w:tab/>
        <w:t>teofillina, usata per trattare l’asma</w:t>
      </w:r>
    </w:p>
    <w:p>
      <w:pPr>
        <w:ind w:left="567" w:hanging="567"/>
        <w:rPr>
          <w:rFonts w:eastAsia="SimSun"/>
          <w:noProof/>
          <w:szCs w:val="22"/>
          <w:lang w:val="it-IT" w:eastAsia="en-US"/>
        </w:rPr>
      </w:pPr>
      <w:r>
        <w:rPr>
          <w:rFonts w:eastAsia="Calibri"/>
          <w:noProof/>
          <w:szCs w:val="22"/>
          <w:lang w:val="it-IT" w:eastAsia="en-US"/>
        </w:rPr>
        <w:sym w:font="Symbol" w:char="F0B7"/>
      </w:r>
      <w:r>
        <w:rPr>
          <w:rFonts w:eastAsia="Calibri"/>
          <w:noProof/>
          <w:szCs w:val="22"/>
          <w:lang w:val="it-IT" w:eastAsia="en-US"/>
        </w:rPr>
        <w:tab/>
        <w:t>warfarin o fenprocumone, anticoagulanti usati per rendere più fluido il sangue</w:t>
      </w:r>
    </w:p>
    <w:p>
      <w:pPr>
        <w:ind w:left="567" w:hanging="567"/>
        <w:rPr>
          <w:rFonts w:eastAsia="SimSun"/>
          <w:noProof/>
          <w:szCs w:val="22"/>
          <w:lang w:val="it-IT" w:eastAsia="en-US"/>
        </w:rPr>
      </w:pPr>
      <w:r>
        <w:rPr>
          <w:rFonts w:eastAsia="Calibri"/>
          <w:noProof/>
          <w:szCs w:val="22"/>
          <w:lang w:val="it-IT" w:eastAsia="en-US"/>
        </w:rPr>
        <w:sym w:font="Symbol" w:char="F0B7"/>
      </w:r>
      <w:r>
        <w:rPr>
          <w:rFonts w:eastAsia="Calibri"/>
          <w:noProof/>
          <w:szCs w:val="22"/>
          <w:lang w:val="it-IT" w:eastAsia="en-US"/>
        </w:rPr>
        <w:tab/>
        <w:t>fenitoina, usata per trattare le convulsioni</w:t>
      </w:r>
    </w:p>
    <w:p>
      <w:pPr>
        <w:ind w:left="567" w:hanging="567"/>
        <w:rPr>
          <w:rFonts w:eastAsia="SimSun"/>
          <w:noProof/>
          <w:szCs w:val="22"/>
          <w:lang w:val="it-IT" w:eastAsia="en-US"/>
        </w:rPr>
      </w:pPr>
      <w:r>
        <w:rPr>
          <w:rFonts w:eastAsia="Calibri"/>
          <w:noProof/>
          <w:szCs w:val="22"/>
          <w:lang w:val="it-IT" w:eastAsia="en-US"/>
        </w:rPr>
        <w:sym w:font="Symbol" w:char="F0B7"/>
      </w:r>
      <w:r>
        <w:rPr>
          <w:rFonts w:eastAsia="Calibri"/>
          <w:noProof/>
          <w:szCs w:val="22"/>
          <w:lang w:val="it-IT" w:eastAsia="en-US"/>
        </w:rPr>
        <w:tab/>
        <w:t>ciclosporina, usata per sopprimere il sistema immunitario durante il trapianto di organi</w:t>
      </w:r>
    </w:p>
    <w:p>
      <w:pPr>
        <w:ind w:left="567" w:hanging="567"/>
        <w:rPr>
          <w:noProof/>
          <w:szCs w:val="22"/>
          <w:lang w:val="it-IT" w:eastAsia="en-US"/>
        </w:rPr>
      </w:pPr>
      <w:r>
        <w:rPr>
          <w:rFonts w:eastAsia="Calibri"/>
          <w:noProof/>
          <w:szCs w:val="22"/>
          <w:lang w:val="it-IT" w:eastAsia="en-US"/>
        </w:rPr>
        <w:sym w:font="Symbol" w:char="F0B7"/>
      </w:r>
      <w:r>
        <w:rPr>
          <w:rFonts w:eastAsia="Calibri"/>
          <w:noProof/>
          <w:szCs w:val="22"/>
          <w:lang w:val="it-IT" w:eastAsia="en-US"/>
        </w:rPr>
        <w:tab/>
        <w:t>benzodiazepine (ad es. temazepam), usate per trattare l’ansia.</w:t>
      </w:r>
    </w:p>
    <w:p>
      <w:pPr>
        <w:rPr>
          <w:noProof/>
          <w:szCs w:val="22"/>
          <w:lang w:val="it-IT"/>
        </w:rPr>
      </w:pPr>
    </w:p>
    <w:p>
      <w:pPr>
        <w:rPr>
          <w:noProof/>
          <w:szCs w:val="22"/>
          <w:lang w:val="it-IT" w:eastAsia="en-US"/>
        </w:rPr>
      </w:pPr>
      <w:r>
        <w:rPr>
          <w:rFonts w:eastAsia="Calibri"/>
          <w:noProof/>
          <w:szCs w:val="22"/>
          <w:lang w:val="it-IT" w:eastAsia="en-US"/>
        </w:rPr>
        <w:t xml:space="preserve">A causa della mancanza di esperienza clinica, RoActemra non è indicato per l’uso con altri </w:t>
      </w:r>
      <w:del w:id="12736" w:author="Author">
        <w:r>
          <w:rPr>
            <w:rFonts w:eastAsia="Calibri"/>
            <w:noProof/>
            <w:szCs w:val="22"/>
            <w:lang w:val="it-IT" w:eastAsia="en-US"/>
          </w:rPr>
          <w:delText xml:space="preserve">farmaci </w:delText>
        </w:r>
      </w:del>
      <w:ins w:id="12737" w:author="Author">
        <w:r>
          <w:rPr>
            <w:rFonts w:eastAsia="Calibri"/>
            <w:noProof/>
            <w:szCs w:val="22"/>
            <w:lang w:val="it-IT" w:eastAsia="en-US"/>
          </w:rPr>
          <w:t xml:space="preserve">medicinali </w:t>
        </w:r>
      </w:ins>
      <w:r>
        <w:rPr>
          <w:rFonts w:eastAsia="Calibri"/>
          <w:noProof/>
          <w:szCs w:val="22"/>
          <w:lang w:val="it-IT" w:eastAsia="en-US"/>
        </w:rPr>
        <w:t>biologici per il trattamento della AR, della AIGs, della AIGp o della ACG.</w:t>
      </w:r>
    </w:p>
    <w:p>
      <w:pPr>
        <w:rPr>
          <w:b/>
          <w:noProof/>
          <w:szCs w:val="22"/>
          <w:lang w:val="it-IT"/>
        </w:rPr>
        <w:pPrChange w:id="12738" w:author="Author">
          <w:pPr>
            <w:keepNext/>
          </w:pPr>
        </w:pPrChange>
      </w:pPr>
    </w:p>
    <w:p>
      <w:pPr>
        <w:keepNext/>
        <w:rPr>
          <w:b/>
          <w:noProof/>
          <w:szCs w:val="22"/>
          <w:lang w:val="it-IT" w:eastAsia="en-US"/>
        </w:rPr>
      </w:pPr>
      <w:r>
        <w:rPr>
          <w:rFonts w:eastAsia="Calibri"/>
          <w:b/>
          <w:noProof/>
          <w:szCs w:val="22"/>
          <w:lang w:val="it-IT" w:eastAsia="en-US"/>
        </w:rPr>
        <w:t>Gravidanza, allattamento e fertilità</w:t>
      </w:r>
    </w:p>
    <w:p>
      <w:pPr>
        <w:keepNext/>
        <w:rPr>
          <w:b/>
          <w:noProof/>
          <w:sz w:val="24"/>
          <w:szCs w:val="24"/>
          <w:lang w:val="it-IT"/>
        </w:rPr>
      </w:pPr>
    </w:p>
    <w:p>
      <w:pPr>
        <w:rPr>
          <w:rFonts w:eastAsia="Calibri"/>
          <w:iCs/>
          <w:noProof/>
          <w:szCs w:val="22"/>
          <w:lang w:val="it-IT" w:eastAsia="en-US"/>
        </w:rPr>
      </w:pPr>
      <w:r>
        <w:rPr>
          <w:rFonts w:eastAsia="Calibri"/>
          <w:b/>
          <w:bCs/>
          <w:iCs/>
          <w:noProof/>
          <w:szCs w:val="22"/>
          <w:lang w:val="it-IT" w:eastAsia="en-US"/>
        </w:rPr>
        <w:t>RoActemra non deve essere usato in gravidanza</w:t>
      </w:r>
      <w:r>
        <w:rPr>
          <w:rFonts w:eastAsia="Calibri"/>
          <w:iCs/>
          <w:noProof/>
          <w:szCs w:val="22"/>
          <w:lang w:val="it-IT" w:eastAsia="en-US"/>
        </w:rPr>
        <w:t xml:space="preserve"> se non strettamente necessario. Informi il medico se è in stato di gravidanza, se potrebbe esserlo o se </w:t>
      </w:r>
      <w:ins w:id="12739" w:author="Author">
        <w:r>
          <w:rPr>
            <w:rFonts w:eastAsia="Calibri"/>
            <w:iCs/>
            <w:noProof/>
            <w:szCs w:val="22"/>
            <w:lang w:val="it-IT" w:eastAsia="en-US"/>
          </w:rPr>
          <w:t xml:space="preserve">sta </w:t>
        </w:r>
      </w:ins>
      <w:r>
        <w:rPr>
          <w:rFonts w:eastAsia="Calibri"/>
          <w:iCs/>
          <w:noProof/>
          <w:szCs w:val="22"/>
          <w:lang w:val="it-IT" w:eastAsia="en-US"/>
        </w:rPr>
        <w:t>pianifica</w:t>
      </w:r>
      <w:ins w:id="12740" w:author="Author">
        <w:r>
          <w:rPr>
            <w:rFonts w:eastAsia="Calibri"/>
            <w:iCs/>
            <w:noProof/>
            <w:szCs w:val="22"/>
            <w:lang w:val="it-IT" w:eastAsia="en-US"/>
          </w:rPr>
          <w:t>ndo</w:t>
        </w:r>
      </w:ins>
      <w:r>
        <w:rPr>
          <w:rFonts w:eastAsia="Calibri"/>
          <w:iCs/>
          <w:noProof/>
          <w:szCs w:val="22"/>
          <w:lang w:val="it-IT" w:eastAsia="en-US"/>
        </w:rPr>
        <w:t xml:space="preserve"> una gravidanza.</w:t>
      </w:r>
    </w:p>
    <w:p>
      <w:pPr>
        <w:rPr>
          <w:iCs/>
          <w:noProof/>
          <w:szCs w:val="22"/>
          <w:lang w:val="it-IT"/>
        </w:rPr>
      </w:pPr>
    </w:p>
    <w:p>
      <w:pPr>
        <w:rPr>
          <w:iCs/>
          <w:noProof/>
          <w:szCs w:val="22"/>
          <w:lang w:val="it-IT" w:eastAsia="en-US"/>
        </w:rPr>
      </w:pPr>
      <w:r>
        <w:rPr>
          <w:rFonts w:eastAsia="Calibri"/>
          <w:b/>
          <w:bCs/>
          <w:iCs/>
          <w:noProof/>
          <w:szCs w:val="22"/>
          <w:lang w:val="it-IT" w:eastAsia="en-US"/>
        </w:rPr>
        <w:t>Le donne in età fertile devono</w:t>
      </w:r>
      <w:r>
        <w:rPr>
          <w:rFonts w:eastAsia="Calibri"/>
          <w:iCs/>
          <w:noProof/>
          <w:szCs w:val="22"/>
          <w:lang w:val="it-IT" w:eastAsia="en-US"/>
        </w:rPr>
        <w:t xml:space="preserve"> fare uso di un contraccettivo efficace durante e fino a 3 mesi dopo il trattamento.</w:t>
      </w:r>
    </w:p>
    <w:p>
      <w:pPr>
        <w:rPr>
          <w:iCs/>
          <w:noProof/>
          <w:szCs w:val="22"/>
          <w:lang w:val="it-IT"/>
        </w:rPr>
      </w:pPr>
    </w:p>
    <w:p>
      <w:pPr>
        <w:rPr>
          <w:iCs/>
          <w:noProof/>
          <w:szCs w:val="22"/>
          <w:lang w:val="it-IT" w:eastAsia="en-US"/>
        </w:rPr>
      </w:pPr>
      <w:r>
        <w:rPr>
          <w:rFonts w:eastAsia="Calibri"/>
          <w:b/>
          <w:bCs/>
          <w:iCs/>
          <w:noProof/>
          <w:szCs w:val="22"/>
          <w:lang w:val="it-IT" w:eastAsia="en-US"/>
        </w:rPr>
        <w:t>Interrompa l’allattamento se sta per esserle dato RoActemra</w:t>
      </w:r>
      <w:r>
        <w:rPr>
          <w:rFonts w:eastAsia="Calibri"/>
          <w:iCs/>
          <w:noProof/>
          <w:szCs w:val="22"/>
          <w:lang w:val="it-IT" w:eastAsia="en-US"/>
        </w:rPr>
        <w:t xml:space="preserve"> e informi il medico. Prima di iniziare l’allattamento, devono passare almeno 3 mesi dall’ultima assunzione di RoActemra. Non è noto se RoActemra passi nel latte materno.</w:t>
      </w:r>
    </w:p>
    <w:p>
      <w:pPr>
        <w:numPr>
          <w:ilvl w:val="12"/>
          <w:numId w:val="0"/>
        </w:numPr>
        <w:rPr>
          <w:noProof/>
          <w:szCs w:val="22"/>
          <w:lang w:val="it-IT"/>
        </w:rPr>
      </w:pPr>
    </w:p>
    <w:p>
      <w:pPr>
        <w:rPr>
          <w:b/>
          <w:noProof/>
          <w:szCs w:val="22"/>
          <w:lang w:val="it-IT" w:eastAsia="en-US"/>
        </w:rPr>
      </w:pPr>
      <w:r>
        <w:rPr>
          <w:rFonts w:eastAsia="Calibri"/>
          <w:b/>
          <w:noProof/>
          <w:szCs w:val="22"/>
          <w:lang w:val="it-IT" w:eastAsia="en-US"/>
        </w:rPr>
        <w:t>Guida di veicoli e utilizzo di macchinari</w:t>
      </w:r>
    </w:p>
    <w:p>
      <w:pPr>
        <w:rPr>
          <w:rFonts w:eastAsia="Calibri"/>
          <w:noProof/>
          <w:szCs w:val="22"/>
          <w:lang w:val="it-IT" w:eastAsia="en-US"/>
        </w:rPr>
      </w:pPr>
      <w:r>
        <w:rPr>
          <w:rFonts w:eastAsia="Calibri"/>
          <w:noProof/>
          <w:szCs w:val="22"/>
          <w:lang w:val="it-IT" w:eastAsia="en-US"/>
        </w:rPr>
        <w:t>Questo medicinale può causare capogiri. Se avverte giramenti di testa, non guidi o usi macchinari.</w:t>
      </w:r>
    </w:p>
    <w:p>
      <w:pPr>
        <w:rPr>
          <w:rFonts w:eastAsia="Calibri"/>
          <w:noProof/>
          <w:szCs w:val="22"/>
          <w:lang w:val="it-IT" w:eastAsia="en-US"/>
        </w:rPr>
      </w:pPr>
    </w:p>
    <w:p>
      <w:pPr>
        <w:rPr>
          <w:rFonts w:eastAsia="Calibri"/>
          <w:b/>
          <w:noProof/>
          <w:szCs w:val="22"/>
          <w:lang w:val="it-IT" w:eastAsia="en-US"/>
        </w:rPr>
      </w:pPr>
      <w:r>
        <w:rPr>
          <w:rFonts w:eastAsia="Calibri"/>
          <w:b/>
          <w:noProof/>
          <w:szCs w:val="22"/>
          <w:lang w:val="it-IT" w:eastAsia="en-US"/>
        </w:rPr>
        <w:t>RoActemra contiene polisorbato</w:t>
      </w:r>
      <w:ins w:id="12741" w:author="Author">
        <w:r>
          <w:rPr>
            <w:rFonts w:eastAsia="Calibri"/>
            <w:b/>
            <w:noProof/>
            <w:szCs w:val="22"/>
            <w:lang w:val="it-IT" w:eastAsia="en-US"/>
          </w:rPr>
          <w:t> 80 (E 433)</w:t>
        </w:r>
      </w:ins>
    </w:p>
    <w:p>
      <w:pPr>
        <w:rPr>
          <w:rFonts w:eastAsia="Calibri"/>
          <w:noProof/>
          <w:szCs w:val="22"/>
          <w:lang w:val="it-IT" w:eastAsia="en-US"/>
        </w:rPr>
      </w:pPr>
      <w:r>
        <w:rPr>
          <w:rFonts w:eastAsia="Calibri"/>
          <w:noProof/>
          <w:szCs w:val="22"/>
          <w:lang w:val="it-IT" w:eastAsia="en-US"/>
        </w:rPr>
        <w:t xml:space="preserve">Questo medicinale contiene 0,18 mg di polisorbato 80 in ogni 162 mg/0,9 mL di PFP che equivale a 0,2 mg/ml. I polisorbati possono causare reazioni allergiche. Informi il medico se </w:t>
      </w:r>
      <w:del w:id="12742" w:author="Author">
        <w:r>
          <w:rPr>
            <w:rFonts w:eastAsia="Calibri"/>
            <w:noProof/>
            <w:szCs w:val="22"/>
            <w:lang w:val="it-IT" w:eastAsia="en-US"/>
          </w:rPr>
          <w:delText xml:space="preserve">hai </w:delText>
        </w:r>
      </w:del>
      <w:ins w:id="12743" w:author="Author">
        <w:r>
          <w:rPr>
            <w:rFonts w:eastAsia="Calibri"/>
            <w:noProof/>
            <w:szCs w:val="22"/>
            <w:lang w:val="it-IT" w:eastAsia="en-US"/>
          </w:rPr>
          <w:t xml:space="preserve">lei </w:t>
        </w:r>
      </w:ins>
      <w:r>
        <w:rPr>
          <w:rFonts w:eastAsia="Calibri"/>
          <w:noProof/>
          <w:szCs w:val="22"/>
          <w:lang w:val="it-IT" w:eastAsia="en-US"/>
        </w:rPr>
        <w:t xml:space="preserve">o </w:t>
      </w:r>
      <w:ins w:id="12744" w:author="Author">
        <w:r>
          <w:rPr>
            <w:rFonts w:eastAsia="Calibri"/>
            <w:noProof/>
            <w:szCs w:val="22"/>
            <w:lang w:val="it-IT" w:eastAsia="en-US"/>
          </w:rPr>
          <w:t>il bambino</w:t>
        </w:r>
      </w:ins>
      <w:del w:id="12745" w:author="Author">
        <w:r>
          <w:rPr>
            <w:rFonts w:eastAsia="Calibri"/>
            <w:noProof/>
            <w:szCs w:val="22"/>
            <w:lang w:val="it-IT" w:eastAsia="en-US"/>
          </w:rPr>
          <w:delText>tuo figlio</w:delText>
        </w:r>
      </w:del>
      <w:ins w:id="12746" w:author="Author">
        <w:r>
          <w:rPr>
            <w:rFonts w:eastAsia="Calibri"/>
            <w:noProof/>
            <w:szCs w:val="22"/>
            <w:lang w:val="it-IT" w:eastAsia="en-US"/>
          </w:rPr>
          <w:t xml:space="preserve"> avete qualche allergia nota.</w:t>
        </w:r>
      </w:ins>
    </w:p>
    <w:p>
      <w:pPr>
        <w:rPr>
          <w:del w:id="12747" w:author="Author"/>
          <w:rFonts w:eastAsia="Calibri"/>
          <w:noProof/>
          <w:szCs w:val="22"/>
          <w:lang w:val="it-IT" w:eastAsia="en-US"/>
        </w:rPr>
      </w:pPr>
      <w:del w:id="12748" w:author="Author">
        <w:r>
          <w:rPr>
            <w:rFonts w:eastAsia="Calibri"/>
            <w:noProof/>
            <w:szCs w:val="22"/>
            <w:lang w:val="it-IT" w:eastAsia="en-US"/>
          </w:rPr>
          <w:delText>ha qualche allergia nota.</w:delText>
        </w:r>
      </w:del>
    </w:p>
    <w:p>
      <w:pPr>
        <w:rPr>
          <w:noProof/>
          <w:szCs w:val="22"/>
          <w:lang w:val="it-IT"/>
        </w:rPr>
      </w:pPr>
    </w:p>
    <w:p>
      <w:pPr>
        <w:rPr>
          <w:noProof/>
          <w:szCs w:val="22"/>
          <w:lang w:val="it-IT"/>
        </w:rPr>
      </w:pPr>
    </w:p>
    <w:p>
      <w:pPr>
        <w:rPr>
          <w:b/>
          <w:noProof/>
          <w:szCs w:val="22"/>
          <w:lang w:val="it-IT" w:eastAsia="en-US"/>
        </w:rPr>
      </w:pPr>
      <w:r>
        <w:rPr>
          <w:rFonts w:eastAsia="Calibri"/>
          <w:b/>
          <w:noProof/>
          <w:szCs w:val="22"/>
          <w:lang w:val="it-IT" w:eastAsia="en-US"/>
        </w:rPr>
        <w:t>3.</w:t>
      </w:r>
      <w:r>
        <w:rPr>
          <w:rFonts w:eastAsia="Calibri"/>
          <w:b/>
          <w:noProof/>
          <w:szCs w:val="22"/>
          <w:lang w:val="it-IT" w:eastAsia="en-US"/>
        </w:rPr>
        <w:tab/>
        <w:t>Come usare RoActemra</w:t>
      </w:r>
    </w:p>
    <w:p>
      <w:pPr>
        <w:rPr>
          <w:noProof/>
          <w:szCs w:val="22"/>
          <w:lang w:val="it-IT"/>
        </w:rPr>
      </w:pPr>
    </w:p>
    <w:p>
      <w:pPr>
        <w:rPr>
          <w:noProof/>
          <w:szCs w:val="22"/>
          <w:lang w:val="it-IT" w:eastAsia="en-US"/>
        </w:rPr>
      </w:pPr>
      <w:r>
        <w:rPr>
          <w:rFonts w:eastAsia="Calibri"/>
          <w:noProof/>
          <w:szCs w:val="22"/>
          <w:lang w:val="it-IT" w:eastAsia="en-US"/>
        </w:rPr>
        <w:t>Usi questo medicinale seguendo sempre esattamente le istruzioni del medico, del farmacista o dell’infermiere. Se ha dubbi consulti il medico, il farmacista o l’infermiere.</w:t>
      </w:r>
    </w:p>
    <w:p>
      <w:pPr>
        <w:rPr>
          <w:noProof/>
          <w:szCs w:val="22"/>
          <w:lang w:val="it-IT"/>
        </w:rPr>
      </w:pPr>
    </w:p>
    <w:p>
      <w:pPr>
        <w:rPr>
          <w:noProof/>
          <w:szCs w:val="22"/>
          <w:lang w:val="it-IT" w:eastAsia="en-US"/>
        </w:rPr>
      </w:pPr>
      <w:r>
        <w:rPr>
          <w:rFonts w:eastAsia="Calibri"/>
          <w:noProof/>
          <w:szCs w:val="22"/>
          <w:lang w:val="it-IT" w:eastAsia="en-US"/>
        </w:rPr>
        <w:t>Il trattamento sarà prescritto e iniziato da operatori sanitari esperti nella diagnosi e nel trattamento della AR, della AIGs, della AIGp o della ACG.</w:t>
      </w:r>
    </w:p>
    <w:p>
      <w:pPr>
        <w:rPr>
          <w:noProof/>
          <w:szCs w:val="22"/>
          <w:lang w:val="it-IT"/>
        </w:rPr>
      </w:pPr>
    </w:p>
    <w:p>
      <w:pPr>
        <w:rPr>
          <w:rFonts w:eastAsia="Calibri"/>
          <w:noProof/>
          <w:szCs w:val="22"/>
          <w:lang w:val="it-IT" w:eastAsia="en-US"/>
        </w:rPr>
      </w:pPr>
      <w:r>
        <w:rPr>
          <w:rFonts w:eastAsia="Calibri"/>
          <w:b/>
          <w:noProof/>
          <w:szCs w:val="22"/>
          <w:lang w:val="it-IT" w:eastAsia="en-US"/>
        </w:rPr>
        <w:t>Dose raccomandata</w:t>
      </w:r>
    </w:p>
    <w:p>
      <w:pPr>
        <w:rPr>
          <w:noProof/>
          <w:szCs w:val="22"/>
          <w:lang w:val="it-IT" w:eastAsia="en-US"/>
        </w:rPr>
      </w:pPr>
      <w:r>
        <w:rPr>
          <w:rFonts w:eastAsia="Calibri"/>
          <w:noProof/>
          <w:szCs w:val="22"/>
          <w:lang w:val="it-IT" w:eastAsia="en-US"/>
        </w:rPr>
        <w:t xml:space="preserve">La dose per </w:t>
      </w:r>
      <w:del w:id="12749" w:author="Author">
        <w:r>
          <w:rPr>
            <w:rFonts w:eastAsia="Calibri"/>
            <w:noProof/>
            <w:szCs w:val="22"/>
            <w:lang w:val="it-IT" w:eastAsia="en-US"/>
          </w:rPr>
          <w:delText xml:space="preserve">tutti </w:delText>
        </w:r>
      </w:del>
      <w:r>
        <w:rPr>
          <w:rFonts w:eastAsia="Calibri"/>
          <w:noProof/>
          <w:szCs w:val="22"/>
          <w:lang w:val="it-IT" w:eastAsia="en-US"/>
        </w:rPr>
        <w:t xml:space="preserve">gli adulti </w:t>
      </w:r>
      <w:r>
        <w:rPr>
          <w:noProof/>
          <w:lang w:val="it-IT"/>
        </w:rPr>
        <w:t>affetti da AR o ACG</w:t>
      </w:r>
      <w:r>
        <w:rPr>
          <w:rFonts w:eastAsia="Calibri"/>
          <w:noProof/>
          <w:szCs w:val="22"/>
          <w:lang w:val="it-IT" w:eastAsia="en-US"/>
        </w:rPr>
        <w:t xml:space="preserve"> è di 162 mg (il contenuto di 1 penna preriempita) somministrati una volta a settimana.</w:t>
      </w:r>
    </w:p>
    <w:p>
      <w:pPr>
        <w:rPr>
          <w:noProof/>
          <w:szCs w:val="22"/>
          <w:lang w:val="it-IT"/>
        </w:rPr>
      </w:pPr>
    </w:p>
    <w:p>
      <w:pPr>
        <w:keepNext/>
        <w:keepLines/>
        <w:rPr>
          <w:b/>
          <w:noProof/>
          <w:szCs w:val="22"/>
          <w:lang w:val="it-IT"/>
        </w:rPr>
      </w:pPr>
      <w:r>
        <w:rPr>
          <w:b/>
          <w:noProof/>
          <w:szCs w:val="22"/>
          <w:lang w:val="it-IT"/>
        </w:rPr>
        <w:t>Adolescenti con AIGs (di età uguale o superiore a 12 anni)</w:t>
      </w:r>
    </w:p>
    <w:p>
      <w:pPr>
        <w:rPr>
          <w:b/>
          <w:noProof/>
          <w:szCs w:val="22"/>
          <w:lang w:val="it-IT"/>
        </w:rPr>
      </w:pPr>
      <w:r>
        <w:rPr>
          <w:b/>
          <w:noProof/>
          <w:szCs w:val="22"/>
          <w:lang w:val="it-IT"/>
        </w:rPr>
        <w:t>La dose abituale di RoActemra dipende dal peso del paziente.</w:t>
      </w:r>
    </w:p>
    <w:p>
      <w:pPr>
        <w:ind w:left="567" w:hanging="567"/>
        <w:rPr>
          <w:noProof/>
          <w:szCs w:val="22"/>
          <w:lang w:val="it-IT"/>
        </w:rPr>
        <w:pPrChange w:id="12750" w:author="Author">
          <w:pPr>
            <w:ind w:left="360" w:hanging="360"/>
          </w:pPr>
        </w:pPrChange>
      </w:pPr>
      <w:ins w:id="12751" w:author="Author">
        <w:r>
          <w:rPr>
            <w:rFonts w:eastAsia="Calibri"/>
            <w:noProof/>
            <w:szCs w:val="22"/>
            <w:lang w:val="it-IT" w:eastAsia="en-US"/>
          </w:rPr>
          <w:sym w:font="Symbol" w:char="F0B7"/>
        </w:r>
        <w:r>
          <w:rPr>
            <w:rFonts w:eastAsia="Calibri"/>
            <w:noProof/>
            <w:szCs w:val="22"/>
            <w:lang w:val="it-IT" w:eastAsia="en-US"/>
          </w:rPr>
          <w:tab/>
        </w:r>
      </w:ins>
      <w:del w:id="12752" w:author="Author">
        <w:r>
          <w:rPr>
            <w:b/>
            <w:noProof/>
            <w:szCs w:val="22"/>
            <w:lang w:val="it-IT"/>
          </w:rPr>
          <w:sym w:font="Symbol" w:char="F0B7"/>
        </w:r>
        <w:r>
          <w:rPr>
            <w:b/>
            <w:noProof/>
            <w:szCs w:val="22"/>
            <w:lang w:val="it-IT"/>
          </w:rPr>
          <w:tab/>
        </w:r>
      </w:del>
      <w:r>
        <w:rPr>
          <w:noProof/>
          <w:szCs w:val="22"/>
          <w:lang w:val="it-IT"/>
        </w:rPr>
        <w:t xml:space="preserve">Se il paziente pesa </w:t>
      </w:r>
      <w:r>
        <w:rPr>
          <w:b/>
          <w:noProof/>
          <w:szCs w:val="22"/>
          <w:lang w:val="it-IT"/>
        </w:rPr>
        <w:t>meno di 30 kg</w:t>
      </w:r>
      <w:r>
        <w:rPr>
          <w:noProof/>
          <w:szCs w:val="22"/>
          <w:lang w:val="it-IT"/>
        </w:rPr>
        <w:t>: la dose è pari a 162 mg (il contenuto di 1 penna preriempita) una volta ogni 2 settimane.</w:t>
      </w:r>
    </w:p>
    <w:p>
      <w:pPr>
        <w:ind w:left="567" w:hanging="567"/>
        <w:rPr>
          <w:noProof/>
          <w:szCs w:val="22"/>
          <w:lang w:val="it-IT"/>
        </w:rPr>
        <w:pPrChange w:id="12753" w:author="Author">
          <w:pPr>
            <w:ind w:left="360" w:hanging="360"/>
          </w:pPr>
        </w:pPrChange>
      </w:pPr>
      <w:ins w:id="12754" w:author="Author">
        <w:r>
          <w:rPr>
            <w:rFonts w:eastAsia="Calibri"/>
            <w:noProof/>
            <w:szCs w:val="22"/>
            <w:lang w:val="it-IT" w:eastAsia="en-US"/>
          </w:rPr>
          <w:sym w:font="Symbol" w:char="F0B7"/>
        </w:r>
        <w:r>
          <w:rPr>
            <w:rFonts w:eastAsia="Calibri"/>
            <w:noProof/>
            <w:szCs w:val="22"/>
            <w:lang w:val="it-IT" w:eastAsia="en-US"/>
          </w:rPr>
          <w:tab/>
        </w:r>
      </w:ins>
      <w:del w:id="12755" w:author="Author">
        <w:r>
          <w:rPr>
            <w:b/>
            <w:noProof/>
            <w:szCs w:val="22"/>
            <w:lang w:val="it-IT"/>
          </w:rPr>
          <w:sym w:font="Symbol" w:char="F0B7"/>
        </w:r>
        <w:r>
          <w:rPr>
            <w:b/>
            <w:noProof/>
            <w:szCs w:val="22"/>
            <w:lang w:val="it-IT"/>
          </w:rPr>
          <w:tab/>
        </w:r>
      </w:del>
      <w:r>
        <w:rPr>
          <w:noProof/>
          <w:szCs w:val="22"/>
          <w:lang w:val="it-IT"/>
        </w:rPr>
        <w:t xml:space="preserve">Se il paziente pesa </w:t>
      </w:r>
      <w:r>
        <w:rPr>
          <w:b/>
          <w:noProof/>
          <w:szCs w:val="22"/>
          <w:lang w:val="it-IT"/>
        </w:rPr>
        <w:t>30 kg o più</w:t>
      </w:r>
      <w:r>
        <w:rPr>
          <w:noProof/>
          <w:szCs w:val="22"/>
          <w:lang w:val="it-IT"/>
        </w:rPr>
        <w:t>: la dose è pari a 162 mg (il contenuto di 1 penna preriempita) una volta a settimana.</w:t>
      </w:r>
    </w:p>
    <w:p>
      <w:pPr>
        <w:tabs>
          <w:tab w:val="left" w:pos="180"/>
        </w:tabs>
        <w:rPr>
          <w:noProof/>
          <w:szCs w:val="22"/>
          <w:lang w:val="it-IT"/>
        </w:rPr>
      </w:pPr>
    </w:p>
    <w:p>
      <w:pPr>
        <w:tabs>
          <w:tab w:val="left" w:pos="180"/>
        </w:tabs>
        <w:rPr>
          <w:noProof/>
          <w:szCs w:val="22"/>
          <w:lang w:val="it-IT"/>
        </w:rPr>
      </w:pPr>
      <w:r>
        <w:rPr>
          <w:noProof/>
          <w:szCs w:val="22"/>
          <w:lang w:val="it-IT"/>
        </w:rPr>
        <w:t>La penna preriempita non deve essere usata per trattare bambini di età inferiore a 12 anni.</w:t>
      </w:r>
    </w:p>
    <w:p>
      <w:pPr>
        <w:tabs>
          <w:tab w:val="left" w:pos="180"/>
        </w:tabs>
        <w:rPr>
          <w:noProof/>
          <w:szCs w:val="22"/>
          <w:lang w:val="it-IT"/>
        </w:rPr>
      </w:pPr>
    </w:p>
    <w:p>
      <w:pPr>
        <w:keepNext/>
        <w:keepLines/>
        <w:rPr>
          <w:b/>
          <w:noProof/>
          <w:szCs w:val="22"/>
          <w:lang w:val="it-IT"/>
        </w:rPr>
      </w:pPr>
      <w:r>
        <w:rPr>
          <w:b/>
          <w:noProof/>
          <w:szCs w:val="22"/>
          <w:lang w:val="it-IT"/>
        </w:rPr>
        <w:t>Adolescenti con AIGp (di età uguale o superiore a 12 anni)</w:t>
      </w:r>
    </w:p>
    <w:p>
      <w:pPr>
        <w:rPr>
          <w:b/>
          <w:noProof/>
          <w:szCs w:val="22"/>
          <w:lang w:val="it-IT"/>
        </w:rPr>
      </w:pPr>
      <w:r>
        <w:rPr>
          <w:b/>
          <w:noProof/>
          <w:szCs w:val="22"/>
          <w:lang w:val="it-IT"/>
        </w:rPr>
        <w:t>La dose abituale di RoActemra dipende dal peso del paziente.</w:t>
      </w:r>
    </w:p>
    <w:p>
      <w:pPr>
        <w:ind w:left="567" w:hanging="567"/>
        <w:rPr>
          <w:noProof/>
          <w:szCs w:val="22"/>
          <w:lang w:val="it-IT"/>
        </w:rPr>
        <w:pPrChange w:id="12756" w:author="Author">
          <w:pPr>
            <w:ind w:left="360" w:hanging="360"/>
          </w:pPr>
        </w:pPrChange>
      </w:pPr>
      <w:ins w:id="12757" w:author="Author">
        <w:r>
          <w:rPr>
            <w:rFonts w:eastAsia="Calibri"/>
            <w:noProof/>
            <w:szCs w:val="22"/>
            <w:lang w:val="it-IT" w:eastAsia="en-US"/>
          </w:rPr>
          <w:sym w:font="Symbol" w:char="F0B7"/>
        </w:r>
        <w:r>
          <w:rPr>
            <w:rFonts w:eastAsia="Calibri"/>
            <w:noProof/>
            <w:szCs w:val="22"/>
            <w:lang w:val="it-IT" w:eastAsia="en-US"/>
          </w:rPr>
          <w:tab/>
        </w:r>
      </w:ins>
      <w:del w:id="12758" w:author="Author">
        <w:r>
          <w:rPr>
            <w:b/>
            <w:noProof/>
            <w:szCs w:val="22"/>
            <w:lang w:val="it-IT"/>
          </w:rPr>
          <w:sym w:font="Symbol" w:char="F0B7"/>
        </w:r>
        <w:r>
          <w:rPr>
            <w:b/>
            <w:noProof/>
            <w:szCs w:val="22"/>
            <w:lang w:val="it-IT"/>
          </w:rPr>
          <w:tab/>
        </w:r>
      </w:del>
      <w:r>
        <w:rPr>
          <w:noProof/>
          <w:szCs w:val="22"/>
          <w:lang w:val="it-IT"/>
        </w:rPr>
        <w:t xml:space="preserve">Se il paziente pesa </w:t>
      </w:r>
      <w:r>
        <w:rPr>
          <w:b/>
          <w:noProof/>
          <w:szCs w:val="22"/>
          <w:lang w:val="it-IT"/>
        </w:rPr>
        <w:t>meno di 30 kg</w:t>
      </w:r>
      <w:r>
        <w:rPr>
          <w:noProof/>
          <w:szCs w:val="22"/>
          <w:lang w:val="it-IT"/>
        </w:rPr>
        <w:t xml:space="preserve">: la dose è pari a 162 mg (il contenuto di 1 penna preriempita) </w:t>
      </w:r>
      <w:r>
        <w:rPr>
          <w:b/>
          <w:noProof/>
          <w:szCs w:val="22"/>
          <w:lang w:val="it-IT"/>
        </w:rPr>
        <w:t>una volta ogni 3 settimane</w:t>
      </w:r>
      <w:r>
        <w:rPr>
          <w:noProof/>
          <w:szCs w:val="22"/>
          <w:lang w:val="it-IT"/>
        </w:rPr>
        <w:t>.</w:t>
      </w:r>
    </w:p>
    <w:p>
      <w:pPr>
        <w:ind w:left="567" w:hanging="567"/>
        <w:rPr>
          <w:noProof/>
          <w:szCs w:val="22"/>
          <w:lang w:val="it-IT"/>
        </w:rPr>
        <w:pPrChange w:id="12759" w:author="Author">
          <w:pPr>
            <w:ind w:left="360" w:hanging="360"/>
          </w:pPr>
        </w:pPrChange>
      </w:pPr>
      <w:ins w:id="12760" w:author="Author">
        <w:r>
          <w:rPr>
            <w:rFonts w:eastAsia="Calibri"/>
            <w:noProof/>
            <w:szCs w:val="22"/>
            <w:lang w:val="it-IT" w:eastAsia="en-US"/>
          </w:rPr>
          <w:sym w:font="Symbol" w:char="F0B7"/>
        </w:r>
        <w:r>
          <w:rPr>
            <w:rFonts w:eastAsia="Calibri"/>
            <w:noProof/>
            <w:szCs w:val="22"/>
            <w:lang w:val="it-IT" w:eastAsia="en-US"/>
          </w:rPr>
          <w:tab/>
        </w:r>
      </w:ins>
      <w:del w:id="12761" w:author="Author">
        <w:r>
          <w:rPr>
            <w:b/>
            <w:noProof/>
            <w:szCs w:val="22"/>
            <w:lang w:val="it-IT"/>
          </w:rPr>
          <w:sym w:font="Symbol" w:char="F0B7"/>
        </w:r>
        <w:r>
          <w:rPr>
            <w:b/>
            <w:noProof/>
            <w:szCs w:val="22"/>
            <w:lang w:val="it-IT"/>
          </w:rPr>
          <w:tab/>
        </w:r>
      </w:del>
      <w:r>
        <w:rPr>
          <w:noProof/>
          <w:szCs w:val="22"/>
          <w:lang w:val="it-IT"/>
        </w:rPr>
        <w:t xml:space="preserve">Se il paziente pesa </w:t>
      </w:r>
      <w:r>
        <w:rPr>
          <w:b/>
          <w:noProof/>
          <w:szCs w:val="22"/>
          <w:lang w:val="it-IT"/>
        </w:rPr>
        <w:t>30 kg o più</w:t>
      </w:r>
      <w:r>
        <w:rPr>
          <w:noProof/>
          <w:szCs w:val="22"/>
          <w:lang w:val="it-IT"/>
        </w:rPr>
        <w:t xml:space="preserve">: la dose è pari a 162 mg (il contenuto di 1 penna preriempita) </w:t>
      </w:r>
      <w:r>
        <w:rPr>
          <w:b/>
          <w:noProof/>
          <w:szCs w:val="22"/>
          <w:lang w:val="it-IT"/>
        </w:rPr>
        <w:t>una volta ogni 2 settimane</w:t>
      </w:r>
      <w:r>
        <w:rPr>
          <w:noProof/>
          <w:szCs w:val="22"/>
          <w:lang w:val="it-IT"/>
        </w:rPr>
        <w:t>.</w:t>
      </w:r>
    </w:p>
    <w:p>
      <w:pPr>
        <w:tabs>
          <w:tab w:val="left" w:pos="180"/>
        </w:tabs>
        <w:rPr>
          <w:noProof/>
          <w:szCs w:val="22"/>
          <w:lang w:val="it-IT"/>
        </w:rPr>
      </w:pPr>
    </w:p>
    <w:p>
      <w:pPr>
        <w:tabs>
          <w:tab w:val="left" w:pos="180"/>
        </w:tabs>
        <w:rPr>
          <w:noProof/>
          <w:szCs w:val="22"/>
          <w:lang w:val="it-IT"/>
        </w:rPr>
      </w:pPr>
      <w:r>
        <w:rPr>
          <w:noProof/>
          <w:szCs w:val="22"/>
          <w:lang w:val="it-IT"/>
        </w:rPr>
        <w:t>La penna preriempita non deve essere usata per trattare bambini di età inferiore a 12 anni.</w:t>
      </w:r>
    </w:p>
    <w:p>
      <w:pPr>
        <w:rPr>
          <w:noProof/>
          <w:szCs w:val="22"/>
          <w:lang w:val="it-IT"/>
        </w:rPr>
      </w:pPr>
    </w:p>
    <w:p>
      <w:pPr>
        <w:rPr>
          <w:noProof/>
          <w:szCs w:val="22"/>
          <w:lang w:val="it-IT" w:eastAsia="en-US"/>
        </w:rPr>
      </w:pPr>
      <w:r>
        <w:rPr>
          <w:rFonts w:eastAsia="Calibri"/>
          <w:noProof/>
          <w:szCs w:val="22"/>
          <w:lang w:val="it-IT" w:eastAsia="en-US"/>
        </w:rPr>
        <w:t xml:space="preserve">RoActemra è somministrato mediante iniezione sotto la pelle (sottocutanea). All’inizio, RoActemra potrà esserle somministrato dal medico o dall’infermiere. Tuttavia, il medico potrebbe decidere che lei è in grado di iniettarsi RoActemra da solo. In questo caso, </w:t>
      </w:r>
      <w:del w:id="12762" w:author="Author">
        <w:r>
          <w:rPr>
            <w:rFonts w:eastAsia="Calibri"/>
            <w:noProof/>
            <w:szCs w:val="22"/>
            <w:lang w:val="it-IT" w:eastAsia="en-US"/>
          </w:rPr>
          <w:delText xml:space="preserve">lei </w:delText>
        </w:r>
      </w:del>
      <w:r>
        <w:rPr>
          <w:rFonts w:eastAsia="Calibri"/>
          <w:noProof/>
          <w:szCs w:val="22"/>
          <w:lang w:val="it-IT" w:eastAsia="en-US"/>
        </w:rPr>
        <w:t xml:space="preserve">verrà istruito su come </w:t>
      </w:r>
      <w:del w:id="12763" w:author="Author">
        <w:r>
          <w:rPr>
            <w:rFonts w:eastAsia="Calibri"/>
            <w:noProof/>
            <w:szCs w:val="22"/>
            <w:lang w:val="it-IT" w:eastAsia="en-US"/>
          </w:rPr>
          <w:delText>auto</w:delText>
        </w:r>
      </w:del>
      <w:r>
        <w:rPr>
          <w:rFonts w:eastAsia="Calibri"/>
          <w:noProof/>
          <w:szCs w:val="22"/>
          <w:lang w:val="it-IT" w:eastAsia="en-US"/>
        </w:rPr>
        <w:t xml:space="preserve">iniettarsi RoActemra. </w:t>
      </w:r>
      <w:r>
        <w:rPr>
          <w:noProof/>
          <w:lang w:val="it-IT"/>
        </w:rPr>
        <w:t xml:space="preserve">I genitori e coloro che si prendono cura dei pazienti verranno istruiti su come iniettare RoActemra nei pazienti che non sono in grado di </w:t>
      </w:r>
      <w:del w:id="12764" w:author="Author">
        <w:r>
          <w:rPr>
            <w:noProof/>
            <w:lang w:val="it-IT"/>
          </w:rPr>
          <w:delText>auto</w:delText>
        </w:r>
      </w:del>
      <w:r>
        <w:rPr>
          <w:noProof/>
          <w:lang w:val="it-IT"/>
        </w:rPr>
        <w:t>iniettarsi il medicinale</w:t>
      </w:r>
      <w:ins w:id="12765" w:author="Author">
        <w:r>
          <w:rPr>
            <w:noProof/>
            <w:lang w:val="it-IT"/>
          </w:rPr>
          <w:t xml:space="preserve"> sa soli</w:t>
        </w:r>
      </w:ins>
      <w:r>
        <w:rPr>
          <w:noProof/>
          <w:lang w:val="it-IT"/>
        </w:rPr>
        <w:t>.</w:t>
      </w:r>
    </w:p>
    <w:p>
      <w:pPr>
        <w:rPr>
          <w:noProof/>
          <w:szCs w:val="22"/>
          <w:lang w:val="it-IT"/>
        </w:rPr>
      </w:pPr>
    </w:p>
    <w:p>
      <w:pPr>
        <w:rPr>
          <w:noProof/>
          <w:szCs w:val="22"/>
          <w:lang w:val="it-IT" w:eastAsia="en-US"/>
        </w:rPr>
      </w:pPr>
      <w:r>
        <w:rPr>
          <w:rFonts w:eastAsia="Calibri"/>
          <w:noProof/>
          <w:szCs w:val="22"/>
          <w:lang w:val="it-IT" w:eastAsia="en-US"/>
        </w:rPr>
        <w:t xml:space="preserve">Parli con il medico se ha eventuali domande </w:t>
      </w:r>
      <w:ins w:id="12766" w:author="Author">
        <w:r>
          <w:rPr>
            <w:rFonts w:eastAsia="Calibri"/>
            <w:noProof/>
            <w:szCs w:val="22"/>
            <w:lang w:val="it-IT" w:eastAsia="en-US"/>
          </w:rPr>
          <w:t xml:space="preserve">su come somministrare un’iniezione a se stesso </w:t>
        </w:r>
      </w:ins>
      <w:del w:id="12767" w:author="Author">
        <w:r>
          <w:rPr>
            <w:rFonts w:eastAsia="Calibri"/>
            <w:noProof/>
            <w:szCs w:val="22"/>
            <w:lang w:val="it-IT" w:eastAsia="en-US"/>
          </w:rPr>
          <w:delText xml:space="preserve">sull’autosomministrazione di un’iniezione </w:delText>
        </w:r>
      </w:del>
      <w:r>
        <w:rPr>
          <w:rFonts w:eastAsia="Calibri"/>
          <w:noProof/>
          <w:szCs w:val="22"/>
          <w:lang w:val="it-IT" w:eastAsia="en-US"/>
        </w:rPr>
        <w:t xml:space="preserve">o </w:t>
      </w:r>
      <w:ins w:id="12768" w:author="Author">
        <w:r>
          <w:rPr>
            <w:rFonts w:eastAsia="Calibri"/>
            <w:noProof/>
            <w:szCs w:val="22"/>
            <w:lang w:val="it-IT" w:eastAsia="en-US"/>
          </w:rPr>
          <w:t xml:space="preserve">ad un bambino </w:t>
        </w:r>
      </w:ins>
      <w:del w:id="12769" w:author="Author">
        <w:r>
          <w:rPr>
            <w:rFonts w:eastAsia="Calibri"/>
            <w:noProof/>
            <w:szCs w:val="22"/>
            <w:lang w:val="it-IT" w:eastAsia="en-US"/>
          </w:rPr>
          <w:delText xml:space="preserve">sulla somministrazione di un’iniezione in un paziente adolescente </w:delText>
        </w:r>
      </w:del>
      <w:r>
        <w:rPr>
          <w:rFonts w:eastAsia="Calibri"/>
          <w:noProof/>
          <w:szCs w:val="22"/>
          <w:lang w:val="it-IT" w:eastAsia="en-US"/>
        </w:rPr>
        <w:t>di cui si prende cura. Alla fine di questo foglio illustrativo, troverà dettagliate “Istruzioni per la somministrazione”.</w:t>
      </w:r>
    </w:p>
    <w:p>
      <w:pPr>
        <w:numPr>
          <w:ilvl w:val="12"/>
          <w:numId w:val="0"/>
        </w:numPr>
        <w:ind w:right="-2"/>
        <w:rPr>
          <w:noProof/>
          <w:szCs w:val="22"/>
          <w:lang w:val="it-IT"/>
        </w:rPr>
      </w:pPr>
    </w:p>
    <w:p>
      <w:pPr>
        <w:rPr>
          <w:b/>
          <w:noProof/>
          <w:szCs w:val="22"/>
          <w:lang w:val="it-IT" w:eastAsia="en-US"/>
        </w:rPr>
      </w:pPr>
      <w:r>
        <w:rPr>
          <w:rFonts w:eastAsia="Calibri"/>
          <w:b/>
          <w:noProof/>
          <w:szCs w:val="22"/>
          <w:lang w:val="it-IT" w:eastAsia="en-US"/>
        </w:rPr>
        <w:t>Se usa più RoActemra di quanto deve</w:t>
      </w:r>
    </w:p>
    <w:p>
      <w:pPr>
        <w:rPr>
          <w:noProof/>
          <w:szCs w:val="22"/>
          <w:lang w:val="it-IT" w:eastAsia="en-US"/>
        </w:rPr>
      </w:pPr>
      <w:r>
        <w:rPr>
          <w:rFonts w:eastAsia="Calibri"/>
          <w:noProof/>
          <w:szCs w:val="22"/>
          <w:lang w:val="it-IT" w:eastAsia="en-US"/>
        </w:rPr>
        <w:t>Dal momento che RoActemra le verrà somministrato mediante una penna preriempita, è improbabile che gliene venga dato troppo. Tuttavia, se ha delle preoccupazioni in merito, si rivolga al medico, al farmacista o all’infermiere.</w:t>
      </w:r>
    </w:p>
    <w:p>
      <w:pPr>
        <w:rPr>
          <w:noProof/>
          <w:szCs w:val="22"/>
          <w:lang w:val="it-IT"/>
        </w:rPr>
      </w:pPr>
    </w:p>
    <w:p>
      <w:pPr>
        <w:keepNext/>
        <w:keepLines/>
        <w:rPr>
          <w:b/>
          <w:noProof/>
          <w:szCs w:val="22"/>
          <w:lang w:val="it-IT" w:eastAsia="en-US"/>
        </w:rPr>
      </w:pPr>
      <w:r>
        <w:rPr>
          <w:rFonts w:eastAsia="Calibri"/>
          <w:b/>
          <w:noProof/>
          <w:szCs w:val="22"/>
          <w:lang w:val="it-IT" w:eastAsia="en-US"/>
        </w:rPr>
        <w:t>Se un adulto con AR o ACG oppure un adolescente con AIGs salta o dimentica una dose</w:t>
      </w:r>
    </w:p>
    <w:p>
      <w:pPr>
        <w:keepNext/>
        <w:keepLines/>
        <w:rPr>
          <w:ins w:id="12770" w:author="Author"/>
          <w:rFonts w:eastAsia="Calibri"/>
          <w:noProof/>
          <w:szCs w:val="22"/>
          <w:lang w:val="it-IT" w:eastAsia="en-US"/>
        </w:rPr>
      </w:pPr>
      <w:r>
        <w:rPr>
          <w:rFonts w:eastAsia="Calibri"/>
          <w:noProof/>
          <w:szCs w:val="22"/>
          <w:lang w:val="it-IT" w:eastAsia="en-US"/>
        </w:rPr>
        <w:t xml:space="preserve">È molto importante che usi RoActemra esattamente come prescritto dal medico. Tenga traccia della </w:t>
      </w:r>
      <w:del w:id="12771" w:author="Author">
        <w:r>
          <w:rPr>
            <w:rFonts w:eastAsia="Calibri"/>
            <w:noProof/>
            <w:szCs w:val="22"/>
            <w:lang w:val="it-IT" w:eastAsia="en-US"/>
          </w:rPr>
          <w:delText xml:space="preserve">sua </w:delText>
        </w:r>
      </w:del>
      <w:r>
        <w:rPr>
          <w:rFonts w:eastAsia="Calibri"/>
          <w:noProof/>
          <w:szCs w:val="22"/>
          <w:lang w:val="it-IT" w:eastAsia="en-US"/>
        </w:rPr>
        <w:t xml:space="preserve">prossima dose. </w:t>
      </w:r>
    </w:p>
    <w:p>
      <w:pPr>
        <w:keepNext/>
        <w:keepLines/>
        <w:rPr>
          <w:ins w:id="12772" w:author="Author"/>
          <w:rFonts w:eastAsia="Calibri"/>
          <w:noProof/>
          <w:szCs w:val="22"/>
          <w:lang w:val="it-IT" w:eastAsia="en-US"/>
        </w:rPr>
      </w:pPr>
    </w:p>
    <w:p>
      <w:pPr>
        <w:pStyle w:val="ListParagraph"/>
        <w:numPr>
          <w:ilvl w:val="0"/>
          <w:numId w:val="48"/>
        </w:numPr>
        <w:tabs>
          <w:tab w:val="left" w:pos="450"/>
        </w:tabs>
        <w:ind w:left="630" w:hanging="630"/>
        <w:rPr>
          <w:ins w:id="12773" w:author="Author"/>
          <w:noProof/>
          <w:szCs w:val="22"/>
        </w:rPr>
        <w:pPrChange w:id="12774" w:author="Author">
          <w:pPr>
            <w:ind w:left="567" w:hanging="567"/>
          </w:pPr>
        </w:pPrChange>
      </w:pPr>
      <w:ins w:id="12775" w:author="Author">
        <w:r>
          <w:rPr>
            <w:noProof/>
            <w:szCs w:val="22"/>
          </w:rPr>
          <w:t xml:space="preserve">  Se ha dimenticato la dose settimanale e sono trascorsi meno di 7 giorni dalla dose      dimenticata, si somministri la dose il successivo giorno programmato.</w:t>
        </w:r>
      </w:ins>
    </w:p>
    <w:p>
      <w:pPr>
        <w:ind w:left="567" w:hanging="567"/>
        <w:rPr>
          <w:ins w:id="12776" w:author="Author"/>
          <w:noProof/>
          <w:szCs w:val="22"/>
          <w:lang w:val="it-IT"/>
        </w:rPr>
      </w:pPr>
      <w:ins w:id="12777" w:author="Author">
        <w:r>
          <w:rPr>
            <w:noProof/>
            <w:szCs w:val="22"/>
            <w:lang w:val="it-IT"/>
          </w:rPr>
          <w:sym w:font="Symbol" w:char="00B7"/>
        </w:r>
        <w:r>
          <w:rPr>
            <w:noProof/>
            <w:szCs w:val="22"/>
            <w:lang w:val="it-IT"/>
          </w:rPr>
          <w:tab/>
          <w:t>Se ha dimenticato la dose prevista ogni due settimane e sono trascorsi meno di 7 giorni dalla dose dimenticata, si inietti la dose non appena se ne ricorda e si somministri quella successiva regolarmente nel giorno e all’ora previsti.</w:t>
        </w:r>
      </w:ins>
    </w:p>
    <w:p>
      <w:pPr>
        <w:keepNext/>
        <w:keepLines/>
        <w:ind w:left="-90" w:right="-919"/>
        <w:rPr>
          <w:rFonts w:eastAsia="Calibri"/>
          <w:noProof/>
          <w:szCs w:val="22"/>
          <w:lang w:val="it-IT" w:eastAsia="en-US"/>
        </w:rPr>
        <w:pPrChange w:id="12778" w:author="Author">
          <w:pPr>
            <w:keepNext/>
            <w:keepLines/>
          </w:pPr>
        </w:pPrChange>
      </w:pPr>
      <w:ins w:id="12779" w:author="Author">
        <w:r>
          <w:rPr>
            <w:noProof/>
            <w:szCs w:val="22"/>
            <w:lang w:val="it-IT"/>
          </w:rPr>
          <w:sym w:font="Symbol" w:char="00B7"/>
        </w:r>
        <w:r>
          <w:rPr>
            <w:noProof/>
            <w:szCs w:val="22"/>
            <w:lang w:val="it-IT"/>
          </w:rPr>
          <w:tab/>
          <w:t xml:space="preserve">Se ha dimenticato la dose </w:t>
        </w:r>
        <w:r>
          <w:rPr>
            <w:rFonts w:eastAsia="Calibri"/>
            <w:noProof/>
            <w:szCs w:val="22"/>
            <w:lang w:val="it-IT" w:eastAsia="en-US"/>
          </w:rPr>
          <w:t>settimanale o quella ogni due settimane</w:t>
        </w:r>
        <w:r>
          <w:rPr>
            <w:noProof/>
            <w:szCs w:val="22"/>
            <w:lang w:val="it-IT"/>
          </w:rPr>
          <w:t xml:space="preserve"> e sono trascorsi più di 7 giorni dalla       dose dimenticata, oppure non è sicuro di quando iniettare RoActemra, si rivolga al medico o al farmacista.</w:t>
        </w:r>
      </w:ins>
    </w:p>
    <w:p>
      <w:pPr>
        <w:tabs>
          <w:tab w:val="left" w:pos="630"/>
          <w:tab w:val="left" w:pos="709"/>
        </w:tabs>
        <w:ind w:hanging="567"/>
        <w:rPr>
          <w:del w:id="12780" w:author="Author"/>
          <w:rFonts w:eastAsia="Calibri"/>
          <w:noProof/>
          <w:szCs w:val="22"/>
          <w:lang w:val="it-IT" w:eastAsia="en-US"/>
        </w:rPr>
        <w:pPrChange w:id="12781" w:author="Author">
          <w:pPr>
            <w:tabs>
              <w:tab w:val="left" w:pos="709"/>
            </w:tabs>
            <w:ind w:left="709" w:hanging="425"/>
          </w:pPr>
        </w:pPrChange>
      </w:pPr>
      <w:del w:id="12782" w:author="Author">
        <w:r>
          <w:rPr>
            <w:noProof/>
            <w:lang w:val="it-IT"/>
          </w:rPr>
          <w:sym w:font="Symbol" w:char="00B7"/>
        </w:r>
        <w:r>
          <w:rPr>
            <w:noProof/>
            <w:lang w:val="it-IT"/>
          </w:rPr>
          <w:tab/>
        </w:r>
        <w:r>
          <w:rPr>
            <w:rFonts w:eastAsia="Calibri"/>
            <w:noProof/>
            <w:szCs w:val="22"/>
            <w:lang w:val="it-IT" w:eastAsia="en-US"/>
          </w:rPr>
          <w:delText xml:space="preserve">Se salta la sua iniezione settimanale entro 7 giorni, assuma la dose programmata successiva. </w:delText>
        </w:r>
      </w:del>
    </w:p>
    <w:p>
      <w:pPr>
        <w:tabs>
          <w:tab w:val="left" w:pos="630"/>
          <w:tab w:val="left" w:pos="709"/>
        </w:tabs>
        <w:ind w:hanging="567"/>
        <w:rPr>
          <w:del w:id="12783" w:author="Author"/>
          <w:noProof/>
          <w:szCs w:val="22"/>
          <w:lang w:val="it-IT" w:eastAsia="en-US"/>
        </w:rPr>
        <w:pPrChange w:id="12784" w:author="Author">
          <w:pPr>
            <w:tabs>
              <w:tab w:val="left" w:pos="709"/>
            </w:tabs>
            <w:ind w:left="709" w:hanging="425"/>
          </w:pPr>
        </w:pPrChange>
      </w:pPr>
      <w:del w:id="12785" w:author="Author">
        <w:r>
          <w:rPr>
            <w:noProof/>
            <w:lang w:val="it-IT"/>
          </w:rPr>
          <w:sym w:font="Symbol" w:char="00B7"/>
        </w:r>
        <w:r>
          <w:rPr>
            <w:noProof/>
            <w:lang w:val="it-IT"/>
          </w:rPr>
          <w:tab/>
        </w:r>
        <w:r>
          <w:rPr>
            <w:rFonts w:eastAsia="Calibri"/>
            <w:noProof/>
            <w:szCs w:val="22"/>
            <w:lang w:val="it-IT" w:eastAsia="en-US"/>
          </w:rPr>
          <w:delText xml:space="preserve">Se salta la sua iniezione a settimane alterne entro 7 giorni, assuma la dose dimenticata non appena se ne ricorda e quelle successive come programmato. </w:delText>
        </w:r>
      </w:del>
    </w:p>
    <w:p>
      <w:pPr>
        <w:tabs>
          <w:tab w:val="left" w:pos="630"/>
          <w:tab w:val="left" w:pos="709"/>
        </w:tabs>
        <w:ind w:hanging="567"/>
        <w:rPr>
          <w:noProof/>
          <w:szCs w:val="22"/>
          <w:lang w:val="it-IT" w:eastAsia="en-US"/>
        </w:rPr>
        <w:pPrChange w:id="12786" w:author="Author">
          <w:pPr>
            <w:tabs>
              <w:tab w:val="left" w:pos="709"/>
            </w:tabs>
            <w:ind w:left="709" w:hanging="425"/>
          </w:pPr>
        </w:pPrChange>
      </w:pPr>
      <w:del w:id="12787" w:author="Author">
        <w:r>
          <w:rPr>
            <w:noProof/>
            <w:lang w:val="it-IT"/>
          </w:rPr>
          <w:sym w:font="Symbol" w:char="00B7"/>
        </w:r>
        <w:r>
          <w:rPr>
            <w:noProof/>
            <w:lang w:val="it-IT"/>
          </w:rPr>
          <w:tab/>
        </w:r>
        <w:r>
          <w:rPr>
            <w:rFonts w:eastAsia="Calibri"/>
            <w:noProof/>
            <w:szCs w:val="22"/>
            <w:lang w:val="it-IT" w:eastAsia="en-US"/>
          </w:rPr>
          <w:delText>Se salta la sua iniezione settimanale o la sua iniezione a settimane alterne per oltre i 7 giorni o non è sicuro su quando iniettare RoActemra, chiami il medico o il farmacista.</w:delText>
        </w:r>
      </w:del>
    </w:p>
    <w:p>
      <w:pPr>
        <w:rPr>
          <w:noProof/>
          <w:szCs w:val="22"/>
          <w:lang w:val="it-IT"/>
        </w:rPr>
      </w:pPr>
    </w:p>
    <w:p>
      <w:pPr>
        <w:rPr>
          <w:b/>
          <w:noProof/>
          <w:szCs w:val="22"/>
          <w:lang w:val="it-IT"/>
        </w:rPr>
      </w:pPr>
      <w:r>
        <w:rPr>
          <w:b/>
          <w:noProof/>
          <w:szCs w:val="22"/>
          <w:lang w:val="it-IT"/>
        </w:rPr>
        <w:t>Se un adolescente con AIGp salta o dimentica una dose</w:t>
      </w:r>
    </w:p>
    <w:p>
      <w:pPr>
        <w:rPr>
          <w:noProof/>
          <w:lang w:val="it-IT"/>
        </w:rPr>
      </w:pPr>
      <w:r>
        <w:rPr>
          <w:noProof/>
          <w:szCs w:val="22"/>
          <w:lang w:val="it-IT"/>
        </w:rPr>
        <w:t>È molto importante usare RoActemra esattamente come prescritto dal medico. Tenga traccia della prossima dose</w:t>
      </w:r>
      <w:r>
        <w:rPr>
          <w:noProof/>
          <w:lang w:val="it-IT"/>
        </w:rPr>
        <w:t xml:space="preserve">. </w:t>
      </w:r>
    </w:p>
    <w:p>
      <w:pPr>
        <w:ind w:left="567" w:hanging="567"/>
        <w:rPr>
          <w:noProof/>
          <w:szCs w:val="22"/>
          <w:lang w:val="it-IT" w:eastAsia="en-US"/>
          <w:rPrChange w:id="12788" w:author="Author">
            <w:rPr>
              <w:rFonts w:ascii="TimesNewRomanPSMT" w:hAnsi="TimesNewRomanPSMT" w:cs="TimesNewRomanPSMT"/>
              <w:szCs w:val="22"/>
              <w:lang w:val="it-IT" w:eastAsia="en-US"/>
            </w:rPr>
          </w:rPrChange>
        </w:rPr>
      </w:pPr>
      <w:r>
        <w:rPr>
          <w:noProof/>
          <w:lang w:val="it-IT"/>
        </w:rPr>
        <w:sym w:font="Symbol" w:char="00B7"/>
      </w:r>
      <w:r>
        <w:rPr>
          <w:noProof/>
          <w:lang w:val="it-IT"/>
        </w:rPr>
        <w:tab/>
        <w:t xml:space="preserve">Se è stata saltata una dose </w:t>
      </w:r>
      <w:r>
        <w:rPr>
          <w:noProof/>
          <w:szCs w:val="22"/>
          <w:lang w:val="it-IT"/>
        </w:rPr>
        <w:t>e sono trascorsi meno di 7 giorni dalla dose saltata</w:t>
      </w:r>
      <w:r>
        <w:rPr>
          <w:noProof/>
          <w:lang w:val="it-IT"/>
        </w:rPr>
        <w:t xml:space="preserve">, </w:t>
      </w:r>
      <w:r>
        <w:rPr>
          <w:noProof/>
          <w:szCs w:val="22"/>
          <w:lang w:val="it-IT"/>
        </w:rPr>
        <w:t>inietti una dose non appena se ne ricorda e somministri quella successiva regolarmente nel giorno e all’ora previsti</w:t>
      </w:r>
      <w:r>
        <w:rPr>
          <w:noProof/>
          <w:szCs w:val="22"/>
          <w:lang w:val="it-IT" w:eastAsia="en-US"/>
          <w:rPrChange w:id="12789" w:author="Author">
            <w:rPr>
              <w:rFonts w:ascii="TimesNewRomanPSMT" w:hAnsi="TimesNewRomanPSMT" w:cs="TimesNewRomanPSMT"/>
              <w:szCs w:val="22"/>
              <w:lang w:val="it-IT" w:eastAsia="en-US"/>
            </w:rPr>
          </w:rPrChange>
        </w:rPr>
        <w:t xml:space="preserve">. </w:t>
      </w:r>
    </w:p>
    <w:p>
      <w:pPr>
        <w:ind w:left="567" w:hanging="567"/>
        <w:rPr>
          <w:noProof/>
          <w:lang w:val="it-IT"/>
        </w:rPr>
      </w:pPr>
      <w:r>
        <w:rPr>
          <w:noProof/>
          <w:lang w:val="it-IT"/>
        </w:rPr>
        <w:sym w:font="Symbol" w:char="00B7"/>
      </w:r>
      <w:r>
        <w:rPr>
          <w:noProof/>
          <w:lang w:val="it-IT"/>
        </w:rPr>
        <w:tab/>
      </w:r>
      <w:r>
        <w:rPr>
          <w:noProof/>
          <w:szCs w:val="22"/>
          <w:lang w:val="it-IT"/>
        </w:rPr>
        <w:t xml:space="preserve">Se </w:t>
      </w:r>
      <w:r>
        <w:rPr>
          <w:noProof/>
          <w:lang w:val="it-IT"/>
        </w:rPr>
        <w:t xml:space="preserve">è stata saltata una dose </w:t>
      </w:r>
      <w:r>
        <w:rPr>
          <w:noProof/>
          <w:szCs w:val="22"/>
          <w:lang w:val="it-IT"/>
        </w:rPr>
        <w:t xml:space="preserve">e sono trascorsi più di 7 giorni dalla dose </w:t>
      </w:r>
      <w:r>
        <w:rPr>
          <w:noProof/>
          <w:lang w:val="it-IT"/>
        </w:rPr>
        <w:t>saltata</w:t>
      </w:r>
      <w:r>
        <w:rPr>
          <w:noProof/>
          <w:szCs w:val="22"/>
          <w:lang w:val="it-IT"/>
        </w:rPr>
        <w:t>, oppure non è sicuro su quando iniettare RoActemra, si rivolga al medico o al farmacista</w:t>
      </w:r>
      <w:r>
        <w:rPr>
          <w:noProof/>
          <w:szCs w:val="22"/>
          <w:lang w:val="it-IT" w:eastAsia="en-US"/>
          <w:rPrChange w:id="12790" w:author="Author">
            <w:rPr>
              <w:rFonts w:ascii="TimesNewRomanPSMT" w:hAnsi="TimesNewRomanPSMT" w:cs="TimesNewRomanPSMT"/>
              <w:szCs w:val="22"/>
              <w:lang w:val="it-IT" w:eastAsia="en-US"/>
            </w:rPr>
          </w:rPrChange>
        </w:rPr>
        <w:t>.</w:t>
      </w:r>
    </w:p>
    <w:p>
      <w:pPr>
        <w:rPr>
          <w:noProof/>
          <w:szCs w:val="22"/>
          <w:lang w:val="it-IT"/>
        </w:rPr>
      </w:pPr>
    </w:p>
    <w:p>
      <w:pPr>
        <w:rPr>
          <w:rFonts w:eastAsia="Calibri"/>
          <w:b/>
          <w:noProof/>
          <w:szCs w:val="22"/>
          <w:lang w:val="it-IT" w:eastAsia="en-US"/>
        </w:rPr>
      </w:pPr>
      <w:r>
        <w:rPr>
          <w:rFonts w:eastAsia="Calibri"/>
          <w:b/>
          <w:noProof/>
          <w:szCs w:val="22"/>
          <w:lang w:val="it-IT" w:eastAsia="en-US"/>
        </w:rPr>
        <w:t>Se interrompe il trattamento con RoActemra</w:t>
      </w:r>
    </w:p>
    <w:p>
      <w:pPr>
        <w:rPr>
          <w:rFonts w:eastAsia="Calibri"/>
          <w:noProof/>
          <w:szCs w:val="22"/>
          <w:lang w:val="it-IT" w:eastAsia="en-US"/>
        </w:rPr>
      </w:pPr>
      <w:r>
        <w:rPr>
          <w:rFonts w:eastAsia="Calibri"/>
          <w:noProof/>
          <w:szCs w:val="22"/>
          <w:lang w:val="it-IT" w:eastAsia="en-US"/>
        </w:rPr>
        <w:t>Non deve sospendere il trattamento con RoActemra senza averne prima parlato con il medico.</w:t>
      </w:r>
    </w:p>
    <w:p>
      <w:pPr>
        <w:rPr>
          <w:rFonts w:eastAsia="Calibri"/>
          <w:noProof/>
          <w:szCs w:val="22"/>
          <w:lang w:val="it-IT" w:eastAsia="en-US"/>
        </w:rPr>
      </w:pPr>
    </w:p>
    <w:p>
      <w:pPr>
        <w:rPr>
          <w:noProof/>
          <w:szCs w:val="22"/>
          <w:lang w:val="it-IT" w:eastAsia="en-US"/>
        </w:rPr>
      </w:pPr>
      <w:r>
        <w:rPr>
          <w:rFonts w:eastAsia="Calibri"/>
          <w:noProof/>
          <w:szCs w:val="22"/>
          <w:lang w:val="it-IT" w:eastAsia="en-US"/>
        </w:rPr>
        <w:t>Se ha qualsiasi dubbio sull’uso di questo medicinale si rivolga al medico, al farmacista o all’infermiere.</w:t>
      </w:r>
    </w:p>
    <w:p>
      <w:pPr>
        <w:rPr>
          <w:noProof/>
          <w:szCs w:val="22"/>
          <w:lang w:val="it-IT"/>
        </w:rPr>
      </w:pPr>
    </w:p>
    <w:p>
      <w:pPr>
        <w:rPr>
          <w:noProof/>
          <w:szCs w:val="22"/>
          <w:lang w:val="it-IT"/>
        </w:rPr>
      </w:pPr>
    </w:p>
    <w:p>
      <w:pPr>
        <w:rPr>
          <w:b/>
          <w:noProof/>
          <w:szCs w:val="22"/>
          <w:lang w:val="it-IT" w:eastAsia="en-US"/>
        </w:rPr>
      </w:pPr>
      <w:r>
        <w:rPr>
          <w:rFonts w:eastAsia="Calibri"/>
          <w:b/>
          <w:noProof/>
          <w:szCs w:val="22"/>
          <w:lang w:val="it-IT" w:eastAsia="en-US"/>
        </w:rPr>
        <w:t>4.</w:t>
      </w:r>
      <w:r>
        <w:rPr>
          <w:rFonts w:eastAsia="Calibri"/>
          <w:b/>
          <w:noProof/>
          <w:szCs w:val="22"/>
          <w:lang w:val="it-IT" w:eastAsia="en-US"/>
        </w:rPr>
        <w:tab/>
        <w:t>Possibili effetti indesiderati</w:t>
      </w:r>
    </w:p>
    <w:p>
      <w:pPr>
        <w:rPr>
          <w:noProof/>
          <w:szCs w:val="22"/>
          <w:lang w:val="it-IT"/>
        </w:rPr>
      </w:pPr>
    </w:p>
    <w:p>
      <w:pPr>
        <w:numPr>
          <w:ilvl w:val="12"/>
          <w:numId w:val="0"/>
        </w:numPr>
        <w:ind w:right="-29"/>
        <w:rPr>
          <w:rFonts w:eastAsia="Calibri"/>
          <w:noProof/>
          <w:szCs w:val="22"/>
          <w:lang w:val="it-IT" w:eastAsia="en-US"/>
        </w:rPr>
      </w:pPr>
      <w:r>
        <w:rPr>
          <w:rFonts w:eastAsia="Calibri"/>
          <w:noProof/>
          <w:szCs w:val="22"/>
          <w:lang w:val="it-IT" w:eastAsia="en-US"/>
        </w:rPr>
        <w:t>Come tutti i medicinali, RoActemra può causare effetti indesiderati, sebbene non tutte le persone li manifestino.</w:t>
      </w:r>
    </w:p>
    <w:p>
      <w:pPr>
        <w:rPr>
          <w:noProof/>
          <w:szCs w:val="22"/>
          <w:lang w:val="it-IT" w:eastAsia="en-US"/>
        </w:rPr>
      </w:pPr>
      <w:r>
        <w:rPr>
          <w:rFonts w:eastAsia="Calibri"/>
          <w:noProof/>
          <w:szCs w:val="22"/>
          <w:lang w:val="it-IT" w:eastAsia="en-US"/>
        </w:rPr>
        <w:t>Gli effetti indesiderati possono verificarsi fino a 3 mesi o più dopo l’ultima assunzione di RoActemra.</w:t>
      </w:r>
    </w:p>
    <w:p>
      <w:pPr>
        <w:rPr>
          <w:noProof/>
          <w:szCs w:val="22"/>
          <w:lang w:val="it-IT"/>
        </w:rPr>
      </w:pPr>
    </w:p>
    <w:p>
      <w:pPr>
        <w:rPr>
          <w:rFonts w:eastAsia="Calibri"/>
          <w:b/>
          <w:noProof/>
          <w:szCs w:val="22"/>
          <w:lang w:val="it-IT" w:eastAsia="en-US"/>
        </w:rPr>
      </w:pPr>
      <w:r>
        <w:rPr>
          <w:rFonts w:eastAsia="Calibri"/>
          <w:b/>
          <w:noProof/>
          <w:szCs w:val="22"/>
          <w:lang w:val="it-IT" w:eastAsia="en-US"/>
        </w:rPr>
        <w:t>Possibili effetti indesiderati gravi</w:t>
      </w:r>
      <w:del w:id="12791" w:author="Author">
        <w:r>
          <w:rPr>
            <w:rFonts w:eastAsia="Calibri"/>
            <w:b/>
            <w:noProof/>
            <w:szCs w:val="22"/>
            <w:lang w:val="it-IT" w:eastAsia="en-US"/>
          </w:rPr>
          <w:delText>:</w:delText>
        </w:r>
      </w:del>
    </w:p>
    <w:p>
      <w:pPr>
        <w:rPr>
          <w:del w:id="12792" w:author="Author"/>
          <w:rFonts w:eastAsia="Calibri"/>
          <w:noProof/>
          <w:szCs w:val="22"/>
          <w:lang w:val="it-IT" w:eastAsia="en-US"/>
        </w:rPr>
      </w:pPr>
      <w:r>
        <w:rPr>
          <w:rFonts w:eastAsia="Calibri"/>
          <w:noProof/>
          <w:szCs w:val="22"/>
          <w:lang w:val="it-IT" w:eastAsia="en-US"/>
        </w:rPr>
        <w:t xml:space="preserve">Informi </w:t>
      </w:r>
      <w:r>
        <w:rPr>
          <w:rFonts w:eastAsia="Calibri"/>
          <w:b/>
          <w:bCs/>
          <w:noProof/>
          <w:szCs w:val="22"/>
          <w:lang w:val="it-IT" w:eastAsia="en-US"/>
        </w:rPr>
        <w:t>immediatamente</w:t>
      </w:r>
      <w:r>
        <w:rPr>
          <w:rFonts w:eastAsia="Calibri"/>
          <w:noProof/>
          <w:szCs w:val="22"/>
          <w:lang w:val="it-IT" w:eastAsia="en-US"/>
        </w:rPr>
        <w:t xml:space="preserve"> il medico se manifesta uno qualsiasi dei seguenti effetti indesiderati:</w:t>
      </w:r>
    </w:p>
    <w:p>
      <w:pPr>
        <w:rPr>
          <w:rFonts w:eastAsia="Calibri"/>
          <w:noProof/>
          <w:szCs w:val="22"/>
          <w:lang w:val="it-IT" w:eastAsia="en-US"/>
        </w:rPr>
      </w:pPr>
    </w:p>
    <w:p>
      <w:pPr>
        <w:rPr>
          <w:i/>
          <w:noProof/>
          <w:lang w:val="it-IT" w:eastAsia="en-US"/>
        </w:rPr>
      </w:pPr>
      <w:r>
        <w:rPr>
          <w:rFonts w:eastAsia="Calibri"/>
          <w:i/>
          <w:noProof/>
          <w:lang w:val="it-IT" w:eastAsia="en-US"/>
        </w:rPr>
        <w:t xml:space="preserve">Questi sono comuni: possono </w:t>
      </w:r>
      <w:r>
        <w:rPr>
          <w:rFonts w:eastAsia="Calibri"/>
          <w:i/>
          <w:noProof/>
          <w:szCs w:val="22"/>
          <w:lang w:val="it-IT" w:eastAsia="en-US"/>
        </w:rPr>
        <w:t xml:space="preserve">interessare </w:t>
      </w:r>
      <w:r>
        <w:rPr>
          <w:rFonts w:eastAsia="Calibri"/>
          <w:i/>
          <w:noProof/>
          <w:lang w:val="it-IT" w:eastAsia="en-US"/>
        </w:rPr>
        <w:t>fino a 1 persona</w:t>
      </w:r>
      <w:ins w:id="12793" w:author="Author">
        <w:r>
          <w:rPr>
            <w:rFonts w:eastAsia="Calibri"/>
            <w:i/>
            <w:noProof/>
            <w:lang w:val="it-IT" w:eastAsia="en-US"/>
          </w:rPr>
          <w:t xml:space="preserve"> </w:t>
        </w:r>
      </w:ins>
      <w:r>
        <w:rPr>
          <w:rFonts w:eastAsia="Calibri"/>
          <w:i/>
          <w:noProof/>
          <w:lang w:val="it-IT" w:eastAsia="en-US"/>
        </w:rPr>
        <w:t>su 10</w:t>
      </w:r>
    </w:p>
    <w:p>
      <w:pPr>
        <w:rPr>
          <w:noProof/>
          <w:szCs w:val="22"/>
          <w:lang w:val="it-IT"/>
        </w:rPr>
      </w:pPr>
    </w:p>
    <w:p>
      <w:pPr>
        <w:rPr>
          <w:noProof/>
          <w:szCs w:val="22"/>
          <w:lang w:val="it-IT" w:eastAsia="en-US"/>
        </w:rPr>
      </w:pPr>
      <w:r>
        <w:rPr>
          <w:rFonts w:eastAsia="Calibri"/>
          <w:b/>
          <w:bCs/>
          <w:noProof/>
          <w:szCs w:val="22"/>
          <w:lang w:val="it-IT" w:eastAsia="en-US"/>
        </w:rPr>
        <w:t>Reazioni allergiche</w:t>
      </w:r>
      <w:r>
        <w:rPr>
          <w:rFonts w:eastAsia="Calibri"/>
          <w:noProof/>
          <w:szCs w:val="22"/>
          <w:lang w:val="it-IT" w:eastAsia="en-US"/>
        </w:rPr>
        <w:t xml:space="preserve"> durante o dopo l’iniezione:</w:t>
      </w:r>
    </w:p>
    <w:p>
      <w:pPr>
        <w:ind w:left="567" w:hanging="567"/>
        <w:rPr>
          <w:noProof/>
          <w:szCs w:val="22"/>
          <w:lang w:val="it-IT" w:eastAsia="en-US"/>
        </w:rPr>
        <w:pPrChange w:id="12794" w:author="Author">
          <w:pPr/>
        </w:pPrChange>
      </w:pPr>
      <w:ins w:id="12795" w:author="Author">
        <w:r>
          <w:rPr>
            <w:rFonts w:eastAsia="Calibri"/>
            <w:noProof/>
            <w:szCs w:val="22"/>
            <w:lang w:val="it-IT" w:eastAsia="en-US"/>
          </w:rPr>
          <w:sym w:font="Symbol" w:char="F0B7"/>
        </w:r>
        <w:r>
          <w:rPr>
            <w:rFonts w:eastAsia="Calibri"/>
            <w:noProof/>
            <w:szCs w:val="22"/>
            <w:lang w:val="it-IT" w:eastAsia="en-US"/>
          </w:rPr>
          <w:tab/>
        </w:r>
      </w:ins>
      <w:del w:id="12796" w:author="Author">
        <w:r>
          <w:rPr>
            <w:rFonts w:eastAsia="Calibri"/>
            <w:b/>
            <w:noProof/>
            <w:szCs w:val="22"/>
            <w:lang w:val="it-IT" w:eastAsia="en-US"/>
          </w:rPr>
          <w:sym w:font="Symbol" w:char="F0B7"/>
        </w:r>
        <w:r>
          <w:rPr>
            <w:rFonts w:eastAsia="Calibri"/>
            <w:noProof/>
            <w:szCs w:val="22"/>
            <w:lang w:val="it-IT" w:eastAsia="en-US"/>
          </w:rPr>
          <w:tab/>
        </w:r>
      </w:del>
      <w:r>
        <w:rPr>
          <w:rFonts w:eastAsia="Calibri"/>
          <w:noProof/>
          <w:szCs w:val="22"/>
          <w:lang w:val="it-IT" w:eastAsia="en-US"/>
        </w:rPr>
        <w:t>difficoltà a respirare, oppressione al torace o stordimento;</w:t>
      </w:r>
    </w:p>
    <w:p>
      <w:pPr>
        <w:ind w:left="567" w:hanging="567"/>
        <w:rPr>
          <w:noProof/>
          <w:szCs w:val="22"/>
          <w:lang w:val="it-IT" w:eastAsia="en-US"/>
        </w:rPr>
        <w:pPrChange w:id="12797" w:author="Author">
          <w:pPr/>
        </w:pPrChange>
      </w:pPr>
      <w:ins w:id="12798" w:author="Author">
        <w:r>
          <w:rPr>
            <w:rFonts w:eastAsia="Calibri"/>
            <w:noProof/>
            <w:szCs w:val="22"/>
            <w:lang w:val="it-IT" w:eastAsia="en-US"/>
          </w:rPr>
          <w:sym w:font="Symbol" w:char="F0B7"/>
        </w:r>
        <w:r>
          <w:rPr>
            <w:rFonts w:eastAsia="Calibri"/>
            <w:noProof/>
            <w:szCs w:val="22"/>
            <w:lang w:val="it-IT" w:eastAsia="en-US"/>
          </w:rPr>
          <w:tab/>
        </w:r>
      </w:ins>
      <w:del w:id="12799" w:author="Author">
        <w:r>
          <w:rPr>
            <w:rFonts w:eastAsia="Calibri"/>
            <w:b/>
            <w:noProof/>
            <w:szCs w:val="22"/>
            <w:lang w:val="it-IT" w:eastAsia="en-US"/>
          </w:rPr>
          <w:sym w:font="Symbol" w:char="F0B7"/>
        </w:r>
        <w:r>
          <w:rPr>
            <w:rFonts w:eastAsia="Calibri"/>
            <w:noProof/>
            <w:szCs w:val="22"/>
            <w:lang w:val="it-IT" w:eastAsia="en-US"/>
          </w:rPr>
          <w:tab/>
        </w:r>
      </w:del>
      <w:r>
        <w:rPr>
          <w:rFonts w:eastAsia="Calibri"/>
          <w:noProof/>
          <w:szCs w:val="22"/>
          <w:lang w:val="it-IT" w:eastAsia="en-US"/>
        </w:rPr>
        <w:t>eruzione cutanea, prurito, orticaria, tumefazione delle labbra, della lingua o del viso.</w:t>
      </w:r>
    </w:p>
    <w:p>
      <w:pPr>
        <w:rPr>
          <w:b/>
          <w:noProof/>
          <w:szCs w:val="22"/>
          <w:lang w:val="it-IT"/>
        </w:rPr>
      </w:pPr>
    </w:p>
    <w:p>
      <w:pPr>
        <w:keepNext/>
        <w:keepLines/>
        <w:rPr>
          <w:b/>
          <w:noProof/>
          <w:szCs w:val="22"/>
          <w:lang w:val="it-IT" w:eastAsia="en-US"/>
        </w:rPr>
      </w:pPr>
      <w:r>
        <w:rPr>
          <w:rFonts w:eastAsia="Calibri"/>
          <w:b/>
          <w:noProof/>
          <w:szCs w:val="22"/>
          <w:lang w:val="it-IT" w:eastAsia="en-US"/>
        </w:rPr>
        <w:lastRenderedPageBreak/>
        <w:t>Segni di infezioni gravi:</w:t>
      </w:r>
    </w:p>
    <w:p>
      <w:pPr>
        <w:keepNext/>
        <w:keepLines/>
        <w:ind w:left="567" w:hanging="567"/>
        <w:rPr>
          <w:rFonts w:eastAsia="Calibri"/>
          <w:noProof/>
          <w:szCs w:val="22"/>
          <w:lang w:val="it-IT" w:eastAsia="en-US"/>
        </w:rPr>
        <w:pPrChange w:id="12800" w:author="Author">
          <w:pPr>
            <w:keepNext/>
            <w:keepLines/>
          </w:pPr>
        </w:pPrChange>
      </w:pPr>
      <w:r>
        <w:rPr>
          <w:rFonts w:eastAsia="Calibri"/>
          <w:noProof/>
          <w:lang w:val="it-IT" w:eastAsia="en-US"/>
        </w:rPr>
        <w:sym w:font="Symbol" w:char="F0B7"/>
      </w:r>
      <w:r>
        <w:rPr>
          <w:rFonts w:eastAsia="Calibri"/>
          <w:noProof/>
          <w:szCs w:val="22"/>
          <w:lang w:val="it-IT" w:eastAsia="en-US"/>
        </w:rPr>
        <w:tab/>
        <w:t>febbre e brividi</w:t>
      </w:r>
    </w:p>
    <w:p>
      <w:pPr>
        <w:keepNext/>
        <w:keepLines/>
        <w:ind w:left="567" w:hanging="567"/>
        <w:rPr>
          <w:rFonts w:eastAsia="Calibri"/>
          <w:noProof/>
          <w:szCs w:val="22"/>
          <w:lang w:val="it-IT" w:eastAsia="en-US"/>
        </w:rPr>
        <w:pPrChange w:id="12801" w:author="Author">
          <w:pPr>
            <w:keepNext/>
            <w:keepLines/>
          </w:pPr>
        </w:pPrChange>
      </w:pPr>
      <w:r>
        <w:rPr>
          <w:rFonts w:eastAsia="Calibri"/>
          <w:noProof/>
          <w:lang w:val="it-IT" w:eastAsia="en-US"/>
        </w:rPr>
        <w:sym w:font="Symbol" w:char="F0B7"/>
      </w:r>
      <w:r>
        <w:rPr>
          <w:rFonts w:eastAsia="Calibri"/>
          <w:noProof/>
          <w:szCs w:val="22"/>
          <w:lang w:val="it-IT" w:eastAsia="en-US"/>
        </w:rPr>
        <w:tab/>
        <w:t>vesciche nella bocca o sulla pelle</w:t>
      </w:r>
    </w:p>
    <w:p>
      <w:pPr>
        <w:keepNext/>
        <w:keepLines/>
        <w:ind w:left="567" w:hanging="567"/>
        <w:rPr>
          <w:rFonts w:eastAsia="Calibri"/>
          <w:noProof/>
          <w:szCs w:val="22"/>
          <w:lang w:val="it-IT" w:eastAsia="en-US"/>
        </w:rPr>
        <w:pPrChange w:id="12802" w:author="Author">
          <w:pPr>
            <w:keepNext/>
            <w:keepLines/>
          </w:pPr>
        </w:pPrChange>
      </w:pPr>
      <w:r>
        <w:rPr>
          <w:rFonts w:eastAsia="Calibri"/>
          <w:noProof/>
          <w:lang w:val="it-IT" w:eastAsia="en-US"/>
        </w:rPr>
        <w:sym w:font="Symbol" w:char="F0B7"/>
      </w:r>
      <w:r>
        <w:rPr>
          <w:rFonts w:eastAsia="Calibri"/>
          <w:noProof/>
          <w:szCs w:val="22"/>
          <w:lang w:val="it-IT" w:eastAsia="en-US"/>
        </w:rPr>
        <w:tab/>
        <w:t>mal di stomaco</w:t>
      </w:r>
    </w:p>
    <w:p>
      <w:pPr>
        <w:rPr>
          <w:noProof/>
          <w:szCs w:val="22"/>
          <w:lang w:val="it-IT" w:eastAsia="en-US"/>
        </w:rPr>
      </w:pPr>
    </w:p>
    <w:p>
      <w:pPr>
        <w:pStyle w:val="Standard"/>
        <w:keepNext/>
        <w:keepLines/>
        <w:rPr>
          <w:b/>
          <w:noProof/>
          <w:lang w:val="it-IT"/>
        </w:rPr>
        <w:pPrChange w:id="12803" w:author="Author">
          <w:pPr>
            <w:pStyle w:val="Standard"/>
          </w:pPr>
        </w:pPrChange>
      </w:pPr>
      <w:r>
        <w:rPr>
          <w:b/>
          <w:noProof/>
          <w:lang w:val="it-IT"/>
        </w:rPr>
        <w:t>Segni e sintomi di tossicità epatica</w:t>
      </w:r>
      <w:ins w:id="12804" w:author="Author">
        <w:r>
          <w:rPr>
            <w:b/>
            <w:noProof/>
            <w:lang w:val="it-IT"/>
          </w:rPr>
          <w:t>:</w:t>
        </w:r>
      </w:ins>
    </w:p>
    <w:p>
      <w:pPr>
        <w:pStyle w:val="Standard"/>
        <w:keepNext/>
        <w:keepLines/>
        <w:rPr>
          <w:i/>
          <w:noProof/>
          <w:lang w:val="it-IT"/>
        </w:rPr>
        <w:pPrChange w:id="12805" w:author="Author">
          <w:pPr>
            <w:pStyle w:val="Standard"/>
          </w:pPr>
        </w:pPrChange>
      </w:pPr>
      <w:r>
        <w:rPr>
          <w:i/>
          <w:noProof/>
          <w:lang w:val="it-IT"/>
        </w:rPr>
        <w:t>Questi sono rari: possono colpire fino a 1 persona</w:t>
      </w:r>
      <w:ins w:id="12806" w:author="Author">
        <w:r>
          <w:rPr>
            <w:i/>
            <w:noProof/>
            <w:lang w:val="it-IT"/>
          </w:rPr>
          <w:t xml:space="preserve"> </w:t>
        </w:r>
      </w:ins>
      <w:r>
        <w:rPr>
          <w:i/>
          <w:noProof/>
          <w:lang w:val="it-IT"/>
        </w:rPr>
        <w:t>su 1</w:t>
      </w:r>
      <w:ins w:id="12807" w:author="Author">
        <w:r>
          <w:rPr>
            <w:i/>
            <w:noProof/>
            <w:lang w:val="it-IT"/>
          </w:rPr>
          <w:t> </w:t>
        </w:r>
      </w:ins>
      <w:r>
        <w:rPr>
          <w:i/>
          <w:noProof/>
          <w:lang w:val="it-IT"/>
        </w:rPr>
        <w:t>000</w:t>
      </w:r>
    </w:p>
    <w:p>
      <w:pPr>
        <w:pStyle w:val="Standard"/>
        <w:keepNext/>
        <w:keepLines/>
        <w:ind w:left="567" w:hanging="567"/>
        <w:rPr>
          <w:noProof/>
          <w:lang w:val="it-IT"/>
        </w:rPr>
        <w:pPrChange w:id="12808" w:author="Author">
          <w:pPr>
            <w:pStyle w:val="Standard"/>
            <w:ind w:left="-20"/>
          </w:pPr>
        </w:pPrChange>
      </w:pPr>
      <w:r>
        <w:rPr>
          <w:rFonts w:eastAsia="Calibri"/>
          <w:noProof/>
          <w:lang w:val="it-IT" w:eastAsia="en-US"/>
        </w:rPr>
        <w:sym w:font="Symbol" w:char="F0B7"/>
      </w:r>
      <w:r>
        <w:rPr>
          <w:rFonts w:eastAsia="Calibri"/>
          <w:noProof/>
          <w:szCs w:val="22"/>
          <w:lang w:val="it-IT" w:eastAsia="en-US"/>
        </w:rPr>
        <w:tab/>
      </w:r>
      <w:r>
        <w:rPr>
          <w:noProof/>
          <w:lang w:val="it-IT"/>
        </w:rPr>
        <w:t>stanchezza</w:t>
      </w:r>
    </w:p>
    <w:p>
      <w:pPr>
        <w:pStyle w:val="Standard"/>
        <w:keepNext/>
        <w:keepLines/>
        <w:ind w:left="567" w:hanging="567"/>
        <w:rPr>
          <w:noProof/>
          <w:lang w:val="it-IT"/>
        </w:rPr>
        <w:pPrChange w:id="12809" w:author="Author">
          <w:pPr>
            <w:pStyle w:val="Standard"/>
            <w:ind w:left="-20"/>
          </w:pPr>
        </w:pPrChange>
      </w:pPr>
      <w:r>
        <w:rPr>
          <w:rFonts w:eastAsia="Calibri"/>
          <w:noProof/>
          <w:lang w:val="it-IT" w:eastAsia="en-US"/>
        </w:rPr>
        <w:sym w:font="Symbol" w:char="F0B7"/>
      </w:r>
      <w:r>
        <w:rPr>
          <w:rFonts w:eastAsia="Calibri"/>
          <w:noProof/>
          <w:szCs w:val="22"/>
          <w:lang w:val="it-IT" w:eastAsia="en-US"/>
        </w:rPr>
        <w:tab/>
      </w:r>
      <w:r>
        <w:rPr>
          <w:noProof/>
          <w:lang w:val="it-IT"/>
        </w:rPr>
        <w:t>dolore addominale</w:t>
      </w:r>
    </w:p>
    <w:p>
      <w:pPr>
        <w:pStyle w:val="Standard"/>
        <w:ind w:left="567" w:hanging="567"/>
        <w:rPr>
          <w:noProof/>
          <w:lang w:val="it-IT"/>
        </w:rPr>
        <w:pPrChange w:id="12810" w:author="Author">
          <w:pPr>
            <w:pStyle w:val="Standard"/>
            <w:ind w:left="-20"/>
          </w:pPr>
        </w:pPrChange>
      </w:pPr>
      <w:r>
        <w:rPr>
          <w:rFonts w:eastAsia="Calibri"/>
          <w:noProof/>
          <w:lang w:val="it-IT" w:eastAsia="en-US"/>
        </w:rPr>
        <w:sym w:font="Symbol" w:char="F0B7"/>
      </w:r>
      <w:r>
        <w:rPr>
          <w:rFonts w:eastAsia="Calibri"/>
          <w:noProof/>
          <w:szCs w:val="22"/>
          <w:lang w:val="it-IT" w:eastAsia="en-US"/>
        </w:rPr>
        <w:tab/>
      </w:r>
      <w:r>
        <w:rPr>
          <w:noProof/>
          <w:lang w:val="it-IT"/>
        </w:rPr>
        <w:t>ittero (ingiallimento della pelle e della parte bianca degli occhi)</w:t>
      </w:r>
    </w:p>
    <w:p>
      <w:pPr>
        <w:rPr>
          <w:noProof/>
          <w:szCs w:val="22"/>
          <w:lang w:val="it-IT"/>
        </w:rPr>
      </w:pPr>
    </w:p>
    <w:p>
      <w:pPr>
        <w:rPr>
          <w:b/>
          <w:noProof/>
          <w:lang w:val="it-IT"/>
        </w:rPr>
      </w:pPr>
      <w:r>
        <w:rPr>
          <w:b/>
          <w:noProof/>
          <w:lang w:val="it-IT"/>
        </w:rPr>
        <w:t xml:space="preserve">Elenco di altri possibili effetti </w:t>
      </w:r>
      <w:del w:id="12811" w:author="Author">
        <w:r>
          <w:rPr>
            <w:b/>
            <w:noProof/>
            <w:lang w:val="it-IT"/>
          </w:rPr>
          <w:delText>collaterali</w:delText>
        </w:r>
      </w:del>
      <w:ins w:id="12812" w:author="Author">
        <w:r>
          <w:rPr>
            <w:b/>
            <w:noProof/>
            <w:lang w:val="it-IT"/>
          </w:rPr>
          <w:t>indesiderati</w:t>
        </w:r>
      </w:ins>
    </w:p>
    <w:p>
      <w:pPr>
        <w:rPr>
          <w:noProof/>
          <w:szCs w:val="22"/>
          <w:lang w:val="it-IT" w:eastAsia="en-US"/>
        </w:rPr>
      </w:pPr>
      <w:r>
        <w:rPr>
          <w:rFonts w:eastAsia="Calibri"/>
          <w:noProof/>
          <w:szCs w:val="22"/>
          <w:lang w:val="it-IT" w:eastAsia="en-US"/>
        </w:rPr>
        <w:t xml:space="preserve">Se nota la comparsa di uno qualsiasi di questi sintomi, informi il medico </w:t>
      </w:r>
      <w:r>
        <w:rPr>
          <w:rFonts w:eastAsia="Calibri"/>
          <w:b/>
          <w:bCs/>
          <w:noProof/>
          <w:szCs w:val="22"/>
          <w:lang w:val="it-IT" w:eastAsia="en-US"/>
        </w:rPr>
        <w:t>il prima possibile</w:t>
      </w:r>
      <w:r>
        <w:rPr>
          <w:rFonts w:eastAsia="Calibri"/>
          <w:noProof/>
          <w:szCs w:val="22"/>
          <w:lang w:val="it-IT" w:eastAsia="en-US"/>
        </w:rPr>
        <w:t>.</w:t>
      </w:r>
    </w:p>
    <w:p>
      <w:pPr>
        <w:rPr>
          <w:b/>
          <w:noProof/>
          <w:szCs w:val="22"/>
          <w:lang w:val="it-IT"/>
        </w:rPr>
      </w:pPr>
    </w:p>
    <w:p>
      <w:pPr>
        <w:keepNext/>
        <w:keepLines/>
        <w:ind w:left="567" w:hanging="567"/>
        <w:rPr>
          <w:rFonts w:eastAsia="Calibri"/>
          <w:b/>
          <w:noProof/>
          <w:szCs w:val="22"/>
          <w:lang w:val="it-IT" w:eastAsia="en-US"/>
        </w:rPr>
      </w:pPr>
      <w:r>
        <w:rPr>
          <w:rFonts w:eastAsia="Calibri"/>
          <w:b/>
          <w:noProof/>
          <w:szCs w:val="22"/>
          <w:lang w:val="it-IT" w:eastAsia="en-US"/>
        </w:rPr>
        <w:t>Effetti indesiderati molto comuni</w:t>
      </w:r>
      <w:r>
        <w:rPr>
          <w:rFonts w:eastAsia="Calibri"/>
          <w:noProof/>
          <w:szCs w:val="22"/>
          <w:lang w:val="it-IT" w:eastAsia="en-US"/>
        </w:rPr>
        <w:t>:</w:t>
      </w:r>
    </w:p>
    <w:p>
      <w:pPr>
        <w:keepNext/>
        <w:keepLines/>
        <w:ind w:left="567" w:hanging="567"/>
        <w:rPr>
          <w:i/>
          <w:noProof/>
          <w:szCs w:val="22"/>
          <w:lang w:val="it-IT" w:eastAsia="en-US"/>
        </w:rPr>
      </w:pPr>
      <w:r>
        <w:rPr>
          <w:rFonts w:eastAsia="Calibri"/>
          <w:i/>
          <w:noProof/>
          <w:szCs w:val="22"/>
          <w:lang w:val="it-IT" w:eastAsia="en-US"/>
        </w:rPr>
        <w:t>Possono interessare 1 persona su 10 o più</w:t>
      </w:r>
    </w:p>
    <w:p>
      <w:pPr>
        <w:keepNext/>
        <w:keepLines/>
        <w:ind w:left="567" w:hanging="567"/>
        <w:rPr>
          <w:noProof/>
          <w:szCs w:val="22"/>
          <w:lang w:val="it-IT" w:eastAsia="en-US"/>
        </w:rPr>
      </w:pPr>
      <w:r>
        <w:rPr>
          <w:rFonts w:eastAsia="Calibri"/>
          <w:noProof/>
          <w:lang w:val="it-IT" w:eastAsia="en-US"/>
        </w:rPr>
        <w:sym w:font="Symbol" w:char="F0B7"/>
      </w:r>
      <w:r>
        <w:rPr>
          <w:rFonts w:eastAsia="Calibri"/>
          <w:i/>
          <w:noProof/>
          <w:szCs w:val="22"/>
          <w:lang w:val="it-IT" w:eastAsia="en-US"/>
        </w:rPr>
        <w:tab/>
      </w:r>
      <w:r>
        <w:rPr>
          <w:rFonts w:eastAsia="Calibri"/>
          <w:noProof/>
          <w:szCs w:val="22"/>
          <w:lang w:val="it-IT" w:eastAsia="en-US"/>
        </w:rPr>
        <w:t>infezioni delle vie aeree superiori con sintomi tipici quali tosse, naso chiuso, naso che cola, mal di gola e mal di testa</w:t>
      </w:r>
    </w:p>
    <w:p>
      <w:pPr>
        <w:ind w:left="567" w:hanging="567"/>
        <w:rPr>
          <w:rFonts w:eastAsia="Calibri"/>
          <w:noProof/>
          <w:szCs w:val="22"/>
          <w:lang w:val="it-IT" w:eastAsia="en-US"/>
        </w:rPr>
      </w:pPr>
      <w:r>
        <w:rPr>
          <w:rFonts w:eastAsia="Calibri"/>
          <w:noProof/>
          <w:lang w:val="it-IT" w:eastAsia="en-US"/>
        </w:rPr>
        <w:sym w:font="Symbol" w:char="F0B7"/>
      </w:r>
      <w:r>
        <w:rPr>
          <w:rFonts w:eastAsia="Calibri"/>
          <w:noProof/>
          <w:szCs w:val="22"/>
          <w:lang w:val="it-IT" w:eastAsia="en-US"/>
        </w:rPr>
        <w:tab/>
        <w:t>livelli elevati di grassi nel sangue (colesterolo)</w:t>
      </w:r>
    </w:p>
    <w:p>
      <w:pPr>
        <w:ind w:left="567" w:hanging="567"/>
        <w:rPr>
          <w:i/>
          <w:noProof/>
          <w:szCs w:val="22"/>
          <w:lang w:val="it-IT" w:eastAsia="en-US"/>
        </w:rPr>
      </w:pPr>
      <w:r>
        <w:rPr>
          <w:rFonts w:eastAsia="Calibri"/>
          <w:noProof/>
          <w:lang w:val="it-IT" w:eastAsia="en-US"/>
        </w:rPr>
        <w:sym w:font="Symbol" w:char="F0B7"/>
      </w:r>
      <w:r>
        <w:rPr>
          <w:rFonts w:eastAsia="Calibri"/>
          <w:noProof/>
          <w:szCs w:val="22"/>
          <w:lang w:val="it-IT" w:eastAsia="en-US"/>
        </w:rPr>
        <w:tab/>
        <w:t>reazioni correlate al sito di iniezione.</w:t>
      </w:r>
    </w:p>
    <w:p>
      <w:pPr>
        <w:ind w:left="567" w:hanging="567"/>
        <w:rPr>
          <w:noProof/>
          <w:szCs w:val="22"/>
          <w:lang w:val="it-IT"/>
        </w:rPr>
      </w:pPr>
    </w:p>
    <w:p>
      <w:pPr>
        <w:ind w:left="567" w:hanging="567"/>
        <w:rPr>
          <w:rFonts w:eastAsia="Calibri"/>
          <w:b/>
          <w:noProof/>
          <w:szCs w:val="22"/>
          <w:lang w:val="it-IT" w:eastAsia="en-US"/>
        </w:rPr>
      </w:pPr>
      <w:r>
        <w:rPr>
          <w:rFonts w:eastAsia="Calibri"/>
          <w:b/>
          <w:noProof/>
          <w:szCs w:val="22"/>
          <w:lang w:val="it-IT" w:eastAsia="en-US"/>
        </w:rPr>
        <w:t>Effetti indesiderati comuni</w:t>
      </w:r>
      <w:r>
        <w:rPr>
          <w:rFonts w:eastAsia="Calibri"/>
          <w:b/>
          <w:bCs/>
          <w:noProof/>
          <w:szCs w:val="22"/>
          <w:lang w:val="it-IT" w:eastAsia="en-US"/>
          <w:rPrChange w:id="12813" w:author="Author">
            <w:rPr>
              <w:rFonts w:eastAsia="Calibri"/>
              <w:szCs w:val="22"/>
              <w:lang w:val="it-IT" w:eastAsia="en-US"/>
            </w:rPr>
          </w:rPrChange>
        </w:rPr>
        <w:t>:</w:t>
      </w:r>
    </w:p>
    <w:p>
      <w:pPr>
        <w:ind w:left="567" w:hanging="567"/>
        <w:rPr>
          <w:i/>
          <w:noProof/>
          <w:szCs w:val="22"/>
          <w:lang w:val="it-IT" w:eastAsia="en-US"/>
        </w:rPr>
      </w:pPr>
      <w:r>
        <w:rPr>
          <w:rFonts w:eastAsia="Calibri"/>
          <w:i/>
          <w:noProof/>
          <w:szCs w:val="22"/>
          <w:lang w:val="it-IT" w:eastAsia="en-US"/>
        </w:rPr>
        <w:t>Possono interessare fino a 1 persona</w:t>
      </w:r>
      <w:ins w:id="12814" w:author="Author">
        <w:r>
          <w:rPr>
            <w:rFonts w:eastAsia="Calibri"/>
            <w:i/>
            <w:noProof/>
            <w:szCs w:val="22"/>
            <w:lang w:val="it-IT" w:eastAsia="en-US"/>
          </w:rPr>
          <w:t xml:space="preserve"> </w:t>
        </w:r>
      </w:ins>
      <w:r>
        <w:rPr>
          <w:rFonts w:eastAsia="Calibri"/>
          <w:i/>
          <w:noProof/>
          <w:szCs w:val="22"/>
          <w:lang w:val="it-IT" w:eastAsia="en-US"/>
        </w:rPr>
        <w:t>su 10</w:t>
      </w:r>
    </w:p>
    <w:p>
      <w:pPr>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infezione polmonare (polmonite)</w:t>
      </w:r>
    </w:p>
    <w:p>
      <w:pPr>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fuoco di Sant’Antonio (herpes zoster)</w:t>
      </w:r>
    </w:p>
    <w:p>
      <w:pPr>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febbre delle labbra (herpes simplex orale), formazione di vesciche</w:t>
      </w:r>
    </w:p>
    <w:p>
      <w:pPr>
        <w:ind w:left="567" w:hanging="567"/>
        <w:rPr>
          <w:rFonts w:eastAsia="Calibri"/>
          <w:noProof/>
          <w:szCs w:val="22"/>
          <w:lang w:val="it-IT" w:eastAsia="en-US"/>
        </w:rPr>
      </w:pPr>
      <w:r>
        <w:rPr>
          <w:rFonts w:eastAsia="Calibri"/>
          <w:noProof/>
          <w:lang w:val="it-IT" w:eastAsia="en-US"/>
        </w:rPr>
        <w:sym w:font="Symbol" w:char="F0B7"/>
      </w:r>
      <w:r>
        <w:rPr>
          <w:rFonts w:eastAsia="Calibri"/>
          <w:noProof/>
          <w:szCs w:val="22"/>
          <w:lang w:val="it-IT" w:eastAsia="en-US"/>
        </w:rPr>
        <w:tab/>
        <w:t>infezioni della pelle (cellulite) talvolta associate a febbre e brividi</w:t>
      </w:r>
    </w:p>
    <w:p>
      <w:pPr>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eruzione cutanea e prurito, orticaria</w:t>
      </w:r>
    </w:p>
    <w:p>
      <w:pPr>
        <w:ind w:left="567" w:hanging="567"/>
        <w:rPr>
          <w:rFonts w:eastAsia="Calibri"/>
          <w:noProof/>
          <w:szCs w:val="22"/>
          <w:lang w:val="it-IT" w:eastAsia="en-US"/>
        </w:rPr>
      </w:pPr>
      <w:r>
        <w:rPr>
          <w:rFonts w:eastAsia="Calibri"/>
          <w:noProof/>
          <w:lang w:val="it-IT" w:eastAsia="en-US"/>
        </w:rPr>
        <w:sym w:font="Symbol" w:char="F0B7"/>
      </w:r>
      <w:r>
        <w:rPr>
          <w:rFonts w:eastAsia="Calibri"/>
          <w:noProof/>
          <w:szCs w:val="22"/>
          <w:lang w:val="it-IT" w:eastAsia="en-US"/>
        </w:rPr>
        <w:tab/>
        <w:t>reazioni allergiche (ipersensibilità)</w:t>
      </w:r>
    </w:p>
    <w:p>
      <w:pPr>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infezione agli occhi (congiuntivite)</w:t>
      </w:r>
    </w:p>
    <w:p>
      <w:pPr>
        <w:ind w:left="567" w:hanging="567"/>
        <w:rPr>
          <w:b/>
          <w:noProof/>
          <w:szCs w:val="22"/>
          <w:lang w:val="it-IT" w:eastAsia="en-US"/>
        </w:rPr>
      </w:pPr>
      <w:r>
        <w:rPr>
          <w:rFonts w:eastAsia="Calibri"/>
          <w:noProof/>
          <w:lang w:val="it-IT" w:eastAsia="en-US"/>
        </w:rPr>
        <w:sym w:font="Symbol" w:char="F0B7"/>
      </w:r>
      <w:r>
        <w:rPr>
          <w:rFonts w:eastAsia="Calibri"/>
          <w:noProof/>
          <w:szCs w:val="22"/>
          <w:lang w:val="it-IT" w:eastAsia="en-US"/>
        </w:rPr>
        <w:tab/>
        <w:t>mal di testa, capogiri, pressione sanguigna elevata</w:t>
      </w:r>
    </w:p>
    <w:p>
      <w:pPr>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ulcerazione della bocca, mal di stomaco</w:t>
      </w:r>
    </w:p>
    <w:p>
      <w:pPr>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ritenzione idrica (edema) nella parte inferiore delle gambe, aumento del peso</w:t>
      </w:r>
    </w:p>
    <w:p>
      <w:pPr>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tosse, respiro corto</w:t>
      </w:r>
    </w:p>
    <w:p>
      <w:pPr>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basso numero dei globuli bianchi come evidenziato dagli esami del sangue (neutropenia, leucopenia)</w:t>
      </w:r>
    </w:p>
    <w:p>
      <w:pPr>
        <w:ind w:left="567" w:hanging="567"/>
        <w:rPr>
          <w:rFonts w:eastAsia="Calibri"/>
          <w:noProof/>
          <w:szCs w:val="22"/>
          <w:lang w:val="it-IT" w:eastAsia="en-US"/>
        </w:rPr>
      </w:pPr>
      <w:r>
        <w:rPr>
          <w:rFonts w:eastAsia="Calibri"/>
          <w:noProof/>
          <w:lang w:val="it-IT" w:eastAsia="en-US"/>
        </w:rPr>
        <w:sym w:font="Symbol" w:char="F0B7"/>
      </w:r>
      <w:r>
        <w:rPr>
          <w:rFonts w:eastAsia="Calibri"/>
          <w:noProof/>
          <w:szCs w:val="22"/>
          <w:lang w:val="it-IT" w:eastAsia="en-US"/>
        </w:rPr>
        <w:tab/>
        <w:t>anomalie nei test di funzionalità del fegato (aumento delle transaminasi)</w:t>
      </w:r>
    </w:p>
    <w:p>
      <w:pPr>
        <w:ind w:left="567" w:hanging="567"/>
        <w:rPr>
          <w:noProof/>
          <w:szCs w:val="22"/>
          <w:lang w:val="it-IT" w:eastAsia="en-US"/>
        </w:rPr>
      </w:pPr>
      <w:r>
        <w:rPr>
          <w:rFonts w:eastAsia="Calibri"/>
          <w:noProof/>
          <w:lang w:val="it-IT" w:eastAsia="en-US"/>
        </w:rPr>
        <w:sym w:font="Symbol" w:char="F0B7"/>
      </w:r>
      <w:r>
        <w:rPr>
          <w:rFonts w:eastAsia="Calibri"/>
          <w:noProof/>
          <w:szCs w:val="22"/>
          <w:lang w:val="it-IT" w:eastAsia="en-US"/>
        </w:rPr>
        <w:tab/>
        <w:t>aumento della bilirubina come evidenziato dagli esami del sangue</w:t>
      </w:r>
    </w:p>
    <w:p>
      <w:pPr>
        <w:tabs>
          <w:tab w:val="left" w:pos="567"/>
          <w:tab w:val="left" w:pos="700"/>
        </w:tabs>
        <w:ind w:left="567" w:hanging="567"/>
        <w:rPr>
          <w:noProof/>
          <w:szCs w:val="22"/>
          <w:lang w:val="it-IT"/>
        </w:rPr>
        <w:pPrChange w:id="12815" w:author="Author">
          <w:pPr>
            <w:tabs>
              <w:tab w:val="left" w:pos="567"/>
              <w:tab w:val="left" w:pos="700"/>
            </w:tabs>
          </w:pPr>
        </w:pPrChange>
      </w:pPr>
      <w:r>
        <w:rPr>
          <w:rFonts w:eastAsia="Calibri"/>
          <w:noProof/>
          <w:lang w:val="it-IT" w:eastAsia="en-US"/>
        </w:rPr>
        <w:sym w:font="Symbol" w:char="F0B7"/>
      </w:r>
      <w:r>
        <w:rPr>
          <w:rFonts w:eastAsia="Calibri"/>
          <w:noProof/>
          <w:szCs w:val="22"/>
          <w:lang w:val="it-IT" w:eastAsia="en-US"/>
        </w:rPr>
        <w:tab/>
      </w:r>
      <w:r>
        <w:rPr>
          <w:rFonts w:eastAsia="SimSun"/>
          <w:noProof/>
          <w:lang w:val="it-IT" w:eastAsia="zh-CN"/>
        </w:rPr>
        <w:t>bassi livelli di fibrinogeno nel sangue (una proteina coinvolta nella coagulazione del sangue).</w:t>
      </w:r>
    </w:p>
    <w:p>
      <w:pPr>
        <w:ind w:left="567" w:hanging="567"/>
        <w:rPr>
          <w:b/>
          <w:noProof/>
          <w:szCs w:val="22"/>
          <w:lang w:val="it-IT"/>
        </w:rPr>
      </w:pPr>
    </w:p>
    <w:p>
      <w:pPr>
        <w:rPr>
          <w:rFonts w:eastAsia="Calibri"/>
          <w:b/>
          <w:noProof/>
          <w:szCs w:val="22"/>
          <w:lang w:val="it-IT" w:eastAsia="en-US"/>
        </w:rPr>
      </w:pPr>
      <w:r>
        <w:rPr>
          <w:rFonts w:eastAsia="Calibri"/>
          <w:b/>
          <w:noProof/>
          <w:szCs w:val="22"/>
          <w:lang w:val="it-IT" w:eastAsia="en-US"/>
        </w:rPr>
        <w:t>Effetti indesiderati non comuni</w:t>
      </w:r>
      <w:r>
        <w:rPr>
          <w:rFonts w:eastAsia="Calibri"/>
          <w:b/>
          <w:bCs/>
          <w:noProof/>
          <w:szCs w:val="22"/>
          <w:lang w:val="it-IT" w:eastAsia="en-US"/>
          <w:rPrChange w:id="12816" w:author="Author">
            <w:rPr>
              <w:rFonts w:eastAsia="Calibri"/>
              <w:szCs w:val="22"/>
              <w:lang w:val="it-IT" w:eastAsia="en-US"/>
            </w:rPr>
          </w:rPrChange>
        </w:rPr>
        <w:t>:</w:t>
      </w:r>
    </w:p>
    <w:p>
      <w:pPr>
        <w:rPr>
          <w:i/>
          <w:noProof/>
          <w:szCs w:val="22"/>
          <w:lang w:val="it-IT" w:eastAsia="en-US"/>
        </w:rPr>
      </w:pPr>
      <w:r>
        <w:rPr>
          <w:rFonts w:eastAsia="Calibri"/>
          <w:i/>
          <w:noProof/>
          <w:szCs w:val="22"/>
          <w:lang w:val="it-IT" w:eastAsia="en-US"/>
        </w:rPr>
        <w:t>Possono interessare fino a 1 persona su 100</w:t>
      </w:r>
    </w:p>
    <w:p>
      <w:pPr>
        <w:ind w:left="567" w:hanging="567"/>
        <w:rPr>
          <w:noProof/>
          <w:szCs w:val="22"/>
          <w:lang w:val="it-IT" w:eastAsia="en-US"/>
        </w:rPr>
        <w:pPrChange w:id="12817" w:author="Author">
          <w:pPr/>
        </w:pPrChange>
      </w:pPr>
      <w:r>
        <w:rPr>
          <w:rFonts w:eastAsia="Calibri"/>
          <w:noProof/>
          <w:lang w:val="it-IT" w:eastAsia="en-US"/>
        </w:rPr>
        <w:sym w:font="Symbol" w:char="F0B7"/>
      </w:r>
      <w:r>
        <w:rPr>
          <w:rFonts w:eastAsia="Calibri"/>
          <w:noProof/>
          <w:szCs w:val="22"/>
          <w:lang w:val="it-IT" w:eastAsia="en-US"/>
        </w:rPr>
        <w:tab/>
        <w:t>diverticolite (febbre, nausea, diarrea, stipsi, mal di stomaco)</w:t>
      </w:r>
    </w:p>
    <w:p>
      <w:pPr>
        <w:ind w:left="567" w:hanging="567"/>
        <w:rPr>
          <w:noProof/>
          <w:szCs w:val="22"/>
          <w:lang w:val="it-IT" w:eastAsia="en-US"/>
        </w:rPr>
        <w:pPrChange w:id="12818" w:author="Author">
          <w:pPr/>
        </w:pPrChange>
      </w:pPr>
      <w:r>
        <w:rPr>
          <w:rFonts w:eastAsia="Calibri"/>
          <w:noProof/>
          <w:lang w:val="it-IT" w:eastAsia="en-US"/>
        </w:rPr>
        <w:sym w:font="Symbol" w:char="F0B7"/>
      </w:r>
      <w:r>
        <w:rPr>
          <w:rFonts w:eastAsia="Calibri"/>
          <w:noProof/>
          <w:szCs w:val="22"/>
          <w:lang w:val="it-IT" w:eastAsia="en-US"/>
        </w:rPr>
        <w:tab/>
        <w:t>aree arrossate e gonfie nella bocca</w:t>
      </w:r>
    </w:p>
    <w:p>
      <w:pPr>
        <w:ind w:left="567" w:hanging="567"/>
        <w:rPr>
          <w:noProof/>
          <w:szCs w:val="22"/>
          <w:lang w:val="it-IT" w:eastAsia="en-US"/>
        </w:rPr>
        <w:pPrChange w:id="12819" w:author="Author">
          <w:pPr/>
        </w:pPrChange>
      </w:pPr>
      <w:r>
        <w:rPr>
          <w:rFonts w:eastAsia="Calibri"/>
          <w:noProof/>
          <w:lang w:val="it-IT" w:eastAsia="en-US"/>
        </w:rPr>
        <w:sym w:font="Symbol" w:char="F0B7"/>
      </w:r>
      <w:r>
        <w:rPr>
          <w:rFonts w:eastAsia="Calibri"/>
          <w:noProof/>
          <w:szCs w:val="22"/>
          <w:lang w:val="it-IT" w:eastAsia="en-US"/>
        </w:rPr>
        <w:tab/>
        <w:t>elevati livelli di grassi nel sangue (trigliceridi)</w:t>
      </w:r>
    </w:p>
    <w:p>
      <w:pPr>
        <w:ind w:left="567" w:hanging="567"/>
        <w:rPr>
          <w:noProof/>
          <w:szCs w:val="22"/>
          <w:lang w:val="it-IT" w:eastAsia="en-US"/>
        </w:rPr>
        <w:pPrChange w:id="12820" w:author="Author">
          <w:pPr/>
        </w:pPrChange>
      </w:pPr>
      <w:r>
        <w:rPr>
          <w:rFonts w:eastAsia="Calibri"/>
          <w:noProof/>
          <w:lang w:val="it-IT" w:eastAsia="en-US"/>
        </w:rPr>
        <w:sym w:font="Symbol" w:char="F0B7"/>
      </w:r>
      <w:r>
        <w:rPr>
          <w:rFonts w:eastAsia="Calibri"/>
          <w:noProof/>
          <w:szCs w:val="22"/>
          <w:lang w:val="it-IT" w:eastAsia="en-US"/>
        </w:rPr>
        <w:tab/>
        <w:t>ulcera gastrica</w:t>
      </w:r>
    </w:p>
    <w:p>
      <w:pPr>
        <w:ind w:left="567" w:hanging="567"/>
        <w:rPr>
          <w:rFonts w:eastAsia="Calibri"/>
          <w:noProof/>
          <w:szCs w:val="22"/>
          <w:lang w:val="it-IT" w:eastAsia="en-US"/>
        </w:rPr>
        <w:pPrChange w:id="12821" w:author="Author">
          <w:pPr/>
        </w:pPrChange>
      </w:pPr>
      <w:r>
        <w:rPr>
          <w:rFonts w:eastAsia="Calibri"/>
          <w:noProof/>
          <w:lang w:val="it-IT" w:eastAsia="en-US"/>
        </w:rPr>
        <w:sym w:font="Symbol" w:char="F0B7"/>
      </w:r>
      <w:r>
        <w:rPr>
          <w:rFonts w:eastAsia="Calibri"/>
          <w:noProof/>
          <w:szCs w:val="22"/>
          <w:lang w:val="it-IT" w:eastAsia="en-US"/>
        </w:rPr>
        <w:tab/>
        <w:t>calcoli renali</w:t>
      </w:r>
    </w:p>
    <w:p>
      <w:pPr>
        <w:ind w:left="567" w:hanging="567"/>
        <w:rPr>
          <w:b/>
          <w:noProof/>
          <w:szCs w:val="22"/>
          <w:lang w:val="it-IT" w:eastAsia="en-US"/>
        </w:rPr>
        <w:pPrChange w:id="12822" w:author="Author">
          <w:pPr/>
        </w:pPrChange>
      </w:pPr>
      <w:r>
        <w:rPr>
          <w:rFonts w:eastAsia="Calibri"/>
          <w:noProof/>
          <w:lang w:val="it-IT" w:eastAsia="en-US"/>
        </w:rPr>
        <w:sym w:font="Symbol" w:char="F0B7"/>
      </w:r>
      <w:r>
        <w:rPr>
          <w:rFonts w:eastAsia="Calibri"/>
          <w:noProof/>
          <w:szCs w:val="22"/>
          <w:lang w:val="it-IT" w:eastAsia="en-US"/>
        </w:rPr>
        <w:tab/>
        <w:t>ipotiroidismo.</w:t>
      </w:r>
    </w:p>
    <w:p>
      <w:pPr>
        <w:rPr>
          <w:i/>
          <w:noProof/>
          <w:szCs w:val="22"/>
          <w:lang w:val="it-IT"/>
        </w:rPr>
      </w:pPr>
    </w:p>
    <w:p>
      <w:pPr>
        <w:pStyle w:val="Standard"/>
        <w:rPr>
          <w:b/>
          <w:noProof/>
          <w:lang w:val="it-IT"/>
        </w:rPr>
      </w:pPr>
      <w:r>
        <w:rPr>
          <w:b/>
          <w:noProof/>
          <w:lang w:val="it-IT"/>
        </w:rPr>
        <w:t>Effetti indesiderati rari:</w:t>
      </w:r>
    </w:p>
    <w:p>
      <w:pPr>
        <w:pStyle w:val="Standard"/>
        <w:rPr>
          <w:i/>
          <w:noProof/>
          <w:lang w:val="it-IT"/>
        </w:rPr>
      </w:pPr>
      <w:r>
        <w:rPr>
          <w:i/>
          <w:noProof/>
          <w:lang w:val="it-IT"/>
        </w:rPr>
        <w:t>Questi possono colpire fino a 1 persona</w:t>
      </w:r>
      <w:ins w:id="12823" w:author="Author">
        <w:r>
          <w:rPr>
            <w:i/>
            <w:noProof/>
            <w:lang w:val="it-IT"/>
          </w:rPr>
          <w:t xml:space="preserve"> </w:t>
        </w:r>
      </w:ins>
      <w:r>
        <w:rPr>
          <w:i/>
          <w:noProof/>
          <w:lang w:val="it-IT"/>
        </w:rPr>
        <w:t>su 1</w:t>
      </w:r>
      <w:ins w:id="12824" w:author="Author">
        <w:r>
          <w:rPr>
            <w:i/>
            <w:noProof/>
            <w:lang w:val="it-IT"/>
          </w:rPr>
          <w:t> </w:t>
        </w:r>
      </w:ins>
      <w:r>
        <w:rPr>
          <w:i/>
          <w:noProof/>
          <w:lang w:val="it-IT"/>
        </w:rPr>
        <w:t>000</w:t>
      </w:r>
    </w:p>
    <w:p>
      <w:pPr>
        <w:pStyle w:val="Standard"/>
        <w:ind w:left="567" w:hanging="567"/>
        <w:rPr>
          <w:noProof/>
          <w:lang w:val="it-IT"/>
        </w:rPr>
        <w:pPrChange w:id="12825" w:author="Author">
          <w:pPr>
            <w:pStyle w:val="Standard"/>
            <w:ind w:left="561" w:hanging="561"/>
          </w:pPr>
        </w:pPrChange>
      </w:pPr>
      <w:r>
        <w:rPr>
          <w:noProof/>
          <w:lang w:val="it-IT"/>
          <w:rPrChange w:id="12826" w:author="Author">
            <w:rPr>
              <w:rFonts w:ascii="Symbol" w:hAnsi="Symbol"/>
              <w:lang w:val="it-IT"/>
            </w:rPr>
          </w:rPrChange>
        </w:rPr>
        <w:sym w:font="Symbol" w:char="F0B7"/>
      </w:r>
      <w:r>
        <w:rPr>
          <w:noProof/>
          <w:lang w:val="it-IT"/>
        </w:rPr>
        <w:tab/>
        <w:t>sindrome di Stevens-Johnson (eruzione cutanea, che può comportare formazione di vesciche gravi e desquamazione della pelle)</w:t>
      </w:r>
    </w:p>
    <w:p>
      <w:pPr>
        <w:pStyle w:val="Standard"/>
        <w:ind w:left="567" w:hanging="567"/>
        <w:rPr>
          <w:rFonts w:eastAsia="Calibri"/>
          <w:noProof/>
          <w:lang w:val="it-IT" w:eastAsia="en-US"/>
        </w:rPr>
        <w:pPrChange w:id="12827" w:author="Author">
          <w:pPr>
            <w:pStyle w:val="Standard"/>
            <w:ind w:left="561" w:hanging="561"/>
          </w:pPr>
        </w:pPrChange>
      </w:pPr>
      <w:r>
        <w:rPr>
          <w:noProof/>
          <w:lang w:val="it-IT"/>
          <w:rPrChange w:id="12828" w:author="Author">
            <w:rPr>
              <w:rFonts w:ascii="Symbol" w:hAnsi="Symbol"/>
              <w:lang w:val="it-IT"/>
            </w:rPr>
          </w:rPrChange>
        </w:rPr>
        <w:sym w:font="Symbol" w:char="F0B7"/>
      </w:r>
      <w:r>
        <w:rPr>
          <w:noProof/>
          <w:lang w:val="it-IT"/>
        </w:rPr>
        <w:tab/>
        <w:t>reazioni allergiche fatali (anafilassi)</w:t>
      </w:r>
    </w:p>
    <w:p>
      <w:pPr>
        <w:pStyle w:val="Standard"/>
        <w:ind w:left="567" w:hanging="567"/>
        <w:rPr>
          <w:noProof/>
          <w:lang w:val="it-IT"/>
        </w:rPr>
        <w:pPrChange w:id="12829" w:author="Author">
          <w:pPr>
            <w:pStyle w:val="Standard"/>
          </w:pPr>
        </w:pPrChange>
      </w:pPr>
      <w:r>
        <w:rPr>
          <w:rFonts w:eastAsia="Calibri"/>
          <w:noProof/>
          <w:lang w:val="it-IT" w:eastAsia="en-US"/>
        </w:rPr>
        <w:sym w:font="Symbol" w:char="F0B7"/>
      </w:r>
      <w:r>
        <w:rPr>
          <w:rFonts w:eastAsia="Calibri"/>
          <w:noProof/>
          <w:lang w:val="it-IT" w:eastAsia="en-US"/>
        </w:rPr>
        <w:tab/>
        <w:t>infiammazione del fegato (epatite), ittero.</w:t>
      </w:r>
    </w:p>
    <w:p>
      <w:pPr>
        <w:rPr>
          <w:i/>
          <w:noProof/>
          <w:szCs w:val="22"/>
          <w:lang w:val="it-IT"/>
        </w:rPr>
      </w:pPr>
    </w:p>
    <w:p>
      <w:pPr>
        <w:keepNext/>
        <w:keepLines/>
        <w:rPr>
          <w:b/>
          <w:noProof/>
          <w:szCs w:val="22"/>
          <w:lang w:val="it-IT" w:eastAsia="en-US"/>
        </w:rPr>
      </w:pPr>
      <w:r>
        <w:rPr>
          <w:rFonts w:eastAsia="Calibri"/>
          <w:b/>
          <w:noProof/>
          <w:szCs w:val="22"/>
          <w:lang w:val="it-IT" w:eastAsia="en-US"/>
        </w:rPr>
        <w:t>Effetti indesiderati molto rari:</w:t>
      </w:r>
    </w:p>
    <w:p>
      <w:pPr>
        <w:keepNext/>
        <w:keepLines/>
        <w:rPr>
          <w:i/>
          <w:noProof/>
          <w:szCs w:val="22"/>
          <w:lang w:val="it-IT" w:eastAsia="en-US"/>
        </w:rPr>
      </w:pPr>
      <w:r>
        <w:rPr>
          <w:rFonts w:eastAsia="Calibri"/>
          <w:i/>
          <w:noProof/>
          <w:szCs w:val="22"/>
          <w:lang w:val="it-IT" w:eastAsia="en-US"/>
        </w:rPr>
        <w:t>Possono interessare fino a 1 persona su 10</w:t>
      </w:r>
      <w:del w:id="12830" w:author="Author">
        <w:r>
          <w:rPr>
            <w:rFonts w:eastAsia="Calibri"/>
            <w:i/>
            <w:noProof/>
            <w:szCs w:val="22"/>
            <w:lang w:val="it-IT" w:eastAsia="en-US"/>
          </w:rPr>
          <w:delText>.</w:delText>
        </w:r>
      </w:del>
      <w:ins w:id="12831" w:author="Author">
        <w:r>
          <w:rPr>
            <w:rFonts w:eastAsia="Calibri"/>
            <w:i/>
            <w:noProof/>
            <w:szCs w:val="22"/>
            <w:lang w:val="it-IT" w:eastAsia="en-US"/>
          </w:rPr>
          <w:t> </w:t>
        </w:r>
      </w:ins>
      <w:r>
        <w:rPr>
          <w:rFonts w:eastAsia="Calibri"/>
          <w:i/>
          <w:noProof/>
          <w:szCs w:val="22"/>
          <w:lang w:val="it-IT" w:eastAsia="en-US"/>
        </w:rPr>
        <w:t>000</w:t>
      </w:r>
    </w:p>
    <w:p>
      <w:pPr>
        <w:keepNext/>
        <w:keepLines/>
        <w:ind w:left="567" w:hanging="567"/>
        <w:rPr>
          <w:rFonts w:eastAsia="Calibri"/>
          <w:noProof/>
          <w:lang w:val="it-IT" w:eastAsia="en-US"/>
        </w:rPr>
        <w:pPrChange w:id="12832" w:author="Author">
          <w:pPr>
            <w:keepNext/>
            <w:keepLines/>
            <w:ind w:left="561" w:hanging="561"/>
          </w:pPr>
        </w:pPrChange>
      </w:pPr>
      <w:r>
        <w:rPr>
          <w:rFonts w:eastAsia="Calibri"/>
          <w:noProof/>
          <w:lang w:val="it-IT" w:eastAsia="en-US"/>
        </w:rPr>
        <w:sym w:font="Symbol" w:char="F0B7"/>
      </w:r>
      <w:r>
        <w:rPr>
          <w:rFonts w:eastAsia="Calibri"/>
          <w:noProof/>
          <w:lang w:val="it-IT" w:eastAsia="en-US"/>
        </w:rPr>
        <w:tab/>
        <w:t>basso numero dei globuli bianchi, dei globuli rossi e delle piastrine negli esami del sangue</w:t>
      </w:r>
    </w:p>
    <w:p>
      <w:pPr>
        <w:keepNext/>
        <w:keepLines/>
        <w:ind w:left="567" w:hanging="567"/>
        <w:rPr>
          <w:i/>
          <w:noProof/>
          <w:szCs w:val="22"/>
          <w:lang w:val="it-IT" w:eastAsia="en-US"/>
        </w:rPr>
        <w:pPrChange w:id="12833" w:author="Author">
          <w:pPr>
            <w:keepNext/>
            <w:keepLines/>
            <w:ind w:left="561" w:hanging="561"/>
          </w:pPr>
        </w:pPrChange>
      </w:pPr>
      <w:r>
        <w:rPr>
          <w:rFonts w:eastAsia="Calibri"/>
          <w:noProof/>
          <w:lang w:val="it-IT" w:eastAsia="en-US"/>
        </w:rPr>
        <w:sym w:font="Symbol" w:char="F0B7"/>
      </w:r>
      <w:r>
        <w:rPr>
          <w:rFonts w:eastAsia="Calibri"/>
          <w:noProof/>
          <w:lang w:val="it-IT" w:eastAsia="en-US"/>
        </w:rPr>
        <w:tab/>
        <w:t>insufficienza epatica.</w:t>
      </w:r>
    </w:p>
    <w:p>
      <w:pPr>
        <w:rPr>
          <w:i/>
          <w:noProof/>
          <w:szCs w:val="22"/>
          <w:lang w:val="it-IT"/>
        </w:rPr>
      </w:pPr>
    </w:p>
    <w:p>
      <w:pPr>
        <w:rPr>
          <w:b/>
          <w:noProof/>
          <w:szCs w:val="22"/>
          <w:lang w:val="it-IT"/>
        </w:rPr>
      </w:pPr>
      <w:r>
        <w:rPr>
          <w:b/>
          <w:noProof/>
          <w:szCs w:val="22"/>
          <w:lang w:val="it-IT"/>
        </w:rPr>
        <w:t>Effetti indesiderati nei bambini e negli adolescenti con AIGs o AIGp</w:t>
      </w:r>
    </w:p>
    <w:p>
      <w:pPr>
        <w:rPr>
          <w:noProof/>
          <w:szCs w:val="22"/>
          <w:lang w:val="it-IT"/>
        </w:rPr>
      </w:pPr>
      <w:r>
        <w:rPr>
          <w:noProof/>
          <w:szCs w:val="22"/>
          <w:lang w:val="it-IT"/>
        </w:rPr>
        <w:t>Gli effetti indesiderati osservati nei bambini e negli adolescenti con AIGs o AIGp sono generalmente simili a quelli registrati negli adulti. Alcuni effetti indesiderati vengono riscontrati più spesso nei bambini e negli adolescenti: infiammazione del naso e della gola, mal di testa, sensazione di malessere (nausea) e conte più basse dei globuli bianchi.</w:t>
      </w:r>
    </w:p>
    <w:p>
      <w:pPr>
        <w:rPr>
          <w:i/>
          <w:noProof/>
          <w:szCs w:val="22"/>
          <w:lang w:val="it-IT"/>
        </w:rPr>
      </w:pPr>
    </w:p>
    <w:p>
      <w:pPr>
        <w:keepNext/>
        <w:keepLines/>
        <w:rPr>
          <w:b/>
          <w:noProof/>
          <w:szCs w:val="22"/>
          <w:lang w:val="it-IT" w:eastAsia="en-US"/>
        </w:rPr>
      </w:pPr>
      <w:r>
        <w:rPr>
          <w:rFonts w:eastAsia="Calibri"/>
          <w:b/>
          <w:noProof/>
          <w:szCs w:val="22"/>
          <w:lang w:val="it-IT" w:eastAsia="en-US"/>
        </w:rPr>
        <w:t>Segnalazione degli effetti indesiderati</w:t>
      </w:r>
    </w:p>
    <w:p>
      <w:pPr>
        <w:rPr>
          <w:noProof/>
          <w:szCs w:val="22"/>
          <w:lang w:val="it-IT" w:eastAsia="en-US"/>
        </w:rPr>
      </w:pPr>
      <w:r>
        <w:rPr>
          <w:rFonts w:eastAsia="Calibri"/>
          <w:noProof/>
          <w:szCs w:val="22"/>
          <w:lang w:val="it-IT" w:eastAsia="en-US"/>
        </w:rPr>
        <w:t xml:space="preserve">Se manifesta un qualsiasi effetto indesiderato, compresi quelli non elencati in questo foglio, si rivolga al medico, al farmacista o all’infermiere. Lei può inoltre segnalare gli effetti indesiderati direttamente tramite </w:t>
      </w:r>
      <w:r>
        <w:rPr>
          <w:rFonts w:eastAsia="Calibri"/>
          <w:noProof/>
          <w:szCs w:val="22"/>
          <w:highlight w:val="lightGray"/>
          <w:lang w:val="it-IT" w:eastAsia="en-US"/>
        </w:rPr>
        <w:t>il sistema nazionale di segnalazione riportato nell’</w:t>
      </w:r>
      <w:r>
        <w:rPr>
          <w:noProof/>
          <w:highlight w:val="lightGray"/>
          <w:lang w:val="it-IT"/>
          <w:rPrChange w:id="12834" w:author="Author">
            <w:rPr/>
          </w:rPrChange>
        </w:rPr>
        <w:fldChar w:fldCharType="begin"/>
      </w:r>
      <w:ins w:id="12835" w:author="Author">
        <w:r>
          <w:rPr>
            <w:noProof/>
            <w:highlight w:val="lightGray"/>
            <w:lang w:val="it-IT"/>
            <w:rPrChange w:id="12836" w:author="Author">
              <w:rPr/>
            </w:rPrChange>
          </w:rPr>
          <w:instrText>HYPERLINK "https://www.ema.europa.eu/documents/template-form/qrd-appendix-v-adverse-drug-reaction-reporting-details_en.docx"</w:instrText>
        </w:r>
      </w:ins>
      <w:del w:id="12837" w:author="Author">
        <w:r>
          <w:rPr>
            <w:noProof/>
            <w:highlight w:val="lightGray"/>
            <w:lang w:val="it-IT"/>
            <w:rPrChange w:id="12838" w:author="Author">
              <w:rPr/>
            </w:rPrChange>
          </w:rPr>
          <w:delInstrText>HYPERLINK "https://www.ema.europa.eu/documents/template-form/qrd-appendix-v-adverse-drug-reaction-reporting-details_en.docx"</w:delInstrText>
        </w:r>
      </w:del>
      <w:r>
        <w:rPr>
          <w:noProof/>
          <w:highlight w:val="lightGray"/>
          <w:lang w:val="it-IT"/>
          <w:rPrChange w:id="12839" w:author="Author">
            <w:rPr/>
          </w:rPrChange>
        </w:rPr>
        <w:fldChar w:fldCharType="separate"/>
      </w:r>
      <w:del w:id="12840" w:author="Author">
        <w:r>
          <w:rPr>
            <w:rStyle w:val="Hyperlink"/>
            <w:rFonts w:eastAsia="Calibri"/>
            <w:noProof/>
            <w:highlight w:val="lightGray"/>
            <w:lang w:val="it-IT" w:eastAsia="en-US"/>
          </w:rPr>
          <w:delText>Allegato V</w:delText>
        </w:r>
        <w:r>
          <w:rPr>
            <w:rStyle w:val="Hyperlink"/>
            <w:rFonts w:eastAsia="Calibri"/>
            <w:noProof/>
            <w:szCs w:val="22"/>
            <w:highlight w:val="lightGray"/>
            <w:lang w:val="it-IT" w:eastAsia="en-US"/>
            <w:rPrChange w:id="12841" w:author="Author">
              <w:rPr>
                <w:rStyle w:val="Hyperlink"/>
                <w:rFonts w:eastAsia="Calibri"/>
                <w:szCs w:val="22"/>
                <w:lang w:val="it-IT" w:eastAsia="en-US"/>
              </w:rPr>
            </w:rPrChange>
          </w:rPr>
          <w:delText>.</w:delText>
        </w:r>
      </w:del>
      <w:ins w:id="12842" w:author="Author">
        <w:r>
          <w:rPr>
            <w:rStyle w:val="Hyperlink"/>
            <w:rFonts w:eastAsia="Calibri"/>
            <w:noProof/>
            <w:szCs w:val="22"/>
            <w:highlight w:val="lightGray"/>
            <w:lang w:val="it-IT" w:eastAsia="en-US"/>
            <w:rPrChange w:id="12843" w:author="Author">
              <w:rPr>
                <w:rStyle w:val="Hyperlink"/>
                <w:rFonts w:eastAsia="Calibri"/>
                <w:szCs w:val="22"/>
                <w:lang w:val="it-IT" w:eastAsia="en-US"/>
              </w:rPr>
            </w:rPrChange>
          </w:rPr>
          <w:t>Allegato V</w:t>
        </w:r>
      </w:ins>
      <w:r>
        <w:rPr>
          <w:noProof/>
          <w:highlight w:val="lightGray"/>
          <w:lang w:val="it-IT"/>
          <w:rPrChange w:id="12844" w:author="Author">
            <w:rPr/>
          </w:rPrChange>
        </w:rPr>
        <w:fldChar w:fldCharType="end"/>
      </w:r>
      <w:ins w:id="12845" w:author="Author">
        <w:r>
          <w:rPr>
            <w:noProof/>
            <w:lang w:val="it-IT"/>
          </w:rPr>
          <w:t>.</w:t>
        </w:r>
      </w:ins>
      <w:r>
        <w:rPr>
          <w:rFonts w:eastAsia="Calibri"/>
          <w:noProof/>
          <w:szCs w:val="22"/>
          <w:lang w:val="it-IT" w:eastAsia="en-US"/>
        </w:rPr>
        <w:t xml:space="preserve"> Segnalando gli effetti indesiderati lei può contribuire a fornire maggiori informazioni sulla sicurezza di questo medicinale.</w:t>
      </w:r>
    </w:p>
    <w:p>
      <w:pPr>
        <w:rPr>
          <w:noProof/>
          <w:szCs w:val="22"/>
          <w:lang w:val="it-IT"/>
        </w:rPr>
      </w:pPr>
    </w:p>
    <w:p>
      <w:pPr>
        <w:rPr>
          <w:noProof/>
          <w:szCs w:val="22"/>
          <w:lang w:val="it-IT"/>
        </w:rPr>
      </w:pPr>
    </w:p>
    <w:p>
      <w:pPr>
        <w:rPr>
          <w:b/>
          <w:noProof/>
          <w:szCs w:val="22"/>
          <w:lang w:val="it-IT" w:eastAsia="en-US"/>
        </w:rPr>
      </w:pPr>
      <w:r>
        <w:rPr>
          <w:rFonts w:eastAsia="Calibri"/>
          <w:b/>
          <w:noProof/>
          <w:szCs w:val="22"/>
          <w:lang w:val="it-IT" w:eastAsia="en-US"/>
        </w:rPr>
        <w:t>5.</w:t>
      </w:r>
      <w:r>
        <w:rPr>
          <w:rFonts w:eastAsia="Calibri"/>
          <w:b/>
          <w:noProof/>
          <w:szCs w:val="22"/>
          <w:lang w:val="it-IT" w:eastAsia="en-US"/>
        </w:rPr>
        <w:tab/>
        <w:t>Come conservare RoActemra</w:t>
      </w:r>
    </w:p>
    <w:p>
      <w:pPr>
        <w:rPr>
          <w:noProof/>
          <w:szCs w:val="22"/>
          <w:lang w:val="it-IT"/>
        </w:rPr>
      </w:pPr>
    </w:p>
    <w:p>
      <w:pPr>
        <w:rPr>
          <w:noProof/>
          <w:szCs w:val="22"/>
          <w:lang w:val="it-IT" w:eastAsia="en-US"/>
        </w:rPr>
      </w:pPr>
      <w:del w:id="12846" w:author="Author">
        <w:r>
          <w:rPr>
            <w:rFonts w:eastAsia="Calibri"/>
            <w:noProof/>
            <w:szCs w:val="22"/>
            <w:lang w:val="it-IT" w:eastAsia="en-US"/>
          </w:rPr>
          <w:delText xml:space="preserve">Tenga </w:delText>
        </w:r>
      </w:del>
      <w:ins w:id="12847" w:author="Author">
        <w:r>
          <w:rPr>
            <w:rFonts w:eastAsia="Calibri"/>
            <w:noProof/>
            <w:szCs w:val="22"/>
            <w:lang w:val="it-IT" w:eastAsia="en-US"/>
          </w:rPr>
          <w:t xml:space="preserve">Conservi </w:t>
        </w:r>
      </w:ins>
      <w:r>
        <w:rPr>
          <w:rFonts w:eastAsia="Calibri"/>
          <w:noProof/>
          <w:szCs w:val="22"/>
          <w:lang w:val="it-IT" w:eastAsia="en-US"/>
        </w:rPr>
        <w:t>questo medicinale fuori dalla vista e dalla portata dei bambini.</w:t>
      </w:r>
    </w:p>
    <w:p>
      <w:pPr>
        <w:rPr>
          <w:noProof/>
          <w:szCs w:val="22"/>
          <w:lang w:val="it-IT"/>
        </w:rPr>
      </w:pPr>
    </w:p>
    <w:p>
      <w:pPr>
        <w:rPr>
          <w:noProof/>
          <w:szCs w:val="22"/>
          <w:lang w:val="it-IT" w:eastAsia="en-US"/>
        </w:rPr>
      </w:pPr>
      <w:r>
        <w:rPr>
          <w:rFonts w:eastAsia="Calibri"/>
          <w:noProof/>
          <w:szCs w:val="22"/>
          <w:lang w:val="it-IT" w:eastAsia="en-US"/>
        </w:rPr>
        <w:t xml:space="preserve">Non usi questo medicinale dopo la data di scadenza che è riportata </w:t>
      </w:r>
      <w:del w:id="12848" w:author="Author">
        <w:r>
          <w:rPr>
            <w:rFonts w:eastAsia="Calibri"/>
            <w:noProof/>
            <w:szCs w:val="22"/>
            <w:lang w:val="it-IT" w:eastAsia="en-US"/>
          </w:rPr>
          <w:delText xml:space="preserve">sull’astuccio </w:delText>
        </w:r>
      </w:del>
      <w:ins w:id="12849" w:author="Author">
        <w:r>
          <w:rPr>
            <w:rFonts w:eastAsia="Calibri"/>
            <w:noProof/>
            <w:szCs w:val="22"/>
            <w:lang w:val="it-IT" w:eastAsia="en-US"/>
          </w:rPr>
          <w:t xml:space="preserve">sulla confezione </w:t>
        </w:r>
      </w:ins>
      <w:r>
        <w:rPr>
          <w:rFonts w:eastAsia="Calibri"/>
          <w:noProof/>
          <w:szCs w:val="22"/>
          <w:lang w:val="it-IT" w:eastAsia="en-US"/>
        </w:rPr>
        <w:t>e sull’etichetta della penna preriempita (Scad/EXP). La data di scadenza si riferisce all’ultimo giorno di quel mese.</w:t>
      </w:r>
    </w:p>
    <w:p>
      <w:pPr>
        <w:rPr>
          <w:noProof/>
          <w:szCs w:val="22"/>
          <w:lang w:val="it-IT"/>
        </w:rPr>
      </w:pPr>
    </w:p>
    <w:p>
      <w:pPr>
        <w:tabs>
          <w:tab w:val="left" w:pos="180"/>
        </w:tabs>
        <w:rPr>
          <w:noProof/>
          <w:szCs w:val="22"/>
          <w:lang w:val="it-IT"/>
        </w:rPr>
      </w:pPr>
      <w:r>
        <w:rPr>
          <w:rFonts w:eastAsia="Calibri"/>
          <w:noProof/>
          <w:szCs w:val="22"/>
          <w:lang w:val="it-IT" w:eastAsia="en-US"/>
        </w:rPr>
        <w:t xml:space="preserve">Conservare in frigorifero (2 °C-8 °C). Non congelare. </w:t>
      </w:r>
      <w:r>
        <w:rPr>
          <w:noProof/>
          <w:szCs w:val="22"/>
          <w:lang w:val="it-IT"/>
        </w:rPr>
        <w:t>Una volta tolta dal frigorifero, la penna preriempita può essere conservata per un massimo di 2 settimane a temperatura pari o inferiore a 30°C.</w:t>
      </w:r>
    </w:p>
    <w:p>
      <w:pPr>
        <w:rPr>
          <w:noProof/>
          <w:szCs w:val="22"/>
          <w:lang w:val="it-IT"/>
        </w:rPr>
      </w:pPr>
    </w:p>
    <w:p>
      <w:pPr>
        <w:rPr>
          <w:noProof/>
          <w:szCs w:val="22"/>
          <w:lang w:val="it-IT" w:eastAsia="en-US"/>
        </w:rPr>
      </w:pPr>
      <w:r>
        <w:rPr>
          <w:rFonts w:eastAsia="Calibri"/>
          <w:noProof/>
          <w:szCs w:val="22"/>
          <w:lang w:val="it-IT" w:eastAsia="en-US"/>
        </w:rPr>
        <w:t>Tenere le penne preriempite nell’imballaggio esterno per proteggerle dalla luce e dall’umidità.</w:t>
      </w:r>
    </w:p>
    <w:p>
      <w:pPr>
        <w:numPr>
          <w:ilvl w:val="12"/>
          <w:numId w:val="0"/>
        </w:numPr>
        <w:ind w:left="567" w:right="-2" w:hanging="567"/>
        <w:rPr>
          <w:noProof/>
          <w:szCs w:val="22"/>
          <w:lang w:val="it-IT"/>
        </w:rPr>
      </w:pPr>
    </w:p>
    <w:p>
      <w:pPr>
        <w:rPr>
          <w:noProof/>
          <w:szCs w:val="22"/>
          <w:lang w:val="it-IT" w:eastAsia="en-US"/>
        </w:rPr>
      </w:pPr>
      <w:r>
        <w:rPr>
          <w:rFonts w:eastAsia="Calibri"/>
          <w:noProof/>
          <w:szCs w:val="22"/>
          <w:lang w:val="it-IT" w:eastAsia="en-US"/>
        </w:rPr>
        <w:t>Il medicinale non deve essere usato se la soluzione è torbida o contiene particelle, se non è trasparente o presenta un colore diverso dal giallastro, o se qualsiasi parte della siringa preriempita appare danneggiata.</w:t>
      </w:r>
    </w:p>
    <w:p>
      <w:pPr>
        <w:rPr>
          <w:noProof/>
          <w:szCs w:val="22"/>
          <w:lang w:val="it-IT"/>
        </w:rPr>
      </w:pPr>
    </w:p>
    <w:p>
      <w:pPr>
        <w:autoSpaceDE w:val="0"/>
        <w:autoSpaceDN w:val="0"/>
        <w:adjustRightInd w:val="0"/>
        <w:rPr>
          <w:bCs/>
          <w:noProof/>
          <w:szCs w:val="22"/>
          <w:lang w:val="it-IT" w:eastAsia="en-US"/>
        </w:rPr>
      </w:pPr>
      <w:r>
        <w:rPr>
          <w:rFonts w:eastAsia="Calibri"/>
          <w:bCs/>
          <w:noProof/>
          <w:szCs w:val="22"/>
          <w:lang w:val="it-IT" w:eastAsia="en-US"/>
        </w:rPr>
        <w:t>La penna non deve essere agitata. Dopo aver rimosso il cappuccio, l’iniezione deve essere avviata entro 3 minuti per evitare che il medicinale si secchi e blocchi l’ago. Se la penna preriempita non viene utilizzata entro 3 minuti dalla rimozione del cappuccio, è necessario smaltirla in un contenitore resistente alla perforazione e utilizzare una nuova penna preriempita.</w:t>
      </w:r>
    </w:p>
    <w:p>
      <w:pPr>
        <w:autoSpaceDE w:val="0"/>
        <w:autoSpaceDN w:val="0"/>
        <w:adjustRightInd w:val="0"/>
        <w:rPr>
          <w:bCs/>
          <w:noProof/>
          <w:szCs w:val="22"/>
          <w:lang w:val="it-IT" w:eastAsia="en-GB"/>
        </w:rPr>
      </w:pPr>
    </w:p>
    <w:p>
      <w:pPr>
        <w:rPr>
          <w:noProof/>
          <w:szCs w:val="22"/>
          <w:lang w:val="it-IT" w:eastAsia="en-US"/>
        </w:rPr>
      </w:pPr>
      <w:r>
        <w:rPr>
          <w:rFonts w:eastAsia="Calibri"/>
          <w:bCs/>
          <w:noProof/>
          <w:szCs w:val="22"/>
          <w:lang w:val="it-IT" w:eastAsia="en-US"/>
        </w:rPr>
        <w:t>Se dopo aver premuto il pulsante di attivazione l’indicatore viola non si muove, è necessario gettare la penna preriempita in un contenitore resistente alla perforazione. </w:t>
      </w:r>
      <w:r>
        <w:rPr>
          <w:rFonts w:eastAsia="Calibri"/>
          <w:b/>
          <w:bCs/>
          <w:noProof/>
          <w:szCs w:val="22"/>
          <w:lang w:val="it-IT" w:eastAsia="en-US"/>
        </w:rPr>
        <w:t xml:space="preserve">Non </w:t>
      </w:r>
      <w:r>
        <w:rPr>
          <w:rFonts w:eastAsia="Calibri"/>
          <w:bCs/>
          <w:noProof/>
          <w:szCs w:val="22"/>
          <w:lang w:val="it-IT" w:eastAsia="en-US"/>
        </w:rPr>
        <w:t>cercare di riutilizzare la penna preriempita. Non ripetere l’iniezione con un’altra penna preriempita. Contattare l’operatore sanitario per ricevere assistenza.</w:t>
      </w:r>
    </w:p>
    <w:p>
      <w:pPr>
        <w:rPr>
          <w:noProof/>
          <w:szCs w:val="22"/>
          <w:lang w:val="it-IT"/>
        </w:rPr>
      </w:pPr>
    </w:p>
    <w:p>
      <w:pPr>
        <w:rPr>
          <w:noProof/>
          <w:szCs w:val="22"/>
          <w:lang w:val="it-IT"/>
        </w:rPr>
      </w:pPr>
    </w:p>
    <w:p>
      <w:pPr>
        <w:keepNext/>
        <w:rPr>
          <w:b/>
          <w:noProof/>
          <w:szCs w:val="22"/>
          <w:lang w:val="it-IT" w:eastAsia="en-US"/>
        </w:rPr>
      </w:pPr>
      <w:r>
        <w:rPr>
          <w:rFonts w:eastAsia="Calibri"/>
          <w:b/>
          <w:noProof/>
          <w:szCs w:val="22"/>
          <w:lang w:val="it-IT" w:eastAsia="en-US"/>
        </w:rPr>
        <w:lastRenderedPageBreak/>
        <w:t>6.</w:t>
      </w:r>
      <w:r>
        <w:rPr>
          <w:rFonts w:eastAsia="Calibri"/>
          <w:b/>
          <w:noProof/>
          <w:szCs w:val="22"/>
          <w:lang w:val="it-IT" w:eastAsia="en-US"/>
        </w:rPr>
        <w:tab/>
        <w:t>Contenuto della confezione e altre informazioni</w:t>
      </w:r>
    </w:p>
    <w:p>
      <w:pPr>
        <w:keepNext/>
        <w:rPr>
          <w:b/>
          <w:bCs/>
          <w:noProof/>
          <w:szCs w:val="22"/>
          <w:lang w:val="it-IT"/>
        </w:rPr>
      </w:pPr>
    </w:p>
    <w:p>
      <w:pPr>
        <w:keepNext/>
        <w:rPr>
          <w:b/>
          <w:noProof/>
          <w:szCs w:val="22"/>
          <w:lang w:val="it-IT" w:eastAsia="en-US"/>
        </w:rPr>
      </w:pPr>
      <w:r>
        <w:rPr>
          <w:rFonts w:eastAsia="Calibri"/>
          <w:b/>
          <w:bCs/>
          <w:noProof/>
          <w:szCs w:val="22"/>
          <w:lang w:val="it-IT" w:eastAsia="en-US"/>
        </w:rPr>
        <w:t>Cosa contiene RoActemra</w:t>
      </w:r>
    </w:p>
    <w:p>
      <w:pPr>
        <w:keepNext/>
        <w:ind w:left="567" w:hanging="567"/>
        <w:rPr>
          <w:rFonts w:eastAsia="Calibri"/>
          <w:noProof/>
          <w:szCs w:val="22"/>
          <w:lang w:val="it-IT" w:eastAsia="en-US"/>
        </w:rPr>
      </w:pPr>
      <w:r>
        <w:rPr>
          <w:rFonts w:eastAsia="Calibri"/>
          <w:noProof/>
          <w:lang w:val="it-IT" w:eastAsia="en-US"/>
        </w:rPr>
        <w:sym w:font="Symbol" w:char="F0B7"/>
      </w:r>
      <w:r>
        <w:rPr>
          <w:rFonts w:eastAsia="Calibri"/>
          <w:noProof/>
          <w:szCs w:val="22"/>
          <w:lang w:val="it-IT" w:eastAsia="en-US"/>
        </w:rPr>
        <w:tab/>
        <w:t>Il principio attivo è tocilizumab.</w:t>
      </w:r>
    </w:p>
    <w:p>
      <w:pPr>
        <w:keepNext/>
        <w:ind w:left="567" w:hanging="567"/>
        <w:rPr>
          <w:noProof/>
          <w:szCs w:val="22"/>
          <w:lang w:val="it-IT" w:eastAsia="en-US"/>
        </w:rPr>
      </w:pPr>
      <w:r>
        <w:rPr>
          <w:rFonts w:eastAsia="Calibri"/>
          <w:noProof/>
          <w:szCs w:val="22"/>
          <w:lang w:val="it-IT" w:eastAsia="en-US"/>
        </w:rPr>
        <w:tab/>
        <w:t>Ciascuna penna preriempita contiene 162 mg di tocilizumab in 0,9 mL.</w:t>
      </w:r>
    </w:p>
    <w:p>
      <w:pPr>
        <w:keepNext/>
        <w:ind w:left="567" w:hanging="567"/>
        <w:rPr>
          <w:noProof/>
          <w:szCs w:val="22"/>
          <w:lang w:val="it-IT"/>
        </w:rPr>
      </w:pPr>
    </w:p>
    <w:p>
      <w:pPr>
        <w:keepNext/>
        <w:ind w:left="567" w:hanging="567"/>
        <w:outlineLvl w:val="0"/>
        <w:rPr>
          <w:rFonts w:eastAsia="Calibri"/>
          <w:noProof/>
          <w:szCs w:val="22"/>
          <w:lang w:val="it-IT" w:eastAsia="en-US"/>
        </w:rPr>
      </w:pPr>
      <w:r>
        <w:rPr>
          <w:rFonts w:eastAsia="Calibri"/>
          <w:noProof/>
          <w:lang w:val="it-IT" w:eastAsia="en-US"/>
        </w:rPr>
        <w:sym w:font="Symbol" w:char="F0B7"/>
      </w:r>
      <w:r>
        <w:rPr>
          <w:rFonts w:eastAsia="Calibri"/>
          <w:noProof/>
          <w:szCs w:val="22"/>
          <w:lang w:val="it-IT" w:eastAsia="en-US"/>
        </w:rPr>
        <w:tab/>
        <w:t>Gli altri componenti sono L-istidina, L-istidina monocloridrato monoidrato, L</w:t>
      </w:r>
      <w:ins w:id="12850" w:author="Author">
        <w:r>
          <w:rPr>
            <w:rFonts w:eastAsia="Calibri"/>
            <w:noProof/>
            <w:szCs w:val="22"/>
            <w:lang w:val="it-IT" w:eastAsia="en-US"/>
          </w:rPr>
          <w:noBreakHyphen/>
        </w:r>
      </w:ins>
      <w:del w:id="12851" w:author="Author">
        <w:r>
          <w:rPr>
            <w:rFonts w:eastAsia="Calibri"/>
            <w:noProof/>
            <w:szCs w:val="22"/>
            <w:lang w:val="it-IT" w:eastAsia="en-US"/>
          </w:rPr>
          <w:delText>-</w:delText>
        </w:r>
      </w:del>
      <w:r>
        <w:rPr>
          <w:rFonts w:eastAsia="Calibri"/>
          <w:noProof/>
          <w:szCs w:val="22"/>
          <w:lang w:val="it-IT" w:eastAsia="en-US"/>
        </w:rPr>
        <w:t>arginina/L</w:t>
      </w:r>
      <w:r>
        <w:rPr>
          <w:rFonts w:eastAsia="Calibri"/>
          <w:noProof/>
          <w:szCs w:val="22"/>
          <w:lang w:val="it-IT" w:eastAsia="en-US"/>
        </w:rPr>
        <w:noBreakHyphen/>
        <w:t>arginina cloridrato, L-metionina, polisorbato 80 e acqua per preparazioni iniettabili (vedere paragrafo</w:t>
      </w:r>
      <w:ins w:id="12852" w:author="Author">
        <w:r>
          <w:rPr>
            <w:rFonts w:eastAsia="Calibri"/>
            <w:noProof/>
            <w:szCs w:val="22"/>
            <w:lang w:val="it-IT" w:eastAsia="en-US"/>
          </w:rPr>
          <w:t> </w:t>
        </w:r>
      </w:ins>
      <w:del w:id="12853" w:author="Author">
        <w:r>
          <w:rPr>
            <w:rFonts w:eastAsia="Calibri"/>
            <w:noProof/>
            <w:szCs w:val="22"/>
            <w:lang w:val="it-IT" w:eastAsia="en-US"/>
          </w:rPr>
          <w:delText xml:space="preserve"> </w:delText>
        </w:r>
      </w:del>
      <w:r>
        <w:rPr>
          <w:rFonts w:eastAsia="Calibri"/>
          <w:noProof/>
          <w:szCs w:val="22"/>
          <w:lang w:val="it-IT" w:eastAsia="en-US"/>
        </w:rPr>
        <w:t>2 “RoActemra contiene polisorbat</w:t>
      </w:r>
      <w:del w:id="12854" w:author="Author">
        <w:r>
          <w:rPr>
            <w:rFonts w:eastAsia="Calibri"/>
            <w:noProof/>
            <w:szCs w:val="22"/>
            <w:lang w:val="it-IT" w:eastAsia="en-US"/>
          </w:rPr>
          <w:delText>i</w:delText>
        </w:r>
      </w:del>
      <w:ins w:id="12855" w:author="Author">
        <w:r>
          <w:rPr>
            <w:rFonts w:eastAsia="Calibri"/>
            <w:noProof/>
            <w:szCs w:val="22"/>
            <w:lang w:val="it-IT" w:eastAsia="en-US"/>
          </w:rPr>
          <w:t>o 80 (E 433)</w:t>
        </w:r>
      </w:ins>
      <w:r>
        <w:rPr>
          <w:rFonts w:eastAsia="Calibri"/>
          <w:noProof/>
          <w:szCs w:val="22"/>
          <w:lang w:val="it-IT" w:eastAsia="en-US"/>
        </w:rPr>
        <w:t>”).</w:t>
      </w:r>
    </w:p>
    <w:p>
      <w:pPr>
        <w:keepNext/>
        <w:rPr>
          <w:b/>
          <w:bCs/>
          <w:noProof/>
          <w:szCs w:val="22"/>
          <w:lang w:val="it-IT"/>
        </w:rPr>
      </w:pPr>
    </w:p>
    <w:p>
      <w:pPr>
        <w:keepNext/>
        <w:rPr>
          <w:b/>
          <w:bCs/>
          <w:noProof/>
          <w:szCs w:val="22"/>
          <w:lang w:val="it-IT" w:eastAsia="en-US"/>
        </w:rPr>
      </w:pPr>
      <w:r>
        <w:rPr>
          <w:rFonts w:eastAsia="Calibri"/>
          <w:b/>
          <w:bCs/>
          <w:noProof/>
          <w:szCs w:val="22"/>
          <w:lang w:val="it-IT" w:eastAsia="en-US"/>
        </w:rPr>
        <w:t>Descrizione dell’aspetto di RoActemra e contenuto della confezione</w:t>
      </w:r>
    </w:p>
    <w:p>
      <w:pPr>
        <w:rPr>
          <w:del w:id="12856" w:author="Author"/>
          <w:noProof/>
          <w:szCs w:val="22"/>
          <w:lang w:val="it-IT" w:eastAsia="en-US"/>
        </w:rPr>
      </w:pPr>
      <w:r>
        <w:rPr>
          <w:rFonts w:eastAsia="Calibri"/>
          <w:noProof/>
          <w:szCs w:val="22"/>
          <w:lang w:val="it-IT" w:eastAsia="en-US"/>
        </w:rPr>
        <w:t>RoActemra è una soluzione iniettabile. La soluzione è da trasparente a leggermente giallastra.</w:t>
      </w:r>
    </w:p>
    <w:p>
      <w:pPr>
        <w:rPr>
          <w:noProof/>
          <w:szCs w:val="22"/>
          <w:lang w:val="it-IT"/>
        </w:rPr>
      </w:pPr>
    </w:p>
    <w:p>
      <w:pPr>
        <w:rPr>
          <w:del w:id="12857" w:author="Author"/>
          <w:noProof/>
          <w:szCs w:val="22"/>
          <w:lang w:val="it-IT" w:eastAsia="en-US"/>
        </w:rPr>
      </w:pPr>
      <w:r>
        <w:rPr>
          <w:rFonts w:eastAsia="Calibri"/>
          <w:noProof/>
          <w:szCs w:val="22"/>
          <w:lang w:val="it-IT" w:eastAsia="en-US"/>
        </w:rPr>
        <w:t>RoActemra è fornito in penna preriempita da 0,9 mL contenente 162 mg di tocilizumab soluzione iniettabile.</w:t>
      </w:r>
      <w:ins w:id="12858" w:author="Author">
        <w:r>
          <w:rPr>
            <w:rFonts w:eastAsia="Calibri"/>
            <w:noProof/>
            <w:szCs w:val="22"/>
            <w:lang w:val="it-IT" w:eastAsia="en-US"/>
          </w:rPr>
          <w:t xml:space="preserve"> </w:t>
        </w:r>
      </w:ins>
    </w:p>
    <w:p>
      <w:pPr>
        <w:rPr>
          <w:del w:id="12859" w:author="Author"/>
          <w:iCs/>
          <w:noProof/>
          <w:szCs w:val="22"/>
          <w:lang w:val="it-IT"/>
        </w:rPr>
      </w:pPr>
    </w:p>
    <w:p>
      <w:pPr>
        <w:rPr>
          <w:noProof/>
          <w:szCs w:val="22"/>
          <w:lang w:val="it-IT" w:eastAsia="en-US"/>
        </w:rPr>
      </w:pPr>
      <w:r>
        <w:rPr>
          <w:rFonts w:eastAsia="Calibri"/>
          <w:iCs/>
          <w:noProof/>
          <w:szCs w:val="22"/>
          <w:lang w:val="it-IT" w:eastAsia="en-US"/>
        </w:rPr>
        <w:t xml:space="preserve">Ogni confezione contiene 4 penne preriempite </w:t>
      </w:r>
      <w:r>
        <w:rPr>
          <w:rFonts w:eastAsia="Calibri"/>
          <w:iCs/>
          <w:noProof/>
          <w:szCs w:val="22"/>
          <w:lang w:val="it-IT" w:eastAsia="en-US"/>
          <w:rPrChange w:id="12860" w:author="Author">
            <w:rPr>
              <w:rFonts w:eastAsia="Calibri"/>
              <w:b/>
              <w:bCs/>
              <w:iCs/>
              <w:szCs w:val="22"/>
              <w:lang w:val="it-IT" w:eastAsia="en-US"/>
            </w:rPr>
          </w:rPrChange>
        </w:rPr>
        <w:t>con confezioni multiple che contengono 12</w:t>
      </w:r>
      <w:ins w:id="12861" w:author="Author">
        <w:r>
          <w:rPr>
            <w:rFonts w:eastAsia="Calibri"/>
            <w:iCs/>
            <w:noProof/>
            <w:szCs w:val="22"/>
            <w:lang w:val="it-IT" w:eastAsia="en-US"/>
          </w:rPr>
          <w:t> </w:t>
        </w:r>
      </w:ins>
      <w:del w:id="12862" w:author="Author">
        <w:r>
          <w:rPr>
            <w:rFonts w:eastAsia="Calibri"/>
            <w:iCs/>
            <w:noProof/>
            <w:szCs w:val="22"/>
            <w:lang w:val="it-IT" w:eastAsia="en-US"/>
            <w:rPrChange w:id="12863" w:author="Author">
              <w:rPr>
                <w:rFonts w:eastAsia="Calibri"/>
                <w:b/>
                <w:bCs/>
                <w:iCs/>
                <w:szCs w:val="22"/>
                <w:lang w:val="it-IT" w:eastAsia="en-US"/>
              </w:rPr>
            </w:rPrChange>
          </w:rPr>
          <w:delText xml:space="preserve"> </w:delText>
        </w:r>
      </w:del>
      <w:r>
        <w:rPr>
          <w:rFonts w:eastAsia="Calibri"/>
          <w:iCs/>
          <w:noProof/>
          <w:szCs w:val="22"/>
          <w:lang w:val="it-IT" w:eastAsia="en-US"/>
          <w:rPrChange w:id="12864" w:author="Author">
            <w:rPr>
              <w:rFonts w:eastAsia="Calibri"/>
              <w:b/>
              <w:bCs/>
              <w:iCs/>
              <w:szCs w:val="22"/>
              <w:lang w:val="it-IT" w:eastAsia="en-US"/>
            </w:rPr>
          </w:rPrChange>
        </w:rPr>
        <w:t>(3 confezioni da 4) penne preriempite</w:t>
      </w:r>
      <w:r>
        <w:rPr>
          <w:rFonts w:eastAsia="Calibri"/>
          <w:iCs/>
          <w:noProof/>
          <w:szCs w:val="22"/>
          <w:lang w:val="it-IT" w:eastAsia="en-US"/>
        </w:rPr>
        <w:t>.</w:t>
      </w:r>
      <w:r>
        <w:rPr>
          <w:rFonts w:eastAsia="Calibri"/>
          <w:iCs/>
          <w:noProof/>
          <w:szCs w:val="22"/>
          <w:lang w:val="it-IT" w:eastAsia="en-US"/>
          <w:rPrChange w:id="12865" w:author="Author">
            <w:rPr>
              <w:rFonts w:eastAsia="Calibri"/>
              <w:b/>
              <w:bCs/>
              <w:iCs/>
              <w:szCs w:val="22"/>
              <w:lang w:val="it-IT" w:eastAsia="en-US"/>
            </w:rPr>
          </w:rPrChange>
        </w:rPr>
        <w:t xml:space="preserve"> È possibile che non tutte le confezioni siano commercializzate.</w:t>
      </w:r>
    </w:p>
    <w:p>
      <w:pPr>
        <w:rPr>
          <w:noProof/>
          <w:szCs w:val="22"/>
          <w:lang w:val="it-IT"/>
        </w:rPr>
      </w:pPr>
    </w:p>
    <w:p>
      <w:pPr>
        <w:keepNext/>
        <w:keepLines/>
        <w:rPr>
          <w:b/>
          <w:bCs/>
          <w:noProof/>
          <w:szCs w:val="22"/>
          <w:lang w:val="it-IT" w:eastAsia="en-US"/>
        </w:rPr>
      </w:pPr>
      <w:r>
        <w:rPr>
          <w:rFonts w:eastAsia="Calibri"/>
          <w:b/>
          <w:bCs/>
          <w:noProof/>
          <w:szCs w:val="22"/>
          <w:lang w:val="it-IT" w:eastAsia="en-US"/>
        </w:rPr>
        <w:t>Titolare dell’autorizzazione all’immissione in commercio</w:t>
      </w:r>
    </w:p>
    <w:p>
      <w:pPr>
        <w:keepNext/>
        <w:keepLines/>
        <w:rPr>
          <w:noProof/>
          <w:rPrChange w:id="12866" w:author="TCS" w:date="2026-03-20T12:48:00Z">
            <w:rPr>
              <w:lang w:val="it-IT"/>
            </w:rPr>
          </w:rPrChange>
        </w:rPr>
      </w:pPr>
      <w:r>
        <w:rPr>
          <w:noProof/>
          <w:rPrChange w:id="12867" w:author="TCS" w:date="2026-03-20T12:48:00Z">
            <w:rPr>
              <w:lang w:val="it-IT"/>
            </w:rPr>
          </w:rPrChange>
        </w:rPr>
        <w:t xml:space="preserve">Roche Registration GmbH </w:t>
      </w:r>
    </w:p>
    <w:p>
      <w:pPr>
        <w:keepNext/>
        <w:keepLines/>
        <w:rPr>
          <w:noProof/>
          <w:lang w:val="de-DE"/>
          <w:rPrChange w:id="12868" w:author="Author">
            <w:rPr>
              <w:lang w:val="it-IT"/>
            </w:rPr>
          </w:rPrChange>
        </w:rPr>
      </w:pPr>
      <w:r>
        <w:rPr>
          <w:noProof/>
          <w:lang w:val="de-DE"/>
          <w:rPrChange w:id="12869" w:author="Author">
            <w:rPr>
              <w:lang w:val="it-IT"/>
            </w:rPr>
          </w:rPrChange>
        </w:rPr>
        <w:t>Emil-Barell-Strasse 1</w:t>
      </w:r>
    </w:p>
    <w:p>
      <w:pPr>
        <w:keepNext/>
        <w:keepLines/>
        <w:rPr>
          <w:noProof/>
          <w:lang w:val="de-DE"/>
          <w:rPrChange w:id="12870" w:author="Author">
            <w:rPr>
              <w:lang w:val="it-IT"/>
            </w:rPr>
          </w:rPrChange>
        </w:rPr>
      </w:pPr>
      <w:r>
        <w:rPr>
          <w:noProof/>
          <w:lang w:val="de-DE"/>
          <w:rPrChange w:id="12871" w:author="Author">
            <w:rPr>
              <w:lang w:val="it-IT"/>
            </w:rPr>
          </w:rPrChange>
        </w:rPr>
        <w:t>79639 Grenzach-Wyhlen</w:t>
      </w:r>
    </w:p>
    <w:p>
      <w:pPr>
        <w:rPr>
          <w:noProof/>
          <w:lang w:val="it-IT"/>
        </w:rPr>
        <w:pPrChange w:id="12872" w:author="Author">
          <w:pPr>
            <w:keepNext/>
            <w:keepLines/>
          </w:pPr>
        </w:pPrChange>
      </w:pPr>
      <w:r>
        <w:rPr>
          <w:noProof/>
          <w:lang w:val="it-IT"/>
        </w:rPr>
        <w:t>Germania</w:t>
      </w:r>
    </w:p>
    <w:p>
      <w:pPr>
        <w:rPr>
          <w:b/>
          <w:bCs/>
          <w:noProof/>
          <w:szCs w:val="22"/>
          <w:lang w:val="it-IT"/>
        </w:rPr>
      </w:pPr>
    </w:p>
    <w:p>
      <w:pPr>
        <w:rPr>
          <w:b/>
          <w:bCs/>
          <w:noProof/>
          <w:szCs w:val="22"/>
          <w:lang w:val="it-IT" w:eastAsia="en-US"/>
        </w:rPr>
      </w:pPr>
      <w:r>
        <w:rPr>
          <w:rFonts w:eastAsia="Calibri"/>
          <w:b/>
          <w:bCs/>
          <w:noProof/>
          <w:szCs w:val="22"/>
          <w:lang w:val="it-IT" w:eastAsia="en-US"/>
        </w:rPr>
        <w:t>Produttore</w:t>
      </w:r>
    </w:p>
    <w:p>
      <w:pPr>
        <w:rPr>
          <w:noProof/>
          <w:szCs w:val="22"/>
          <w:lang w:val="it-IT" w:eastAsia="en-US"/>
          <w:rPrChange w:id="12873" w:author="Author">
            <w:rPr>
              <w:szCs w:val="22"/>
              <w:lang w:eastAsia="en-US"/>
            </w:rPr>
          </w:rPrChange>
        </w:rPr>
      </w:pPr>
      <w:r>
        <w:rPr>
          <w:rFonts w:eastAsia="Calibri"/>
          <w:noProof/>
          <w:szCs w:val="22"/>
          <w:lang w:val="it-IT" w:eastAsia="en-US"/>
          <w:rPrChange w:id="12874" w:author="Author">
            <w:rPr>
              <w:rFonts w:eastAsia="Calibri"/>
              <w:szCs w:val="22"/>
              <w:lang w:eastAsia="en-US"/>
            </w:rPr>
          </w:rPrChange>
        </w:rPr>
        <w:t>Roche Pharma AG</w:t>
      </w:r>
    </w:p>
    <w:p>
      <w:pPr>
        <w:rPr>
          <w:noProof/>
          <w:szCs w:val="22"/>
          <w:lang w:val="it-IT" w:eastAsia="en-US"/>
          <w:rPrChange w:id="12875" w:author="Author">
            <w:rPr>
              <w:szCs w:val="22"/>
              <w:lang w:eastAsia="en-US"/>
            </w:rPr>
          </w:rPrChange>
        </w:rPr>
      </w:pPr>
      <w:r>
        <w:rPr>
          <w:rFonts w:eastAsia="Calibri"/>
          <w:noProof/>
          <w:szCs w:val="22"/>
          <w:lang w:val="it-IT" w:eastAsia="en-US"/>
          <w:rPrChange w:id="12876" w:author="Author">
            <w:rPr>
              <w:rFonts w:eastAsia="Calibri"/>
              <w:szCs w:val="22"/>
              <w:lang w:eastAsia="en-US"/>
            </w:rPr>
          </w:rPrChange>
        </w:rPr>
        <w:t>Emil-Barell-Str. 1</w:t>
      </w:r>
    </w:p>
    <w:p>
      <w:pPr>
        <w:rPr>
          <w:noProof/>
          <w:szCs w:val="22"/>
          <w:lang w:val="it-IT" w:eastAsia="en-US"/>
          <w:rPrChange w:id="12877" w:author="Author">
            <w:rPr>
              <w:szCs w:val="22"/>
              <w:lang w:eastAsia="en-US"/>
            </w:rPr>
          </w:rPrChange>
        </w:rPr>
      </w:pPr>
      <w:r>
        <w:rPr>
          <w:rFonts w:eastAsia="Calibri"/>
          <w:noProof/>
          <w:szCs w:val="22"/>
          <w:lang w:val="it-IT" w:eastAsia="en-US"/>
          <w:rPrChange w:id="12878" w:author="Author">
            <w:rPr>
              <w:rFonts w:eastAsia="Calibri"/>
              <w:szCs w:val="22"/>
              <w:lang w:eastAsia="en-US"/>
            </w:rPr>
          </w:rPrChange>
        </w:rPr>
        <w:t>79639 Grenzach-Wyhlen</w:t>
      </w:r>
    </w:p>
    <w:p>
      <w:pPr>
        <w:rPr>
          <w:noProof/>
          <w:szCs w:val="22"/>
          <w:lang w:val="it-IT" w:eastAsia="en-US"/>
        </w:rPr>
      </w:pPr>
      <w:r>
        <w:rPr>
          <w:rFonts w:eastAsia="Calibri"/>
          <w:noProof/>
          <w:szCs w:val="22"/>
          <w:lang w:val="it-IT" w:eastAsia="en-US"/>
        </w:rPr>
        <w:t>Germania</w:t>
      </w:r>
    </w:p>
    <w:p>
      <w:pPr>
        <w:rPr>
          <w:noProof/>
          <w:szCs w:val="22"/>
          <w:lang w:val="it-IT"/>
        </w:rPr>
      </w:pPr>
    </w:p>
    <w:p>
      <w:pPr>
        <w:keepNext/>
        <w:keepLines/>
        <w:rPr>
          <w:noProof/>
          <w:szCs w:val="22"/>
          <w:lang w:val="it-IT" w:eastAsia="en-US"/>
        </w:rPr>
      </w:pPr>
      <w:r>
        <w:rPr>
          <w:rFonts w:eastAsia="Calibri"/>
          <w:noProof/>
          <w:szCs w:val="22"/>
          <w:lang w:val="it-IT" w:eastAsia="en-US"/>
        </w:rPr>
        <w:t>Per ulteriori informazioni su questo medicinale, contatti il rappresentante locale del titolare dell’autorizzazione all’immissione in commercio:</w:t>
      </w:r>
    </w:p>
    <w:p>
      <w:pPr>
        <w:keepNext/>
        <w:keepLines/>
        <w:rPr>
          <w:noProof/>
          <w:szCs w:val="22"/>
          <w:lang w:val="it-IT"/>
        </w:rPr>
      </w:pPr>
    </w:p>
    <w:tbl>
      <w:tblPr>
        <w:tblW w:w="9180" w:type="dxa"/>
        <w:tblLayout w:type="fixed"/>
        <w:tblCellMar>
          <w:top w:w="28" w:type="dxa"/>
          <w:bottom w:w="28" w:type="dxa"/>
        </w:tblCellMar>
        <w:tblLook w:val="0000" w:firstRow="0" w:lastRow="0" w:firstColumn="0" w:lastColumn="0" w:noHBand="0" w:noVBand="0"/>
        <w:tblPrChange w:id="12879" w:author="Author">
          <w:tblPr>
            <w:tblW w:w="0" w:type="auto"/>
            <w:tblLayout w:type="fixed"/>
            <w:tblLook w:val="0000" w:firstRow="0" w:lastRow="0" w:firstColumn="0" w:lastColumn="0" w:noHBand="0" w:noVBand="0"/>
          </w:tblPr>
        </w:tblPrChange>
      </w:tblPr>
      <w:tblGrid>
        <w:gridCol w:w="4590"/>
        <w:gridCol w:w="4590"/>
        <w:tblGridChange w:id="12880">
          <w:tblGrid>
            <w:gridCol w:w="4590"/>
            <w:gridCol w:w="4590"/>
          </w:tblGrid>
        </w:tblGridChange>
      </w:tblGrid>
      <w:tr>
        <w:trPr>
          <w:cantSplit/>
          <w:del w:id="12881" w:author="Author"/>
          <w:trPrChange w:id="12882" w:author="Author">
            <w:trPr>
              <w:cantSplit/>
            </w:trPr>
          </w:trPrChange>
        </w:trPr>
        <w:tc>
          <w:tcPr>
            <w:tcW w:w="4590" w:type="dxa"/>
            <w:tcPrChange w:id="12883" w:author="Author">
              <w:tcPr>
                <w:tcW w:w="4590" w:type="dxa"/>
              </w:tcPr>
            </w:tcPrChange>
          </w:tcPr>
          <w:p>
            <w:pPr>
              <w:suppressAutoHyphens/>
              <w:rPr>
                <w:del w:id="12884" w:author="Author"/>
                <w:noProof/>
                <w:szCs w:val="22"/>
                <w:lang w:val="it-IT" w:eastAsia="en-US"/>
                <w:rPrChange w:id="12885" w:author="Author">
                  <w:rPr>
                    <w:del w:id="12886" w:author="Author"/>
                    <w:szCs w:val="22"/>
                    <w:lang w:val="fr-FR" w:eastAsia="en-US"/>
                  </w:rPr>
                </w:rPrChange>
              </w:rPr>
              <w:pPrChange w:id="12887" w:author="Author">
                <w:pPr>
                  <w:keepNext/>
                  <w:keepLines/>
                </w:pPr>
              </w:pPrChange>
            </w:pPr>
            <w:del w:id="12888" w:author="Author">
              <w:r>
                <w:rPr>
                  <w:rFonts w:eastAsia="Calibri"/>
                  <w:b/>
                  <w:noProof/>
                  <w:szCs w:val="22"/>
                  <w:lang w:val="it-IT" w:eastAsia="en-US"/>
                  <w:rPrChange w:id="12889" w:author="Author">
                    <w:rPr>
                      <w:rFonts w:eastAsia="Calibri"/>
                      <w:b/>
                      <w:szCs w:val="22"/>
                      <w:lang w:val="fr-FR" w:eastAsia="en-US"/>
                    </w:rPr>
                  </w:rPrChange>
                </w:rPr>
                <w:delText>België/Belgique/Belgien</w:delText>
              </w:r>
            </w:del>
          </w:p>
          <w:p>
            <w:pPr>
              <w:suppressAutoHyphens/>
              <w:rPr>
                <w:del w:id="12890" w:author="Author"/>
                <w:noProof/>
                <w:szCs w:val="22"/>
                <w:lang w:val="it-IT" w:eastAsia="en-US"/>
                <w:rPrChange w:id="12891" w:author="Author">
                  <w:rPr>
                    <w:del w:id="12892" w:author="Author"/>
                    <w:szCs w:val="22"/>
                    <w:lang w:val="fr-FR" w:eastAsia="en-US"/>
                  </w:rPr>
                </w:rPrChange>
              </w:rPr>
              <w:pPrChange w:id="12893" w:author="Author">
                <w:pPr>
                  <w:keepNext/>
                  <w:keepLines/>
                </w:pPr>
              </w:pPrChange>
            </w:pPr>
            <w:del w:id="12894" w:author="Author">
              <w:r>
                <w:rPr>
                  <w:rFonts w:eastAsia="Calibri"/>
                  <w:noProof/>
                  <w:szCs w:val="22"/>
                  <w:lang w:val="it-IT" w:eastAsia="en-US"/>
                  <w:rPrChange w:id="12895" w:author="Author">
                    <w:rPr>
                      <w:rFonts w:eastAsia="Calibri"/>
                      <w:szCs w:val="22"/>
                      <w:lang w:val="fr-FR" w:eastAsia="en-US"/>
                    </w:rPr>
                  </w:rPrChange>
                </w:rPr>
                <w:delText>N.V. Roche S.A.</w:delText>
              </w:r>
            </w:del>
          </w:p>
          <w:p>
            <w:pPr>
              <w:suppressAutoHyphens/>
              <w:rPr>
                <w:del w:id="12896" w:author="Author"/>
                <w:noProof/>
                <w:szCs w:val="22"/>
                <w:lang w:val="it-IT" w:eastAsia="en-US"/>
              </w:rPr>
              <w:pPrChange w:id="12897" w:author="Author">
                <w:pPr>
                  <w:keepNext/>
                  <w:keepLines/>
                </w:pPr>
              </w:pPrChange>
            </w:pPr>
            <w:del w:id="12898" w:author="Author">
              <w:r>
                <w:rPr>
                  <w:rFonts w:eastAsia="Calibri"/>
                  <w:noProof/>
                  <w:szCs w:val="22"/>
                  <w:lang w:val="it-IT" w:eastAsia="en-US"/>
                </w:rPr>
                <w:delText>Tél/Tel: +32 (0) 2 525 82 11</w:delText>
              </w:r>
            </w:del>
          </w:p>
          <w:p>
            <w:pPr>
              <w:suppressAutoHyphens/>
              <w:rPr>
                <w:del w:id="12899" w:author="Author"/>
                <w:b/>
                <w:noProof/>
                <w:szCs w:val="22"/>
                <w:lang w:val="it-IT"/>
              </w:rPr>
              <w:pPrChange w:id="12900" w:author="Author">
                <w:pPr>
                  <w:keepNext/>
                  <w:keepLines/>
                </w:pPr>
              </w:pPrChange>
            </w:pPr>
          </w:p>
        </w:tc>
        <w:tc>
          <w:tcPr>
            <w:tcW w:w="4590" w:type="dxa"/>
            <w:tcPrChange w:id="12901" w:author="Author">
              <w:tcPr>
                <w:tcW w:w="4590" w:type="dxa"/>
              </w:tcPr>
            </w:tcPrChange>
          </w:tcPr>
          <w:p>
            <w:pPr>
              <w:suppressAutoHyphens/>
              <w:rPr>
                <w:del w:id="12902" w:author="Author"/>
                <w:noProof/>
                <w:szCs w:val="22"/>
                <w:lang w:val="it-IT" w:eastAsia="en-US"/>
                <w:rPrChange w:id="12903" w:author="Author">
                  <w:rPr>
                    <w:del w:id="12904" w:author="Author"/>
                    <w:szCs w:val="22"/>
                    <w:lang w:val="fr-FR" w:eastAsia="en-US"/>
                  </w:rPr>
                </w:rPrChange>
              </w:rPr>
              <w:pPrChange w:id="12905" w:author="Author">
                <w:pPr>
                  <w:keepNext/>
                  <w:keepLines/>
                  <w:suppressAutoHyphens/>
                </w:pPr>
              </w:pPrChange>
            </w:pPr>
            <w:del w:id="12906" w:author="Author">
              <w:r>
                <w:rPr>
                  <w:rFonts w:eastAsia="Calibri"/>
                  <w:b/>
                  <w:noProof/>
                  <w:szCs w:val="22"/>
                  <w:lang w:val="it-IT" w:eastAsia="en-US"/>
                  <w:rPrChange w:id="12907" w:author="Author">
                    <w:rPr>
                      <w:rFonts w:eastAsia="Calibri"/>
                      <w:b/>
                      <w:szCs w:val="22"/>
                      <w:lang w:val="fr-FR" w:eastAsia="en-US"/>
                    </w:rPr>
                  </w:rPrChange>
                </w:rPr>
                <w:delText>Luxembourg/Luxemburg</w:delText>
              </w:r>
            </w:del>
          </w:p>
          <w:p>
            <w:pPr>
              <w:suppressAutoHyphens/>
              <w:rPr>
                <w:del w:id="12908" w:author="Author"/>
                <w:noProof/>
                <w:szCs w:val="22"/>
                <w:lang w:val="it-IT" w:eastAsia="en-US"/>
                <w:rPrChange w:id="12909" w:author="Author">
                  <w:rPr>
                    <w:del w:id="12910" w:author="Author"/>
                    <w:szCs w:val="22"/>
                    <w:lang w:val="fr-FR" w:eastAsia="en-US"/>
                  </w:rPr>
                </w:rPrChange>
              </w:rPr>
              <w:pPrChange w:id="12911" w:author="Author">
                <w:pPr>
                  <w:keepNext/>
                  <w:keepLines/>
                </w:pPr>
              </w:pPrChange>
            </w:pPr>
            <w:del w:id="12912" w:author="Author">
              <w:r>
                <w:rPr>
                  <w:rFonts w:eastAsia="Calibri"/>
                  <w:noProof/>
                  <w:szCs w:val="22"/>
                  <w:lang w:val="it-IT" w:eastAsia="en-US"/>
                  <w:rPrChange w:id="12913" w:author="Author">
                    <w:rPr>
                      <w:rFonts w:eastAsia="Calibri"/>
                      <w:szCs w:val="22"/>
                      <w:lang w:val="fr-FR" w:eastAsia="en-US"/>
                    </w:rPr>
                  </w:rPrChange>
                </w:rPr>
                <w:delText>(Voir/siehe Belgique/Belgien)</w:delText>
              </w:r>
            </w:del>
          </w:p>
          <w:p>
            <w:pPr>
              <w:suppressAutoHyphens/>
              <w:rPr>
                <w:del w:id="12914" w:author="Author"/>
                <w:b/>
                <w:noProof/>
                <w:szCs w:val="22"/>
                <w:lang w:val="it-IT"/>
                <w:rPrChange w:id="12915" w:author="Author">
                  <w:rPr>
                    <w:del w:id="12916" w:author="Author"/>
                    <w:b/>
                    <w:szCs w:val="22"/>
                    <w:lang w:val="fr-FR"/>
                  </w:rPr>
                </w:rPrChange>
              </w:rPr>
              <w:pPrChange w:id="12917" w:author="Author">
                <w:pPr>
                  <w:keepNext/>
                  <w:keepLines/>
                  <w:suppressAutoHyphens/>
                </w:pPr>
              </w:pPrChange>
            </w:pPr>
          </w:p>
        </w:tc>
      </w:tr>
      <w:tr>
        <w:trPr>
          <w:cantSplit/>
          <w:del w:id="12918" w:author="Author"/>
          <w:trPrChange w:id="12919" w:author="Author">
            <w:trPr>
              <w:cantSplit/>
            </w:trPr>
          </w:trPrChange>
        </w:trPr>
        <w:tc>
          <w:tcPr>
            <w:tcW w:w="4590" w:type="dxa"/>
            <w:tcPrChange w:id="12920" w:author="Author">
              <w:tcPr>
                <w:tcW w:w="4590" w:type="dxa"/>
              </w:tcPr>
            </w:tcPrChange>
          </w:tcPr>
          <w:p>
            <w:pPr>
              <w:suppressAutoHyphens/>
              <w:autoSpaceDE w:val="0"/>
              <w:autoSpaceDN w:val="0"/>
              <w:adjustRightInd w:val="0"/>
              <w:rPr>
                <w:del w:id="12921" w:author="Author"/>
                <w:b/>
                <w:bCs/>
                <w:noProof/>
                <w:szCs w:val="22"/>
                <w:lang w:val="it-IT" w:eastAsia="en-US"/>
                <w:rPrChange w:id="12922" w:author="Author">
                  <w:rPr>
                    <w:del w:id="12923" w:author="Author"/>
                    <w:b/>
                    <w:bCs/>
                    <w:szCs w:val="22"/>
                    <w:lang w:val="fr-FR" w:eastAsia="en-US"/>
                  </w:rPr>
                </w:rPrChange>
              </w:rPr>
              <w:pPrChange w:id="12924" w:author="Author">
                <w:pPr>
                  <w:autoSpaceDE w:val="0"/>
                  <w:autoSpaceDN w:val="0"/>
                  <w:adjustRightInd w:val="0"/>
                </w:pPr>
              </w:pPrChange>
            </w:pPr>
            <w:del w:id="12925" w:author="Author">
              <w:r>
                <w:rPr>
                  <w:rFonts w:eastAsia="Calibri"/>
                  <w:b/>
                  <w:bCs/>
                  <w:noProof/>
                  <w:szCs w:val="22"/>
                  <w:lang w:val="it-IT" w:eastAsia="en-US"/>
                  <w:rPrChange w:id="12926" w:author="Author">
                    <w:rPr>
                      <w:rFonts w:eastAsia="Calibri"/>
                      <w:b/>
                      <w:bCs/>
                      <w:szCs w:val="22"/>
                      <w:lang w:val="it-IT" w:eastAsia="en-US"/>
                    </w:rPr>
                  </w:rPrChange>
                </w:rPr>
                <w:delText>България</w:delText>
              </w:r>
            </w:del>
          </w:p>
          <w:p>
            <w:pPr>
              <w:suppressAutoHyphens/>
              <w:rPr>
                <w:del w:id="12927" w:author="Author"/>
                <w:noProof/>
                <w:szCs w:val="22"/>
                <w:lang w:val="it-IT" w:eastAsia="en-US"/>
                <w:rPrChange w:id="12928" w:author="Author">
                  <w:rPr>
                    <w:del w:id="12929" w:author="Author"/>
                    <w:szCs w:val="22"/>
                    <w:lang w:val="fr-FR" w:eastAsia="en-US"/>
                  </w:rPr>
                </w:rPrChange>
              </w:rPr>
            </w:pPr>
            <w:del w:id="12930" w:author="Author">
              <w:r>
                <w:rPr>
                  <w:rFonts w:eastAsia="Calibri"/>
                  <w:noProof/>
                  <w:szCs w:val="22"/>
                  <w:lang w:val="it-IT" w:eastAsia="en-US"/>
                  <w:rPrChange w:id="12931" w:author="Author">
                    <w:rPr>
                      <w:rFonts w:eastAsia="Calibri"/>
                      <w:szCs w:val="22"/>
                      <w:lang w:val="it-IT" w:eastAsia="en-US"/>
                    </w:rPr>
                  </w:rPrChange>
                </w:rPr>
                <w:delText>Рош</w:delText>
              </w:r>
              <w:r>
                <w:rPr>
                  <w:rFonts w:eastAsia="Calibri"/>
                  <w:noProof/>
                  <w:szCs w:val="22"/>
                  <w:lang w:val="it-IT" w:eastAsia="en-US"/>
                  <w:rPrChange w:id="12932" w:author="Author">
                    <w:rPr>
                      <w:rFonts w:eastAsia="Calibri"/>
                      <w:szCs w:val="22"/>
                      <w:lang w:val="fr-FR" w:eastAsia="en-US"/>
                    </w:rPr>
                  </w:rPrChange>
                </w:rPr>
                <w:delText xml:space="preserve"> </w:delText>
              </w:r>
              <w:r>
                <w:rPr>
                  <w:rFonts w:eastAsia="Calibri"/>
                  <w:noProof/>
                  <w:szCs w:val="22"/>
                  <w:lang w:val="it-IT" w:eastAsia="en-US"/>
                  <w:rPrChange w:id="12933" w:author="Author">
                    <w:rPr>
                      <w:rFonts w:eastAsia="Calibri"/>
                      <w:szCs w:val="22"/>
                      <w:lang w:val="it-IT" w:eastAsia="en-US"/>
                    </w:rPr>
                  </w:rPrChange>
                </w:rPr>
                <w:delText>България</w:delText>
              </w:r>
              <w:r>
                <w:rPr>
                  <w:rFonts w:eastAsia="Calibri"/>
                  <w:noProof/>
                  <w:szCs w:val="22"/>
                  <w:lang w:val="it-IT" w:eastAsia="en-US"/>
                  <w:rPrChange w:id="12934" w:author="Author">
                    <w:rPr>
                      <w:rFonts w:eastAsia="Calibri"/>
                      <w:szCs w:val="22"/>
                      <w:lang w:val="fr-FR" w:eastAsia="en-US"/>
                    </w:rPr>
                  </w:rPrChange>
                </w:rPr>
                <w:delText xml:space="preserve"> </w:delText>
              </w:r>
              <w:r>
                <w:rPr>
                  <w:rFonts w:eastAsia="Calibri"/>
                  <w:noProof/>
                  <w:szCs w:val="22"/>
                  <w:lang w:val="it-IT" w:eastAsia="en-US"/>
                  <w:rPrChange w:id="12935" w:author="Author">
                    <w:rPr>
                      <w:rFonts w:eastAsia="Calibri"/>
                      <w:szCs w:val="22"/>
                      <w:lang w:val="it-IT" w:eastAsia="en-US"/>
                    </w:rPr>
                  </w:rPrChange>
                </w:rPr>
                <w:delText>ЕООД</w:delText>
              </w:r>
            </w:del>
          </w:p>
          <w:p>
            <w:pPr>
              <w:suppressAutoHyphens/>
              <w:rPr>
                <w:del w:id="12936" w:author="Author"/>
                <w:noProof/>
                <w:szCs w:val="22"/>
                <w:lang w:val="it-IT"/>
                <w:rPrChange w:id="12937" w:author="Author">
                  <w:rPr>
                    <w:del w:id="12938" w:author="Author"/>
                    <w:szCs w:val="22"/>
                    <w:lang w:val="fr-FR"/>
                  </w:rPr>
                </w:rPrChange>
              </w:rPr>
            </w:pPr>
            <w:del w:id="12939" w:author="Author">
              <w:r>
                <w:rPr>
                  <w:noProof/>
                  <w:szCs w:val="22"/>
                  <w:lang w:val="it-IT"/>
                  <w:rPrChange w:id="12940" w:author="Author">
                    <w:rPr>
                      <w:noProof/>
                      <w:szCs w:val="22"/>
                      <w:lang w:val="en-GB"/>
                    </w:rPr>
                  </w:rPrChange>
                </w:rPr>
                <w:delText>Тел</w:delText>
              </w:r>
              <w:r>
                <w:rPr>
                  <w:noProof/>
                  <w:szCs w:val="22"/>
                  <w:lang w:val="it-IT"/>
                  <w:rPrChange w:id="12941" w:author="Author">
                    <w:rPr>
                      <w:noProof/>
                      <w:szCs w:val="22"/>
                      <w:lang w:val="fr-FR"/>
                    </w:rPr>
                  </w:rPrChange>
                </w:rPr>
                <w:delText>: +359 2 474 5444</w:delText>
              </w:r>
            </w:del>
          </w:p>
        </w:tc>
        <w:tc>
          <w:tcPr>
            <w:tcW w:w="4590" w:type="dxa"/>
            <w:tcPrChange w:id="12942" w:author="Author">
              <w:tcPr>
                <w:tcW w:w="4590" w:type="dxa"/>
              </w:tcPr>
            </w:tcPrChange>
          </w:tcPr>
          <w:p>
            <w:pPr>
              <w:suppressAutoHyphens/>
              <w:rPr>
                <w:del w:id="12943" w:author="Author"/>
                <w:b/>
                <w:noProof/>
                <w:szCs w:val="22"/>
                <w:lang w:val="it-IT" w:eastAsia="en-US"/>
                <w:rPrChange w:id="12944" w:author="Author">
                  <w:rPr>
                    <w:del w:id="12945" w:author="Author"/>
                    <w:b/>
                    <w:szCs w:val="22"/>
                    <w:lang w:val="en-GB" w:eastAsia="en-US"/>
                  </w:rPr>
                </w:rPrChange>
              </w:rPr>
              <w:pPrChange w:id="12946" w:author="Author">
                <w:pPr/>
              </w:pPrChange>
            </w:pPr>
            <w:del w:id="12947" w:author="Author">
              <w:r>
                <w:rPr>
                  <w:rFonts w:eastAsia="Calibri"/>
                  <w:b/>
                  <w:noProof/>
                  <w:szCs w:val="22"/>
                  <w:lang w:val="it-IT" w:eastAsia="en-US"/>
                  <w:rPrChange w:id="12948" w:author="Author">
                    <w:rPr>
                      <w:rFonts w:eastAsia="Calibri"/>
                      <w:b/>
                      <w:szCs w:val="22"/>
                      <w:lang w:val="en-GB" w:eastAsia="en-US"/>
                    </w:rPr>
                  </w:rPrChange>
                </w:rPr>
                <w:delText>Magyarország</w:delText>
              </w:r>
            </w:del>
          </w:p>
          <w:p>
            <w:pPr>
              <w:suppressAutoHyphens/>
              <w:rPr>
                <w:del w:id="12949" w:author="Author"/>
                <w:noProof/>
                <w:szCs w:val="22"/>
                <w:lang w:val="it-IT" w:eastAsia="en-US"/>
                <w:rPrChange w:id="12950" w:author="Author">
                  <w:rPr>
                    <w:del w:id="12951" w:author="Author"/>
                    <w:szCs w:val="22"/>
                    <w:lang w:val="en-GB" w:eastAsia="en-US"/>
                  </w:rPr>
                </w:rPrChange>
              </w:rPr>
              <w:pPrChange w:id="12952" w:author="Author">
                <w:pPr/>
              </w:pPrChange>
            </w:pPr>
            <w:del w:id="12953" w:author="Author">
              <w:r>
                <w:rPr>
                  <w:rFonts w:eastAsia="Calibri"/>
                  <w:noProof/>
                  <w:szCs w:val="22"/>
                  <w:lang w:val="it-IT" w:eastAsia="en-US"/>
                  <w:rPrChange w:id="12954" w:author="Author">
                    <w:rPr>
                      <w:rFonts w:eastAsia="Calibri"/>
                      <w:szCs w:val="22"/>
                      <w:lang w:val="en-GB" w:eastAsia="en-US"/>
                    </w:rPr>
                  </w:rPrChange>
                </w:rPr>
                <w:delText>Roche (Magyarország) Kft.</w:delText>
              </w:r>
            </w:del>
          </w:p>
          <w:p>
            <w:pPr>
              <w:suppressAutoHyphens/>
              <w:rPr>
                <w:del w:id="12955" w:author="Author"/>
                <w:noProof/>
                <w:szCs w:val="22"/>
                <w:lang w:val="it-IT" w:eastAsia="en-US"/>
                <w:rPrChange w:id="12956" w:author="Author">
                  <w:rPr>
                    <w:del w:id="12957" w:author="Author"/>
                    <w:szCs w:val="22"/>
                    <w:lang w:val="en-GB" w:eastAsia="en-US"/>
                  </w:rPr>
                </w:rPrChange>
              </w:rPr>
              <w:pPrChange w:id="12958" w:author="Author">
                <w:pPr/>
              </w:pPrChange>
            </w:pPr>
            <w:del w:id="12959" w:author="Author">
              <w:r>
                <w:rPr>
                  <w:rFonts w:eastAsia="Calibri"/>
                  <w:noProof/>
                  <w:szCs w:val="22"/>
                  <w:lang w:val="it-IT" w:eastAsia="en-US"/>
                  <w:rPrChange w:id="12960" w:author="Author">
                    <w:rPr>
                      <w:rFonts w:eastAsia="Calibri"/>
                      <w:szCs w:val="22"/>
                      <w:lang w:val="en-GB" w:eastAsia="en-US"/>
                    </w:rPr>
                  </w:rPrChange>
                </w:rPr>
                <w:delText xml:space="preserve">Tel: +36 - </w:delText>
              </w:r>
              <w:r>
                <w:rPr>
                  <w:noProof/>
                  <w:szCs w:val="22"/>
                  <w:lang w:val="it-IT"/>
                  <w:rPrChange w:id="12961" w:author="Author">
                    <w:rPr>
                      <w:szCs w:val="22"/>
                      <w:lang w:val="en-GB"/>
                    </w:rPr>
                  </w:rPrChange>
                </w:rPr>
                <w:delText>1 279 4500</w:delText>
              </w:r>
            </w:del>
          </w:p>
          <w:p>
            <w:pPr>
              <w:suppressAutoHyphens/>
              <w:rPr>
                <w:del w:id="12962" w:author="Author"/>
                <w:noProof/>
                <w:szCs w:val="22"/>
                <w:lang w:val="it-IT"/>
                <w:rPrChange w:id="12963" w:author="Author">
                  <w:rPr>
                    <w:del w:id="12964" w:author="Author"/>
                    <w:szCs w:val="22"/>
                    <w:lang w:val="en-GB"/>
                  </w:rPr>
                </w:rPrChange>
              </w:rPr>
              <w:pPrChange w:id="12965" w:author="Author">
                <w:pPr/>
              </w:pPrChange>
            </w:pPr>
          </w:p>
        </w:tc>
      </w:tr>
      <w:tr>
        <w:trPr>
          <w:cantSplit/>
          <w:del w:id="12966" w:author="Author"/>
          <w:trPrChange w:id="12967" w:author="Author">
            <w:trPr>
              <w:cantSplit/>
            </w:trPr>
          </w:trPrChange>
        </w:trPr>
        <w:tc>
          <w:tcPr>
            <w:tcW w:w="4590" w:type="dxa"/>
            <w:tcPrChange w:id="12968" w:author="Author">
              <w:tcPr>
                <w:tcW w:w="4590" w:type="dxa"/>
              </w:tcPr>
            </w:tcPrChange>
          </w:tcPr>
          <w:p>
            <w:pPr>
              <w:suppressAutoHyphens/>
              <w:rPr>
                <w:del w:id="12969" w:author="Author"/>
                <w:b/>
                <w:noProof/>
                <w:szCs w:val="22"/>
                <w:lang w:val="it-IT" w:eastAsia="en-US"/>
              </w:rPr>
              <w:pPrChange w:id="12970" w:author="Author">
                <w:pPr/>
              </w:pPrChange>
            </w:pPr>
            <w:del w:id="12971" w:author="Author">
              <w:r>
                <w:rPr>
                  <w:rFonts w:eastAsia="Calibri"/>
                  <w:b/>
                  <w:noProof/>
                  <w:szCs w:val="22"/>
                  <w:lang w:val="it-IT" w:eastAsia="en-US"/>
                </w:rPr>
                <w:delText>Česká republika</w:delText>
              </w:r>
            </w:del>
          </w:p>
          <w:p>
            <w:pPr>
              <w:suppressAutoHyphens/>
              <w:rPr>
                <w:del w:id="12972" w:author="Author"/>
                <w:bCs/>
                <w:noProof/>
                <w:szCs w:val="22"/>
                <w:lang w:val="it-IT" w:eastAsia="en-US"/>
              </w:rPr>
              <w:pPrChange w:id="12973" w:author="Author">
                <w:pPr/>
              </w:pPrChange>
            </w:pPr>
            <w:del w:id="12974" w:author="Author">
              <w:r>
                <w:rPr>
                  <w:rFonts w:eastAsia="Calibri"/>
                  <w:bCs/>
                  <w:noProof/>
                  <w:szCs w:val="22"/>
                  <w:lang w:val="it-IT" w:eastAsia="en-US"/>
                </w:rPr>
                <w:delText>Roche s. r. o.</w:delText>
              </w:r>
            </w:del>
          </w:p>
          <w:p>
            <w:pPr>
              <w:suppressAutoHyphens/>
              <w:rPr>
                <w:del w:id="12975" w:author="Author"/>
                <w:rFonts w:eastAsia="Calibri"/>
                <w:noProof/>
                <w:szCs w:val="22"/>
                <w:lang w:val="it-IT" w:eastAsia="en-US"/>
              </w:rPr>
              <w:pPrChange w:id="12976" w:author="Author">
                <w:pPr/>
              </w:pPrChange>
            </w:pPr>
            <w:del w:id="12977" w:author="Author">
              <w:r>
                <w:rPr>
                  <w:rFonts w:eastAsia="Calibri"/>
                  <w:noProof/>
                  <w:szCs w:val="22"/>
                  <w:lang w:val="it-IT" w:eastAsia="en-US"/>
                </w:rPr>
                <w:delText>Tel: +420 - 2 20382111</w:delText>
              </w:r>
            </w:del>
          </w:p>
          <w:p>
            <w:pPr>
              <w:suppressAutoHyphens/>
              <w:rPr>
                <w:del w:id="12978" w:author="Author"/>
                <w:noProof/>
                <w:szCs w:val="22"/>
                <w:lang w:val="it-IT" w:eastAsia="en-US"/>
              </w:rPr>
              <w:pPrChange w:id="12979" w:author="Author">
                <w:pPr/>
              </w:pPrChange>
            </w:pPr>
          </w:p>
        </w:tc>
        <w:tc>
          <w:tcPr>
            <w:tcW w:w="4590" w:type="dxa"/>
            <w:tcPrChange w:id="12980" w:author="Author">
              <w:tcPr>
                <w:tcW w:w="4590" w:type="dxa"/>
              </w:tcPr>
            </w:tcPrChange>
          </w:tcPr>
          <w:p>
            <w:pPr>
              <w:suppressAutoHyphens/>
              <w:rPr>
                <w:del w:id="12981" w:author="Author"/>
                <w:rFonts w:eastAsia="Calibri"/>
                <w:noProof/>
                <w:szCs w:val="22"/>
                <w:lang w:val="it-IT" w:eastAsia="en-US"/>
              </w:rPr>
              <w:pPrChange w:id="12982" w:author="Author">
                <w:pPr/>
              </w:pPrChange>
            </w:pPr>
            <w:del w:id="12983" w:author="Author">
              <w:r>
                <w:rPr>
                  <w:rFonts w:eastAsia="Calibri"/>
                  <w:b/>
                  <w:noProof/>
                  <w:szCs w:val="22"/>
                  <w:lang w:val="it-IT" w:eastAsia="en-US"/>
                </w:rPr>
                <w:delText>Malta</w:delText>
              </w:r>
            </w:del>
          </w:p>
          <w:p>
            <w:pPr>
              <w:suppressAutoHyphens/>
              <w:autoSpaceDE w:val="0"/>
              <w:autoSpaceDN w:val="0"/>
              <w:adjustRightInd w:val="0"/>
              <w:rPr>
                <w:del w:id="12984" w:author="Author"/>
                <w:noProof/>
                <w:szCs w:val="22"/>
                <w:lang w:val="it-IT" w:eastAsia="en-US"/>
              </w:rPr>
              <w:pPrChange w:id="12985" w:author="Author">
                <w:pPr>
                  <w:autoSpaceDE w:val="0"/>
                  <w:autoSpaceDN w:val="0"/>
                  <w:adjustRightInd w:val="0"/>
                </w:pPr>
              </w:pPrChange>
            </w:pPr>
            <w:del w:id="12986" w:author="Author">
              <w:r>
                <w:rPr>
                  <w:rFonts w:eastAsia="Calibri"/>
                  <w:noProof/>
                  <w:szCs w:val="22"/>
                  <w:lang w:val="it-IT" w:eastAsia="en-US"/>
                </w:rPr>
                <w:delText>(See Ireland)</w:delText>
              </w:r>
            </w:del>
          </w:p>
          <w:p>
            <w:pPr>
              <w:suppressAutoHyphens/>
              <w:autoSpaceDE w:val="0"/>
              <w:autoSpaceDN w:val="0"/>
              <w:adjustRightInd w:val="0"/>
              <w:rPr>
                <w:del w:id="12987" w:author="Author"/>
                <w:noProof/>
                <w:szCs w:val="22"/>
                <w:lang w:val="it-IT"/>
              </w:rPr>
              <w:pPrChange w:id="12988" w:author="Author">
                <w:pPr>
                  <w:autoSpaceDE w:val="0"/>
                  <w:autoSpaceDN w:val="0"/>
                  <w:adjustRightInd w:val="0"/>
                </w:pPr>
              </w:pPrChange>
            </w:pPr>
          </w:p>
        </w:tc>
      </w:tr>
      <w:tr>
        <w:trPr>
          <w:cantSplit/>
          <w:del w:id="12989" w:author="Author"/>
          <w:trPrChange w:id="12990" w:author="Author">
            <w:trPr>
              <w:cantSplit/>
            </w:trPr>
          </w:trPrChange>
        </w:trPr>
        <w:tc>
          <w:tcPr>
            <w:tcW w:w="4590" w:type="dxa"/>
            <w:tcPrChange w:id="12991" w:author="Author">
              <w:tcPr>
                <w:tcW w:w="4590" w:type="dxa"/>
              </w:tcPr>
            </w:tcPrChange>
          </w:tcPr>
          <w:p>
            <w:pPr>
              <w:suppressAutoHyphens/>
              <w:rPr>
                <w:del w:id="12992" w:author="Author"/>
                <w:noProof/>
                <w:szCs w:val="22"/>
                <w:lang w:val="it-IT" w:eastAsia="en-US"/>
              </w:rPr>
              <w:pPrChange w:id="12993" w:author="Author">
                <w:pPr/>
              </w:pPrChange>
            </w:pPr>
            <w:del w:id="12994" w:author="Author">
              <w:r>
                <w:rPr>
                  <w:rFonts w:eastAsia="Calibri"/>
                  <w:b/>
                  <w:noProof/>
                  <w:szCs w:val="22"/>
                  <w:lang w:val="it-IT" w:eastAsia="en-US"/>
                </w:rPr>
                <w:delText>Danmark</w:delText>
              </w:r>
            </w:del>
          </w:p>
          <w:p>
            <w:pPr>
              <w:suppressAutoHyphens/>
              <w:rPr>
                <w:del w:id="12995" w:author="Author"/>
                <w:noProof/>
                <w:szCs w:val="22"/>
                <w:lang w:val="it-IT" w:eastAsia="en-US"/>
              </w:rPr>
              <w:pPrChange w:id="12996" w:author="Author">
                <w:pPr/>
              </w:pPrChange>
            </w:pPr>
            <w:del w:id="12997" w:author="Author">
              <w:r>
                <w:rPr>
                  <w:rFonts w:eastAsia="Calibri"/>
                  <w:noProof/>
                  <w:szCs w:val="22"/>
                  <w:lang w:val="it-IT" w:eastAsia="en-US"/>
                </w:rPr>
                <w:delText xml:space="preserve">Roche </w:delText>
              </w:r>
              <w:r>
                <w:rPr>
                  <w:noProof/>
                  <w:szCs w:val="22"/>
                  <w:lang w:val="it-IT"/>
                </w:rPr>
                <w:delText>Pharmaceuticals A/S</w:delText>
              </w:r>
            </w:del>
          </w:p>
          <w:p>
            <w:pPr>
              <w:suppressAutoHyphens/>
              <w:rPr>
                <w:del w:id="12998" w:author="Author"/>
                <w:noProof/>
                <w:szCs w:val="22"/>
                <w:lang w:val="it-IT" w:eastAsia="en-US"/>
              </w:rPr>
              <w:pPrChange w:id="12999" w:author="Author">
                <w:pPr/>
              </w:pPrChange>
            </w:pPr>
            <w:del w:id="13000" w:author="Author">
              <w:r>
                <w:rPr>
                  <w:rFonts w:eastAsia="Calibri"/>
                  <w:noProof/>
                  <w:szCs w:val="22"/>
                  <w:lang w:val="it-IT" w:eastAsia="en-US"/>
                </w:rPr>
                <w:delText>Tlf.: +45 - 36 39 99 99</w:delText>
              </w:r>
            </w:del>
          </w:p>
          <w:p>
            <w:pPr>
              <w:suppressAutoHyphens/>
              <w:rPr>
                <w:del w:id="13001" w:author="Author"/>
                <w:b/>
                <w:noProof/>
                <w:szCs w:val="22"/>
                <w:lang w:val="it-IT"/>
              </w:rPr>
              <w:pPrChange w:id="13002" w:author="Author">
                <w:pPr/>
              </w:pPrChange>
            </w:pPr>
          </w:p>
        </w:tc>
        <w:tc>
          <w:tcPr>
            <w:tcW w:w="4590" w:type="dxa"/>
            <w:tcPrChange w:id="13003" w:author="Author">
              <w:tcPr>
                <w:tcW w:w="4590" w:type="dxa"/>
              </w:tcPr>
            </w:tcPrChange>
          </w:tcPr>
          <w:p>
            <w:pPr>
              <w:suppressAutoHyphens/>
              <w:rPr>
                <w:del w:id="13004" w:author="Author"/>
                <w:noProof/>
                <w:szCs w:val="22"/>
                <w:lang w:val="it-IT" w:eastAsia="en-US"/>
              </w:rPr>
              <w:pPrChange w:id="13005" w:author="Author">
                <w:pPr/>
              </w:pPrChange>
            </w:pPr>
            <w:del w:id="13006" w:author="Author">
              <w:r>
                <w:rPr>
                  <w:rFonts w:eastAsia="Calibri"/>
                  <w:b/>
                  <w:noProof/>
                  <w:szCs w:val="22"/>
                  <w:lang w:val="it-IT" w:eastAsia="en-US"/>
                </w:rPr>
                <w:delText>Nederland</w:delText>
              </w:r>
            </w:del>
          </w:p>
          <w:p>
            <w:pPr>
              <w:suppressAutoHyphens/>
              <w:rPr>
                <w:del w:id="13007" w:author="Author"/>
                <w:noProof/>
                <w:szCs w:val="22"/>
                <w:lang w:val="it-IT" w:eastAsia="en-US"/>
              </w:rPr>
              <w:pPrChange w:id="13008" w:author="Author">
                <w:pPr/>
              </w:pPrChange>
            </w:pPr>
            <w:del w:id="13009" w:author="Author">
              <w:r>
                <w:rPr>
                  <w:rFonts w:eastAsia="Calibri"/>
                  <w:noProof/>
                  <w:szCs w:val="22"/>
                  <w:lang w:val="it-IT" w:eastAsia="en-US"/>
                </w:rPr>
                <w:delText>Roche Nederland B.V.</w:delText>
              </w:r>
            </w:del>
          </w:p>
          <w:p>
            <w:pPr>
              <w:suppressAutoHyphens/>
              <w:rPr>
                <w:del w:id="13010" w:author="Author"/>
                <w:noProof/>
                <w:szCs w:val="22"/>
                <w:lang w:val="it-IT" w:eastAsia="en-US"/>
              </w:rPr>
              <w:pPrChange w:id="13011" w:author="Author">
                <w:pPr/>
              </w:pPrChange>
            </w:pPr>
            <w:del w:id="13012" w:author="Author">
              <w:r>
                <w:rPr>
                  <w:rFonts w:eastAsia="Calibri"/>
                  <w:noProof/>
                  <w:szCs w:val="22"/>
                  <w:lang w:val="it-IT" w:eastAsia="en-US"/>
                </w:rPr>
                <w:delText>Tel: +31 (</w:delText>
              </w:r>
              <w:r>
                <w:rPr>
                  <w:rFonts w:eastAsia="Calibri"/>
                  <w:noProof/>
                  <w:snapToGrid w:val="0"/>
                  <w:szCs w:val="22"/>
                  <w:lang w:val="it-IT" w:eastAsia="en-US"/>
                </w:rPr>
                <w:delText>0) 348 438050</w:delText>
              </w:r>
            </w:del>
          </w:p>
          <w:p>
            <w:pPr>
              <w:suppressAutoHyphens/>
              <w:rPr>
                <w:del w:id="13013" w:author="Author"/>
                <w:noProof/>
                <w:szCs w:val="22"/>
                <w:lang w:val="it-IT"/>
              </w:rPr>
              <w:pPrChange w:id="13014" w:author="Author">
                <w:pPr/>
              </w:pPrChange>
            </w:pPr>
          </w:p>
        </w:tc>
      </w:tr>
      <w:tr>
        <w:trPr>
          <w:cantSplit/>
          <w:del w:id="13015" w:author="Author"/>
          <w:trPrChange w:id="13016" w:author="Author">
            <w:trPr>
              <w:cantSplit/>
            </w:trPr>
          </w:trPrChange>
        </w:trPr>
        <w:tc>
          <w:tcPr>
            <w:tcW w:w="4590" w:type="dxa"/>
            <w:tcPrChange w:id="13017" w:author="Author">
              <w:tcPr>
                <w:tcW w:w="4590" w:type="dxa"/>
              </w:tcPr>
            </w:tcPrChange>
          </w:tcPr>
          <w:p>
            <w:pPr>
              <w:suppressAutoHyphens/>
              <w:rPr>
                <w:del w:id="13018" w:author="Author"/>
                <w:noProof/>
                <w:szCs w:val="22"/>
                <w:lang w:val="it-IT" w:eastAsia="en-US"/>
                <w:rPrChange w:id="13019" w:author="Author">
                  <w:rPr>
                    <w:del w:id="13020" w:author="Author"/>
                    <w:szCs w:val="22"/>
                    <w:lang w:val="en-GB" w:eastAsia="en-US"/>
                  </w:rPr>
                </w:rPrChange>
              </w:rPr>
              <w:pPrChange w:id="13021" w:author="Author">
                <w:pPr/>
              </w:pPrChange>
            </w:pPr>
            <w:del w:id="13022" w:author="Author">
              <w:r>
                <w:rPr>
                  <w:rFonts w:eastAsia="Calibri"/>
                  <w:b/>
                  <w:noProof/>
                  <w:szCs w:val="22"/>
                  <w:lang w:val="it-IT" w:eastAsia="en-US"/>
                  <w:rPrChange w:id="13023" w:author="Author">
                    <w:rPr>
                      <w:rFonts w:eastAsia="Calibri"/>
                      <w:b/>
                      <w:szCs w:val="22"/>
                      <w:lang w:val="en-GB" w:eastAsia="en-US"/>
                    </w:rPr>
                  </w:rPrChange>
                </w:rPr>
                <w:delText>Deutschland</w:delText>
              </w:r>
            </w:del>
          </w:p>
          <w:p>
            <w:pPr>
              <w:suppressAutoHyphens/>
              <w:rPr>
                <w:del w:id="13024" w:author="Author"/>
                <w:noProof/>
                <w:szCs w:val="22"/>
                <w:lang w:val="it-IT" w:eastAsia="en-US"/>
                <w:rPrChange w:id="13025" w:author="Author">
                  <w:rPr>
                    <w:del w:id="13026" w:author="Author"/>
                    <w:szCs w:val="22"/>
                    <w:lang w:val="en-GB" w:eastAsia="en-US"/>
                  </w:rPr>
                </w:rPrChange>
              </w:rPr>
              <w:pPrChange w:id="13027" w:author="Author">
                <w:pPr/>
              </w:pPrChange>
            </w:pPr>
            <w:del w:id="13028" w:author="Author">
              <w:r>
                <w:rPr>
                  <w:rFonts w:eastAsia="Calibri"/>
                  <w:noProof/>
                  <w:szCs w:val="22"/>
                  <w:lang w:val="it-IT" w:eastAsia="en-US"/>
                  <w:rPrChange w:id="13029" w:author="Author">
                    <w:rPr>
                      <w:rFonts w:eastAsia="Calibri"/>
                      <w:szCs w:val="22"/>
                      <w:lang w:val="en-GB" w:eastAsia="en-US"/>
                    </w:rPr>
                  </w:rPrChange>
                </w:rPr>
                <w:delText>Roche Pharma AG</w:delText>
              </w:r>
            </w:del>
          </w:p>
          <w:p>
            <w:pPr>
              <w:suppressAutoHyphens/>
              <w:rPr>
                <w:del w:id="13030" w:author="Author"/>
                <w:rFonts w:eastAsia="Calibri"/>
                <w:noProof/>
                <w:szCs w:val="22"/>
                <w:lang w:val="it-IT" w:eastAsia="en-US"/>
                <w:rPrChange w:id="13031" w:author="Author">
                  <w:rPr>
                    <w:del w:id="13032" w:author="Author"/>
                    <w:rFonts w:eastAsia="Calibri"/>
                    <w:szCs w:val="22"/>
                    <w:lang w:val="en-GB" w:eastAsia="en-US"/>
                  </w:rPr>
                </w:rPrChange>
              </w:rPr>
              <w:pPrChange w:id="13033" w:author="Author">
                <w:pPr/>
              </w:pPrChange>
            </w:pPr>
            <w:del w:id="13034" w:author="Author">
              <w:r>
                <w:rPr>
                  <w:rFonts w:eastAsia="Calibri"/>
                  <w:noProof/>
                  <w:szCs w:val="22"/>
                  <w:lang w:val="it-IT" w:eastAsia="en-US"/>
                  <w:rPrChange w:id="13035" w:author="Author">
                    <w:rPr>
                      <w:rFonts w:eastAsia="Calibri"/>
                      <w:szCs w:val="22"/>
                      <w:lang w:val="en-GB" w:eastAsia="en-US"/>
                    </w:rPr>
                  </w:rPrChange>
                </w:rPr>
                <w:delText>Tel: +49 (0) 7624 140</w:delText>
              </w:r>
            </w:del>
          </w:p>
          <w:p>
            <w:pPr>
              <w:suppressAutoHyphens/>
              <w:rPr>
                <w:del w:id="13036" w:author="Author"/>
                <w:b/>
                <w:noProof/>
                <w:szCs w:val="22"/>
                <w:lang w:val="it-IT"/>
                <w:rPrChange w:id="13037" w:author="Author">
                  <w:rPr>
                    <w:del w:id="13038" w:author="Author"/>
                    <w:b/>
                    <w:szCs w:val="22"/>
                    <w:lang w:val="en-GB"/>
                  </w:rPr>
                </w:rPrChange>
              </w:rPr>
              <w:pPrChange w:id="13039" w:author="Author">
                <w:pPr/>
              </w:pPrChange>
            </w:pPr>
          </w:p>
        </w:tc>
        <w:tc>
          <w:tcPr>
            <w:tcW w:w="4590" w:type="dxa"/>
            <w:tcPrChange w:id="13040" w:author="Author">
              <w:tcPr>
                <w:tcW w:w="4590" w:type="dxa"/>
              </w:tcPr>
            </w:tcPrChange>
          </w:tcPr>
          <w:p>
            <w:pPr>
              <w:suppressAutoHyphens/>
              <w:rPr>
                <w:del w:id="13041" w:author="Author"/>
                <w:b/>
                <w:noProof/>
                <w:snapToGrid w:val="0"/>
                <w:szCs w:val="22"/>
                <w:lang w:val="it-IT" w:eastAsia="en-US"/>
              </w:rPr>
              <w:pPrChange w:id="13042" w:author="Author">
                <w:pPr/>
              </w:pPrChange>
            </w:pPr>
            <w:del w:id="13043" w:author="Author">
              <w:r>
                <w:rPr>
                  <w:rFonts w:eastAsia="Calibri"/>
                  <w:b/>
                  <w:noProof/>
                  <w:snapToGrid w:val="0"/>
                  <w:szCs w:val="22"/>
                  <w:lang w:val="it-IT" w:eastAsia="en-US"/>
                </w:rPr>
                <w:delText>Norge</w:delText>
              </w:r>
            </w:del>
          </w:p>
          <w:p>
            <w:pPr>
              <w:suppressAutoHyphens/>
              <w:rPr>
                <w:del w:id="13044" w:author="Author"/>
                <w:noProof/>
                <w:snapToGrid w:val="0"/>
                <w:szCs w:val="22"/>
                <w:lang w:val="it-IT" w:eastAsia="en-US"/>
              </w:rPr>
              <w:pPrChange w:id="13045" w:author="Author">
                <w:pPr/>
              </w:pPrChange>
            </w:pPr>
            <w:del w:id="13046" w:author="Author">
              <w:r>
                <w:rPr>
                  <w:rFonts w:eastAsia="Calibri"/>
                  <w:noProof/>
                  <w:snapToGrid w:val="0"/>
                  <w:szCs w:val="22"/>
                  <w:lang w:val="it-IT" w:eastAsia="en-US"/>
                </w:rPr>
                <w:delText>Roche Norge AS</w:delText>
              </w:r>
            </w:del>
          </w:p>
          <w:p>
            <w:pPr>
              <w:suppressAutoHyphens/>
              <w:rPr>
                <w:del w:id="13047" w:author="Author"/>
                <w:noProof/>
                <w:szCs w:val="22"/>
                <w:lang w:val="it-IT" w:eastAsia="en-US"/>
              </w:rPr>
              <w:pPrChange w:id="13048" w:author="Author">
                <w:pPr/>
              </w:pPrChange>
            </w:pPr>
            <w:del w:id="13049" w:author="Author">
              <w:r>
                <w:rPr>
                  <w:rFonts w:eastAsia="Calibri"/>
                  <w:noProof/>
                  <w:snapToGrid w:val="0"/>
                  <w:szCs w:val="22"/>
                  <w:lang w:val="it-IT" w:eastAsia="en-US"/>
                </w:rPr>
                <w:delText>Tlf: +47 - 22 78 90 00</w:delText>
              </w:r>
            </w:del>
          </w:p>
          <w:p>
            <w:pPr>
              <w:suppressAutoHyphens/>
              <w:rPr>
                <w:del w:id="13050" w:author="Author"/>
                <w:noProof/>
                <w:szCs w:val="22"/>
                <w:lang w:val="it-IT"/>
              </w:rPr>
              <w:pPrChange w:id="13051" w:author="Author">
                <w:pPr/>
              </w:pPrChange>
            </w:pPr>
          </w:p>
        </w:tc>
      </w:tr>
      <w:tr>
        <w:trPr>
          <w:cantSplit/>
          <w:del w:id="13052" w:author="Author"/>
          <w:trPrChange w:id="13053" w:author="Author">
            <w:trPr>
              <w:cantSplit/>
            </w:trPr>
          </w:trPrChange>
        </w:trPr>
        <w:tc>
          <w:tcPr>
            <w:tcW w:w="4590" w:type="dxa"/>
            <w:tcPrChange w:id="13054" w:author="Author">
              <w:tcPr>
                <w:tcW w:w="4590" w:type="dxa"/>
              </w:tcPr>
            </w:tcPrChange>
          </w:tcPr>
          <w:p>
            <w:pPr>
              <w:suppressAutoHyphens/>
              <w:rPr>
                <w:del w:id="13055" w:author="Author"/>
                <w:b/>
                <w:noProof/>
                <w:szCs w:val="22"/>
                <w:lang w:val="it-IT" w:eastAsia="en-US"/>
              </w:rPr>
              <w:pPrChange w:id="13056" w:author="Author">
                <w:pPr/>
              </w:pPrChange>
            </w:pPr>
            <w:del w:id="13057" w:author="Author">
              <w:r>
                <w:rPr>
                  <w:rFonts w:eastAsia="Calibri"/>
                  <w:b/>
                  <w:noProof/>
                  <w:szCs w:val="22"/>
                  <w:lang w:val="it-IT" w:eastAsia="en-US"/>
                </w:rPr>
                <w:delText>Eesti</w:delText>
              </w:r>
            </w:del>
          </w:p>
          <w:p>
            <w:pPr>
              <w:suppressAutoHyphens/>
              <w:rPr>
                <w:del w:id="13058" w:author="Author"/>
                <w:noProof/>
                <w:szCs w:val="22"/>
                <w:lang w:val="it-IT" w:eastAsia="en-US"/>
              </w:rPr>
              <w:pPrChange w:id="13059" w:author="Author">
                <w:pPr/>
              </w:pPrChange>
            </w:pPr>
            <w:del w:id="13060" w:author="Author">
              <w:r>
                <w:rPr>
                  <w:rFonts w:eastAsia="Calibri"/>
                  <w:bCs/>
                  <w:noProof/>
                  <w:szCs w:val="22"/>
                  <w:lang w:val="it-IT" w:eastAsia="en-US"/>
                </w:rPr>
                <w:delText>Roche Eesti OÜ</w:delText>
              </w:r>
            </w:del>
          </w:p>
          <w:p>
            <w:pPr>
              <w:suppressAutoHyphens/>
              <w:rPr>
                <w:del w:id="13061" w:author="Author"/>
                <w:noProof/>
                <w:szCs w:val="22"/>
                <w:lang w:val="it-IT" w:eastAsia="en-US"/>
              </w:rPr>
              <w:pPrChange w:id="13062" w:author="Author">
                <w:pPr/>
              </w:pPrChange>
            </w:pPr>
            <w:del w:id="13063" w:author="Author">
              <w:r>
                <w:rPr>
                  <w:rFonts w:eastAsia="Calibri"/>
                  <w:noProof/>
                  <w:szCs w:val="22"/>
                  <w:lang w:val="it-IT" w:eastAsia="en-US"/>
                </w:rPr>
                <w:delText>Tel: + 372 - 6 177 380</w:delText>
              </w:r>
            </w:del>
          </w:p>
          <w:p>
            <w:pPr>
              <w:suppressAutoHyphens/>
              <w:rPr>
                <w:del w:id="13064" w:author="Author"/>
                <w:noProof/>
                <w:szCs w:val="22"/>
                <w:lang w:val="it-IT"/>
              </w:rPr>
              <w:pPrChange w:id="13065" w:author="Author">
                <w:pPr/>
              </w:pPrChange>
            </w:pPr>
          </w:p>
        </w:tc>
        <w:tc>
          <w:tcPr>
            <w:tcW w:w="4590" w:type="dxa"/>
            <w:tcPrChange w:id="13066" w:author="Author">
              <w:tcPr>
                <w:tcW w:w="4590" w:type="dxa"/>
              </w:tcPr>
            </w:tcPrChange>
          </w:tcPr>
          <w:p>
            <w:pPr>
              <w:suppressAutoHyphens/>
              <w:rPr>
                <w:del w:id="13067" w:author="Author"/>
                <w:noProof/>
                <w:szCs w:val="22"/>
                <w:lang w:val="it-IT" w:eastAsia="en-US"/>
              </w:rPr>
              <w:pPrChange w:id="13068" w:author="Author">
                <w:pPr/>
              </w:pPrChange>
            </w:pPr>
            <w:del w:id="13069" w:author="Author">
              <w:r>
                <w:rPr>
                  <w:rFonts w:eastAsia="Calibri"/>
                  <w:b/>
                  <w:noProof/>
                  <w:szCs w:val="22"/>
                  <w:lang w:val="it-IT" w:eastAsia="en-US"/>
                </w:rPr>
                <w:delText>Österreich</w:delText>
              </w:r>
            </w:del>
          </w:p>
          <w:p>
            <w:pPr>
              <w:suppressAutoHyphens/>
              <w:rPr>
                <w:del w:id="13070" w:author="Author"/>
                <w:noProof/>
                <w:szCs w:val="22"/>
                <w:lang w:val="it-IT" w:eastAsia="en-US"/>
              </w:rPr>
              <w:pPrChange w:id="13071" w:author="Author">
                <w:pPr/>
              </w:pPrChange>
            </w:pPr>
            <w:del w:id="13072" w:author="Author">
              <w:r>
                <w:rPr>
                  <w:rFonts w:eastAsia="Calibri"/>
                  <w:noProof/>
                  <w:szCs w:val="22"/>
                  <w:lang w:val="it-IT" w:eastAsia="en-US"/>
                </w:rPr>
                <w:delText>Roche Austria GmbH</w:delText>
              </w:r>
            </w:del>
          </w:p>
          <w:p>
            <w:pPr>
              <w:suppressAutoHyphens/>
              <w:rPr>
                <w:del w:id="13073" w:author="Author"/>
                <w:noProof/>
                <w:szCs w:val="22"/>
                <w:lang w:val="it-IT" w:eastAsia="en-US"/>
              </w:rPr>
              <w:pPrChange w:id="13074" w:author="Author">
                <w:pPr/>
              </w:pPrChange>
            </w:pPr>
            <w:del w:id="13075" w:author="Author">
              <w:r>
                <w:rPr>
                  <w:rFonts w:eastAsia="Calibri"/>
                  <w:noProof/>
                  <w:szCs w:val="22"/>
                  <w:lang w:val="it-IT" w:eastAsia="en-US"/>
                </w:rPr>
                <w:delText>Tel: +43 (0) 1 27739</w:delText>
              </w:r>
            </w:del>
          </w:p>
          <w:p>
            <w:pPr>
              <w:suppressAutoHyphens/>
              <w:rPr>
                <w:del w:id="13076" w:author="Author"/>
                <w:noProof/>
                <w:szCs w:val="22"/>
                <w:lang w:val="it-IT"/>
              </w:rPr>
              <w:pPrChange w:id="13077" w:author="Author">
                <w:pPr/>
              </w:pPrChange>
            </w:pPr>
          </w:p>
        </w:tc>
      </w:tr>
      <w:tr>
        <w:trPr>
          <w:cantSplit/>
          <w:del w:id="13078" w:author="Author"/>
          <w:trPrChange w:id="13079" w:author="Author">
            <w:trPr>
              <w:cantSplit/>
            </w:trPr>
          </w:trPrChange>
        </w:trPr>
        <w:tc>
          <w:tcPr>
            <w:tcW w:w="4590" w:type="dxa"/>
            <w:tcPrChange w:id="13080" w:author="Author">
              <w:tcPr>
                <w:tcW w:w="4590" w:type="dxa"/>
              </w:tcPr>
            </w:tcPrChange>
          </w:tcPr>
          <w:p>
            <w:pPr>
              <w:suppressAutoHyphens/>
              <w:rPr>
                <w:del w:id="13081" w:author="Author"/>
                <w:noProof/>
                <w:szCs w:val="22"/>
                <w:lang w:val="it-IT" w:eastAsia="en-US"/>
                <w:rPrChange w:id="13082" w:author="Author">
                  <w:rPr>
                    <w:del w:id="13083" w:author="Author"/>
                    <w:szCs w:val="22"/>
                    <w:lang w:val="en-GB" w:eastAsia="en-US"/>
                  </w:rPr>
                </w:rPrChange>
              </w:rPr>
              <w:pPrChange w:id="13084" w:author="Author">
                <w:pPr/>
              </w:pPrChange>
            </w:pPr>
            <w:del w:id="13085" w:author="Author">
              <w:r>
                <w:rPr>
                  <w:rFonts w:eastAsia="Calibri"/>
                  <w:b/>
                  <w:noProof/>
                  <w:szCs w:val="22"/>
                  <w:lang w:val="it-IT" w:eastAsia="en-US"/>
                </w:rPr>
                <w:delText>Ελλάδα</w:delText>
              </w:r>
            </w:del>
          </w:p>
          <w:p>
            <w:pPr>
              <w:suppressAutoHyphens/>
              <w:rPr>
                <w:del w:id="13086" w:author="Author"/>
                <w:rFonts w:eastAsia="Calibri"/>
                <w:noProof/>
                <w:szCs w:val="22"/>
                <w:lang w:val="it-IT" w:eastAsia="en-US"/>
                <w:rPrChange w:id="13087" w:author="Author">
                  <w:rPr>
                    <w:del w:id="13088" w:author="Author"/>
                    <w:rFonts w:eastAsia="Calibri"/>
                    <w:szCs w:val="22"/>
                    <w:lang w:val="en-GB" w:eastAsia="en-US"/>
                  </w:rPr>
                </w:rPrChange>
              </w:rPr>
              <w:pPrChange w:id="13089" w:author="Author">
                <w:pPr/>
              </w:pPrChange>
            </w:pPr>
            <w:del w:id="13090" w:author="Author">
              <w:r>
                <w:rPr>
                  <w:rFonts w:eastAsia="Calibri"/>
                  <w:noProof/>
                  <w:szCs w:val="22"/>
                  <w:lang w:val="it-IT" w:eastAsia="en-US"/>
                  <w:rPrChange w:id="13091" w:author="Author">
                    <w:rPr>
                      <w:rFonts w:eastAsia="Calibri"/>
                      <w:szCs w:val="22"/>
                      <w:lang w:val="en-GB" w:eastAsia="en-US"/>
                    </w:rPr>
                  </w:rPrChange>
                </w:rPr>
                <w:delText>Roche (Hellas) A.E.</w:delText>
              </w:r>
            </w:del>
          </w:p>
          <w:p>
            <w:pPr>
              <w:suppressAutoHyphens/>
              <w:rPr>
                <w:del w:id="13092" w:author="Author"/>
                <w:noProof/>
                <w:szCs w:val="22"/>
                <w:lang w:val="it-IT" w:eastAsia="en-US"/>
              </w:rPr>
              <w:pPrChange w:id="13093" w:author="Author">
                <w:pPr/>
              </w:pPrChange>
            </w:pPr>
            <w:del w:id="13094" w:author="Author">
              <w:r>
                <w:rPr>
                  <w:rFonts w:eastAsia="Calibri"/>
                  <w:noProof/>
                  <w:szCs w:val="22"/>
                  <w:lang w:val="it-IT" w:eastAsia="en-US"/>
                </w:rPr>
                <w:delText>Τηλ: +30 210 61 66 100</w:delText>
              </w:r>
            </w:del>
          </w:p>
          <w:p>
            <w:pPr>
              <w:suppressAutoHyphens/>
              <w:rPr>
                <w:del w:id="13095" w:author="Author"/>
                <w:noProof/>
                <w:szCs w:val="22"/>
                <w:lang w:val="it-IT"/>
              </w:rPr>
              <w:pPrChange w:id="13096" w:author="Author">
                <w:pPr/>
              </w:pPrChange>
            </w:pPr>
          </w:p>
        </w:tc>
        <w:tc>
          <w:tcPr>
            <w:tcW w:w="4590" w:type="dxa"/>
            <w:tcPrChange w:id="13097" w:author="Author">
              <w:tcPr>
                <w:tcW w:w="4590" w:type="dxa"/>
              </w:tcPr>
            </w:tcPrChange>
          </w:tcPr>
          <w:p>
            <w:pPr>
              <w:suppressAutoHyphens/>
              <w:rPr>
                <w:del w:id="13098" w:author="Author"/>
                <w:b/>
                <w:noProof/>
                <w:szCs w:val="22"/>
                <w:lang w:val="it-IT" w:eastAsia="en-US"/>
              </w:rPr>
              <w:pPrChange w:id="13099" w:author="Author">
                <w:pPr/>
              </w:pPrChange>
            </w:pPr>
            <w:del w:id="13100" w:author="Author">
              <w:r>
                <w:rPr>
                  <w:rFonts w:eastAsia="Calibri"/>
                  <w:b/>
                  <w:noProof/>
                  <w:szCs w:val="22"/>
                  <w:lang w:val="it-IT" w:eastAsia="en-US"/>
                </w:rPr>
                <w:delText>Polska</w:delText>
              </w:r>
            </w:del>
          </w:p>
          <w:p>
            <w:pPr>
              <w:suppressAutoHyphens/>
              <w:rPr>
                <w:del w:id="13101" w:author="Author"/>
                <w:noProof/>
                <w:szCs w:val="22"/>
                <w:lang w:val="it-IT" w:eastAsia="en-US"/>
              </w:rPr>
              <w:pPrChange w:id="13102" w:author="Author">
                <w:pPr/>
              </w:pPrChange>
            </w:pPr>
            <w:del w:id="13103" w:author="Author">
              <w:r>
                <w:rPr>
                  <w:rFonts w:eastAsia="Calibri"/>
                  <w:noProof/>
                  <w:szCs w:val="22"/>
                  <w:lang w:val="it-IT" w:eastAsia="en-US"/>
                </w:rPr>
                <w:delText>Roche Polska Sp.z o.o.</w:delText>
              </w:r>
            </w:del>
          </w:p>
          <w:p>
            <w:pPr>
              <w:suppressAutoHyphens/>
              <w:rPr>
                <w:del w:id="13104" w:author="Author"/>
                <w:noProof/>
                <w:szCs w:val="22"/>
                <w:lang w:val="it-IT" w:eastAsia="en-US"/>
              </w:rPr>
              <w:pPrChange w:id="13105" w:author="Author">
                <w:pPr/>
              </w:pPrChange>
            </w:pPr>
            <w:del w:id="13106" w:author="Author">
              <w:r>
                <w:rPr>
                  <w:rFonts w:eastAsia="Calibri"/>
                  <w:noProof/>
                  <w:szCs w:val="22"/>
                  <w:lang w:val="it-IT" w:eastAsia="en-US"/>
                </w:rPr>
                <w:delText>Tel: +48 - 22 345 18 88</w:delText>
              </w:r>
            </w:del>
          </w:p>
          <w:p>
            <w:pPr>
              <w:suppressAutoHyphens/>
              <w:rPr>
                <w:del w:id="13107" w:author="Author"/>
                <w:noProof/>
                <w:szCs w:val="22"/>
                <w:lang w:val="it-IT"/>
              </w:rPr>
              <w:pPrChange w:id="13108" w:author="Author">
                <w:pPr/>
              </w:pPrChange>
            </w:pPr>
          </w:p>
        </w:tc>
      </w:tr>
      <w:tr>
        <w:trPr>
          <w:cantSplit/>
          <w:del w:id="13109" w:author="Author"/>
          <w:trPrChange w:id="13110" w:author="Author">
            <w:trPr>
              <w:cantSplit/>
            </w:trPr>
          </w:trPrChange>
        </w:trPr>
        <w:tc>
          <w:tcPr>
            <w:tcW w:w="4590" w:type="dxa"/>
            <w:tcPrChange w:id="13111" w:author="Author">
              <w:tcPr>
                <w:tcW w:w="4590" w:type="dxa"/>
              </w:tcPr>
            </w:tcPrChange>
          </w:tcPr>
          <w:p>
            <w:pPr>
              <w:suppressAutoHyphens/>
              <w:rPr>
                <w:del w:id="13112" w:author="Author"/>
                <w:b/>
                <w:noProof/>
                <w:szCs w:val="22"/>
                <w:lang w:val="it-IT" w:eastAsia="en-US"/>
              </w:rPr>
              <w:pPrChange w:id="13113" w:author="Author">
                <w:pPr/>
              </w:pPrChange>
            </w:pPr>
            <w:del w:id="13114" w:author="Author">
              <w:r>
                <w:rPr>
                  <w:rFonts w:eastAsia="Calibri"/>
                  <w:b/>
                  <w:noProof/>
                  <w:szCs w:val="22"/>
                  <w:lang w:val="it-IT" w:eastAsia="en-US"/>
                </w:rPr>
                <w:delText>España</w:delText>
              </w:r>
            </w:del>
          </w:p>
          <w:p>
            <w:pPr>
              <w:suppressAutoHyphens/>
              <w:rPr>
                <w:del w:id="13115" w:author="Author"/>
                <w:noProof/>
                <w:szCs w:val="22"/>
                <w:lang w:val="it-IT" w:eastAsia="en-US"/>
              </w:rPr>
              <w:pPrChange w:id="13116" w:author="Author">
                <w:pPr/>
              </w:pPrChange>
            </w:pPr>
            <w:del w:id="13117" w:author="Author">
              <w:r>
                <w:rPr>
                  <w:rFonts w:eastAsia="Calibri"/>
                  <w:noProof/>
                  <w:szCs w:val="22"/>
                  <w:lang w:val="it-IT" w:eastAsia="en-US"/>
                </w:rPr>
                <w:delText>Roche Farma S.A.</w:delText>
              </w:r>
            </w:del>
          </w:p>
          <w:p>
            <w:pPr>
              <w:suppressAutoHyphens/>
              <w:rPr>
                <w:del w:id="13118" w:author="Author"/>
                <w:noProof/>
                <w:szCs w:val="22"/>
                <w:lang w:val="it-IT" w:eastAsia="en-US"/>
              </w:rPr>
              <w:pPrChange w:id="13119" w:author="Author">
                <w:pPr/>
              </w:pPrChange>
            </w:pPr>
            <w:del w:id="13120" w:author="Author">
              <w:r>
                <w:rPr>
                  <w:rFonts w:eastAsia="Calibri"/>
                  <w:noProof/>
                  <w:szCs w:val="22"/>
                  <w:lang w:val="it-IT" w:eastAsia="en-US"/>
                </w:rPr>
                <w:delText>Tel: +34 - 91 324 81 00</w:delText>
              </w:r>
            </w:del>
          </w:p>
          <w:p>
            <w:pPr>
              <w:suppressAutoHyphens/>
              <w:rPr>
                <w:del w:id="13121" w:author="Author"/>
                <w:noProof/>
                <w:szCs w:val="22"/>
                <w:lang w:val="it-IT"/>
              </w:rPr>
              <w:pPrChange w:id="13122" w:author="Author">
                <w:pPr/>
              </w:pPrChange>
            </w:pPr>
          </w:p>
        </w:tc>
        <w:tc>
          <w:tcPr>
            <w:tcW w:w="4590" w:type="dxa"/>
            <w:tcPrChange w:id="13123" w:author="Author">
              <w:tcPr>
                <w:tcW w:w="4590" w:type="dxa"/>
              </w:tcPr>
            </w:tcPrChange>
          </w:tcPr>
          <w:p>
            <w:pPr>
              <w:suppressAutoHyphens/>
              <w:rPr>
                <w:del w:id="13124" w:author="Author"/>
                <w:noProof/>
                <w:szCs w:val="22"/>
                <w:lang w:val="it-IT" w:eastAsia="en-US"/>
                <w:rPrChange w:id="13125" w:author="Author">
                  <w:rPr>
                    <w:del w:id="13126" w:author="Author"/>
                    <w:szCs w:val="22"/>
                    <w:lang w:val="it-IT" w:eastAsia="en-US"/>
                  </w:rPr>
                </w:rPrChange>
              </w:rPr>
              <w:pPrChange w:id="13127" w:author="Author">
                <w:pPr/>
              </w:pPrChange>
            </w:pPr>
            <w:del w:id="13128" w:author="Author">
              <w:r>
                <w:rPr>
                  <w:rFonts w:eastAsia="Calibri"/>
                  <w:b/>
                  <w:noProof/>
                  <w:szCs w:val="22"/>
                  <w:lang w:val="it-IT" w:eastAsia="en-US"/>
                  <w:rPrChange w:id="13129" w:author="Author">
                    <w:rPr>
                      <w:rFonts w:eastAsia="Calibri"/>
                      <w:b/>
                      <w:szCs w:val="22"/>
                      <w:lang w:val="it-IT" w:eastAsia="en-US"/>
                    </w:rPr>
                  </w:rPrChange>
                </w:rPr>
                <w:delText>Portugal</w:delText>
              </w:r>
            </w:del>
          </w:p>
          <w:p>
            <w:pPr>
              <w:suppressAutoHyphens/>
              <w:rPr>
                <w:del w:id="13130" w:author="Author"/>
                <w:noProof/>
                <w:szCs w:val="22"/>
                <w:lang w:val="it-IT" w:eastAsia="en-US"/>
                <w:rPrChange w:id="13131" w:author="Author">
                  <w:rPr>
                    <w:del w:id="13132" w:author="Author"/>
                    <w:szCs w:val="22"/>
                    <w:lang w:val="it-IT" w:eastAsia="en-US"/>
                  </w:rPr>
                </w:rPrChange>
              </w:rPr>
              <w:pPrChange w:id="13133" w:author="Author">
                <w:pPr/>
              </w:pPrChange>
            </w:pPr>
            <w:del w:id="13134" w:author="Author">
              <w:r>
                <w:rPr>
                  <w:rFonts w:eastAsia="Calibri"/>
                  <w:noProof/>
                  <w:szCs w:val="22"/>
                  <w:lang w:val="it-IT" w:eastAsia="en-US"/>
                  <w:rPrChange w:id="13135" w:author="Author">
                    <w:rPr>
                      <w:rFonts w:eastAsia="Calibri"/>
                      <w:szCs w:val="22"/>
                      <w:lang w:val="it-IT" w:eastAsia="en-US"/>
                    </w:rPr>
                  </w:rPrChange>
                </w:rPr>
                <w:delText>Roche Farmacêutica Química, Lda</w:delText>
              </w:r>
            </w:del>
          </w:p>
          <w:p>
            <w:pPr>
              <w:suppressAutoHyphens/>
              <w:rPr>
                <w:del w:id="13136" w:author="Author"/>
                <w:noProof/>
                <w:szCs w:val="22"/>
                <w:lang w:val="it-IT" w:eastAsia="en-US"/>
                <w:rPrChange w:id="13137" w:author="Author">
                  <w:rPr>
                    <w:del w:id="13138" w:author="Author"/>
                    <w:szCs w:val="22"/>
                    <w:lang w:val="it-IT" w:eastAsia="en-US"/>
                  </w:rPr>
                </w:rPrChange>
              </w:rPr>
              <w:pPrChange w:id="13139" w:author="Author">
                <w:pPr/>
              </w:pPrChange>
            </w:pPr>
            <w:del w:id="13140" w:author="Author">
              <w:r>
                <w:rPr>
                  <w:rFonts w:eastAsia="Calibri"/>
                  <w:noProof/>
                  <w:szCs w:val="22"/>
                  <w:lang w:val="it-IT" w:eastAsia="en-US"/>
                  <w:rPrChange w:id="13141" w:author="Author">
                    <w:rPr>
                      <w:rFonts w:eastAsia="Calibri"/>
                      <w:szCs w:val="22"/>
                      <w:lang w:val="it-IT" w:eastAsia="en-US"/>
                    </w:rPr>
                  </w:rPrChange>
                </w:rPr>
                <w:delText>Tel: +351 - 21 425 70 00</w:delText>
              </w:r>
            </w:del>
          </w:p>
          <w:p>
            <w:pPr>
              <w:suppressAutoHyphens/>
              <w:rPr>
                <w:del w:id="13142" w:author="Author"/>
                <w:noProof/>
                <w:szCs w:val="22"/>
                <w:lang w:val="it-IT"/>
                <w:rPrChange w:id="13143" w:author="Author">
                  <w:rPr>
                    <w:del w:id="13144" w:author="Author"/>
                    <w:szCs w:val="22"/>
                    <w:lang w:val="it-IT"/>
                  </w:rPr>
                </w:rPrChange>
              </w:rPr>
              <w:pPrChange w:id="13145" w:author="Author">
                <w:pPr/>
              </w:pPrChange>
            </w:pPr>
          </w:p>
        </w:tc>
      </w:tr>
      <w:tr>
        <w:trPr>
          <w:cantSplit/>
          <w:del w:id="13146" w:author="Author"/>
          <w:trPrChange w:id="13147" w:author="Author">
            <w:trPr>
              <w:cantSplit/>
            </w:trPr>
          </w:trPrChange>
        </w:trPr>
        <w:tc>
          <w:tcPr>
            <w:tcW w:w="4590" w:type="dxa"/>
            <w:tcPrChange w:id="13148" w:author="Author">
              <w:tcPr>
                <w:tcW w:w="4590" w:type="dxa"/>
              </w:tcPr>
            </w:tcPrChange>
          </w:tcPr>
          <w:p>
            <w:pPr>
              <w:suppressAutoHyphens/>
              <w:rPr>
                <w:del w:id="13149" w:author="Author"/>
                <w:noProof/>
                <w:szCs w:val="22"/>
                <w:lang w:val="it-IT" w:eastAsia="en-US"/>
              </w:rPr>
              <w:pPrChange w:id="13150" w:author="Author">
                <w:pPr/>
              </w:pPrChange>
            </w:pPr>
            <w:del w:id="13151" w:author="Author">
              <w:r>
                <w:rPr>
                  <w:rFonts w:eastAsia="Calibri"/>
                  <w:b/>
                  <w:noProof/>
                  <w:szCs w:val="22"/>
                  <w:lang w:val="it-IT" w:eastAsia="en-US"/>
                </w:rPr>
                <w:delText>France</w:delText>
              </w:r>
            </w:del>
          </w:p>
          <w:p>
            <w:pPr>
              <w:suppressAutoHyphens/>
              <w:rPr>
                <w:del w:id="13152" w:author="Author"/>
                <w:noProof/>
                <w:szCs w:val="22"/>
                <w:lang w:val="it-IT" w:eastAsia="en-US"/>
              </w:rPr>
              <w:pPrChange w:id="13153" w:author="Author">
                <w:pPr/>
              </w:pPrChange>
            </w:pPr>
            <w:del w:id="13154" w:author="Author">
              <w:r>
                <w:rPr>
                  <w:rFonts w:eastAsia="Calibri"/>
                  <w:noProof/>
                  <w:szCs w:val="22"/>
                  <w:lang w:val="it-IT" w:eastAsia="en-US"/>
                </w:rPr>
                <w:delText>Roche</w:delText>
              </w:r>
            </w:del>
          </w:p>
          <w:p>
            <w:pPr>
              <w:suppressAutoHyphens/>
              <w:rPr>
                <w:del w:id="13155" w:author="Author"/>
                <w:noProof/>
                <w:szCs w:val="22"/>
                <w:lang w:val="it-IT" w:eastAsia="en-US"/>
              </w:rPr>
              <w:pPrChange w:id="13156" w:author="Author">
                <w:pPr/>
              </w:pPrChange>
            </w:pPr>
            <w:del w:id="13157" w:author="Author">
              <w:r>
                <w:rPr>
                  <w:rFonts w:eastAsia="Calibri"/>
                  <w:noProof/>
                  <w:szCs w:val="22"/>
                  <w:lang w:val="it-IT" w:eastAsia="en-US"/>
                </w:rPr>
                <w:delText>Tél: +33 (0) 1 47 61 40 00</w:delText>
              </w:r>
            </w:del>
          </w:p>
          <w:p>
            <w:pPr>
              <w:suppressAutoHyphens/>
              <w:rPr>
                <w:del w:id="13158" w:author="Author"/>
                <w:b/>
                <w:noProof/>
                <w:szCs w:val="22"/>
                <w:lang w:val="it-IT"/>
              </w:rPr>
              <w:pPrChange w:id="13159" w:author="Author">
                <w:pPr/>
              </w:pPrChange>
            </w:pPr>
          </w:p>
        </w:tc>
        <w:tc>
          <w:tcPr>
            <w:tcW w:w="4590" w:type="dxa"/>
            <w:tcPrChange w:id="13160" w:author="Author">
              <w:tcPr>
                <w:tcW w:w="4590" w:type="dxa"/>
              </w:tcPr>
            </w:tcPrChange>
          </w:tcPr>
          <w:p>
            <w:pPr>
              <w:tabs>
                <w:tab w:val="left" w:pos="-720"/>
                <w:tab w:val="left" w:pos="567"/>
                <w:tab w:val="left" w:pos="4536"/>
              </w:tabs>
              <w:suppressAutoHyphens/>
              <w:rPr>
                <w:del w:id="13161" w:author="Author"/>
                <w:b/>
                <w:noProof/>
                <w:szCs w:val="22"/>
                <w:lang w:val="it-IT" w:eastAsia="en-US"/>
              </w:rPr>
              <w:pPrChange w:id="13162" w:author="Author">
                <w:pPr>
                  <w:tabs>
                    <w:tab w:val="left" w:pos="-720"/>
                    <w:tab w:val="left" w:pos="567"/>
                    <w:tab w:val="left" w:pos="4536"/>
                  </w:tabs>
                  <w:suppressAutoHyphens/>
                  <w:spacing w:line="260" w:lineRule="exact"/>
                </w:pPr>
              </w:pPrChange>
            </w:pPr>
            <w:del w:id="13163" w:author="Author">
              <w:r>
                <w:rPr>
                  <w:rFonts w:eastAsia="Calibri"/>
                  <w:b/>
                  <w:noProof/>
                  <w:szCs w:val="22"/>
                  <w:lang w:val="it-IT" w:eastAsia="en-US"/>
                </w:rPr>
                <w:delText>România</w:delText>
              </w:r>
            </w:del>
          </w:p>
          <w:p>
            <w:pPr>
              <w:tabs>
                <w:tab w:val="left" w:pos="-720"/>
                <w:tab w:val="left" w:pos="4536"/>
              </w:tabs>
              <w:suppressAutoHyphens/>
              <w:rPr>
                <w:del w:id="13164" w:author="Author"/>
                <w:noProof/>
                <w:szCs w:val="22"/>
                <w:lang w:val="it-IT" w:eastAsia="en-US"/>
              </w:rPr>
            </w:pPr>
            <w:del w:id="13165" w:author="Author">
              <w:r>
                <w:rPr>
                  <w:rFonts w:eastAsia="Calibri"/>
                  <w:noProof/>
                  <w:szCs w:val="22"/>
                  <w:lang w:val="it-IT" w:eastAsia="en-US"/>
                </w:rPr>
                <w:delText>Roche România S.R.L.</w:delText>
              </w:r>
            </w:del>
          </w:p>
          <w:p>
            <w:pPr>
              <w:tabs>
                <w:tab w:val="left" w:pos="-720"/>
                <w:tab w:val="left" w:pos="4536"/>
              </w:tabs>
              <w:suppressAutoHyphens/>
              <w:rPr>
                <w:del w:id="13166" w:author="Author"/>
                <w:noProof/>
                <w:szCs w:val="22"/>
                <w:lang w:val="it-IT" w:eastAsia="en-US"/>
              </w:rPr>
            </w:pPr>
            <w:del w:id="13167" w:author="Author">
              <w:r>
                <w:rPr>
                  <w:rFonts w:eastAsia="Calibri"/>
                  <w:noProof/>
                  <w:szCs w:val="22"/>
                  <w:lang w:val="it-IT" w:eastAsia="en-US"/>
                </w:rPr>
                <w:delText>Tel: +40 21 206 47 01</w:delText>
              </w:r>
            </w:del>
          </w:p>
          <w:p>
            <w:pPr>
              <w:tabs>
                <w:tab w:val="left" w:pos="-720"/>
                <w:tab w:val="left" w:pos="4536"/>
              </w:tabs>
              <w:suppressAutoHyphens/>
              <w:rPr>
                <w:del w:id="13168" w:author="Author"/>
                <w:noProof/>
                <w:szCs w:val="22"/>
                <w:lang w:val="it-IT"/>
              </w:rPr>
            </w:pPr>
          </w:p>
        </w:tc>
      </w:tr>
      <w:tr>
        <w:trPr>
          <w:cantSplit/>
          <w:del w:id="13169" w:author="Author"/>
          <w:trPrChange w:id="13170" w:author="Author">
            <w:trPr>
              <w:cantSplit/>
            </w:trPr>
          </w:trPrChange>
        </w:trPr>
        <w:tc>
          <w:tcPr>
            <w:tcW w:w="4590" w:type="dxa"/>
            <w:tcPrChange w:id="13171" w:author="Author">
              <w:tcPr>
                <w:tcW w:w="4590" w:type="dxa"/>
              </w:tcPr>
            </w:tcPrChange>
          </w:tcPr>
          <w:p>
            <w:pPr>
              <w:suppressAutoHyphens/>
              <w:rPr>
                <w:del w:id="13172" w:author="Author"/>
                <w:b/>
                <w:noProof/>
                <w:szCs w:val="22"/>
                <w:lang w:val="it-IT" w:eastAsia="en-US"/>
                <w:rPrChange w:id="13173" w:author="Author">
                  <w:rPr>
                    <w:del w:id="13174" w:author="Author"/>
                    <w:b/>
                    <w:szCs w:val="22"/>
                    <w:lang w:val="fr-FR" w:eastAsia="en-US"/>
                  </w:rPr>
                </w:rPrChange>
              </w:rPr>
              <w:pPrChange w:id="13175" w:author="Author">
                <w:pPr/>
              </w:pPrChange>
            </w:pPr>
            <w:del w:id="13176" w:author="Author">
              <w:r>
                <w:rPr>
                  <w:rFonts w:eastAsia="Calibri"/>
                  <w:b/>
                  <w:noProof/>
                  <w:szCs w:val="22"/>
                  <w:lang w:val="it-IT" w:eastAsia="en-US"/>
                  <w:rPrChange w:id="13177" w:author="Author">
                    <w:rPr>
                      <w:rFonts w:eastAsia="Calibri"/>
                      <w:b/>
                      <w:szCs w:val="22"/>
                      <w:lang w:val="fr-FR" w:eastAsia="en-US"/>
                    </w:rPr>
                  </w:rPrChange>
                </w:rPr>
                <w:delText>Hrvatska</w:delText>
              </w:r>
            </w:del>
          </w:p>
          <w:p>
            <w:pPr>
              <w:suppressAutoHyphens/>
              <w:rPr>
                <w:del w:id="13178" w:author="Author"/>
                <w:noProof/>
                <w:szCs w:val="22"/>
                <w:lang w:val="it-IT" w:eastAsia="en-US"/>
                <w:rPrChange w:id="13179" w:author="Author">
                  <w:rPr>
                    <w:del w:id="13180" w:author="Author"/>
                    <w:szCs w:val="22"/>
                    <w:lang w:val="fr-FR" w:eastAsia="en-US"/>
                  </w:rPr>
                </w:rPrChange>
              </w:rPr>
              <w:pPrChange w:id="13181" w:author="Author">
                <w:pPr/>
              </w:pPrChange>
            </w:pPr>
            <w:del w:id="13182" w:author="Author">
              <w:r>
                <w:rPr>
                  <w:rFonts w:eastAsia="Calibri"/>
                  <w:noProof/>
                  <w:szCs w:val="22"/>
                  <w:lang w:val="it-IT" w:eastAsia="en-US"/>
                  <w:rPrChange w:id="13183" w:author="Author">
                    <w:rPr>
                      <w:rFonts w:eastAsia="Calibri"/>
                      <w:szCs w:val="22"/>
                      <w:lang w:val="fr-FR" w:eastAsia="en-US"/>
                    </w:rPr>
                  </w:rPrChange>
                </w:rPr>
                <w:delText>Roche d.o.o.</w:delText>
              </w:r>
            </w:del>
          </w:p>
          <w:p>
            <w:pPr>
              <w:suppressAutoHyphens/>
              <w:rPr>
                <w:del w:id="13184" w:author="Author"/>
                <w:b/>
                <w:noProof/>
                <w:szCs w:val="22"/>
                <w:lang w:val="it-IT" w:eastAsia="en-US"/>
              </w:rPr>
              <w:pPrChange w:id="13185" w:author="Author">
                <w:pPr/>
              </w:pPrChange>
            </w:pPr>
            <w:del w:id="13186" w:author="Author">
              <w:r>
                <w:rPr>
                  <w:rFonts w:eastAsia="Calibri"/>
                  <w:noProof/>
                  <w:szCs w:val="22"/>
                  <w:lang w:val="it-IT" w:eastAsia="en-US"/>
                </w:rPr>
                <w:delText>Tel: +385 1 47 22 333</w:delText>
              </w:r>
            </w:del>
          </w:p>
          <w:p>
            <w:pPr>
              <w:suppressAutoHyphens/>
              <w:rPr>
                <w:del w:id="13187" w:author="Author"/>
                <w:b/>
                <w:noProof/>
                <w:szCs w:val="22"/>
                <w:lang w:val="it-IT"/>
              </w:rPr>
              <w:pPrChange w:id="13188" w:author="Author">
                <w:pPr/>
              </w:pPrChange>
            </w:pPr>
          </w:p>
          <w:p>
            <w:pPr>
              <w:suppressAutoHyphens/>
              <w:rPr>
                <w:del w:id="13189" w:author="Author"/>
                <w:b/>
                <w:noProof/>
                <w:szCs w:val="22"/>
                <w:lang w:val="it-IT" w:eastAsia="en-US"/>
              </w:rPr>
              <w:pPrChange w:id="13190" w:author="Author">
                <w:pPr/>
              </w:pPrChange>
            </w:pPr>
            <w:del w:id="13191" w:author="Author">
              <w:r>
                <w:rPr>
                  <w:rFonts w:eastAsia="Calibri"/>
                  <w:b/>
                  <w:noProof/>
                  <w:szCs w:val="22"/>
                  <w:lang w:val="it-IT" w:eastAsia="en-US"/>
                </w:rPr>
                <w:delText>Ireland</w:delText>
              </w:r>
            </w:del>
          </w:p>
          <w:p>
            <w:pPr>
              <w:suppressAutoHyphens/>
              <w:rPr>
                <w:del w:id="13192" w:author="Author"/>
                <w:noProof/>
                <w:szCs w:val="22"/>
                <w:lang w:val="it-IT" w:eastAsia="en-US"/>
              </w:rPr>
              <w:pPrChange w:id="13193" w:author="Author">
                <w:pPr/>
              </w:pPrChange>
            </w:pPr>
            <w:del w:id="13194" w:author="Author">
              <w:r>
                <w:rPr>
                  <w:rFonts w:eastAsia="Calibri"/>
                  <w:noProof/>
                  <w:szCs w:val="22"/>
                  <w:lang w:val="it-IT" w:eastAsia="en-US"/>
                </w:rPr>
                <w:delText>Roche Products (Ireland) Ltd.</w:delText>
              </w:r>
            </w:del>
          </w:p>
          <w:p>
            <w:pPr>
              <w:suppressAutoHyphens/>
              <w:rPr>
                <w:del w:id="13195" w:author="Author"/>
                <w:noProof/>
                <w:szCs w:val="22"/>
                <w:lang w:val="it-IT" w:eastAsia="en-US"/>
              </w:rPr>
              <w:pPrChange w:id="13196" w:author="Author">
                <w:pPr/>
              </w:pPrChange>
            </w:pPr>
            <w:del w:id="13197" w:author="Author">
              <w:r>
                <w:rPr>
                  <w:rFonts w:eastAsia="Calibri"/>
                  <w:noProof/>
                  <w:szCs w:val="22"/>
                  <w:lang w:val="it-IT" w:eastAsia="en-US"/>
                </w:rPr>
                <w:delText>Tel: +353 (0) 1 469 0700</w:delText>
              </w:r>
            </w:del>
          </w:p>
          <w:p>
            <w:pPr>
              <w:suppressAutoHyphens/>
              <w:rPr>
                <w:del w:id="13198" w:author="Author"/>
                <w:noProof/>
                <w:szCs w:val="22"/>
                <w:lang w:val="it-IT"/>
              </w:rPr>
              <w:pPrChange w:id="13199" w:author="Author">
                <w:pPr/>
              </w:pPrChange>
            </w:pPr>
          </w:p>
        </w:tc>
        <w:tc>
          <w:tcPr>
            <w:tcW w:w="4590" w:type="dxa"/>
            <w:tcPrChange w:id="13200" w:author="Author">
              <w:tcPr>
                <w:tcW w:w="4590" w:type="dxa"/>
              </w:tcPr>
            </w:tcPrChange>
          </w:tcPr>
          <w:p>
            <w:pPr>
              <w:suppressAutoHyphens/>
              <w:rPr>
                <w:del w:id="13201" w:author="Author"/>
                <w:b/>
                <w:noProof/>
                <w:szCs w:val="22"/>
                <w:lang w:val="it-IT" w:eastAsia="en-US"/>
              </w:rPr>
              <w:pPrChange w:id="13202" w:author="Author">
                <w:pPr/>
              </w:pPrChange>
            </w:pPr>
            <w:del w:id="13203" w:author="Author">
              <w:r>
                <w:rPr>
                  <w:rFonts w:eastAsia="Calibri"/>
                  <w:b/>
                  <w:noProof/>
                  <w:szCs w:val="22"/>
                  <w:lang w:val="it-IT" w:eastAsia="en-US"/>
                </w:rPr>
                <w:delText>Slovenija</w:delText>
              </w:r>
            </w:del>
          </w:p>
          <w:p>
            <w:pPr>
              <w:suppressAutoHyphens/>
              <w:rPr>
                <w:del w:id="13204" w:author="Author"/>
                <w:noProof/>
                <w:szCs w:val="22"/>
                <w:lang w:val="it-IT" w:eastAsia="en-US"/>
              </w:rPr>
              <w:pPrChange w:id="13205" w:author="Author">
                <w:pPr/>
              </w:pPrChange>
            </w:pPr>
            <w:del w:id="13206" w:author="Author">
              <w:r>
                <w:rPr>
                  <w:rFonts w:eastAsia="Calibri"/>
                  <w:noProof/>
                  <w:szCs w:val="22"/>
                  <w:lang w:val="it-IT" w:eastAsia="en-US"/>
                </w:rPr>
                <w:delText>Roche farmacevtska družba d.o.o.</w:delText>
              </w:r>
            </w:del>
          </w:p>
          <w:p>
            <w:pPr>
              <w:suppressAutoHyphens/>
              <w:rPr>
                <w:del w:id="13207" w:author="Author"/>
                <w:rFonts w:eastAsia="MS Mincho"/>
                <w:noProof/>
                <w:szCs w:val="22"/>
                <w:lang w:val="it-IT" w:eastAsia="en-US"/>
              </w:rPr>
              <w:pPrChange w:id="13208" w:author="Author">
                <w:pPr/>
              </w:pPrChange>
            </w:pPr>
            <w:del w:id="13209" w:author="Author">
              <w:r>
                <w:rPr>
                  <w:rFonts w:eastAsia="Calibri"/>
                  <w:noProof/>
                  <w:szCs w:val="22"/>
                  <w:lang w:val="it-IT" w:eastAsia="en-US"/>
                </w:rPr>
                <w:delText>Tel: +386 - 1 360 26 00</w:delText>
              </w:r>
            </w:del>
          </w:p>
          <w:p>
            <w:pPr>
              <w:suppressAutoHyphens/>
              <w:rPr>
                <w:del w:id="13210" w:author="Author"/>
                <w:noProof/>
                <w:szCs w:val="22"/>
                <w:lang w:val="it-IT"/>
              </w:rPr>
              <w:pPrChange w:id="13211" w:author="Author">
                <w:pPr/>
              </w:pPrChange>
            </w:pPr>
          </w:p>
        </w:tc>
      </w:tr>
      <w:tr>
        <w:trPr>
          <w:cantSplit/>
          <w:del w:id="13212" w:author="Author"/>
          <w:trPrChange w:id="13213" w:author="Author">
            <w:trPr>
              <w:cantSplit/>
            </w:trPr>
          </w:trPrChange>
        </w:trPr>
        <w:tc>
          <w:tcPr>
            <w:tcW w:w="4590" w:type="dxa"/>
            <w:tcPrChange w:id="13214" w:author="Author">
              <w:tcPr>
                <w:tcW w:w="4590" w:type="dxa"/>
              </w:tcPr>
            </w:tcPrChange>
          </w:tcPr>
          <w:p>
            <w:pPr>
              <w:tabs>
                <w:tab w:val="left" w:pos="720"/>
              </w:tabs>
              <w:suppressAutoHyphens/>
              <w:rPr>
                <w:del w:id="13215" w:author="Author"/>
                <w:rFonts w:eastAsia="Calibri"/>
                <w:b/>
                <w:noProof/>
                <w:snapToGrid w:val="0"/>
                <w:szCs w:val="22"/>
                <w:lang w:val="it-IT" w:eastAsia="en-US"/>
              </w:rPr>
              <w:pPrChange w:id="13216" w:author="Author">
                <w:pPr>
                  <w:tabs>
                    <w:tab w:val="left" w:pos="720"/>
                  </w:tabs>
                </w:pPr>
              </w:pPrChange>
            </w:pPr>
            <w:del w:id="13217" w:author="Author">
              <w:r>
                <w:rPr>
                  <w:rFonts w:eastAsia="Calibri"/>
                  <w:b/>
                  <w:noProof/>
                  <w:snapToGrid w:val="0"/>
                  <w:szCs w:val="22"/>
                  <w:lang w:val="it-IT" w:eastAsia="en-US"/>
                </w:rPr>
                <w:delText>Ísland</w:delText>
              </w:r>
            </w:del>
          </w:p>
          <w:p>
            <w:pPr>
              <w:tabs>
                <w:tab w:val="left" w:pos="720"/>
              </w:tabs>
              <w:suppressAutoHyphens/>
              <w:rPr>
                <w:del w:id="13218" w:author="Author"/>
                <w:noProof/>
                <w:snapToGrid w:val="0"/>
                <w:szCs w:val="22"/>
                <w:lang w:val="it-IT" w:eastAsia="en-US"/>
              </w:rPr>
              <w:pPrChange w:id="13219" w:author="Author">
                <w:pPr>
                  <w:tabs>
                    <w:tab w:val="left" w:pos="720"/>
                  </w:tabs>
                </w:pPr>
              </w:pPrChange>
            </w:pPr>
            <w:del w:id="13220" w:author="Author">
              <w:r>
                <w:rPr>
                  <w:rFonts w:eastAsia="Calibri"/>
                  <w:noProof/>
                  <w:snapToGrid w:val="0"/>
                  <w:szCs w:val="22"/>
                  <w:lang w:val="it-IT" w:eastAsia="en-US"/>
                </w:rPr>
                <w:delText xml:space="preserve">Roche </w:delText>
              </w:r>
              <w:r>
                <w:rPr>
                  <w:noProof/>
                  <w:szCs w:val="22"/>
                  <w:lang w:val="it-IT"/>
                </w:rPr>
                <w:delText>Pharmaceuticals A/S</w:delText>
              </w:r>
            </w:del>
          </w:p>
          <w:p>
            <w:pPr>
              <w:tabs>
                <w:tab w:val="left" w:pos="720"/>
              </w:tabs>
              <w:suppressAutoHyphens/>
              <w:rPr>
                <w:del w:id="13221" w:author="Author"/>
                <w:noProof/>
                <w:snapToGrid w:val="0"/>
                <w:szCs w:val="22"/>
                <w:lang w:val="it-IT" w:eastAsia="en-US"/>
              </w:rPr>
              <w:pPrChange w:id="13222" w:author="Author">
                <w:pPr>
                  <w:tabs>
                    <w:tab w:val="left" w:pos="720"/>
                  </w:tabs>
                </w:pPr>
              </w:pPrChange>
            </w:pPr>
            <w:del w:id="13223" w:author="Author">
              <w:r>
                <w:rPr>
                  <w:rFonts w:eastAsia="Calibri"/>
                  <w:noProof/>
                  <w:szCs w:val="22"/>
                  <w:lang w:val="it-IT" w:eastAsia="en-US"/>
                </w:rPr>
                <w:delText>c/o Icepharma hf</w:delText>
              </w:r>
            </w:del>
          </w:p>
          <w:p>
            <w:pPr>
              <w:suppressAutoHyphens/>
              <w:rPr>
                <w:del w:id="13224" w:author="Author"/>
                <w:noProof/>
                <w:snapToGrid w:val="0"/>
                <w:szCs w:val="22"/>
                <w:lang w:val="it-IT" w:eastAsia="en-US"/>
              </w:rPr>
              <w:pPrChange w:id="13225" w:author="Author">
                <w:pPr/>
              </w:pPrChange>
            </w:pPr>
            <w:del w:id="13226" w:author="Author">
              <w:r>
                <w:rPr>
                  <w:rFonts w:eastAsia="Calibri"/>
                  <w:noProof/>
                  <w:szCs w:val="22"/>
                  <w:lang w:val="it-IT" w:eastAsia="en-US"/>
                </w:rPr>
                <w:delText>Sími</w:delText>
              </w:r>
              <w:r>
                <w:rPr>
                  <w:rFonts w:eastAsia="Calibri"/>
                  <w:noProof/>
                  <w:snapToGrid w:val="0"/>
                  <w:szCs w:val="22"/>
                  <w:lang w:val="it-IT" w:eastAsia="en-US"/>
                </w:rPr>
                <w:delText>: +354 540 8000</w:delText>
              </w:r>
            </w:del>
          </w:p>
          <w:p>
            <w:pPr>
              <w:tabs>
                <w:tab w:val="left" w:pos="720"/>
              </w:tabs>
              <w:suppressAutoHyphens/>
              <w:autoSpaceDE w:val="0"/>
              <w:autoSpaceDN w:val="0"/>
              <w:adjustRightInd w:val="0"/>
              <w:rPr>
                <w:del w:id="13227" w:author="Author"/>
                <w:b/>
                <w:noProof/>
                <w:szCs w:val="22"/>
                <w:lang w:val="it-IT"/>
              </w:rPr>
              <w:pPrChange w:id="13228" w:author="Author">
                <w:pPr>
                  <w:tabs>
                    <w:tab w:val="left" w:pos="720"/>
                  </w:tabs>
                  <w:autoSpaceDE w:val="0"/>
                  <w:autoSpaceDN w:val="0"/>
                  <w:adjustRightInd w:val="0"/>
                </w:pPr>
              </w:pPrChange>
            </w:pPr>
          </w:p>
        </w:tc>
        <w:tc>
          <w:tcPr>
            <w:tcW w:w="4590" w:type="dxa"/>
            <w:tcPrChange w:id="13229" w:author="Author">
              <w:tcPr>
                <w:tcW w:w="4590" w:type="dxa"/>
              </w:tcPr>
            </w:tcPrChange>
          </w:tcPr>
          <w:p>
            <w:pPr>
              <w:suppressAutoHyphens/>
              <w:rPr>
                <w:del w:id="13230" w:author="Author"/>
                <w:rFonts w:eastAsia="Calibri"/>
                <w:b/>
                <w:noProof/>
                <w:szCs w:val="22"/>
                <w:lang w:val="it-IT" w:eastAsia="en-US"/>
              </w:rPr>
              <w:pPrChange w:id="13231" w:author="Author">
                <w:pPr/>
              </w:pPrChange>
            </w:pPr>
            <w:del w:id="13232" w:author="Author">
              <w:r>
                <w:rPr>
                  <w:rFonts w:eastAsia="Calibri"/>
                  <w:b/>
                  <w:noProof/>
                  <w:szCs w:val="22"/>
                  <w:lang w:val="it-IT" w:eastAsia="en-US"/>
                </w:rPr>
                <w:delText>Slovenská republika</w:delText>
              </w:r>
            </w:del>
          </w:p>
          <w:p>
            <w:pPr>
              <w:suppressAutoHyphens/>
              <w:rPr>
                <w:del w:id="13233" w:author="Author"/>
                <w:noProof/>
                <w:szCs w:val="22"/>
                <w:lang w:val="it-IT" w:eastAsia="en-US"/>
              </w:rPr>
              <w:pPrChange w:id="13234" w:author="Author">
                <w:pPr/>
              </w:pPrChange>
            </w:pPr>
            <w:del w:id="13235" w:author="Author">
              <w:r>
                <w:rPr>
                  <w:rFonts w:eastAsia="Calibri"/>
                  <w:noProof/>
                  <w:szCs w:val="22"/>
                  <w:lang w:val="it-IT" w:eastAsia="en-US"/>
                </w:rPr>
                <w:delText>Roche Slovensko, s.r.o.</w:delText>
              </w:r>
            </w:del>
          </w:p>
          <w:p>
            <w:pPr>
              <w:suppressAutoHyphens/>
              <w:rPr>
                <w:del w:id="13236" w:author="Author"/>
                <w:noProof/>
                <w:szCs w:val="22"/>
                <w:lang w:val="it-IT" w:eastAsia="en-US"/>
              </w:rPr>
              <w:pPrChange w:id="13237" w:author="Author">
                <w:pPr/>
              </w:pPrChange>
            </w:pPr>
            <w:del w:id="13238" w:author="Author">
              <w:r>
                <w:rPr>
                  <w:rFonts w:eastAsia="Calibri"/>
                  <w:noProof/>
                  <w:szCs w:val="22"/>
                  <w:lang w:val="it-IT" w:eastAsia="en-US"/>
                </w:rPr>
                <w:delText>Tel: +421 - 2 52638201</w:delText>
              </w:r>
            </w:del>
          </w:p>
          <w:p>
            <w:pPr>
              <w:suppressAutoHyphens/>
              <w:rPr>
                <w:del w:id="13239" w:author="Author"/>
                <w:b/>
                <w:noProof/>
                <w:szCs w:val="22"/>
                <w:lang w:val="it-IT"/>
              </w:rPr>
              <w:pPrChange w:id="13240" w:author="Author">
                <w:pPr/>
              </w:pPrChange>
            </w:pPr>
          </w:p>
        </w:tc>
      </w:tr>
      <w:tr>
        <w:trPr>
          <w:cantSplit/>
          <w:del w:id="13241" w:author="Author"/>
          <w:trPrChange w:id="13242" w:author="Author">
            <w:trPr>
              <w:cantSplit/>
            </w:trPr>
          </w:trPrChange>
        </w:trPr>
        <w:tc>
          <w:tcPr>
            <w:tcW w:w="4590" w:type="dxa"/>
            <w:tcPrChange w:id="13243" w:author="Author">
              <w:tcPr>
                <w:tcW w:w="4590" w:type="dxa"/>
              </w:tcPr>
            </w:tcPrChange>
          </w:tcPr>
          <w:p>
            <w:pPr>
              <w:suppressAutoHyphens/>
              <w:rPr>
                <w:del w:id="13244" w:author="Author"/>
                <w:noProof/>
                <w:szCs w:val="22"/>
                <w:lang w:val="it-IT" w:eastAsia="en-US"/>
              </w:rPr>
              <w:pPrChange w:id="13245" w:author="Author">
                <w:pPr/>
              </w:pPrChange>
            </w:pPr>
            <w:del w:id="13246" w:author="Author">
              <w:r>
                <w:rPr>
                  <w:rFonts w:eastAsia="Calibri"/>
                  <w:b/>
                  <w:noProof/>
                  <w:szCs w:val="22"/>
                  <w:lang w:val="it-IT" w:eastAsia="en-US"/>
                </w:rPr>
                <w:delText>Italia</w:delText>
              </w:r>
            </w:del>
          </w:p>
          <w:p>
            <w:pPr>
              <w:suppressAutoHyphens/>
              <w:rPr>
                <w:del w:id="13247" w:author="Author"/>
                <w:noProof/>
                <w:szCs w:val="22"/>
                <w:lang w:val="it-IT" w:eastAsia="en-US"/>
              </w:rPr>
              <w:pPrChange w:id="13248" w:author="Author">
                <w:pPr/>
              </w:pPrChange>
            </w:pPr>
            <w:del w:id="13249" w:author="Author">
              <w:r>
                <w:rPr>
                  <w:rFonts w:eastAsia="Calibri"/>
                  <w:noProof/>
                  <w:szCs w:val="22"/>
                  <w:lang w:val="it-IT" w:eastAsia="en-US"/>
                </w:rPr>
                <w:delText>Roche S.p.A.</w:delText>
              </w:r>
            </w:del>
          </w:p>
          <w:p>
            <w:pPr>
              <w:suppressAutoHyphens/>
              <w:rPr>
                <w:del w:id="13250" w:author="Author"/>
                <w:b/>
                <w:noProof/>
                <w:szCs w:val="22"/>
                <w:lang w:val="it-IT" w:eastAsia="en-US"/>
              </w:rPr>
              <w:pPrChange w:id="13251" w:author="Author">
                <w:pPr/>
              </w:pPrChange>
            </w:pPr>
            <w:del w:id="13252" w:author="Author">
              <w:r>
                <w:rPr>
                  <w:rFonts w:eastAsia="Calibri"/>
                  <w:noProof/>
                  <w:szCs w:val="22"/>
                  <w:lang w:val="it-IT" w:eastAsia="en-US"/>
                </w:rPr>
                <w:delText>Tel: +39 - 039 2471</w:delText>
              </w:r>
            </w:del>
          </w:p>
        </w:tc>
        <w:tc>
          <w:tcPr>
            <w:tcW w:w="4590" w:type="dxa"/>
            <w:tcPrChange w:id="13253" w:author="Author">
              <w:tcPr>
                <w:tcW w:w="4590" w:type="dxa"/>
              </w:tcPr>
            </w:tcPrChange>
          </w:tcPr>
          <w:p>
            <w:pPr>
              <w:suppressAutoHyphens/>
              <w:rPr>
                <w:del w:id="13254" w:author="Author"/>
                <w:b/>
                <w:noProof/>
                <w:szCs w:val="22"/>
                <w:lang w:val="it-IT" w:eastAsia="en-US"/>
              </w:rPr>
              <w:pPrChange w:id="13255" w:author="Author">
                <w:pPr/>
              </w:pPrChange>
            </w:pPr>
            <w:del w:id="13256" w:author="Author">
              <w:r>
                <w:rPr>
                  <w:rFonts w:eastAsia="Calibri"/>
                  <w:b/>
                  <w:noProof/>
                  <w:szCs w:val="22"/>
                  <w:lang w:val="it-IT" w:eastAsia="en-US"/>
                </w:rPr>
                <w:delText>Suomi/Finland</w:delText>
              </w:r>
            </w:del>
          </w:p>
          <w:p>
            <w:pPr>
              <w:suppressAutoHyphens/>
              <w:rPr>
                <w:del w:id="13257" w:author="Author"/>
                <w:rFonts w:eastAsia="Calibri"/>
                <w:noProof/>
                <w:snapToGrid w:val="0"/>
                <w:szCs w:val="22"/>
                <w:lang w:val="it-IT" w:eastAsia="en-US"/>
              </w:rPr>
              <w:pPrChange w:id="13258" w:author="Author">
                <w:pPr/>
              </w:pPrChange>
            </w:pPr>
            <w:del w:id="13259" w:author="Author">
              <w:r>
                <w:rPr>
                  <w:rFonts w:eastAsia="Calibri"/>
                  <w:noProof/>
                  <w:szCs w:val="22"/>
                  <w:lang w:val="it-IT" w:eastAsia="en-US"/>
                </w:rPr>
                <w:delText>Roche Oy</w:delText>
              </w:r>
            </w:del>
          </w:p>
          <w:p>
            <w:pPr>
              <w:suppressAutoHyphens/>
              <w:rPr>
                <w:del w:id="13260" w:author="Author"/>
                <w:noProof/>
                <w:szCs w:val="22"/>
                <w:lang w:val="it-IT" w:eastAsia="en-US"/>
              </w:rPr>
              <w:pPrChange w:id="13261" w:author="Author">
                <w:pPr/>
              </w:pPrChange>
            </w:pPr>
            <w:del w:id="13262" w:author="Author">
              <w:r>
                <w:rPr>
                  <w:rFonts w:eastAsia="Calibri"/>
                  <w:noProof/>
                  <w:szCs w:val="22"/>
                  <w:lang w:val="it-IT" w:eastAsia="en-US"/>
                </w:rPr>
                <w:delText>Puh/Tel: +358 (0) 10 554 500</w:delText>
              </w:r>
            </w:del>
          </w:p>
          <w:p>
            <w:pPr>
              <w:suppressAutoHyphens/>
              <w:rPr>
                <w:del w:id="13263" w:author="Author"/>
                <w:noProof/>
                <w:szCs w:val="22"/>
                <w:lang w:val="it-IT"/>
              </w:rPr>
              <w:pPrChange w:id="13264" w:author="Author">
                <w:pPr/>
              </w:pPrChange>
            </w:pPr>
          </w:p>
        </w:tc>
      </w:tr>
      <w:tr>
        <w:trPr>
          <w:cantSplit/>
          <w:del w:id="13265" w:author="Author"/>
          <w:trPrChange w:id="13266" w:author="Author">
            <w:trPr>
              <w:cantSplit/>
            </w:trPr>
          </w:trPrChange>
        </w:trPr>
        <w:tc>
          <w:tcPr>
            <w:tcW w:w="4590" w:type="dxa"/>
            <w:tcPrChange w:id="13267" w:author="Author">
              <w:tcPr>
                <w:tcW w:w="4590" w:type="dxa"/>
              </w:tcPr>
            </w:tcPrChange>
          </w:tcPr>
          <w:p>
            <w:pPr>
              <w:suppressAutoHyphens/>
              <w:rPr>
                <w:del w:id="13268" w:author="Author"/>
                <w:rFonts w:eastAsia="Calibri"/>
                <w:noProof/>
                <w:szCs w:val="22"/>
                <w:lang w:val="it-IT" w:eastAsia="en-US"/>
              </w:rPr>
              <w:pPrChange w:id="13269" w:author="Author">
                <w:pPr/>
              </w:pPrChange>
            </w:pPr>
            <w:del w:id="13270" w:author="Author">
              <w:r>
                <w:rPr>
                  <w:rFonts w:eastAsia="Calibri"/>
                  <w:b/>
                  <w:noProof/>
                  <w:szCs w:val="22"/>
                  <w:lang w:val="it-IT" w:eastAsia="en-US"/>
                </w:rPr>
                <w:delText>Kύπρος</w:delText>
              </w:r>
            </w:del>
          </w:p>
          <w:p>
            <w:pPr>
              <w:tabs>
                <w:tab w:val="left" w:pos="720"/>
              </w:tabs>
              <w:suppressAutoHyphens/>
              <w:rPr>
                <w:del w:id="13271" w:author="Author"/>
                <w:rFonts w:eastAsia="Calibri"/>
                <w:noProof/>
                <w:szCs w:val="22"/>
                <w:lang w:val="it-IT" w:eastAsia="en-US"/>
              </w:rPr>
              <w:pPrChange w:id="13272" w:author="Author">
                <w:pPr>
                  <w:tabs>
                    <w:tab w:val="left" w:pos="720"/>
                  </w:tabs>
                </w:pPr>
              </w:pPrChange>
            </w:pPr>
            <w:del w:id="13273" w:author="Author">
              <w:r>
                <w:rPr>
                  <w:rFonts w:eastAsia="Calibri"/>
                  <w:noProof/>
                  <w:szCs w:val="22"/>
                  <w:lang w:val="it-IT" w:eastAsia="en-US"/>
                </w:rPr>
                <w:delText>Roche (Hellas) A.E.</w:delText>
              </w:r>
            </w:del>
          </w:p>
          <w:p>
            <w:pPr>
              <w:suppressAutoHyphens/>
              <w:rPr>
                <w:del w:id="13274" w:author="Author"/>
                <w:noProof/>
                <w:szCs w:val="22"/>
                <w:lang w:val="it-IT"/>
              </w:rPr>
              <w:pPrChange w:id="13275" w:author="Author">
                <w:pPr/>
              </w:pPrChange>
            </w:pPr>
            <w:del w:id="13276" w:author="Author">
              <w:r>
                <w:rPr>
                  <w:rFonts w:eastAsia="Calibri"/>
                  <w:noProof/>
                  <w:szCs w:val="22"/>
                  <w:lang w:val="it-IT" w:eastAsia="en-US"/>
                </w:rPr>
                <w:delText>Τηλ: +30 210 61 66 100</w:delText>
              </w:r>
            </w:del>
          </w:p>
        </w:tc>
        <w:tc>
          <w:tcPr>
            <w:tcW w:w="4590" w:type="dxa"/>
            <w:tcPrChange w:id="13277" w:author="Author">
              <w:tcPr>
                <w:tcW w:w="4590" w:type="dxa"/>
              </w:tcPr>
            </w:tcPrChange>
          </w:tcPr>
          <w:p>
            <w:pPr>
              <w:suppressAutoHyphens/>
              <w:rPr>
                <w:del w:id="13278" w:author="Author"/>
                <w:noProof/>
                <w:szCs w:val="22"/>
                <w:lang w:val="it-IT" w:eastAsia="en-US"/>
              </w:rPr>
              <w:pPrChange w:id="13279" w:author="Author">
                <w:pPr/>
              </w:pPrChange>
            </w:pPr>
            <w:del w:id="13280" w:author="Author">
              <w:r>
                <w:rPr>
                  <w:rFonts w:eastAsia="Calibri"/>
                  <w:b/>
                  <w:noProof/>
                  <w:szCs w:val="22"/>
                  <w:lang w:val="it-IT" w:eastAsia="en-US"/>
                </w:rPr>
                <w:delText>Sverige</w:delText>
              </w:r>
            </w:del>
          </w:p>
          <w:p>
            <w:pPr>
              <w:suppressAutoHyphens/>
              <w:rPr>
                <w:del w:id="13281" w:author="Author"/>
                <w:noProof/>
                <w:szCs w:val="22"/>
                <w:lang w:val="it-IT" w:eastAsia="en-US"/>
              </w:rPr>
              <w:pPrChange w:id="13282" w:author="Author">
                <w:pPr/>
              </w:pPrChange>
            </w:pPr>
            <w:del w:id="13283" w:author="Author">
              <w:r>
                <w:rPr>
                  <w:rFonts w:eastAsia="Calibri"/>
                  <w:noProof/>
                  <w:szCs w:val="22"/>
                  <w:lang w:val="it-IT" w:eastAsia="en-US"/>
                </w:rPr>
                <w:delText>Roche AB</w:delText>
              </w:r>
            </w:del>
          </w:p>
          <w:p>
            <w:pPr>
              <w:suppressAutoHyphens/>
              <w:rPr>
                <w:del w:id="13284" w:author="Author"/>
                <w:noProof/>
                <w:szCs w:val="22"/>
                <w:lang w:val="it-IT" w:eastAsia="en-US"/>
              </w:rPr>
            </w:pPr>
            <w:del w:id="13285" w:author="Author">
              <w:r>
                <w:rPr>
                  <w:rFonts w:eastAsia="Calibri"/>
                  <w:noProof/>
                  <w:szCs w:val="22"/>
                  <w:lang w:val="it-IT" w:eastAsia="en-US"/>
                </w:rPr>
                <w:delText>Tel: +46 (0) 8 726 1200</w:delText>
              </w:r>
            </w:del>
          </w:p>
          <w:p>
            <w:pPr>
              <w:suppressAutoHyphens/>
              <w:rPr>
                <w:del w:id="13286" w:author="Author"/>
                <w:noProof/>
                <w:szCs w:val="22"/>
                <w:lang w:val="it-IT"/>
              </w:rPr>
              <w:pPrChange w:id="13287" w:author="Author">
                <w:pPr/>
              </w:pPrChange>
            </w:pPr>
          </w:p>
        </w:tc>
      </w:tr>
      <w:tr>
        <w:trPr>
          <w:cantSplit/>
          <w:del w:id="13288" w:author="Author"/>
          <w:trPrChange w:id="13289" w:author="Author">
            <w:trPr>
              <w:cantSplit/>
            </w:trPr>
          </w:trPrChange>
        </w:trPr>
        <w:tc>
          <w:tcPr>
            <w:tcW w:w="4590" w:type="dxa"/>
            <w:tcPrChange w:id="13290" w:author="Author">
              <w:tcPr>
                <w:tcW w:w="4590" w:type="dxa"/>
              </w:tcPr>
            </w:tcPrChange>
          </w:tcPr>
          <w:p>
            <w:pPr>
              <w:suppressAutoHyphens/>
              <w:rPr>
                <w:del w:id="13291" w:author="Author"/>
                <w:b/>
                <w:noProof/>
                <w:szCs w:val="22"/>
                <w:lang w:val="it-IT" w:eastAsia="en-US"/>
              </w:rPr>
              <w:pPrChange w:id="13292" w:author="Author">
                <w:pPr/>
              </w:pPrChange>
            </w:pPr>
            <w:del w:id="13293" w:author="Author">
              <w:r>
                <w:rPr>
                  <w:rFonts w:eastAsia="Calibri"/>
                  <w:b/>
                  <w:noProof/>
                  <w:szCs w:val="22"/>
                  <w:lang w:val="it-IT" w:eastAsia="en-US"/>
                </w:rPr>
                <w:delText>Latvija</w:delText>
              </w:r>
            </w:del>
          </w:p>
          <w:p>
            <w:pPr>
              <w:suppressAutoHyphens/>
              <w:rPr>
                <w:del w:id="13294" w:author="Author"/>
                <w:noProof/>
                <w:szCs w:val="22"/>
                <w:lang w:val="it-IT" w:eastAsia="en-US"/>
              </w:rPr>
              <w:pPrChange w:id="13295" w:author="Author">
                <w:pPr/>
              </w:pPrChange>
            </w:pPr>
            <w:del w:id="13296" w:author="Author">
              <w:r>
                <w:rPr>
                  <w:rFonts w:eastAsia="Calibri"/>
                  <w:bCs/>
                  <w:noProof/>
                  <w:szCs w:val="22"/>
                  <w:lang w:val="it-IT" w:eastAsia="en-US"/>
                </w:rPr>
                <w:delText>Roche Latvija SIA</w:delText>
              </w:r>
            </w:del>
          </w:p>
          <w:p>
            <w:pPr>
              <w:suppressAutoHyphens/>
              <w:rPr>
                <w:del w:id="13297" w:author="Author"/>
                <w:noProof/>
                <w:szCs w:val="22"/>
                <w:lang w:val="it-IT" w:eastAsia="en-US"/>
              </w:rPr>
              <w:pPrChange w:id="13298" w:author="Author">
                <w:pPr/>
              </w:pPrChange>
            </w:pPr>
            <w:del w:id="13299" w:author="Author">
              <w:r>
                <w:rPr>
                  <w:rFonts w:eastAsia="Calibri"/>
                  <w:noProof/>
                  <w:szCs w:val="22"/>
                  <w:lang w:val="it-IT" w:eastAsia="en-US"/>
                </w:rPr>
                <w:delText>Tel: +371 - 6 7039831</w:delText>
              </w:r>
            </w:del>
          </w:p>
          <w:p>
            <w:pPr>
              <w:suppressAutoHyphens/>
              <w:rPr>
                <w:del w:id="13300" w:author="Author"/>
                <w:b/>
                <w:noProof/>
                <w:szCs w:val="22"/>
                <w:lang w:val="it-IT"/>
              </w:rPr>
              <w:pPrChange w:id="13301" w:author="Author">
                <w:pPr/>
              </w:pPrChange>
            </w:pPr>
          </w:p>
        </w:tc>
        <w:tc>
          <w:tcPr>
            <w:tcW w:w="4590" w:type="dxa"/>
            <w:tcPrChange w:id="13302" w:author="Author">
              <w:tcPr>
                <w:tcW w:w="4590" w:type="dxa"/>
              </w:tcPr>
            </w:tcPrChange>
          </w:tcPr>
          <w:p>
            <w:pPr>
              <w:suppressAutoHyphens/>
              <w:rPr>
                <w:del w:id="13303" w:author="Author"/>
                <w:noProof/>
                <w:szCs w:val="22"/>
                <w:highlight w:val="yellow"/>
                <w:lang w:val="it-IT"/>
              </w:rPr>
              <w:pPrChange w:id="13304" w:author="Author">
                <w:pPr/>
              </w:pPrChange>
            </w:pPr>
          </w:p>
        </w:tc>
      </w:tr>
      <w:tr>
        <w:trPr>
          <w:cantSplit/>
          <w:del w:id="13305" w:author="Author"/>
          <w:trPrChange w:id="13306" w:author="Author">
            <w:trPr>
              <w:cantSplit/>
            </w:trPr>
          </w:trPrChange>
        </w:trPr>
        <w:tc>
          <w:tcPr>
            <w:tcW w:w="4590" w:type="dxa"/>
            <w:tcPrChange w:id="13307" w:author="Author">
              <w:tcPr>
                <w:tcW w:w="4590" w:type="dxa"/>
              </w:tcPr>
            </w:tcPrChange>
          </w:tcPr>
          <w:p>
            <w:pPr>
              <w:suppressAutoHyphens/>
              <w:rPr>
                <w:del w:id="13308" w:author="Author"/>
                <w:b/>
                <w:noProof/>
                <w:szCs w:val="22"/>
                <w:lang w:val="it-IT" w:eastAsia="en-US"/>
              </w:rPr>
            </w:pPr>
            <w:del w:id="13309" w:author="Author">
              <w:r>
                <w:rPr>
                  <w:rFonts w:eastAsia="Calibri"/>
                  <w:b/>
                  <w:noProof/>
                  <w:szCs w:val="22"/>
                  <w:lang w:val="it-IT" w:eastAsia="en-US"/>
                </w:rPr>
                <w:delText>Lietuva</w:delText>
              </w:r>
            </w:del>
          </w:p>
          <w:p>
            <w:pPr>
              <w:suppressAutoHyphens/>
              <w:rPr>
                <w:del w:id="13310" w:author="Author"/>
                <w:noProof/>
                <w:szCs w:val="22"/>
                <w:lang w:val="it-IT" w:eastAsia="en-US"/>
              </w:rPr>
            </w:pPr>
            <w:del w:id="13311" w:author="Author">
              <w:r>
                <w:rPr>
                  <w:rFonts w:eastAsia="Calibri"/>
                  <w:noProof/>
                  <w:szCs w:val="22"/>
                  <w:lang w:val="it-IT" w:eastAsia="en-US"/>
                </w:rPr>
                <w:delText>UAB “Roche Lietuva”</w:delText>
              </w:r>
            </w:del>
          </w:p>
          <w:p>
            <w:pPr>
              <w:suppressAutoHyphens/>
              <w:rPr>
                <w:del w:id="13312" w:author="Author"/>
                <w:noProof/>
                <w:szCs w:val="22"/>
                <w:lang w:val="it-IT" w:eastAsia="en-US"/>
              </w:rPr>
            </w:pPr>
            <w:del w:id="13313" w:author="Author">
              <w:r>
                <w:rPr>
                  <w:rFonts w:eastAsia="Calibri"/>
                  <w:noProof/>
                  <w:szCs w:val="22"/>
                  <w:lang w:val="it-IT" w:eastAsia="en-US"/>
                </w:rPr>
                <w:delText>Tel: +370 5 2546799</w:delText>
              </w:r>
            </w:del>
          </w:p>
          <w:p>
            <w:pPr>
              <w:suppressAutoHyphens/>
              <w:rPr>
                <w:del w:id="13314" w:author="Author"/>
                <w:noProof/>
                <w:szCs w:val="22"/>
                <w:lang w:val="it-IT"/>
              </w:rPr>
              <w:pPrChange w:id="13315" w:author="Author">
                <w:pPr/>
              </w:pPrChange>
            </w:pPr>
          </w:p>
        </w:tc>
        <w:tc>
          <w:tcPr>
            <w:tcW w:w="4590" w:type="dxa"/>
            <w:tcPrChange w:id="13316" w:author="Author">
              <w:tcPr>
                <w:tcW w:w="4590" w:type="dxa"/>
              </w:tcPr>
            </w:tcPrChange>
          </w:tcPr>
          <w:p>
            <w:pPr>
              <w:suppressAutoHyphens/>
              <w:rPr>
                <w:del w:id="13317" w:author="Author"/>
                <w:noProof/>
                <w:szCs w:val="22"/>
                <w:lang w:val="it-IT"/>
              </w:rPr>
            </w:pPr>
          </w:p>
        </w:tc>
      </w:tr>
      <w:tr>
        <w:trPr>
          <w:cantSplit/>
          <w:ins w:id="13318" w:author="Author"/>
        </w:trPr>
        <w:tc>
          <w:tcPr>
            <w:tcW w:w="4590" w:type="dxa"/>
          </w:tcPr>
          <w:p>
            <w:pPr>
              <w:pStyle w:val="Standard1"/>
              <w:rPr>
                <w:ins w:id="13319" w:author="Author"/>
                <w:rFonts w:ascii="Times New Roman" w:hAnsi="Times New Roman"/>
                <w:b/>
                <w:noProof/>
                <w:sz w:val="22"/>
                <w:szCs w:val="22"/>
                <w:lang w:val="de-DE"/>
                <w:rPrChange w:id="13320" w:author="Author">
                  <w:rPr>
                    <w:ins w:id="13321" w:author="Author"/>
                    <w:rFonts w:ascii="Times New Roman" w:hAnsi="Times New Roman"/>
                    <w:b/>
                    <w:noProof/>
                    <w:sz w:val="22"/>
                    <w:szCs w:val="22"/>
                  </w:rPr>
                </w:rPrChange>
              </w:rPr>
            </w:pPr>
            <w:ins w:id="13322" w:author="Author">
              <w:r>
                <w:rPr>
                  <w:rFonts w:ascii="Times New Roman" w:hAnsi="Times New Roman"/>
                  <w:b/>
                  <w:noProof/>
                  <w:sz w:val="22"/>
                  <w:szCs w:val="22"/>
                  <w:lang w:val="de-DE"/>
                  <w:rPrChange w:id="13323" w:author="Author">
                    <w:rPr>
                      <w:rFonts w:ascii="Times New Roman" w:hAnsi="Times New Roman"/>
                      <w:b/>
                      <w:noProof/>
                      <w:sz w:val="22"/>
                      <w:szCs w:val="22"/>
                    </w:rPr>
                  </w:rPrChange>
                </w:rPr>
                <w:t>België/Belgique/Belgien,</w:t>
              </w:r>
            </w:ins>
          </w:p>
          <w:p>
            <w:pPr>
              <w:pStyle w:val="Standard1"/>
              <w:rPr>
                <w:ins w:id="13324" w:author="Author"/>
                <w:rFonts w:ascii="Times New Roman" w:hAnsi="Times New Roman"/>
                <w:b/>
                <w:noProof/>
                <w:sz w:val="22"/>
                <w:szCs w:val="22"/>
                <w:lang w:val="de-DE"/>
                <w:rPrChange w:id="13325" w:author="Author">
                  <w:rPr>
                    <w:ins w:id="13326" w:author="Author"/>
                    <w:rFonts w:ascii="Times New Roman" w:hAnsi="Times New Roman"/>
                    <w:b/>
                    <w:noProof/>
                    <w:sz w:val="22"/>
                    <w:szCs w:val="22"/>
                  </w:rPr>
                </w:rPrChange>
              </w:rPr>
            </w:pPr>
            <w:ins w:id="13327" w:author="Author">
              <w:r>
                <w:rPr>
                  <w:rFonts w:ascii="Times New Roman" w:hAnsi="Times New Roman"/>
                  <w:b/>
                  <w:noProof/>
                  <w:sz w:val="22"/>
                  <w:szCs w:val="22"/>
                  <w:lang w:val="de-DE"/>
                  <w:rPrChange w:id="13328" w:author="Author">
                    <w:rPr>
                      <w:rFonts w:ascii="Times New Roman" w:hAnsi="Times New Roman"/>
                      <w:b/>
                      <w:noProof/>
                      <w:sz w:val="22"/>
                      <w:szCs w:val="22"/>
                    </w:rPr>
                  </w:rPrChange>
                </w:rPr>
                <w:t>Luxembourg/Luxemburg</w:t>
              </w:r>
            </w:ins>
          </w:p>
          <w:p>
            <w:pPr>
              <w:pStyle w:val="Standard1"/>
              <w:rPr>
                <w:ins w:id="13329" w:author="Author"/>
                <w:rFonts w:ascii="Times New Roman" w:hAnsi="Times New Roman"/>
                <w:bCs/>
                <w:noProof/>
                <w:sz w:val="22"/>
                <w:szCs w:val="22"/>
                <w:lang w:val="de-DE"/>
                <w:rPrChange w:id="13330" w:author="Author">
                  <w:rPr>
                    <w:ins w:id="13331" w:author="Author"/>
                    <w:rFonts w:ascii="Times New Roman" w:hAnsi="Times New Roman"/>
                    <w:bCs/>
                    <w:noProof/>
                    <w:sz w:val="22"/>
                    <w:szCs w:val="22"/>
                  </w:rPr>
                </w:rPrChange>
              </w:rPr>
            </w:pPr>
            <w:ins w:id="13332" w:author="Author">
              <w:r>
                <w:rPr>
                  <w:rFonts w:ascii="Times New Roman" w:hAnsi="Times New Roman"/>
                  <w:bCs/>
                  <w:noProof/>
                  <w:sz w:val="22"/>
                  <w:szCs w:val="22"/>
                  <w:lang w:val="de-DE"/>
                  <w:rPrChange w:id="13333" w:author="Author">
                    <w:rPr>
                      <w:rFonts w:ascii="Times New Roman" w:hAnsi="Times New Roman"/>
                      <w:bCs/>
                      <w:noProof/>
                      <w:sz w:val="22"/>
                      <w:szCs w:val="22"/>
                    </w:rPr>
                  </w:rPrChange>
                </w:rPr>
                <w:t>N.V. Roche S.A.</w:t>
              </w:r>
            </w:ins>
          </w:p>
          <w:p>
            <w:pPr>
              <w:pStyle w:val="Standard1"/>
              <w:rPr>
                <w:ins w:id="13334" w:author="Author"/>
                <w:rFonts w:ascii="Times New Roman" w:hAnsi="Times New Roman"/>
                <w:bCs/>
                <w:noProof/>
                <w:sz w:val="22"/>
                <w:szCs w:val="22"/>
                <w:lang w:val="fr-FR"/>
                <w:rPrChange w:id="13335" w:author="Author">
                  <w:rPr>
                    <w:ins w:id="13336" w:author="Author"/>
                    <w:rFonts w:ascii="Times New Roman" w:hAnsi="Times New Roman"/>
                    <w:bCs/>
                    <w:noProof/>
                    <w:sz w:val="22"/>
                    <w:szCs w:val="22"/>
                  </w:rPr>
                </w:rPrChange>
              </w:rPr>
            </w:pPr>
            <w:ins w:id="13337" w:author="Author">
              <w:r>
                <w:rPr>
                  <w:rFonts w:ascii="Times New Roman" w:hAnsi="Times New Roman"/>
                  <w:bCs/>
                  <w:noProof/>
                  <w:sz w:val="22"/>
                  <w:szCs w:val="22"/>
                  <w:lang w:val="fr-FR"/>
                  <w:rPrChange w:id="13338" w:author="Author">
                    <w:rPr>
                      <w:rFonts w:ascii="Times New Roman" w:hAnsi="Times New Roman"/>
                      <w:bCs/>
                      <w:noProof/>
                      <w:sz w:val="22"/>
                      <w:szCs w:val="22"/>
                    </w:rPr>
                  </w:rPrChange>
                </w:rPr>
                <w:t>België/Belgique/Belgien</w:t>
              </w:r>
            </w:ins>
          </w:p>
          <w:p>
            <w:pPr>
              <w:pStyle w:val="Standard1"/>
              <w:rPr>
                <w:ins w:id="13339" w:author="Author"/>
                <w:rFonts w:ascii="Times New Roman" w:hAnsi="Times New Roman"/>
                <w:bCs/>
                <w:noProof/>
                <w:sz w:val="22"/>
                <w:szCs w:val="22"/>
                <w:lang w:val="fr-FR"/>
                <w:rPrChange w:id="13340" w:author="Author">
                  <w:rPr>
                    <w:ins w:id="13341" w:author="Author"/>
                    <w:rFonts w:ascii="Times New Roman" w:hAnsi="Times New Roman"/>
                    <w:bCs/>
                    <w:noProof/>
                    <w:sz w:val="22"/>
                    <w:szCs w:val="22"/>
                  </w:rPr>
                </w:rPrChange>
              </w:rPr>
            </w:pPr>
            <w:ins w:id="13342" w:author="Author">
              <w:r>
                <w:rPr>
                  <w:rFonts w:ascii="Times New Roman" w:hAnsi="Times New Roman"/>
                  <w:bCs/>
                  <w:noProof/>
                  <w:sz w:val="22"/>
                  <w:szCs w:val="22"/>
                  <w:lang w:val="fr-FR"/>
                  <w:rPrChange w:id="13343" w:author="Author">
                    <w:rPr>
                      <w:rFonts w:ascii="Times New Roman" w:hAnsi="Times New Roman"/>
                      <w:bCs/>
                      <w:noProof/>
                      <w:sz w:val="22"/>
                      <w:szCs w:val="22"/>
                    </w:rPr>
                  </w:rPrChange>
                </w:rPr>
                <w:t>Tél/Tel: +32 (0) 2 525 82 11</w:t>
              </w:r>
            </w:ins>
          </w:p>
          <w:p>
            <w:pPr>
              <w:pStyle w:val="Standard1"/>
              <w:rPr>
                <w:ins w:id="13344" w:author="Author"/>
                <w:rFonts w:ascii="Times New Roman" w:hAnsi="Times New Roman"/>
                <w:b/>
                <w:noProof/>
                <w:sz w:val="22"/>
                <w:szCs w:val="22"/>
                <w:lang w:val="fr-FR"/>
                <w:rPrChange w:id="13345" w:author="Author">
                  <w:rPr>
                    <w:ins w:id="13346" w:author="Author"/>
                    <w:rFonts w:ascii="Times New Roman" w:hAnsi="Times New Roman"/>
                    <w:b/>
                    <w:noProof/>
                    <w:sz w:val="22"/>
                    <w:szCs w:val="22"/>
                  </w:rPr>
                </w:rPrChange>
              </w:rPr>
            </w:pPr>
          </w:p>
        </w:tc>
        <w:tc>
          <w:tcPr>
            <w:tcW w:w="4590" w:type="dxa"/>
          </w:tcPr>
          <w:p>
            <w:pPr>
              <w:pStyle w:val="Standard1"/>
              <w:rPr>
                <w:ins w:id="13347" w:author="Author"/>
                <w:rFonts w:ascii="Times New Roman" w:hAnsi="Times New Roman"/>
                <w:b/>
                <w:bCs/>
                <w:noProof/>
                <w:sz w:val="22"/>
                <w:szCs w:val="22"/>
              </w:rPr>
            </w:pPr>
            <w:ins w:id="13348" w:author="Author">
              <w:r>
                <w:rPr>
                  <w:rFonts w:ascii="Times New Roman" w:hAnsi="Times New Roman"/>
                  <w:b/>
                  <w:bCs/>
                  <w:noProof/>
                  <w:sz w:val="22"/>
                  <w:szCs w:val="22"/>
                </w:rPr>
                <w:t>Latvija</w:t>
              </w:r>
            </w:ins>
          </w:p>
          <w:p>
            <w:pPr>
              <w:pStyle w:val="Standard1"/>
              <w:rPr>
                <w:ins w:id="13349" w:author="Author"/>
                <w:rFonts w:ascii="Times New Roman" w:hAnsi="Times New Roman"/>
                <w:noProof/>
                <w:sz w:val="22"/>
                <w:szCs w:val="22"/>
              </w:rPr>
            </w:pPr>
            <w:ins w:id="13350" w:author="Author">
              <w:r>
                <w:rPr>
                  <w:rFonts w:ascii="Times New Roman" w:hAnsi="Times New Roman"/>
                  <w:noProof/>
                  <w:sz w:val="22"/>
                  <w:szCs w:val="22"/>
                </w:rPr>
                <w:t>Roche Latvija SIA</w:t>
              </w:r>
            </w:ins>
          </w:p>
          <w:p>
            <w:pPr>
              <w:pStyle w:val="Standard1"/>
              <w:rPr>
                <w:ins w:id="13351" w:author="Author"/>
                <w:rFonts w:ascii="Times New Roman" w:hAnsi="Times New Roman"/>
                <w:noProof/>
                <w:sz w:val="22"/>
                <w:szCs w:val="22"/>
              </w:rPr>
            </w:pPr>
            <w:ins w:id="13352" w:author="Author">
              <w:r>
                <w:rPr>
                  <w:rFonts w:ascii="Times New Roman" w:hAnsi="Times New Roman"/>
                  <w:noProof/>
                  <w:sz w:val="22"/>
                  <w:szCs w:val="22"/>
                </w:rPr>
                <w:t>Tel: +371 - 6 7039831</w:t>
              </w:r>
            </w:ins>
          </w:p>
          <w:p>
            <w:pPr>
              <w:pStyle w:val="Standard1"/>
              <w:rPr>
                <w:ins w:id="13353" w:author="Author"/>
                <w:rFonts w:ascii="Times New Roman" w:hAnsi="Times New Roman"/>
                <w:noProof/>
                <w:sz w:val="22"/>
                <w:szCs w:val="22"/>
              </w:rPr>
            </w:pPr>
          </w:p>
        </w:tc>
      </w:tr>
      <w:tr>
        <w:trPr>
          <w:cantSplit/>
          <w:ins w:id="13354" w:author="Author"/>
        </w:trPr>
        <w:tc>
          <w:tcPr>
            <w:tcW w:w="4590" w:type="dxa"/>
          </w:tcPr>
          <w:p>
            <w:pPr>
              <w:pStyle w:val="Standard1"/>
              <w:rPr>
                <w:ins w:id="13355" w:author="Author"/>
                <w:rFonts w:ascii="Times New Roman" w:hAnsi="Times New Roman"/>
                <w:b/>
                <w:noProof/>
                <w:sz w:val="22"/>
                <w:szCs w:val="22"/>
              </w:rPr>
            </w:pPr>
            <w:ins w:id="13356" w:author="Author">
              <w:r>
                <w:rPr>
                  <w:rFonts w:ascii="Times New Roman" w:hAnsi="Times New Roman"/>
                  <w:b/>
                  <w:noProof/>
                  <w:sz w:val="22"/>
                  <w:szCs w:val="22"/>
                </w:rPr>
                <w:t>България</w:t>
              </w:r>
            </w:ins>
          </w:p>
          <w:p>
            <w:pPr>
              <w:pStyle w:val="Standard1"/>
              <w:rPr>
                <w:ins w:id="13357" w:author="Author"/>
                <w:rFonts w:ascii="Times New Roman" w:hAnsi="Times New Roman"/>
                <w:bCs/>
                <w:noProof/>
                <w:sz w:val="22"/>
                <w:szCs w:val="22"/>
              </w:rPr>
            </w:pPr>
            <w:ins w:id="13358" w:author="Author">
              <w:r>
                <w:rPr>
                  <w:rFonts w:ascii="Times New Roman" w:hAnsi="Times New Roman"/>
                  <w:bCs/>
                  <w:noProof/>
                  <w:sz w:val="22"/>
                  <w:szCs w:val="22"/>
                </w:rPr>
                <w:t>Рош България ЕООД</w:t>
              </w:r>
            </w:ins>
          </w:p>
          <w:p>
            <w:pPr>
              <w:pStyle w:val="Standard1"/>
              <w:rPr>
                <w:ins w:id="13359" w:author="Author"/>
                <w:rFonts w:ascii="Times New Roman" w:hAnsi="Times New Roman"/>
                <w:bCs/>
                <w:noProof/>
                <w:sz w:val="22"/>
                <w:szCs w:val="22"/>
              </w:rPr>
            </w:pPr>
            <w:ins w:id="13360" w:author="Author">
              <w:r>
                <w:rPr>
                  <w:rFonts w:ascii="Times New Roman" w:hAnsi="Times New Roman"/>
                  <w:bCs/>
                  <w:noProof/>
                  <w:sz w:val="22"/>
                  <w:szCs w:val="22"/>
                </w:rPr>
                <w:t>Тел: +359 2 474 5444</w:t>
              </w:r>
            </w:ins>
          </w:p>
          <w:p>
            <w:pPr>
              <w:pStyle w:val="Standard1"/>
              <w:rPr>
                <w:ins w:id="13361" w:author="Author"/>
                <w:rFonts w:ascii="Times New Roman" w:hAnsi="Times New Roman"/>
                <w:b/>
                <w:noProof/>
                <w:sz w:val="22"/>
                <w:szCs w:val="22"/>
              </w:rPr>
            </w:pPr>
          </w:p>
        </w:tc>
        <w:tc>
          <w:tcPr>
            <w:tcW w:w="4590" w:type="dxa"/>
          </w:tcPr>
          <w:p>
            <w:pPr>
              <w:pStyle w:val="Standard1"/>
              <w:rPr>
                <w:ins w:id="13362" w:author="Author"/>
                <w:rFonts w:ascii="Times New Roman" w:hAnsi="Times New Roman"/>
                <w:b/>
                <w:bCs/>
                <w:noProof/>
                <w:sz w:val="22"/>
                <w:szCs w:val="22"/>
              </w:rPr>
            </w:pPr>
            <w:ins w:id="13363" w:author="Author">
              <w:r>
                <w:rPr>
                  <w:rFonts w:ascii="Times New Roman" w:hAnsi="Times New Roman"/>
                  <w:b/>
                  <w:bCs/>
                  <w:noProof/>
                  <w:sz w:val="22"/>
                  <w:szCs w:val="22"/>
                </w:rPr>
                <w:t>Lietuva</w:t>
              </w:r>
            </w:ins>
          </w:p>
          <w:p>
            <w:pPr>
              <w:pStyle w:val="Standard1"/>
              <w:rPr>
                <w:ins w:id="13364" w:author="Author"/>
                <w:rFonts w:ascii="Times New Roman" w:hAnsi="Times New Roman"/>
                <w:noProof/>
                <w:sz w:val="22"/>
                <w:szCs w:val="22"/>
              </w:rPr>
            </w:pPr>
            <w:ins w:id="13365" w:author="Author">
              <w:r>
                <w:rPr>
                  <w:rFonts w:ascii="Times New Roman" w:hAnsi="Times New Roman"/>
                  <w:noProof/>
                  <w:sz w:val="22"/>
                  <w:szCs w:val="22"/>
                </w:rPr>
                <w:t>UAB “Roche Lietuva”</w:t>
              </w:r>
            </w:ins>
          </w:p>
          <w:p>
            <w:pPr>
              <w:pStyle w:val="Standard1"/>
              <w:rPr>
                <w:ins w:id="13366" w:author="Author"/>
                <w:rFonts w:ascii="Times New Roman" w:hAnsi="Times New Roman"/>
                <w:noProof/>
                <w:sz w:val="22"/>
                <w:szCs w:val="22"/>
              </w:rPr>
            </w:pPr>
            <w:ins w:id="13367" w:author="Author">
              <w:r>
                <w:rPr>
                  <w:rFonts w:ascii="Times New Roman" w:hAnsi="Times New Roman"/>
                  <w:noProof/>
                  <w:sz w:val="22"/>
                  <w:szCs w:val="22"/>
                </w:rPr>
                <w:t>Tel: +370 5 2546799</w:t>
              </w:r>
            </w:ins>
          </w:p>
          <w:p>
            <w:pPr>
              <w:pStyle w:val="Standard1"/>
              <w:rPr>
                <w:ins w:id="13368" w:author="Author"/>
                <w:rFonts w:ascii="Times New Roman" w:hAnsi="Times New Roman"/>
                <w:noProof/>
                <w:sz w:val="22"/>
                <w:szCs w:val="22"/>
              </w:rPr>
            </w:pPr>
          </w:p>
        </w:tc>
      </w:tr>
      <w:tr>
        <w:trPr>
          <w:cantSplit/>
          <w:ins w:id="13369" w:author="Author"/>
        </w:trPr>
        <w:tc>
          <w:tcPr>
            <w:tcW w:w="4590" w:type="dxa"/>
          </w:tcPr>
          <w:p>
            <w:pPr>
              <w:pStyle w:val="Standard1"/>
              <w:rPr>
                <w:ins w:id="13370" w:author="Author"/>
                <w:rFonts w:ascii="Times New Roman" w:hAnsi="Times New Roman"/>
                <w:b/>
                <w:noProof/>
                <w:sz w:val="22"/>
                <w:szCs w:val="22"/>
                <w:lang w:val="de-DE"/>
                <w:rPrChange w:id="13371" w:author="Author">
                  <w:rPr>
                    <w:ins w:id="13372" w:author="Author"/>
                    <w:rFonts w:ascii="Times New Roman" w:hAnsi="Times New Roman"/>
                    <w:b/>
                    <w:noProof/>
                    <w:sz w:val="22"/>
                    <w:szCs w:val="22"/>
                  </w:rPr>
                </w:rPrChange>
              </w:rPr>
            </w:pPr>
            <w:ins w:id="13373" w:author="Author">
              <w:r>
                <w:rPr>
                  <w:rFonts w:ascii="Times New Roman" w:hAnsi="Times New Roman"/>
                  <w:b/>
                  <w:noProof/>
                  <w:sz w:val="22"/>
                  <w:szCs w:val="22"/>
                  <w:lang w:val="de-DE"/>
                  <w:rPrChange w:id="13374" w:author="Author">
                    <w:rPr>
                      <w:rFonts w:ascii="Times New Roman" w:hAnsi="Times New Roman"/>
                      <w:b/>
                      <w:noProof/>
                      <w:sz w:val="22"/>
                      <w:szCs w:val="22"/>
                    </w:rPr>
                  </w:rPrChange>
                </w:rPr>
                <w:t>Česká republika</w:t>
              </w:r>
            </w:ins>
          </w:p>
          <w:p>
            <w:pPr>
              <w:pStyle w:val="Standard1"/>
              <w:rPr>
                <w:ins w:id="13375" w:author="Author"/>
                <w:rFonts w:ascii="Times New Roman" w:hAnsi="Times New Roman"/>
                <w:bCs/>
                <w:noProof/>
                <w:sz w:val="22"/>
                <w:szCs w:val="22"/>
                <w:lang w:val="de-DE"/>
                <w:rPrChange w:id="13376" w:author="Author">
                  <w:rPr>
                    <w:ins w:id="13377" w:author="Author"/>
                    <w:rFonts w:ascii="Times New Roman" w:hAnsi="Times New Roman"/>
                    <w:bCs/>
                    <w:noProof/>
                    <w:sz w:val="22"/>
                    <w:szCs w:val="22"/>
                  </w:rPr>
                </w:rPrChange>
              </w:rPr>
            </w:pPr>
            <w:ins w:id="13378" w:author="Author">
              <w:r>
                <w:rPr>
                  <w:rFonts w:ascii="Times New Roman" w:hAnsi="Times New Roman"/>
                  <w:bCs/>
                  <w:noProof/>
                  <w:sz w:val="22"/>
                  <w:szCs w:val="22"/>
                  <w:lang w:val="de-DE"/>
                  <w:rPrChange w:id="13379" w:author="Author">
                    <w:rPr>
                      <w:rFonts w:ascii="Times New Roman" w:hAnsi="Times New Roman"/>
                      <w:bCs/>
                      <w:noProof/>
                      <w:sz w:val="22"/>
                      <w:szCs w:val="22"/>
                    </w:rPr>
                  </w:rPrChange>
                </w:rPr>
                <w:t>Roche s. r. o.</w:t>
              </w:r>
            </w:ins>
          </w:p>
          <w:p>
            <w:pPr>
              <w:pStyle w:val="Standard1"/>
              <w:rPr>
                <w:ins w:id="13380" w:author="Author"/>
                <w:rFonts w:ascii="Times New Roman" w:hAnsi="Times New Roman"/>
                <w:bCs/>
                <w:noProof/>
                <w:sz w:val="22"/>
                <w:szCs w:val="22"/>
                <w:lang w:val="de-DE"/>
                <w:rPrChange w:id="13381" w:author="Author">
                  <w:rPr>
                    <w:ins w:id="13382" w:author="Author"/>
                    <w:rFonts w:ascii="Times New Roman" w:hAnsi="Times New Roman"/>
                    <w:bCs/>
                    <w:noProof/>
                    <w:sz w:val="22"/>
                    <w:szCs w:val="22"/>
                  </w:rPr>
                </w:rPrChange>
              </w:rPr>
            </w:pPr>
            <w:ins w:id="13383" w:author="Author">
              <w:r>
                <w:rPr>
                  <w:rFonts w:ascii="Times New Roman" w:hAnsi="Times New Roman"/>
                  <w:bCs/>
                  <w:noProof/>
                  <w:sz w:val="22"/>
                  <w:szCs w:val="22"/>
                  <w:lang w:val="de-DE"/>
                  <w:rPrChange w:id="13384" w:author="Author">
                    <w:rPr>
                      <w:rFonts w:ascii="Times New Roman" w:hAnsi="Times New Roman"/>
                      <w:bCs/>
                      <w:noProof/>
                      <w:sz w:val="22"/>
                      <w:szCs w:val="22"/>
                    </w:rPr>
                  </w:rPrChange>
                </w:rPr>
                <w:t>Tel: +420 - 2 20382111</w:t>
              </w:r>
            </w:ins>
          </w:p>
          <w:p>
            <w:pPr>
              <w:pStyle w:val="Standard1"/>
              <w:rPr>
                <w:ins w:id="13385" w:author="Author"/>
                <w:rFonts w:ascii="Times New Roman" w:hAnsi="Times New Roman"/>
                <w:b/>
                <w:noProof/>
                <w:sz w:val="22"/>
                <w:szCs w:val="22"/>
                <w:lang w:val="de-DE"/>
                <w:rPrChange w:id="13386" w:author="Author">
                  <w:rPr>
                    <w:ins w:id="13387" w:author="Author"/>
                    <w:rFonts w:ascii="Times New Roman" w:hAnsi="Times New Roman"/>
                    <w:b/>
                    <w:noProof/>
                    <w:sz w:val="22"/>
                    <w:szCs w:val="22"/>
                  </w:rPr>
                </w:rPrChange>
              </w:rPr>
            </w:pPr>
          </w:p>
        </w:tc>
        <w:tc>
          <w:tcPr>
            <w:tcW w:w="4590" w:type="dxa"/>
          </w:tcPr>
          <w:p>
            <w:pPr>
              <w:pStyle w:val="Standard1"/>
              <w:rPr>
                <w:ins w:id="13388" w:author="Author"/>
                <w:rFonts w:ascii="Times New Roman" w:hAnsi="Times New Roman"/>
                <w:b/>
                <w:bCs/>
                <w:noProof/>
                <w:sz w:val="22"/>
                <w:szCs w:val="22"/>
                <w:lang w:val="en-US"/>
                <w:rPrChange w:id="13389" w:author="TCS" w:date="2026-03-20T12:48:00Z">
                  <w:rPr>
                    <w:ins w:id="13390" w:author="Author"/>
                    <w:rFonts w:ascii="Times New Roman" w:hAnsi="Times New Roman"/>
                    <w:b/>
                    <w:bCs/>
                    <w:noProof/>
                    <w:sz w:val="22"/>
                    <w:szCs w:val="22"/>
                  </w:rPr>
                </w:rPrChange>
              </w:rPr>
            </w:pPr>
            <w:ins w:id="13391" w:author="Author">
              <w:r>
                <w:rPr>
                  <w:rFonts w:ascii="Times New Roman" w:hAnsi="Times New Roman"/>
                  <w:b/>
                  <w:bCs/>
                  <w:noProof/>
                  <w:sz w:val="22"/>
                  <w:szCs w:val="22"/>
                  <w:lang w:val="en-US"/>
                  <w:rPrChange w:id="13392" w:author="TCS" w:date="2026-03-20T12:48:00Z">
                    <w:rPr>
                      <w:rFonts w:ascii="Times New Roman" w:hAnsi="Times New Roman"/>
                      <w:b/>
                      <w:bCs/>
                      <w:noProof/>
                      <w:sz w:val="22"/>
                      <w:szCs w:val="22"/>
                    </w:rPr>
                  </w:rPrChange>
                </w:rPr>
                <w:t>Magyarország</w:t>
              </w:r>
            </w:ins>
          </w:p>
          <w:p>
            <w:pPr>
              <w:pStyle w:val="Standard1"/>
              <w:rPr>
                <w:ins w:id="13393" w:author="Author"/>
                <w:rFonts w:ascii="Times New Roman" w:hAnsi="Times New Roman"/>
                <w:noProof/>
                <w:sz w:val="22"/>
                <w:szCs w:val="22"/>
                <w:lang w:val="en-US"/>
                <w:rPrChange w:id="13394" w:author="TCS" w:date="2026-03-20T12:48:00Z">
                  <w:rPr>
                    <w:ins w:id="13395" w:author="Author"/>
                    <w:rFonts w:ascii="Times New Roman" w:hAnsi="Times New Roman"/>
                    <w:noProof/>
                    <w:sz w:val="22"/>
                    <w:szCs w:val="22"/>
                  </w:rPr>
                </w:rPrChange>
              </w:rPr>
            </w:pPr>
            <w:ins w:id="13396" w:author="Author">
              <w:r>
                <w:rPr>
                  <w:rFonts w:ascii="Times New Roman" w:hAnsi="Times New Roman"/>
                  <w:noProof/>
                  <w:sz w:val="22"/>
                  <w:szCs w:val="22"/>
                  <w:lang w:val="en-US"/>
                  <w:rPrChange w:id="13397" w:author="TCS" w:date="2026-03-20T12:48:00Z">
                    <w:rPr>
                      <w:rFonts w:ascii="Times New Roman" w:hAnsi="Times New Roman"/>
                      <w:noProof/>
                      <w:sz w:val="22"/>
                      <w:szCs w:val="22"/>
                    </w:rPr>
                  </w:rPrChange>
                </w:rPr>
                <w:t>Roche (Magyarország) Kft.</w:t>
              </w:r>
            </w:ins>
          </w:p>
          <w:p>
            <w:pPr>
              <w:pStyle w:val="Standard1"/>
              <w:rPr>
                <w:ins w:id="13398" w:author="Author"/>
                <w:rFonts w:ascii="Times New Roman" w:hAnsi="Times New Roman"/>
                <w:noProof/>
                <w:sz w:val="22"/>
                <w:szCs w:val="22"/>
                <w:lang w:val="en-US"/>
                <w:rPrChange w:id="13399" w:author="TCS" w:date="2026-03-20T12:48:00Z">
                  <w:rPr>
                    <w:ins w:id="13400" w:author="Author"/>
                    <w:rFonts w:ascii="Times New Roman" w:hAnsi="Times New Roman"/>
                    <w:noProof/>
                    <w:sz w:val="22"/>
                    <w:szCs w:val="22"/>
                  </w:rPr>
                </w:rPrChange>
              </w:rPr>
            </w:pPr>
            <w:ins w:id="13401" w:author="Author">
              <w:r>
                <w:rPr>
                  <w:rFonts w:ascii="Times New Roman" w:hAnsi="Times New Roman"/>
                  <w:noProof/>
                  <w:sz w:val="22"/>
                  <w:szCs w:val="22"/>
                  <w:lang w:val="en-US"/>
                  <w:rPrChange w:id="13402" w:author="TCS" w:date="2026-03-20T12:48:00Z">
                    <w:rPr>
                      <w:rFonts w:ascii="Times New Roman" w:hAnsi="Times New Roman"/>
                      <w:noProof/>
                      <w:sz w:val="22"/>
                      <w:szCs w:val="22"/>
                    </w:rPr>
                  </w:rPrChange>
                </w:rPr>
                <w:t>Tel: +36 - 1 279 4500</w:t>
              </w:r>
            </w:ins>
          </w:p>
          <w:p>
            <w:pPr>
              <w:pStyle w:val="Standard1"/>
              <w:rPr>
                <w:ins w:id="13403" w:author="Author"/>
                <w:rFonts w:ascii="Times New Roman" w:hAnsi="Times New Roman"/>
                <w:noProof/>
                <w:sz w:val="22"/>
                <w:szCs w:val="22"/>
                <w:lang w:val="en-US"/>
                <w:rPrChange w:id="13404" w:author="TCS" w:date="2026-03-20T12:48:00Z">
                  <w:rPr>
                    <w:ins w:id="13405" w:author="Author"/>
                    <w:rFonts w:ascii="Times New Roman" w:hAnsi="Times New Roman"/>
                    <w:noProof/>
                    <w:sz w:val="22"/>
                    <w:szCs w:val="22"/>
                  </w:rPr>
                </w:rPrChange>
              </w:rPr>
            </w:pPr>
          </w:p>
        </w:tc>
      </w:tr>
      <w:tr>
        <w:trPr>
          <w:cantSplit/>
          <w:ins w:id="13406" w:author="Author"/>
        </w:trPr>
        <w:tc>
          <w:tcPr>
            <w:tcW w:w="4590" w:type="dxa"/>
          </w:tcPr>
          <w:p>
            <w:pPr>
              <w:pStyle w:val="Standard1"/>
              <w:rPr>
                <w:ins w:id="13407" w:author="Author"/>
                <w:rFonts w:ascii="Times New Roman" w:hAnsi="Times New Roman"/>
                <w:b/>
                <w:noProof/>
                <w:sz w:val="22"/>
                <w:szCs w:val="22"/>
                <w:lang w:val="en-US"/>
                <w:rPrChange w:id="13408" w:author="Author">
                  <w:rPr>
                    <w:ins w:id="13409" w:author="Author"/>
                    <w:rFonts w:ascii="Times New Roman" w:hAnsi="Times New Roman"/>
                    <w:b/>
                    <w:noProof/>
                    <w:sz w:val="22"/>
                    <w:szCs w:val="22"/>
                  </w:rPr>
                </w:rPrChange>
              </w:rPr>
            </w:pPr>
            <w:ins w:id="13410" w:author="Author">
              <w:r>
                <w:rPr>
                  <w:rFonts w:ascii="Times New Roman" w:hAnsi="Times New Roman"/>
                  <w:b/>
                  <w:noProof/>
                  <w:sz w:val="22"/>
                  <w:szCs w:val="22"/>
                  <w:lang w:val="en-US"/>
                  <w:rPrChange w:id="13411" w:author="Author">
                    <w:rPr>
                      <w:rFonts w:ascii="Times New Roman" w:hAnsi="Times New Roman"/>
                      <w:b/>
                      <w:noProof/>
                      <w:sz w:val="22"/>
                      <w:szCs w:val="22"/>
                    </w:rPr>
                  </w:rPrChange>
                </w:rPr>
                <w:t>Danmark</w:t>
              </w:r>
            </w:ins>
          </w:p>
          <w:p>
            <w:pPr>
              <w:pStyle w:val="Standard1"/>
              <w:rPr>
                <w:ins w:id="13412" w:author="Author"/>
                <w:rFonts w:ascii="Times New Roman" w:hAnsi="Times New Roman"/>
                <w:bCs/>
                <w:noProof/>
                <w:sz w:val="22"/>
                <w:szCs w:val="22"/>
                <w:lang w:val="en-US"/>
                <w:rPrChange w:id="13413" w:author="Author">
                  <w:rPr>
                    <w:ins w:id="13414" w:author="Author"/>
                    <w:rFonts w:ascii="Times New Roman" w:hAnsi="Times New Roman"/>
                    <w:bCs/>
                    <w:noProof/>
                    <w:sz w:val="22"/>
                    <w:szCs w:val="22"/>
                  </w:rPr>
                </w:rPrChange>
              </w:rPr>
            </w:pPr>
            <w:ins w:id="13415" w:author="Author">
              <w:r>
                <w:rPr>
                  <w:rFonts w:ascii="Times New Roman" w:hAnsi="Times New Roman"/>
                  <w:bCs/>
                  <w:noProof/>
                  <w:sz w:val="22"/>
                  <w:szCs w:val="22"/>
                  <w:lang w:val="en-US"/>
                  <w:rPrChange w:id="13416" w:author="Author">
                    <w:rPr>
                      <w:rFonts w:ascii="Times New Roman" w:hAnsi="Times New Roman"/>
                      <w:bCs/>
                      <w:noProof/>
                      <w:sz w:val="22"/>
                      <w:szCs w:val="22"/>
                    </w:rPr>
                  </w:rPrChange>
                </w:rPr>
                <w:t>Roche Pharmaceuticals A/S</w:t>
              </w:r>
            </w:ins>
          </w:p>
          <w:p>
            <w:pPr>
              <w:pStyle w:val="Standard1"/>
              <w:rPr>
                <w:ins w:id="13417" w:author="Author"/>
                <w:rFonts w:ascii="Times New Roman" w:hAnsi="Times New Roman"/>
                <w:bCs/>
                <w:noProof/>
                <w:sz w:val="22"/>
                <w:szCs w:val="22"/>
                <w:lang w:val="en-US"/>
                <w:rPrChange w:id="13418" w:author="Author">
                  <w:rPr>
                    <w:ins w:id="13419" w:author="Author"/>
                    <w:rFonts w:ascii="Times New Roman" w:hAnsi="Times New Roman"/>
                    <w:bCs/>
                    <w:noProof/>
                    <w:sz w:val="22"/>
                    <w:szCs w:val="22"/>
                  </w:rPr>
                </w:rPrChange>
              </w:rPr>
            </w:pPr>
            <w:ins w:id="13420" w:author="Author">
              <w:r>
                <w:rPr>
                  <w:rFonts w:ascii="Times New Roman" w:hAnsi="Times New Roman"/>
                  <w:bCs/>
                  <w:noProof/>
                  <w:sz w:val="22"/>
                  <w:szCs w:val="22"/>
                  <w:lang w:val="en-US"/>
                  <w:rPrChange w:id="13421" w:author="Author">
                    <w:rPr>
                      <w:rFonts w:ascii="Times New Roman" w:hAnsi="Times New Roman"/>
                      <w:bCs/>
                      <w:noProof/>
                      <w:sz w:val="22"/>
                      <w:szCs w:val="22"/>
                    </w:rPr>
                  </w:rPrChange>
                </w:rPr>
                <w:t>Tlf.: +45 - 36 39 99 99</w:t>
              </w:r>
            </w:ins>
          </w:p>
          <w:p>
            <w:pPr>
              <w:pStyle w:val="Standard1"/>
              <w:rPr>
                <w:ins w:id="13422" w:author="Author"/>
                <w:rFonts w:ascii="Times New Roman" w:hAnsi="Times New Roman"/>
                <w:b/>
                <w:noProof/>
                <w:sz w:val="22"/>
                <w:szCs w:val="22"/>
                <w:lang w:val="en-US"/>
                <w:rPrChange w:id="13423" w:author="Author">
                  <w:rPr>
                    <w:ins w:id="13424" w:author="Author"/>
                    <w:rFonts w:ascii="Times New Roman" w:hAnsi="Times New Roman"/>
                    <w:b/>
                    <w:noProof/>
                    <w:sz w:val="22"/>
                    <w:szCs w:val="22"/>
                  </w:rPr>
                </w:rPrChange>
              </w:rPr>
            </w:pPr>
          </w:p>
        </w:tc>
        <w:tc>
          <w:tcPr>
            <w:tcW w:w="4590" w:type="dxa"/>
          </w:tcPr>
          <w:p>
            <w:pPr>
              <w:pStyle w:val="Standard1"/>
              <w:rPr>
                <w:ins w:id="13425" w:author="Author"/>
                <w:rFonts w:ascii="Times New Roman" w:hAnsi="Times New Roman"/>
                <w:b/>
                <w:bCs/>
                <w:noProof/>
                <w:sz w:val="22"/>
                <w:szCs w:val="22"/>
                <w:lang w:val="nl-NL"/>
                <w:rPrChange w:id="13426" w:author="TCS" w:date="2026-03-20T12:48:00Z">
                  <w:rPr>
                    <w:ins w:id="13427" w:author="Author"/>
                    <w:rFonts w:ascii="Times New Roman" w:hAnsi="Times New Roman"/>
                    <w:b/>
                    <w:bCs/>
                    <w:noProof/>
                    <w:sz w:val="22"/>
                    <w:szCs w:val="22"/>
                  </w:rPr>
                </w:rPrChange>
              </w:rPr>
            </w:pPr>
            <w:ins w:id="13428" w:author="Author">
              <w:r>
                <w:rPr>
                  <w:rFonts w:ascii="Times New Roman" w:hAnsi="Times New Roman"/>
                  <w:b/>
                  <w:bCs/>
                  <w:noProof/>
                  <w:sz w:val="22"/>
                  <w:szCs w:val="22"/>
                  <w:lang w:val="nl-NL"/>
                  <w:rPrChange w:id="13429" w:author="TCS" w:date="2026-03-20T12:48:00Z">
                    <w:rPr>
                      <w:rFonts w:ascii="Times New Roman" w:hAnsi="Times New Roman"/>
                      <w:b/>
                      <w:bCs/>
                      <w:noProof/>
                      <w:sz w:val="22"/>
                      <w:szCs w:val="22"/>
                    </w:rPr>
                  </w:rPrChange>
                </w:rPr>
                <w:t>Nederland</w:t>
              </w:r>
            </w:ins>
          </w:p>
          <w:p>
            <w:pPr>
              <w:pStyle w:val="Standard1"/>
              <w:rPr>
                <w:ins w:id="13430" w:author="Author"/>
                <w:rFonts w:ascii="Times New Roman" w:hAnsi="Times New Roman"/>
                <w:noProof/>
                <w:sz w:val="22"/>
                <w:szCs w:val="22"/>
                <w:lang w:val="nl-NL"/>
                <w:rPrChange w:id="13431" w:author="TCS" w:date="2026-03-20T12:48:00Z">
                  <w:rPr>
                    <w:ins w:id="13432" w:author="Author"/>
                    <w:rFonts w:ascii="Times New Roman" w:hAnsi="Times New Roman"/>
                    <w:noProof/>
                    <w:sz w:val="22"/>
                    <w:szCs w:val="22"/>
                  </w:rPr>
                </w:rPrChange>
              </w:rPr>
            </w:pPr>
            <w:ins w:id="13433" w:author="Author">
              <w:r>
                <w:rPr>
                  <w:rFonts w:ascii="Times New Roman" w:hAnsi="Times New Roman"/>
                  <w:noProof/>
                  <w:sz w:val="22"/>
                  <w:szCs w:val="22"/>
                  <w:lang w:val="nl-NL"/>
                  <w:rPrChange w:id="13434" w:author="TCS" w:date="2026-03-20T12:48:00Z">
                    <w:rPr>
                      <w:rFonts w:ascii="Times New Roman" w:hAnsi="Times New Roman"/>
                      <w:noProof/>
                      <w:sz w:val="22"/>
                      <w:szCs w:val="22"/>
                    </w:rPr>
                  </w:rPrChange>
                </w:rPr>
                <w:t>Roche Nederland B.V.</w:t>
              </w:r>
            </w:ins>
          </w:p>
          <w:p>
            <w:pPr>
              <w:pStyle w:val="Standard1"/>
              <w:rPr>
                <w:ins w:id="13435" w:author="Author"/>
                <w:rFonts w:ascii="Times New Roman" w:hAnsi="Times New Roman"/>
                <w:noProof/>
                <w:sz w:val="22"/>
                <w:szCs w:val="22"/>
              </w:rPr>
            </w:pPr>
            <w:ins w:id="13436" w:author="Author">
              <w:r>
                <w:rPr>
                  <w:rFonts w:ascii="Times New Roman" w:hAnsi="Times New Roman"/>
                  <w:noProof/>
                  <w:sz w:val="22"/>
                  <w:szCs w:val="22"/>
                </w:rPr>
                <w:t>Tel: +31 (0) 348 438050</w:t>
              </w:r>
            </w:ins>
          </w:p>
          <w:p>
            <w:pPr>
              <w:pStyle w:val="Standard1"/>
              <w:rPr>
                <w:ins w:id="13437" w:author="Author"/>
                <w:rFonts w:ascii="Times New Roman" w:hAnsi="Times New Roman"/>
                <w:noProof/>
                <w:sz w:val="22"/>
                <w:szCs w:val="22"/>
              </w:rPr>
            </w:pPr>
          </w:p>
        </w:tc>
      </w:tr>
      <w:tr>
        <w:trPr>
          <w:cantSplit/>
          <w:ins w:id="13438" w:author="Author"/>
        </w:trPr>
        <w:tc>
          <w:tcPr>
            <w:tcW w:w="4590" w:type="dxa"/>
          </w:tcPr>
          <w:p>
            <w:pPr>
              <w:pStyle w:val="Standard1"/>
              <w:rPr>
                <w:ins w:id="13439" w:author="Author"/>
                <w:rFonts w:ascii="Times New Roman" w:hAnsi="Times New Roman"/>
                <w:b/>
                <w:noProof/>
                <w:sz w:val="22"/>
                <w:szCs w:val="22"/>
                <w:lang w:val="de-DE"/>
                <w:rPrChange w:id="13440" w:author="Author">
                  <w:rPr>
                    <w:ins w:id="13441" w:author="Author"/>
                    <w:rFonts w:ascii="Times New Roman" w:hAnsi="Times New Roman"/>
                    <w:b/>
                    <w:noProof/>
                    <w:sz w:val="22"/>
                    <w:szCs w:val="22"/>
                  </w:rPr>
                </w:rPrChange>
              </w:rPr>
            </w:pPr>
            <w:ins w:id="13442" w:author="Author">
              <w:r>
                <w:rPr>
                  <w:rFonts w:ascii="Times New Roman" w:hAnsi="Times New Roman"/>
                  <w:b/>
                  <w:noProof/>
                  <w:sz w:val="22"/>
                  <w:szCs w:val="22"/>
                  <w:lang w:val="de-DE"/>
                  <w:rPrChange w:id="13443" w:author="Author">
                    <w:rPr>
                      <w:rFonts w:ascii="Times New Roman" w:hAnsi="Times New Roman"/>
                      <w:b/>
                      <w:noProof/>
                      <w:sz w:val="22"/>
                      <w:szCs w:val="22"/>
                    </w:rPr>
                  </w:rPrChange>
                </w:rPr>
                <w:t>Deutschland</w:t>
              </w:r>
            </w:ins>
          </w:p>
          <w:p>
            <w:pPr>
              <w:pStyle w:val="Standard1"/>
              <w:rPr>
                <w:ins w:id="13444" w:author="Author"/>
                <w:rFonts w:ascii="Times New Roman" w:hAnsi="Times New Roman"/>
                <w:bCs/>
                <w:noProof/>
                <w:sz w:val="22"/>
                <w:szCs w:val="22"/>
                <w:lang w:val="de-DE"/>
                <w:rPrChange w:id="13445" w:author="Author">
                  <w:rPr>
                    <w:ins w:id="13446" w:author="Author"/>
                    <w:rFonts w:ascii="Times New Roman" w:hAnsi="Times New Roman"/>
                    <w:bCs/>
                    <w:noProof/>
                    <w:sz w:val="22"/>
                    <w:szCs w:val="22"/>
                  </w:rPr>
                </w:rPrChange>
              </w:rPr>
            </w:pPr>
            <w:ins w:id="13447" w:author="Author">
              <w:r>
                <w:rPr>
                  <w:rFonts w:ascii="Times New Roman" w:hAnsi="Times New Roman"/>
                  <w:bCs/>
                  <w:noProof/>
                  <w:sz w:val="22"/>
                  <w:szCs w:val="22"/>
                  <w:lang w:val="de-DE"/>
                  <w:rPrChange w:id="13448" w:author="Author">
                    <w:rPr>
                      <w:rFonts w:ascii="Times New Roman" w:hAnsi="Times New Roman"/>
                      <w:bCs/>
                      <w:noProof/>
                      <w:sz w:val="22"/>
                      <w:szCs w:val="22"/>
                    </w:rPr>
                  </w:rPrChange>
                </w:rPr>
                <w:t>Roche Pharma AG</w:t>
              </w:r>
            </w:ins>
          </w:p>
          <w:p>
            <w:pPr>
              <w:pStyle w:val="Standard1"/>
              <w:rPr>
                <w:ins w:id="13449" w:author="Author"/>
                <w:rFonts w:ascii="Times New Roman" w:hAnsi="Times New Roman"/>
                <w:b/>
                <w:noProof/>
                <w:sz w:val="22"/>
                <w:szCs w:val="22"/>
                <w:lang w:val="de-DE"/>
                <w:rPrChange w:id="13450" w:author="Author">
                  <w:rPr>
                    <w:ins w:id="13451" w:author="Author"/>
                    <w:rFonts w:ascii="Times New Roman" w:hAnsi="Times New Roman"/>
                    <w:b/>
                    <w:noProof/>
                    <w:sz w:val="22"/>
                    <w:szCs w:val="22"/>
                  </w:rPr>
                </w:rPrChange>
              </w:rPr>
            </w:pPr>
            <w:ins w:id="13452" w:author="Author">
              <w:r>
                <w:rPr>
                  <w:rFonts w:ascii="Times New Roman" w:hAnsi="Times New Roman"/>
                  <w:bCs/>
                  <w:noProof/>
                  <w:sz w:val="22"/>
                  <w:szCs w:val="22"/>
                  <w:lang w:val="de-DE"/>
                  <w:rPrChange w:id="13453" w:author="Author">
                    <w:rPr>
                      <w:rFonts w:ascii="Times New Roman" w:hAnsi="Times New Roman"/>
                      <w:bCs/>
                      <w:noProof/>
                      <w:sz w:val="22"/>
                      <w:szCs w:val="22"/>
                    </w:rPr>
                  </w:rPrChange>
                </w:rPr>
                <w:t>Tel: +49 (0) 7624 140</w:t>
              </w:r>
              <w:r>
                <w:rPr>
                  <w:rFonts w:ascii="Times New Roman" w:hAnsi="Times New Roman"/>
                  <w:b/>
                  <w:noProof/>
                  <w:sz w:val="22"/>
                  <w:szCs w:val="22"/>
                  <w:lang w:val="de-DE"/>
                  <w:rPrChange w:id="13454" w:author="Author">
                    <w:rPr>
                      <w:rFonts w:ascii="Times New Roman" w:hAnsi="Times New Roman"/>
                      <w:b/>
                      <w:noProof/>
                      <w:sz w:val="22"/>
                      <w:szCs w:val="22"/>
                    </w:rPr>
                  </w:rPrChange>
                </w:rPr>
                <w:t xml:space="preserve"> </w:t>
              </w:r>
            </w:ins>
          </w:p>
          <w:p>
            <w:pPr>
              <w:pStyle w:val="Standard1"/>
              <w:rPr>
                <w:ins w:id="13455" w:author="Author"/>
                <w:rFonts w:ascii="Times New Roman" w:hAnsi="Times New Roman"/>
                <w:b/>
                <w:noProof/>
                <w:sz w:val="22"/>
                <w:szCs w:val="22"/>
                <w:lang w:val="de-DE"/>
                <w:rPrChange w:id="13456" w:author="Author">
                  <w:rPr>
                    <w:ins w:id="13457" w:author="Author"/>
                    <w:rFonts w:ascii="Times New Roman" w:hAnsi="Times New Roman"/>
                    <w:b/>
                    <w:noProof/>
                    <w:sz w:val="22"/>
                    <w:szCs w:val="22"/>
                  </w:rPr>
                </w:rPrChange>
              </w:rPr>
            </w:pPr>
          </w:p>
        </w:tc>
        <w:tc>
          <w:tcPr>
            <w:tcW w:w="4590" w:type="dxa"/>
          </w:tcPr>
          <w:p>
            <w:pPr>
              <w:pStyle w:val="Standard1"/>
              <w:rPr>
                <w:ins w:id="13458" w:author="Author"/>
                <w:rFonts w:ascii="Times New Roman" w:hAnsi="Times New Roman"/>
                <w:b/>
                <w:bCs/>
                <w:noProof/>
                <w:sz w:val="22"/>
                <w:szCs w:val="22"/>
                <w:lang w:val="en-US"/>
                <w:rPrChange w:id="13459" w:author="Author">
                  <w:rPr>
                    <w:ins w:id="13460" w:author="Author"/>
                    <w:rFonts w:ascii="Times New Roman" w:hAnsi="Times New Roman"/>
                    <w:b/>
                    <w:bCs/>
                    <w:noProof/>
                    <w:sz w:val="22"/>
                    <w:szCs w:val="22"/>
                  </w:rPr>
                </w:rPrChange>
              </w:rPr>
            </w:pPr>
            <w:ins w:id="13461" w:author="Author">
              <w:r>
                <w:rPr>
                  <w:rFonts w:ascii="Times New Roman" w:hAnsi="Times New Roman"/>
                  <w:b/>
                  <w:bCs/>
                  <w:noProof/>
                  <w:sz w:val="22"/>
                  <w:szCs w:val="22"/>
                  <w:lang w:val="en-US"/>
                  <w:rPrChange w:id="13462" w:author="Author">
                    <w:rPr>
                      <w:rFonts w:ascii="Times New Roman" w:hAnsi="Times New Roman"/>
                      <w:b/>
                      <w:bCs/>
                      <w:noProof/>
                      <w:sz w:val="22"/>
                      <w:szCs w:val="22"/>
                    </w:rPr>
                  </w:rPrChange>
                </w:rPr>
                <w:t>Norge</w:t>
              </w:r>
            </w:ins>
          </w:p>
          <w:p>
            <w:pPr>
              <w:pStyle w:val="Standard1"/>
              <w:rPr>
                <w:ins w:id="13463" w:author="Author"/>
                <w:rFonts w:ascii="Times New Roman" w:hAnsi="Times New Roman"/>
                <w:noProof/>
                <w:sz w:val="22"/>
                <w:szCs w:val="22"/>
                <w:lang w:val="en-US"/>
                <w:rPrChange w:id="13464" w:author="Author">
                  <w:rPr>
                    <w:ins w:id="13465" w:author="Author"/>
                    <w:rFonts w:ascii="Times New Roman" w:hAnsi="Times New Roman"/>
                    <w:noProof/>
                    <w:sz w:val="22"/>
                    <w:szCs w:val="22"/>
                  </w:rPr>
                </w:rPrChange>
              </w:rPr>
            </w:pPr>
            <w:ins w:id="13466" w:author="Author">
              <w:r>
                <w:rPr>
                  <w:rFonts w:ascii="Times New Roman" w:hAnsi="Times New Roman"/>
                  <w:noProof/>
                  <w:sz w:val="22"/>
                  <w:szCs w:val="22"/>
                  <w:lang w:val="en-US"/>
                  <w:rPrChange w:id="13467" w:author="Author">
                    <w:rPr>
                      <w:rFonts w:ascii="Times New Roman" w:hAnsi="Times New Roman"/>
                      <w:noProof/>
                      <w:sz w:val="22"/>
                      <w:szCs w:val="22"/>
                    </w:rPr>
                  </w:rPrChange>
                </w:rPr>
                <w:t>Roche Norge AS</w:t>
              </w:r>
            </w:ins>
          </w:p>
          <w:p>
            <w:pPr>
              <w:pStyle w:val="Standard1"/>
              <w:rPr>
                <w:ins w:id="13468" w:author="Author"/>
                <w:rFonts w:ascii="Times New Roman" w:hAnsi="Times New Roman"/>
                <w:noProof/>
                <w:sz w:val="22"/>
                <w:szCs w:val="22"/>
                <w:lang w:val="en-US"/>
                <w:rPrChange w:id="13469" w:author="Author">
                  <w:rPr>
                    <w:ins w:id="13470" w:author="Author"/>
                    <w:rFonts w:ascii="Times New Roman" w:hAnsi="Times New Roman"/>
                    <w:noProof/>
                    <w:sz w:val="22"/>
                    <w:szCs w:val="22"/>
                  </w:rPr>
                </w:rPrChange>
              </w:rPr>
            </w:pPr>
            <w:ins w:id="13471" w:author="Author">
              <w:r>
                <w:rPr>
                  <w:rFonts w:ascii="Times New Roman" w:hAnsi="Times New Roman"/>
                  <w:noProof/>
                  <w:sz w:val="22"/>
                  <w:szCs w:val="22"/>
                  <w:lang w:val="en-US"/>
                  <w:rPrChange w:id="13472" w:author="Author">
                    <w:rPr>
                      <w:rFonts w:ascii="Times New Roman" w:hAnsi="Times New Roman"/>
                      <w:noProof/>
                      <w:sz w:val="22"/>
                      <w:szCs w:val="22"/>
                    </w:rPr>
                  </w:rPrChange>
                </w:rPr>
                <w:t>Tlf: +47 - 22 78 90 00</w:t>
              </w:r>
            </w:ins>
          </w:p>
          <w:p>
            <w:pPr>
              <w:pStyle w:val="Standard1"/>
              <w:rPr>
                <w:ins w:id="13473" w:author="Author"/>
                <w:rFonts w:ascii="Times New Roman" w:hAnsi="Times New Roman"/>
                <w:noProof/>
                <w:sz w:val="22"/>
                <w:szCs w:val="22"/>
                <w:lang w:val="en-US"/>
                <w:rPrChange w:id="13474" w:author="Author">
                  <w:rPr>
                    <w:ins w:id="13475" w:author="Author"/>
                    <w:rFonts w:ascii="Times New Roman" w:hAnsi="Times New Roman"/>
                    <w:noProof/>
                    <w:sz w:val="22"/>
                    <w:szCs w:val="22"/>
                  </w:rPr>
                </w:rPrChange>
              </w:rPr>
            </w:pPr>
          </w:p>
        </w:tc>
      </w:tr>
      <w:tr>
        <w:trPr>
          <w:cantSplit/>
          <w:ins w:id="13476" w:author="Author"/>
        </w:trPr>
        <w:tc>
          <w:tcPr>
            <w:tcW w:w="4590" w:type="dxa"/>
          </w:tcPr>
          <w:p>
            <w:pPr>
              <w:pStyle w:val="Standard1"/>
              <w:rPr>
                <w:ins w:id="13477" w:author="Author"/>
                <w:rFonts w:ascii="Times New Roman" w:hAnsi="Times New Roman"/>
                <w:b/>
                <w:noProof/>
                <w:sz w:val="22"/>
                <w:szCs w:val="22"/>
              </w:rPr>
            </w:pPr>
            <w:ins w:id="13478" w:author="Author">
              <w:r>
                <w:rPr>
                  <w:rFonts w:ascii="Times New Roman" w:hAnsi="Times New Roman"/>
                  <w:b/>
                  <w:noProof/>
                  <w:sz w:val="22"/>
                  <w:szCs w:val="22"/>
                </w:rPr>
                <w:lastRenderedPageBreak/>
                <w:t>Eesti</w:t>
              </w:r>
            </w:ins>
          </w:p>
          <w:p>
            <w:pPr>
              <w:pStyle w:val="Standard1"/>
              <w:rPr>
                <w:ins w:id="13479" w:author="Author"/>
                <w:rFonts w:ascii="Times New Roman" w:hAnsi="Times New Roman"/>
                <w:bCs/>
                <w:noProof/>
                <w:sz w:val="22"/>
                <w:szCs w:val="22"/>
              </w:rPr>
            </w:pPr>
            <w:ins w:id="13480" w:author="Author">
              <w:r>
                <w:rPr>
                  <w:rFonts w:ascii="Times New Roman" w:hAnsi="Times New Roman"/>
                  <w:bCs/>
                  <w:noProof/>
                  <w:sz w:val="22"/>
                  <w:szCs w:val="22"/>
                </w:rPr>
                <w:t>Roche Eesti OÜ</w:t>
              </w:r>
            </w:ins>
          </w:p>
          <w:p>
            <w:pPr>
              <w:pStyle w:val="Standard1"/>
              <w:rPr>
                <w:ins w:id="13481" w:author="Author"/>
                <w:rFonts w:ascii="Times New Roman" w:hAnsi="Times New Roman"/>
                <w:bCs/>
                <w:noProof/>
                <w:sz w:val="22"/>
                <w:szCs w:val="22"/>
              </w:rPr>
            </w:pPr>
            <w:ins w:id="13482" w:author="Author">
              <w:r>
                <w:rPr>
                  <w:rFonts w:ascii="Times New Roman" w:hAnsi="Times New Roman"/>
                  <w:bCs/>
                  <w:noProof/>
                  <w:sz w:val="22"/>
                  <w:szCs w:val="22"/>
                </w:rPr>
                <w:t>Tel: + 372 - 6 177 380</w:t>
              </w:r>
            </w:ins>
          </w:p>
          <w:p>
            <w:pPr>
              <w:pStyle w:val="Standard1"/>
              <w:rPr>
                <w:ins w:id="13483" w:author="Author"/>
                <w:rFonts w:ascii="Times New Roman" w:hAnsi="Times New Roman"/>
                <w:b/>
                <w:noProof/>
                <w:sz w:val="22"/>
                <w:szCs w:val="22"/>
              </w:rPr>
            </w:pPr>
          </w:p>
        </w:tc>
        <w:tc>
          <w:tcPr>
            <w:tcW w:w="4590" w:type="dxa"/>
          </w:tcPr>
          <w:p>
            <w:pPr>
              <w:pStyle w:val="Standard1"/>
              <w:rPr>
                <w:ins w:id="13484" w:author="Author"/>
                <w:rFonts w:ascii="Times New Roman" w:hAnsi="Times New Roman"/>
                <w:b/>
                <w:bCs/>
                <w:noProof/>
                <w:sz w:val="22"/>
                <w:szCs w:val="22"/>
                <w:lang w:val="de-DE"/>
                <w:rPrChange w:id="13485" w:author="Author">
                  <w:rPr>
                    <w:ins w:id="13486" w:author="Author"/>
                    <w:rFonts w:ascii="Times New Roman" w:hAnsi="Times New Roman"/>
                    <w:b/>
                    <w:bCs/>
                    <w:noProof/>
                    <w:sz w:val="22"/>
                    <w:szCs w:val="22"/>
                  </w:rPr>
                </w:rPrChange>
              </w:rPr>
            </w:pPr>
            <w:ins w:id="13487" w:author="Author">
              <w:r>
                <w:rPr>
                  <w:rFonts w:ascii="Times New Roman" w:hAnsi="Times New Roman"/>
                  <w:b/>
                  <w:bCs/>
                  <w:noProof/>
                  <w:sz w:val="22"/>
                  <w:szCs w:val="22"/>
                  <w:lang w:val="de-DE"/>
                  <w:rPrChange w:id="13488" w:author="Author">
                    <w:rPr>
                      <w:rFonts w:ascii="Times New Roman" w:hAnsi="Times New Roman"/>
                      <w:b/>
                      <w:bCs/>
                      <w:noProof/>
                      <w:sz w:val="22"/>
                      <w:szCs w:val="22"/>
                    </w:rPr>
                  </w:rPrChange>
                </w:rPr>
                <w:t>Österreich</w:t>
              </w:r>
            </w:ins>
          </w:p>
          <w:p>
            <w:pPr>
              <w:pStyle w:val="Standard1"/>
              <w:rPr>
                <w:ins w:id="13489" w:author="Author"/>
                <w:rFonts w:ascii="Times New Roman" w:hAnsi="Times New Roman"/>
                <w:noProof/>
                <w:sz w:val="22"/>
                <w:szCs w:val="22"/>
                <w:lang w:val="de-DE"/>
                <w:rPrChange w:id="13490" w:author="Author">
                  <w:rPr>
                    <w:ins w:id="13491" w:author="Author"/>
                    <w:rFonts w:ascii="Times New Roman" w:hAnsi="Times New Roman"/>
                    <w:noProof/>
                    <w:sz w:val="22"/>
                    <w:szCs w:val="22"/>
                  </w:rPr>
                </w:rPrChange>
              </w:rPr>
            </w:pPr>
            <w:ins w:id="13492" w:author="Author">
              <w:r>
                <w:rPr>
                  <w:rFonts w:ascii="Times New Roman" w:hAnsi="Times New Roman"/>
                  <w:noProof/>
                  <w:sz w:val="22"/>
                  <w:szCs w:val="22"/>
                  <w:lang w:val="de-DE"/>
                  <w:rPrChange w:id="13493" w:author="Author">
                    <w:rPr>
                      <w:rFonts w:ascii="Times New Roman" w:hAnsi="Times New Roman"/>
                      <w:noProof/>
                      <w:sz w:val="22"/>
                      <w:szCs w:val="22"/>
                    </w:rPr>
                  </w:rPrChange>
                </w:rPr>
                <w:t>Roche Austria GmbH</w:t>
              </w:r>
            </w:ins>
          </w:p>
          <w:p>
            <w:pPr>
              <w:pStyle w:val="Standard1"/>
              <w:rPr>
                <w:ins w:id="13494" w:author="Author"/>
                <w:rFonts w:ascii="Times New Roman" w:hAnsi="Times New Roman"/>
                <w:noProof/>
                <w:sz w:val="22"/>
                <w:szCs w:val="22"/>
                <w:lang w:val="de-DE"/>
                <w:rPrChange w:id="13495" w:author="Author">
                  <w:rPr>
                    <w:ins w:id="13496" w:author="Author"/>
                    <w:rFonts w:ascii="Times New Roman" w:hAnsi="Times New Roman"/>
                    <w:noProof/>
                    <w:sz w:val="22"/>
                    <w:szCs w:val="22"/>
                  </w:rPr>
                </w:rPrChange>
              </w:rPr>
            </w:pPr>
            <w:ins w:id="13497" w:author="Author">
              <w:r>
                <w:rPr>
                  <w:rFonts w:ascii="Times New Roman" w:hAnsi="Times New Roman"/>
                  <w:noProof/>
                  <w:sz w:val="22"/>
                  <w:szCs w:val="22"/>
                  <w:lang w:val="de-DE"/>
                  <w:rPrChange w:id="13498" w:author="Author">
                    <w:rPr>
                      <w:rFonts w:ascii="Times New Roman" w:hAnsi="Times New Roman"/>
                      <w:noProof/>
                      <w:sz w:val="22"/>
                      <w:szCs w:val="22"/>
                    </w:rPr>
                  </w:rPrChange>
                </w:rPr>
                <w:t>Tel: +43 (0) 1 27739</w:t>
              </w:r>
            </w:ins>
          </w:p>
          <w:p>
            <w:pPr>
              <w:pStyle w:val="Standard1"/>
              <w:rPr>
                <w:ins w:id="13499" w:author="Author"/>
                <w:rFonts w:ascii="Times New Roman" w:hAnsi="Times New Roman"/>
                <w:noProof/>
                <w:sz w:val="22"/>
                <w:szCs w:val="22"/>
                <w:lang w:val="de-DE"/>
                <w:rPrChange w:id="13500" w:author="Author">
                  <w:rPr>
                    <w:ins w:id="13501" w:author="Author"/>
                    <w:rFonts w:ascii="Times New Roman" w:hAnsi="Times New Roman"/>
                    <w:noProof/>
                    <w:sz w:val="22"/>
                    <w:szCs w:val="22"/>
                  </w:rPr>
                </w:rPrChange>
              </w:rPr>
            </w:pPr>
          </w:p>
        </w:tc>
      </w:tr>
      <w:tr>
        <w:trPr>
          <w:cantSplit/>
          <w:ins w:id="13502" w:author="Author"/>
        </w:trPr>
        <w:tc>
          <w:tcPr>
            <w:tcW w:w="4590" w:type="dxa"/>
          </w:tcPr>
          <w:p>
            <w:pPr>
              <w:pStyle w:val="Standard1"/>
              <w:rPr>
                <w:ins w:id="13503" w:author="Author"/>
                <w:rFonts w:ascii="Times New Roman" w:hAnsi="Times New Roman"/>
                <w:b/>
                <w:noProof/>
                <w:sz w:val="22"/>
                <w:szCs w:val="22"/>
                <w:lang w:val="de-DE"/>
                <w:rPrChange w:id="13504" w:author="Author">
                  <w:rPr>
                    <w:ins w:id="13505" w:author="Author"/>
                    <w:rFonts w:ascii="Times New Roman" w:hAnsi="Times New Roman"/>
                    <w:b/>
                    <w:noProof/>
                    <w:sz w:val="22"/>
                    <w:szCs w:val="22"/>
                  </w:rPr>
                </w:rPrChange>
              </w:rPr>
            </w:pPr>
            <w:ins w:id="13506" w:author="Author">
              <w:r>
                <w:rPr>
                  <w:rFonts w:ascii="Times New Roman" w:hAnsi="Times New Roman"/>
                  <w:b/>
                  <w:noProof/>
                  <w:sz w:val="22"/>
                  <w:szCs w:val="22"/>
                </w:rPr>
                <w:t>Ελλάδα</w:t>
              </w:r>
              <w:r>
                <w:rPr>
                  <w:rFonts w:ascii="Times New Roman" w:hAnsi="Times New Roman"/>
                  <w:b/>
                  <w:noProof/>
                  <w:sz w:val="22"/>
                  <w:szCs w:val="22"/>
                  <w:lang w:val="de-DE"/>
                  <w:rPrChange w:id="13507" w:author="Author">
                    <w:rPr>
                      <w:rFonts w:ascii="Times New Roman" w:hAnsi="Times New Roman"/>
                      <w:b/>
                      <w:noProof/>
                      <w:sz w:val="22"/>
                      <w:szCs w:val="22"/>
                    </w:rPr>
                  </w:rPrChange>
                </w:rPr>
                <w:t>, K</w:t>
              </w:r>
              <w:r>
                <w:rPr>
                  <w:rFonts w:ascii="Times New Roman" w:hAnsi="Times New Roman"/>
                  <w:b/>
                  <w:noProof/>
                  <w:sz w:val="22"/>
                  <w:szCs w:val="22"/>
                </w:rPr>
                <w:t>ύπρος</w:t>
              </w:r>
              <w:r>
                <w:rPr>
                  <w:rFonts w:ascii="Times New Roman" w:hAnsi="Times New Roman"/>
                  <w:b/>
                  <w:noProof/>
                  <w:sz w:val="22"/>
                  <w:szCs w:val="22"/>
                  <w:lang w:val="de-DE"/>
                  <w:rPrChange w:id="13508" w:author="Author">
                    <w:rPr>
                      <w:rFonts w:ascii="Times New Roman" w:hAnsi="Times New Roman"/>
                      <w:b/>
                      <w:noProof/>
                      <w:sz w:val="22"/>
                      <w:szCs w:val="22"/>
                    </w:rPr>
                  </w:rPrChange>
                </w:rPr>
                <w:t xml:space="preserve"> </w:t>
              </w:r>
            </w:ins>
          </w:p>
          <w:p>
            <w:pPr>
              <w:pStyle w:val="Standard1"/>
              <w:rPr>
                <w:ins w:id="13509" w:author="Author"/>
                <w:rFonts w:ascii="Times New Roman" w:hAnsi="Times New Roman"/>
                <w:bCs/>
                <w:noProof/>
                <w:sz w:val="22"/>
                <w:szCs w:val="22"/>
                <w:lang w:val="de-DE"/>
                <w:rPrChange w:id="13510" w:author="Author">
                  <w:rPr>
                    <w:ins w:id="13511" w:author="Author"/>
                    <w:rFonts w:ascii="Times New Roman" w:hAnsi="Times New Roman"/>
                    <w:bCs/>
                    <w:noProof/>
                    <w:sz w:val="22"/>
                    <w:szCs w:val="22"/>
                  </w:rPr>
                </w:rPrChange>
              </w:rPr>
            </w:pPr>
            <w:ins w:id="13512" w:author="Author">
              <w:r>
                <w:rPr>
                  <w:rFonts w:ascii="Times New Roman" w:hAnsi="Times New Roman"/>
                  <w:bCs/>
                  <w:noProof/>
                  <w:sz w:val="22"/>
                  <w:szCs w:val="22"/>
                  <w:lang w:val="de-DE"/>
                  <w:rPrChange w:id="13513" w:author="Author">
                    <w:rPr>
                      <w:rFonts w:ascii="Times New Roman" w:hAnsi="Times New Roman"/>
                      <w:bCs/>
                      <w:noProof/>
                      <w:sz w:val="22"/>
                      <w:szCs w:val="22"/>
                    </w:rPr>
                  </w:rPrChange>
                </w:rPr>
                <w:t xml:space="preserve">Roche (Hellas) A.E. </w:t>
              </w:r>
            </w:ins>
          </w:p>
          <w:p>
            <w:pPr>
              <w:pStyle w:val="Standard1"/>
              <w:rPr>
                <w:ins w:id="13514" w:author="Author"/>
                <w:rFonts w:ascii="Times New Roman" w:hAnsi="Times New Roman"/>
                <w:bCs/>
                <w:noProof/>
                <w:sz w:val="22"/>
                <w:szCs w:val="22"/>
              </w:rPr>
            </w:pPr>
            <w:ins w:id="13515" w:author="Author">
              <w:r>
                <w:rPr>
                  <w:rFonts w:ascii="Times New Roman" w:hAnsi="Times New Roman"/>
                  <w:bCs/>
                  <w:noProof/>
                  <w:sz w:val="22"/>
                  <w:szCs w:val="22"/>
                </w:rPr>
                <w:t>Ελλάδα</w:t>
              </w:r>
            </w:ins>
          </w:p>
          <w:p>
            <w:pPr>
              <w:pStyle w:val="Standard1"/>
              <w:rPr>
                <w:ins w:id="13516" w:author="Author"/>
                <w:rFonts w:ascii="Times New Roman" w:hAnsi="Times New Roman"/>
                <w:bCs/>
                <w:noProof/>
                <w:sz w:val="22"/>
                <w:szCs w:val="22"/>
              </w:rPr>
            </w:pPr>
            <w:ins w:id="13517" w:author="Author">
              <w:r>
                <w:rPr>
                  <w:rFonts w:ascii="Times New Roman" w:hAnsi="Times New Roman"/>
                  <w:bCs/>
                  <w:noProof/>
                  <w:sz w:val="22"/>
                  <w:szCs w:val="22"/>
                </w:rPr>
                <w:t>Τηλ: +30 210 61 66 100</w:t>
              </w:r>
            </w:ins>
          </w:p>
          <w:p>
            <w:pPr>
              <w:pStyle w:val="Standard1"/>
              <w:rPr>
                <w:ins w:id="13518" w:author="Author"/>
                <w:rFonts w:ascii="Times New Roman" w:hAnsi="Times New Roman"/>
                <w:b/>
                <w:noProof/>
                <w:sz w:val="22"/>
                <w:szCs w:val="22"/>
              </w:rPr>
            </w:pPr>
          </w:p>
        </w:tc>
        <w:tc>
          <w:tcPr>
            <w:tcW w:w="4590" w:type="dxa"/>
          </w:tcPr>
          <w:p>
            <w:pPr>
              <w:pStyle w:val="Standard1"/>
              <w:rPr>
                <w:ins w:id="13519" w:author="Author"/>
                <w:rFonts w:ascii="Times New Roman" w:hAnsi="Times New Roman"/>
                <w:b/>
                <w:bCs/>
                <w:noProof/>
                <w:sz w:val="22"/>
                <w:szCs w:val="22"/>
              </w:rPr>
            </w:pPr>
            <w:ins w:id="13520" w:author="Author">
              <w:r>
                <w:rPr>
                  <w:rFonts w:ascii="Times New Roman" w:hAnsi="Times New Roman"/>
                  <w:b/>
                  <w:bCs/>
                  <w:noProof/>
                  <w:sz w:val="22"/>
                  <w:szCs w:val="22"/>
                </w:rPr>
                <w:t>Polska</w:t>
              </w:r>
            </w:ins>
          </w:p>
          <w:p>
            <w:pPr>
              <w:pStyle w:val="Standard1"/>
              <w:rPr>
                <w:ins w:id="13521" w:author="Author"/>
                <w:rFonts w:ascii="Times New Roman" w:hAnsi="Times New Roman"/>
                <w:noProof/>
                <w:sz w:val="22"/>
                <w:szCs w:val="22"/>
              </w:rPr>
            </w:pPr>
            <w:ins w:id="13522" w:author="Author">
              <w:r>
                <w:rPr>
                  <w:rFonts w:ascii="Times New Roman" w:hAnsi="Times New Roman"/>
                  <w:noProof/>
                  <w:sz w:val="22"/>
                  <w:szCs w:val="22"/>
                </w:rPr>
                <w:t>Roche Polska Sp.z o.o.</w:t>
              </w:r>
            </w:ins>
          </w:p>
          <w:p>
            <w:pPr>
              <w:pStyle w:val="Standard1"/>
              <w:rPr>
                <w:ins w:id="13523" w:author="Author"/>
                <w:rFonts w:ascii="Times New Roman" w:hAnsi="Times New Roman"/>
                <w:noProof/>
                <w:sz w:val="22"/>
                <w:szCs w:val="22"/>
              </w:rPr>
            </w:pPr>
            <w:ins w:id="13524" w:author="Author">
              <w:r>
                <w:rPr>
                  <w:rFonts w:ascii="Times New Roman" w:hAnsi="Times New Roman"/>
                  <w:noProof/>
                  <w:sz w:val="22"/>
                  <w:szCs w:val="22"/>
                </w:rPr>
                <w:t>Tel: +48 - 22 345 18 88</w:t>
              </w:r>
            </w:ins>
          </w:p>
          <w:p>
            <w:pPr>
              <w:pStyle w:val="Standard1"/>
              <w:rPr>
                <w:ins w:id="13525" w:author="Author"/>
                <w:rFonts w:ascii="Times New Roman" w:hAnsi="Times New Roman"/>
                <w:noProof/>
                <w:sz w:val="22"/>
                <w:szCs w:val="22"/>
              </w:rPr>
            </w:pPr>
          </w:p>
        </w:tc>
      </w:tr>
      <w:tr>
        <w:trPr>
          <w:cantSplit/>
          <w:ins w:id="13526" w:author="Author"/>
        </w:trPr>
        <w:tc>
          <w:tcPr>
            <w:tcW w:w="4590" w:type="dxa"/>
          </w:tcPr>
          <w:p>
            <w:pPr>
              <w:pStyle w:val="Standard1"/>
              <w:rPr>
                <w:ins w:id="13527" w:author="Author"/>
                <w:rFonts w:ascii="Times New Roman" w:hAnsi="Times New Roman"/>
                <w:b/>
                <w:noProof/>
                <w:sz w:val="22"/>
                <w:szCs w:val="22"/>
              </w:rPr>
            </w:pPr>
            <w:ins w:id="13528" w:author="Author">
              <w:r>
                <w:rPr>
                  <w:rFonts w:ascii="Times New Roman" w:hAnsi="Times New Roman"/>
                  <w:b/>
                  <w:noProof/>
                  <w:sz w:val="22"/>
                  <w:szCs w:val="22"/>
                </w:rPr>
                <w:t>España</w:t>
              </w:r>
            </w:ins>
          </w:p>
          <w:p>
            <w:pPr>
              <w:pStyle w:val="Standard1"/>
              <w:rPr>
                <w:ins w:id="13529" w:author="Author"/>
                <w:rFonts w:ascii="Times New Roman" w:hAnsi="Times New Roman"/>
                <w:bCs/>
                <w:noProof/>
                <w:sz w:val="22"/>
                <w:szCs w:val="22"/>
              </w:rPr>
            </w:pPr>
            <w:ins w:id="13530" w:author="Author">
              <w:r>
                <w:rPr>
                  <w:rFonts w:ascii="Times New Roman" w:hAnsi="Times New Roman"/>
                  <w:bCs/>
                  <w:noProof/>
                  <w:sz w:val="22"/>
                  <w:szCs w:val="22"/>
                </w:rPr>
                <w:t>Roche Farma S.A.</w:t>
              </w:r>
            </w:ins>
          </w:p>
          <w:p>
            <w:pPr>
              <w:pStyle w:val="Standard1"/>
              <w:rPr>
                <w:ins w:id="13531" w:author="Author"/>
                <w:rFonts w:ascii="Times New Roman" w:hAnsi="Times New Roman"/>
                <w:bCs/>
                <w:noProof/>
                <w:sz w:val="22"/>
                <w:szCs w:val="22"/>
              </w:rPr>
            </w:pPr>
            <w:ins w:id="13532" w:author="Author">
              <w:r>
                <w:rPr>
                  <w:rFonts w:ascii="Times New Roman" w:hAnsi="Times New Roman"/>
                  <w:bCs/>
                  <w:noProof/>
                  <w:sz w:val="22"/>
                  <w:szCs w:val="22"/>
                </w:rPr>
                <w:t>Tel: +34 - 91 324 81 00</w:t>
              </w:r>
            </w:ins>
          </w:p>
          <w:p>
            <w:pPr>
              <w:pStyle w:val="Standard1"/>
              <w:rPr>
                <w:ins w:id="13533" w:author="Author"/>
                <w:rFonts w:ascii="Times New Roman" w:hAnsi="Times New Roman"/>
                <w:b/>
                <w:noProof/>
                <w:sz w:val="22"/>
                <w:szCs w:val="22"/>
              </w:rPr>
            </w:pPr>
          </w:p>
        </w:tc>
        <w:tc>
          <w:tcPr>
            <w:tcW w:w="4590" w:type="dxa"/>
          </w:tcPr>
          <w:p>
            <w:pPr>
              <w:pStyle w:val="Standard1"/>
              <w:rPr>
                <w:ins w:id="13534" w:author="Author"/>
                <w:rFonts w:ascii="Times New Roman" w:hAnsi="Times New Roman"/>
                <w:b/>
                <w:bCs/>
                <w:noProof/>
                <w:sz w:val="22"/>
                <w:szCs w:val="22"/>
                <w:lang w:val="pt-BR"/>
                <w:rPrChange w:id="13535" w:author="Author">
                  <w:rPr>
                    <w:ins w:id="13536" w:author="Author"/>
                    <w:rFonts w:ascii="Times New Roman" w:hAnsi="Times New Roman"/>
                    <w:b/>
                    <w:bCs/>
                    <w:noProof/>
                    <w:sz w:val="22"/>
                    <w:szCs w:val="22"/>
                  </w:rPr>
                </w:rPrChange>
              </w:rPr>
            </w:pPr>
            <w:ins w:id="13537" w:author="Author">
              <w:r>
                <w:rPr>
                  <w:rFonts w:ascii="Times New Roman" w:hAnsi="Times New Roman"/>
                  <w:b/>
                  <w:bCs/>
                  <w:noProof/>
                  <w:sz w:val="22"/>
                  <w:szCs w:val="22"/>
                  <w:lang w:val="pt-BR"/>
                  <w:rPrChange w:id="13538" w:author="Author">
                    <w:rPr>
                      <w:rFonts w:ascii="Times New Roman" w:hAnsi="Times New Roman"/>
                      <w:b/>
                      <w:bCs/>
                      <w:noProof/>
                      <w:sz w:val="22"/>
                      <w:szCs w:val="22"/>
                    </w:rPr>
                  </w:rPrChange>
                </w:rPr>
                <w:t>Portugal</w:t>
              </w:r>
            </w:ins>
          </w:p>
          <w:p>
            <w:pPr>
              <w:pStyle w:val="Standard1"/>
              <w:rPr>
                <w:ins w:id="13539" w:author="Author"/>
                <w:rFonts w:ascii="Times New Roman" w:hAnsi="Times New Roman"/>
                <w:noProof/>
                <w:sz w:val="22"/>
                <w:szCs w:val="22"/>
                <w:lang w:val="pt-BR"/>
                <w:rPrChange w:id="13540" w:author="Author">
                  <w:rPr>
                    <w:ins w:id="13541" w:author="Author"/>
                    <w:rFonts w:ascii="Times New Roman" w:hAnsi="Times New Roman"/>
                    <w:noProof/>
                    <w:sz w:val="22"/>
                    <w:szCs w:val="22"/>
                  </w:rPr>
                </w:rPrChange>
              </w:rPr>
            </w:pPr>
            <w:ins w:id="13542" w:author="Author">
              <w:r>
                <w:rPr>
                  <w:rFonts w:ascii="Times New Roman" w:hAnsi="Times New Roman"/>
                  <w:noProof/>
                  <w:sz w:val="22"/>
                  <w:szCs w:val="22"/>
                  <w:lang w:val="pt-BR"/>
                  <w:rPrChange w:id="13543" w:author="Author">
                    <w:rPr>
                      <w:rFonts w:ascii="Times New Roman" w:hAnsi="Times New Roman"/>
                      <w:noProof/>
                      <w:sz w:val="22"/>
                      <w:szCs w:val="22"/>
                    </w:rPr>
                  </w:rPrChange>
                </w:rPr>
                <w:t>Roche Farmacêutica Química, Lda</w:t>
              </w:r>
            </w:ins>
          </w:p>
          <w:p>
            <w:pPr>
              <w:pStyle w:val="Standard1"/>
              <w:rPr>
                <w:ins w:id="13544" w:author="Author"/>
                <w:rFonts w:ascii="Times New Roman" w:hAnsi="Times New Roman"/>
                <w:noProof/>
                <w:sz w:val="22"/>
                <w:szCs w:val="22"/>
                <w:lang w:val="pt-BR"/>
                <w:rPrChange w:id="13545" w:author="Author">
                  <w:rPr>
                    <w:ins w:id="13546" w:author="Author"/>
                    <w:rFonts w:ascii="Times New Roman" w:hAnsi="Times New Roman"/>
                    <w:noProof/>
                    <w:sz w:val="22"/>
                    <w:szCs w:val="22"/>
                  </w:rPr>
                </w:rPrChange>
              </w:rPr>
            </w:pPr>
            <w:ins w:id="13547" w:author="Author">
              <w:r>
                <w:rPr>
                  <w:rFonts w:ascii="Times New Roman" w:hAnsi="Times New Roman"/>
                  <w:noProof/>
                  <w:sz w:val="22"/>
                  <w:szCs w:val="22"/>
                  <w:lang w:val="pt-BR"/>
                  <w:rPrChange w:id="13548" w:author="Author">
                    <w:rPr>
                      <w:rFonts w:ascii="Times New Roman" w:hAnsi="Times New Roman"/>
                      <w:noProof/>
                      <w:sz w:val="22"/>
                      <w:szCs w:val="22"/>
                    </w:rPr>
                  </w:rPrChange>
                </w:rPr>
                <w:t>Tel: +351 - 21 425 70 00</w:t>
              </w:r>
            </w:ins>
          </w:p>
          <w:p>
            <w:pPr>
              <w:pStyle w:val="Standard1"/>
              <w:rPr>
                <w:ins w:id="13549" w:author="Author"/>
                <w:rFonts w:ascii="Times New Roman" w:hAnsi="Times New Roman"/>
                <w:noProof/>
                <w:sz w:val="22"/>
                <w:szCs w:val="22"/>
                <w:lang w:val="pt-BR"/>
                <w:rPrChange w:id="13550" w:author="Author">
                  <w:rPr>
                    <w:ins w:id="13551" w:author="Author"/>
                    <w:rFonts w:ascii="Times New Roman" w:hAnsi="Times New Roman"/>
                    <w:noProof/>
                    <w:sz w:val="22"/>
                    <w:szCs w:val="22"/>
                  </w:rPr>
                </w:rPrChange>
              </w:rPr>
            </w:pPr>
          </w:p>
        </w:tc>
      </w:tr>
      <w:tr>
        <w:trPr>
          <w:cantSplit/>
          <w:ins w:id="13552" w:author="Author"/>
        </w:trPr>
        <w:tc>
          <w:tcPr>
            <w:tcW w:w="4590" w:type="dxa"/>
          </w:tcPr>
          <w:p>
            <w:pPr>
              <w:pStyle w:val="Standard1"/>
              <w:rPr>
                <w:ins w:id="13553" w:author="Author"/>
                <w:rFonts w:ascii="Times New Roman" w:hAnsi="Times New Roman"/>
                <w:b/>
                <w:noProof/>
                <w:sz w:val="22"/>
                <w:szCs w:val="22"/>
              </w:rPr>
            </w:pPr>
            <w:ins w:id="13554" w:author="Author">
              <w:r>
                <w:rPr>
                  <w:rFonts w:ascii="Times New Roman" w:hAnsi="Times New Roman"/>
                  <w:b/>
                  <w:noProof/>
                  <w:sz w:val="22"/>
                  <w:szCs w:val="22"/>
                </w:rPr>
                <w:t>France</w:t>
              </w:r>
            </w:ins>
          </w:p>
          <w:p>
            <w:pPr>
              <w:pStyle w:val="Standard1"/>
              <w:rPr>
                <w:ins w:id="13555" w:author="Author"/>
                <w:rFonts w:ascii="Times New Roman" w:hAnsi="Times New Roman"/>
                <w:bCs/>
                <w:noProof/>
                <w:sz w:val="22"/>
                <w:szCs w:val="22"/>
              </w:rPr>
            </w:pPr>
            <w:ins w:id="13556" w:author="Author">
              <w:r>
                <w:rPr>
                  <w:rFonts w:ascii="Times New Roman" w:hAnsi="Times New Roman"/>
                  <w:bCs/>
                  <w:noProof/>
                  <w:sz w:val="22"/>
                  <w:szCs w:val="22"/>
                </w:rPr>
                <w:t>Roche</w:t>
              </w:r>
            </w:ins>
          </w:p>
          <w:p>
            <w:pPr>
              <w:pStyle w:val="Standard1"/>
              <w:rPr>
                <w:ins w:id="13557" w:author="Author"/>
                <w:rFonts w:ascii="Times New Roman" w:hAnsi="Times New Roman"/>
                <w:bCs/>
                <w:noProof/>
                <w:sz w:val="22"/>
                <w:szCs w:val="22"/>
              </w:rPr>
            </w:pPr>
            <w:ins w:id="13558" w:author="Author">
              <w:r>
                <w:rPr>
                  <w:rFonts w:ascii="Times New Roman" w:hAnsi="Times New Roman"/>
                  <w:bCs/>
                  <w:noProof/>
                  <w:sz w:val="22"/>
                  <w:szCs w:val="22"/>
                </w:rPr>
                <w:t>Tél: +33 (0) 1 47 61 40 00</w:t>
              </w:r>
            </w:ins>
          </w:p>
          <w:p>
            <w:pPr>
              <w:pStyle w:val="Standard1"/>
              <w:rPr>
                <w:ins w:id="13559" w:author="Author"/>
                <w:rFonts w:ascii="Times New Roman" w:hAnsi="Times New Roman"/>
                <w:b/>
                <w:noProof/>
                <w:sz w:val="22"/>
                <w:szCs w:val="22"/>
              </w:rPr>
            </w:pPr>
          </w:p>
        </w:tc>
        <w:tc>
          <w:tcPr>
            <w:tcW w:w="4590" w:type="dxa"/>
          </w:tcPr>
          <w:p>
            <w:pPr>
              <w:pStyle w:val="Standard1"/>
              <w:rPr>
                <w:ins w:id="13560" w:author="Author"/>
                <w:rFonts w:ascii="Times New Roman" w:hAnsi="Times New Roman"/>
                <w:b/>
                <w:bCs/>
                <w:noProof/>
                <w:sz w:val="22"/>
                <w:szCs w:val="22"/>
              </w:rPr>
            </w:pPr>
            <w:ins w:id="13561" w:author="Author">
              <w:r>
                <w:rPr>
                  <w:rFonts w:ascii="Times New Roman" w:hAnsi="Times New Roman"/>
                  <w:b/>
                  <w:bCs/>
                  <w:noProof/>
                  <w:sz w:val="22"/>
                  <w:szCs w:val="22"/>
                </w:rPr>
                <w:t>România</w:t>
              </w:r>
            </w:ins>
          </w:p>
          <w:p>
            <w:pPr>
              <w:pStyle w:val="Standard1"/>
              <w:rPr>
                <w:ins w:id="13562" w:author="Author"/>
                <w:rFonts w:ascii="Times New Roman" w:hAnsi="Times New Roman"/>
                <w:noProof/>
                <w:sz w:val="22"/>
                <w:szCs w:val="22"/>
              </w:rPr>
            </w:pPr>
            <w:ins w:id="13563" w:author="Author">
              <w:r>
                <w:rPr>
                  <w:rFonts w:ascii="Times New Roman" w:hAnsi="Times New Roman"/>
                  <w:noProof/>
                  <w:sz w:val="22"/>
                  <w:szCs w:val="22"/>
                </w:rPr>
                <w:t>Roche România S.R.L.</w:t>
              </w:r>
            </w:ins>
          </w:p>
          <w:p>
            <w:pPr>
              <w:pStyle w:val="Standard1"/>
              <w:rPr>
                <w:ins w:id="13564" w:author="Author"/>
                <w:rFonts w:ascii="Times New Roman" w:hAnsi="Times New Roman"/>
                <w:noProof/>
                <w:sz w:val="22"/>
                <w:szCs w:val="22"/>
              </w:rPr>
            </w:pPr>
            <w:ins w:id="13565" w:author="Author">
              <w:r>
                <w:rPr>
                  <w:rFonts w:ascii="Times New Roman" w:hAnsi="Times New Roman"/>
                  <w:noProof/>
                  <w:sz w:val="22"/>
                  <w:szCs w:val="22"/>
                </w:rPr>
                <w:t>Tel: +40 21 206 47 01</w:t>
              </w:r>
            </w:ins>
          </w:p>
          <w:p>
            <w:pPr>
              <w:pStyle w:val="Standard1"/>
              <w:rPr>
                <w:ins w:id="13566" w:author="Author"/>
                <w:rFonts w:ascii="Times New Roman" w:hAnsi="Times New Roman"/>
                <w:noProof/>
                <w:sz w:val="22"/>
                <w:szCs w:val="22"/>
              </w:rPr>
            </w:pPr>
          </w:p>
        </w:tc>
      </w:tr>
      <w:tr>
        <w:trPr>
          <w:cantSplit/>
          <w:ins w:id="13567" w:author="Author"/>
        </w:trPr>
        <w:tc>
          <w:tcPr>
            <w:tcW w:w="4590" w:type="dxa"/>
          </w:tcPr>
          <w:p>
            <w:pPr>
              <w:pStyle w:val="Standard1"/>
              <w:rPr>
                <w:ins w:id="13568" w:author="Author"/>
                <w:rFonts w:ascii="Times New Roman" w:hAnsi="Times New Roman"/>
                <w:b/>
                <w:noProof/>
                <w:sz w:val="22"/>
                <w:szCs w:val="22"/>
                <w:lang w:val="de-DE"/>
                <w:rPrChange w:id="13569" w:author="Author">
                  <w:rPr>
                    <w:ins w:id="13570" w:author="Author"/>
                    <w:rFonts w:ascii="Times New Roman" w:hAnsi="Times New Roman"/>
                    <w:b/>
                    <w:noProof/>
                    <w:sz w:val="22"/>
                    <w:szCs w:val="22"/>
                  </w:rPr>
                </w:rPrChange>
              </w:rPr>
            </w:pPr>
            <w:ins w:id="13571" w:author="Author">
              <w:r>
                <w:rPr>
                  <w:rFonts w:ascii="Times New Roman" w:hAnsi="Times New Roman"/>
                  <w:b/>
                  <w:noProof/>
                  <w:sz w:val="22"/>
                  <w:szCs w:val="22"/>
                  <w:lang w:val="de-DE"/>
                  <w:rPrChange w:id="13572" w:author="Author">
                    <w:rPr>
                      <w:rFonts w:ascii="Times New Roman" w:hAnsi="Times New Roman"/>
                      <w:b/>
                      <w:noProof/>
                      <w:sz w:val="22"/>
                      <w:szCs w:val="22"/>
                    </w:rPr>
                  </w:rPrChange>
                </w:rPr>
                <w:t>Hrvatska</w:t>
              </w:r>
            </w:ins>
          </w:p>
          <w:p>
            <w:pPr>
              <w:pStyle w:val="Standard1"/>
              <w:rPr>
                <w:ins w:id="13573" w:author="Author"/>
                <w:rFonts w:ascii="Times New Roman" w:hAnsi="Times New Roman"/>
                <w:bCs/>
                <w:noProof/>
                <w:sz w:val="22"/>
                <w:szCs w:val="22"/>
                <w:lang w:val="de-DE"/>
                <w:rPrChange w:id="13574" w:author="Author">
                  <w:rPr>
                    <w:ins w:id="13575" w:author="Author"/>
                    <w:rFonts w:ascii="Times New Roman" w:hAnsi="Times New Roman"/>
                    <w:bCs/>
                    <w:noProof/>
                    <w:sz w:val="22"/>
                    <w:szCs w:val="22"/>
                  </w:rPr>
                </w:rPrChange>
              </w:rPr>
            </w:pPr>
            <w:ins w:id="13576" w:author="Author">
              <w:r>
                <w:rPr>
                  <w:rFonts w:ascii="Times New Roman" w:hAnsi="Times New Roman"/>
                  <w:bCs/>
                  <w:noProof/>
                  <w:sz w:val="22"/>
                  <w:szCs w:val="22"/>
                  <w:lang w:val="de-DE"/>
                  <w:rPrChange w:id="13577" w:author="Author">
                    <w:rPr>
                      <w:rFonts w:ascii="Times New Roman" w:hAnsi="Times New Roman"/>
                      <w:bCs/>
                      <w:noProof/>
                      <w:sz w:val="22"/>
                      <w:szCs w:val="22"/>
                    </w:rPr>
                  </w:rPrChange>
                </w:rPr>
                <w:t>Roche d.o.o</w:t>
              </w:r>
            </w:ins>
          </w:p>
          <w:p>
            <w:pPr>
              <w:pStyle w:val="Standard1"/>
              <w:rPr>
                <w:ins w:id="13578" w:author="Author"/>
                <w:rFonts w:ascii="Times New Roman" w:hAnsi="Times New Roman"/>
                <w:bCs/>
                <w:noProof/>
                <w:sz w:val="22"/>
                <w:szCs w:val="22"/>
                <w:lang w:val="de-DE"/>
                <w:rPrChange w:id="13579" w:author="Author">
                  <w:rPr>
                    <w:ins w:id="13580" w:author="Author"/>
                    <w:rFonts w:ascii="Times New Roman" w:hAnsi="Times New Roman"/>
                    <w:bCs/>
                    <w:noProof/>
                    <w:sz w:val="22"/>
                    <w:szCs w:val="22"/>
                  </w:rPr>
                </w:rPrChange>
              </w:rPr>
            </w:pPr>
            <w:ins w:id="13581" w:author="Author">
              <w:r>
                <w:rPr>
                  <w:rFonts w:ascii="Times New Roman" w:hAnsi="Times New Roman"/>
                  <w:bCs/>
                  <w:noProof/>
                  <w:sz w:val="22"/>
                  <w:szCs w:val="22"/>
                  <w:lang w:val="de-DE"/>
                  <w:rPrChange w:id="13582" w:author="Author">
                    <w:rPr>
                      <w:rFonts w:ascii="Times New Roman" w:hAnsi="Times New Roman"/>
                      <w:bCs/>
                      <w:noProof/>
                      <w:sz w:val="22"/>
                      <w:szCs w:val="22"/>
                    </w:rPr>
                  </w:rPrChange>
                </w:rPr>
                <w:t>Tel: +385 1 47 22 333</w:t>
              </w:r>
            </w:ins>
          </w:p>
          <w:p>
            <w:pPr>
              <w:pStyle w:val="Standard1"/>
              <w:rPr>
                <w:ins w:id="13583" w:author="Author"/>
                <w:rFonts w:ascii="Times New Roman" w:hAnsi="Times New Roman"/>
                <w:b/>
                <w:noProof/>
                <w:sz w:val="22"/>
                <w:szCs w:val="22"/>
                <w:lang w:val="de-DE"/>
                <w:rPrChange w:id="13584" w:author="Author">
                  <w:rPr>
                    <w:ins w:id="13585" w:author="Author"/>
                    <w:rFonts w:ascii="Times New Roman" w:hAnsi="Times New Roman"/>
                    <w:b/>
                    <w:noProof/>
                    <w:sz w:val="22"/>
                    <w:szCs w:val="22"/>
                  </w:rPr>
                </w:rPrChange>
              </w:rPr>
            </w:pPr>
          </w:p>
        </w:tc>
        <w:tc>
          <w:tcPr>
            <w:tcW w:w="4590" w:type="dxa"/>
          </w:tcPr>
          <w:p>
            <w:pPr>
              <w:pStyle w:val="Standard1"/>
              <w:rPr>
                <w:ins w:id="13586" w:author="Author"/>
                <w:rFonts w:ascii="Times New Roman" w:hAnsi="Times New Roman"/>
                <w:b/>
                <w:bCs/>
                <w:noProof/>
                <w:sz w:val="22"/>
                <w:szCs w:val="22"/>
                <w:lang w:val="de-DE"/>
                <w:rPrChange w:id="13587" w:author="Author">
                  <w:rPr>
                    <w:ins w:id="13588" w:author="Author"/>
                    <w:rFonts w:ascii="Times New Roman" w:hAnsi="Times New Roman"/>
                    <w:b/>
                    <w:bCs/>
                    <w:noProof/>
                    <w:sz w:val="22"/>
                    <w:szCs w:val="22"/>
                  </w:rPr>
                </w:rPrChange>
              </w:rPr>
            </w:pPr>
            <w:ins w:id="13589" w:author="Author">
              <w:r>
                <w:rPr>
                  <w:rFonts w:ascii="Times New Roman" w:hAnsi="Times New Roman"/>
                  <w:b/>
                  <w:bCs/>
                  <w:noProof/>
                  <w:sz w:val="22"/>
                  <w:szCs w:val="22"/>
                  <w:lang w:val="de-DE"/>
                  <w:rPrChange w:id="13590" w:author="Author">
                    <w:rPr>
                      <w:rFonts w:ascii="Times New Roman" w:hAnsi="Times New Roman"/>
                      <w:b/>
                      <w:bCs/>
                      <w:noProof/>
                      <w:sz w:val="22"/>
                      <w:szCs w:val="22"/>
                    </w:rPr>
                  </w:rPrChange>
                </w:rPr>
                <w:t>Slovenija</w:t>
              </w:r>
            </w:ins>
          </w:p>
          <w:p>
            <w:pPr>
              <w:pStyle w:val="Standard1"/>
              <w:rPr>
                <w:ins w:id="13591" w:author="Author"/>
                <w:rFonts w:ascii="Times New Roman" w:hAnsi="Times New Roman"/>
                <w:noProof/>
                <w:sz w:val="22"/>
                <w:szCs w:val="22"/>
                <w:lang w:val="de-DE"/>
                <w:rPrChange w:id="13592" w:author="Author">
                  <w:rPr>
                    <w:ins w:id="13593" w:author="Author"/>
                    <w:rFonts w:ascii="Times New Roman" w:hAnsi="Times New Roman"/>
                    <w:noProof/>
                    <w:sz w:val="22"/>
                    <w:szCs w:val="22"/>
                  </w:rPr>
                </w:rPrChange>
              </w:rPr>
            </w:pPr>
            <w:ins w:id="13594" w:author="Author">
              <w:r>
                <w:rPr>
                  <w:rFonts w:ascii="Times New Roman" w:hAnsi="Times New Roman"/>
                  <w:noProof/>
                  <w:sz w:val="22"/>
                  <w:szCs w:val="22"/>
                  <w:lang w:val="de-DE"/>
                  <w:rPrChange w:id="13595" w:author="Author">
                    <w:rPr>
                      <w:rFonts w:ascii="Times New Roman" w:hAnsi="Times New Roman"/>
                      <w:noProof/>
                      <w:sz w:val="22"/>
                      <w:szCs w:val="22"/>
                    </w:rPr>
                  </w:rPrChange>
                </w:rPr>
                <w:t>Roche farmacevtska družba d.o.o.</w:t>
              </w:r>
            </w:ins>
          </w:p>
          <w:p>
            <w:pPr>
              <w:pStyle w:val="Standard1"/>
              <w:rPr>
                <w:ins w:id="13596" w:author="Author"/>
                <w:rFonts w:ascii="Times New Roman" w:hAnsi="Times New Roman"/>
                <w:noProof/>
                <w:sz w:val="22"/>
                <w:szCs w:val="22"/>
              </w:rPr>
            </w:pPr>
            <w:ins w:id="13597" w:author="Author">
              <w:r>
                <w:rPr>
                  <w:rFonts w:ascii="Times New Roman" w:hAnsi="Times New Roman"/>
                  <w:noProof/>
                  <w:sz w:val="22"/>
                  <w:szCs w:val="22"/>
                </w:rPr>
                <w:t>Tel: +386 - 1 360 26 00</w:t>
              </w:r>
            </w:ins>
          </w:p>
          <w:p>
            <w:pPr>
              <w:pStyle w:val="Standard1"/>
              <w:rPr>
                <w:ins w:id="13598" w:author="Author"/>
                <w:rFonts w:ascii="Times New Roman" w:hAnsi="Times New Roman"/>
                <w:noProof/>
                <w:sz w:val="22"/>
                <w:szCs w:val="22"/>
              </w:rPr>
            </w:pPr>
          </w:p>
        </w:tc>
      </w:tr>
      <w:tr>
        <w:trPr>
          <w:cantSplit/>
          <w:ins w:id="13599" w:author="Author"/>
        </w:trPr>
        <w:tc>
          <w:tcPr>
            <w:tcW w:w="4590" w:type="dxa"/>
          </w:tcPr>
          <w:p>
            <w:pPr>
              <w:pStyle w:val="Standard1"/>
              <w:rPr>
                <w:ins w:id="13600" w:author="Author"/>
                <w:rFonts w:ascii="Times New Roman" w:hAnsi="Times New Roman"/>
                <w:b/>
                <w:noProof/>
                <w:sz w:val="22"/>
                <w:szCs w:val="22"/>
                <w:lang w:val="en-US"/>
                <w:rPrChange w:id="13601" w:author="Author">
                  <w:rPr>
                    <w:ins w:id="13602" w:author="Author"/>
                    <w:rFonts w:ascii="Times New Roman" w:hAnsi="Times New Roman"/>
                    <w:b/>
                    <w:noProof/>
                    <w:sz w:val="22"/>
                    <w:szCs w:val="22"/>
                  </w:rPr>
                </w:rPrChange>
              </w:rPr>
            </w:pPr>
            <w:ins w:id="13603" w:author="Author">
              <w:r>
                <w:rPr>
                  <w:rFonts w:ascii="Times New Roman" w:hAnsi="Times New Roman"/>
                  <w:b/>
                  <w:noProof/>
                  <w:sz w:val="22"/>
                  <w:szCs w:val="22"/>
                  <w:lang w:val="en-US"/>
                  <w:rPrChange w:id="13604" w:author="Author">
                    <w:rPr>
                      <w:rFonts w:ascii="Times New Roman" w:hAnsi="Times New Roman"/>
                      <w:b/>
                      <w:noProof/>
                      <w:sz w:val="22"/>
                      <w:szCs w:val="22"/>
                    </w:rPr>
                  </w:rPrChange>
                </w:rPr>
                <w:t>Ireland, Malta</w:t>
              </w:r>
            </w:ins>
          </w:p>
          <w:p>
            <w:pPr>
              <w:pStyle w:val="Standard1"/>
              <w:rPr>
                <w:ins w:id="13605" w:author="Author"/>
                <w:rFonts w:ascii="Times New Roman" w:hAnsi="Times New Roman"/>
                <w:bCs/>
                <w:noProof/>
                <w:sz w:val="22"/>
                <w:szCs w:val="22"/>
                <w:lang w:val="en-US"/>
                <w:rPrChange w:id="13606" w:author="Author">
                  <w:rPr>
                    <w:ins w:id="13607" w:author="Author"/>
                    <w:rFonts w:ascii="Times New Roman" w:hAnsi="Times New Roman"/>
                    <w:bCs/>
                    <w:noProof/>
                    <w:sz w:val="22"/>
                    <w:szCs w:val="22"/>
                  </w:rPr>
                </w:rPrChange>
              </w:rPr>
            </w:pPr>
            <w:ins w:id="13608" w:author="Author">
              <w:r>
                <w:rPr>
                  <w:rFonts w:ascii="Times New Roman" w:hAnsi="Times New Roman"/>
                  <w:bCs/>
                  <w:noProof/>
                  <w:sz w:val="22"/>
                  <w:szCs w:val="22"/>
                  <w:lang w:val="en-US"/>
                  <w:rPrChange w:id="13609" w:author="Author">
                    <w:rPr>
                      <w:rFonts w:ascii="Times New Roman" w:hAnsi="Times New Roman"/>
                      <w:bCs/>
                      <w:noProof/>
                      <w:sz w:val="22"/>
                      <w:szCs w:val="22"/>
                    </w:rPr>
                  </w:rPrChange>
                </w:rPr>
                <w:t>Roche Products (Ireland) Ltd.</w:t>
              </w:r>
            </w:ins>
          </w:p>
          <w:p>
            <w:pPr>
              <w:pStyle w:val="Standard1"/>
              <w:rPr>
                <w:ins w:id="13610" w:author="Author"/>
                <w:rFonts w:ascii="Times New Roman" w:hAnsi="Times New Roman"/>
                <w:bCs/>
                <w:noProof/>
                <w:sz w:val="22"/>
                <w:szCs w:val="22"/>
              </w:rPr>
            </w:pPr>
            <w:ins w:id="13611" w:author="Author">
              <w:r>
                <w:rPr>
                  <w:rFonts w:ascii="Times New Roman" w:hAnsi="Times New Roman"/>
                  <w:bCs/>
                  <w:noProof/>
                  <w:sz w:val="22"/>
                  <w:szCs w:val="22"/>
                </w:rPr>
                <w:t>Ireland/L-Irlanda</w:t>
              </w:r>
            </w:ins>
          </w:p>
          <w:p>
            <w:pPr>
              <w:pStyle w:val="Standard1"/>
              <w:rPr>
                <w:ins w:id="13612" w:author="Author"/>
                <w:rFonts w:ascii="Times New Roman" w:hAnsi="Times New Roman"/>
                <w:bCs/>
                <w:noProof/>
                <w:sz w:val="22"/>
                <w:szCs w:val="22"/>
              </w:rPr>
            </w:pPr>
            <w:ins w:id="13613" w:author="Author">
              <w:r>
                <w:rPr>
                  <w:rFonts w:ascii="Times New Roman" w:hAnsi="Times New Roman"/>
                  <w:bCs/>
                  <w:noProof/>
                  <w:sz w:val="22"/>
                  <w:szCs w:val="22"/>
                </w:rPr>
                <w:t>Tel: +353 (0) 1 469 0700</w:t>
              </w:r>
            </w:ins>
          </w:p>
          <w:p>
            <w:pPr>
              <w:pStyle w:val="Standard1"/>
              <w:rPr>
                <w:ins w:id="13614" w:author="Author"/>
                <w:rFonts w:ascii="Times New Roman" w:hAnsi="Times New Roman"/>
                <w:b/>
                <w:noProof/>
                <w:sz w:val="22"/>
                <w:szCs w:val="22"/>
              </w:rPr>
            </w:pPr>
          </w:p>
        </w:tc>
        <w:tc>
          <w:tcPr>
            <w:tcW w:w="4590" w:type="dxa"/>
          </w:tcPr>
          <w:p>
            <w:pPr>
              <w:pStyle w:val="Standard1"/>
              <w:rPr>
                <w:ins w:id="13615" w:author="Author"/>
                <w:rFonts w:ascii="Times New Roman" w:hAnsi="Times New Roman"/>
                <w:b/>
                <w:bCs/>
                <w:noProof/>
                <w:sz w:val="22"/>
                <w:szCs w:val="22"/>
              </w:rPr>
            </w:pPr>
            <w:ins w:id="13616" w:author="Author">
              <w:r>
                <w:rPr>
                  <w:rFonts w:ascii="Times New Roman" w:hAnsi="Times New Roman"/>
                  <w:b/>
                  <w:bCs/>
                  <w:noProof/>
                  <w:sz w:val="22"/>
                  <w:szCs w:val="22"/>
                </w:rPr>
                <w:t xml:space="preserve">Slovenská republika </w:t>
              </w:r>
            </w:ins>
          </w:p>
          <w:p>
            <w:pPr>
              <w:pStyle w:val="Standard1"/>
              <w:rPr>
                <w:ins w:id="13617" w:author="Author"/>
                <w:rFonts w:ascii="Times New Roman" w:hAnsi="Times New Roman"/>
                <w:noProof/>
                <w:sz w:val="22"/>
                <w:szCs w:val="22"/>
              </w:rPr>
            </w:pPr>
            <w:ins w:id="13618" w:author="Author">
              <w:r>
                <w:rPr>
                  <w:rFonts w:ascii="Times New Roman" w:hAnsi="Times New Roman"/>
                  <w:noProof/>
                  <w:sz w:val="22"/>
                  <w:szCs w:val="22"/>
                </w:rPr>
                <w:t>Roche Slovensko, s.r.o.</w:t>
              </w:r>
            </w:ins>
          </w:p>
          <w:p>
            <w:pPr>
              <w:pStyle w:val="Standard1"/>
              <w:rPr>
                <w:ins w:id="13619" w:author="Author"/>
                <w:rFonts w:ascii="Times New Roman" w:hAnsi="Times New Roman"/>
                <w:noProof/>
                <w:sz w:val="22"/>
                <w:szCs w:val="22"/>
              </w:rPr>
            </w:pPr>
            <w:ins w:id="13620" w:author="Author">
              <w:r>
                <w:rPr>
                  <w:rFonts w:ascii="Times New Roman" w:hAnsi="Times New Roman"/>
                  <w:noProof/>
                  <w:sz w:val="22"/>
                  <w:szCs w:val="22"/>
                </w:rPr>
                <w:t>Tel: +421 - 2 52638201</w:t>
              </w:r>
            </w:ins>
          </w:p>
          <w:p>
            <w:pPr>
              <w:pStyle w:val="Standard1"/>
              <w:rPr>
                <w:ins w:id="13621" w:author="Author"/>
                <w:rFonts w:ascii="Times New Roman" w:hAnsi="Times New Roman"/>
                <w:noProof/>
                <w:sz w:val="22"/>
                <w:szCs w:val="22"/>
              </w:rPr>
            </w:pPr>
          </w:p>
        </w:tc>
      </w:tr>
      <w:tr>
        <w:trPr>
          <w:cantSplit/>
          <w:ins w:id="13622" w:author="Author"/>
        </w:trPr>
        <w:tc>
          <w:tcPr>
            <w:tcW w:w="4590" w:type="dxa"/>
          </w:tcPr>
          <w:p>
            <w:pPr>
              <w:pStyle w:val="Standard1"/>
              <w:rPr>
                <w:ins w:id="13623" w:author="Author"/>
                <w:rFonts w:ascii="Times New Roman" w:hAnsi="Times New Roman"/>
                <w:b/>
                <w:noProof/>
                <w:sz w:val="22"/>
                <w:szCs w:val="22"/>
                <w:lang w:val="en-US"/>
                <w:rPrChange w:id="13624" w:author="Author">
                  <w:rPr>
                    <w:ins w:id="13625" w:author="Author"/>
                    <w:rFonts w:ascii="Times New Roman" w:hAnsi="Times New Roman"/>
                    <w:b/>
                    <w:noProof/>
                    <w:sz w:val="22"/>
                    <w:szCs w:val="22"/>
                  </w:rPr>
                </w:rPrChange>
              </w:rPr>
            </w:pPr>
            <w:ins w:id="13626" w:author="Author">
              <w:r>
                <w:rPr>
                  <w:rFonts w:ascii="Times New Roman" w:hAnsi="Times New Roman"/>
                  <w:b/>
                  <w:noProof/>
                  <w:sz w:val="22"/>
                  <w:szCs w:val="22"/>
                  <w:lang w:val="en-US"/>
                  <w:rPrChange w:id="13627" w:author="Author">
                    <w:rPr>
                      <w:rFonts w:ascii="Times New Roman" w:hAnsi="Times New Roman"/>
                      <w:b/>
                      <w:noProof/>
                      <w:sz w:val="22"/>
                      <w:szCs w:val="22"/>
                    </w:rPr>
                  </w:rPrChange>
                </w:rPr>
                <w:t xml:space="preserve">Ísland </w:t>
              </w:r>
            </w:ins>
          </w:p>
          <w:p>
            <w:pPr>
              <w:pStyle w:val="Standard1"/>
              <w:rPr>
                <w:ins w:id="13628" w:author="Author"/>
                <w:rFonts w:ascii="Times New Roman" w:hAnsi="Times New Roman"/>
                <w:bCs/>
                <w:noProof/>
                <w:sz w:val="22"/>
                <w:szCs w:val="22"/>
                <w:lang w:val="en-US"/>
                <w:rPrChange w:id="13629" w:author="Author">
                  <w:rPr>
                    <w:ins w:id="13630" w:author="Author"/>
                    <w:rFonts w:ascii="Times New Roman" w:hAnsi="Times New Roman"/>
                    <w:bCs/>
                    <w:noProof/>
                    <w:sz w:val="22"/>
                    <w:szCs w:val="22"/>
                  </w:rPr>
                </w:rPrChange>
              </w:rPr>
            </w:pPr>
            <w:ins w:id="13631" w:author="Author">
              <w:r>
                <w:rPr>
                  <w:rFonts w:ascii="Times New Roman" w:hAnsi="Times New Roman"/>
                  <w:bCs/>
                  <w:noProof/>
                  <w:sz w:val="22"/>
                  <w:szCs w:val="22"/>
                  <w:lang w:val="en-US"/>
                  <w:rPrChange w:id="13632" w:author="Author">
                    <w:rPr>
                      <w:rFonts w:ascii="Times New Roman" w:hAnsi="Times New Roman"/>
                      <w:bCs/>
                      <w:noProof/>
                      <w:sz w:val="22"/>
                      <w:szCs w:val="22"/>
                    </w:rPr>
                  </w:rPrChange>
                </w:rPr>
                <w:t>Roche Pharmaceuticals A/S</w:t>
              </w:r>
            </w:ins>
          </w:p>
          <w:p>
            <w:pPr>
              <w:pStyle w:val="Standard1"/>
              <w:rPr>
                <w:ins w:id="13633" w:author="Author"/>
                <w:rFonts w:ascii="Times New Roman" w:hAnsi="Times New Roman"/>
                <w:bCs/>
                <w:noProof/>
                <w:sz w:val="22"/>
                <w:szCs w:val="22"/>
                <w:lang w:val="en-US"/>
                <w:rPrChange w:id="13634" w:author="Author">
                  <w:rPr>
                    <w:ins w:id="13635" w:author="Author"/>
                    <w:rFonts w:ascii="Times New Roman" w:hAnsi="Times New Roman"/>
                    <w:bCs/>
                    <w:noProof/>
                    <w:sz w:val="22"/>
                    <w:szCs w:val="22"/>
                  </w:rPr>
                </w:rPrChange>
              </w:rPr>
            </w:pPr>
            <w:ins w:id="13636" w:author="Author">
              <w:r>
                <w:rPr>
                  <w:rFonts w:ascii="Times New Roman" w:hAnsi="Times New Roman"/>
                  <w:bCs/>
                  <w:noProof/>
                  <w:sz w:val="22"/>
                  <w:szCs w:val="22"/>
                  <w:lang w:val="en-US"/>
                  <w:rPrChange w:id="13637" w:author="Author">
                    <w:rPr>
                      <w:rFonts w:ascii="Times New Roman" w:hAnsi="Times New Roman"/>
                      <w:bCs/>
                      <w:noProof/>
                      <w:sz w:val="22"/>
                      <w:szCs w:val="22"/>
                    </w:rPr>
                  </w:rPrChange>
                </w:rPr>
                <w:t>c/o Icepharma hf</w:t>
              </w:r>
            </w:ins>
          </w:p>
          <w:p>
            <w:pPr>
              <w:pStyle w:val="Standard1"/>
              <w:rPr>
                <w:ins w:id="13638" w:author="Author"/>
                <w:rFonts w:ascii="Times New Roman" w:hAnsi="Times New Roman"/>
                <w:bCs/>
                <w:noProof/>
                <w:sz w:val="22"/>
                <w:szCs w:val="22"/>
              </w:rPr>
            </w:pPr>
            <w:ins w:id="13639" w:author="Author">
              <w:r>
                <w:rPr>
                  <w:rFonts w:ascii="Times New Roman" w:hAnsi="Times New Roman"/>
                  <w:bCs/>
                  <w:noProof/>
                  <w:sz w:val="22"/>
                  <w:szCs w:val="22"/>
                </w:rPr>
                <w:t>Sími: +354 540 8000</w:t>
              </w:r>
            </w:ins>
          </w:p>
          <w:p>
            <w:pPr>
              <w:pStyle w:val="Standard1"/>
              <w:rPr>
                <w:ins w:id="13640" w:author="Author"/>
                <w:rFonts w:ascii="Times New Roman" w:hAnsi="Times New Roman"/>
                <w:b/>
                <w:noProof/>
                <w:sz w:val="22"/>
                <w:szCs w:val="22"/>
              </w:rPr>
            </w:pPr>
          </w:p>
        </w:tc>
        <w:tc>
          <w:tcPr>
            <w:tcW w:w="4590" w:type="dxa"/>
          </w:tcPr>
          <w:p>
            <w:pPr>
              <w:pStyle w:val="Standard1"/>
              <w:rPr>
                <w:ins w:id="13641" w:author="Author"/>
                <w:rFonts w:ascii="Times New Roman" w:hAnsi="Times New Roman"/>
                <w:b/>
                <w:bCs/>
                <w:noProof/>
                <w:sz w:val="22"/>
                <w:szCs w:val="22"/>
                <w:lang w:val="de-DE"/>
                <w:rPrChange w:id="13642" w:author="Author">
                  <w:rPr>
                    <w:ins w:id="13643" w:author="Author"/>
                    <w:rFonts w:ascii="Times New Roman" w:hAnsi="Times New Roman"/>
                    <w:b/>
                    <w:bCs/>
                    <w:noProof/>
                    <w:sz w:val="22"/>
                    <w:szCs w:val="22"/>
                  </w:rPr>
                </w:rPrChange>
              </w:rPr>
            </w:pPr>
            <w:ins w:id="13644" w:author="Author">
              <w:r>
                <w:rPr>
                  <w:rFonts w:ascii="Times New Roman" w:hAnsi="Times New Roman"/>
                  <w:b/>
                  <w:bCs/>
                  <w:noProof/>
                  <w:sz w:val="22"/>
                  <w:szCs w:val="22"/>
                  <w:lang w:val="de-DE"/>
                  <w:rPrChange w:id="13645" w:author="Author">
                    <w:rPr>
                      <w:rFonts w:ascii="Times New Roman" w:hAnsi="Times New Roman"/>
                      <w:b/>
                      <w:bCs/>
                      <w:noProof/>
                      <w:sz w:val="22"/>
                      <w:szCs w:val="22"/>
                    </w:rPr>
                  </w:rPrChange>
                </w:rPr>
                <w:t>Suomi/Finland</w:t>
              </w:r>
            </w:ins>
          </w:p>
          <w:p>
            <w:pPr>
              <w:pStyle w:val="Standard1"/>
              <w:rPr>
                <w:ins w:id="13646" w:author="Author"/>
                <w:rFonts w:ascii="Times New Roman" w:hAnsi="Times New Roman"/>
                <w:noProof/>
                <w:sz w:val="22"/>
                <w:szCs w:val="22"/>
                <w:lang w:val="de-DE"/>
                <w:rPrChange w:id="13647" w:author="Author">
                  <w:rPr>
                    <w:ins w:id="13648" w:author="Author"/>
                    <w:rFonts w:ascii="Times New Roman" w:hAnsi="Times New Roman"/>
                    <w:noProof/>
                    <w:sz w:val="22"/>
                    <w:szCs w:val="22"/>
                  </w:rPr>
                </w:rPrChange>
              </w:rPr>
            </w:pPr>
            <w:ins w:id="13649" w:author="Author">
              <w:r>
                <w:rPr>
                  <w:rFonts w:ascii="Times New Roman" w:hAnsi="Times New Roman"/>
                  <w:noProof/>
                  <w:sz w:val="22"/>
                  <w:szCs w:val="22"/>
                  <w:lang w:val="de-DE"/>
                  <w:rPrChange w:id="13650" w:author="Author">
                    <w:rPr>
                      <w:rFonts w:ascii="Times New Roman" w:hAnsi="Times New Roman"/>
                      <w:noProof/>
                      <w:sz w:val="22"/>
                      <w:szCs w:val="22"/>
                    </w:rPr>
                  </w:rPrChange>
                </w:rPr>
                <w:t xml:space="preserve">Roche Oy </w:t>
              </w:r>
            </w:ins>
          </w:p>
          <w:p>
            <w:pPr>
              <w:pStyle w:val="Standard1"/>
              <w:rPr>
                <w:ins w:id="13651" w:author="Author"/>
                <w:rFonts w:ascii="Times New Roman" w:hAnsi="Times New Roman"/>
                <w:noProof/>
                <w:sz w:val="22"/>
                <w:szCs w:val="22"/>
                <w:lang w:val="de-DE"/>
                <w:rPrChange w:id="13652" w:author="Author">
                  <w:rPr>
                    <w:ins w:id="13653" w:author="Author"/>
                    <w:rFonts w:ascii="Times New Roman" w:hAnsi="Times New Roman"/>
                    <w:noProof/>
                    <w:sz w:val="22"/>
                    <w:szCs w:val="22"/>
                  </w:rPr>
                </w:rPrChange>
              </w:rPr>
            </w:pPr>
            <w:ins w:id="13654" w:author="Author">
              <w:r>
                <w:rPr>
                  <w:rFonts w:ascii="Times New Roman" w:hAnsi="Times New Roman"/>
                  <w:noProof/>
                  <w:sz w:val="22"/>
                  <w:szCs w:val="22"/>
                  <w:lang w:val="de-DE"/>
                  <w:rPrChange w:id="13655" w:author="Author">
                    <w:rPr>
                      <w:rFonts w:ascii="Times New Roman" w:hAnsi="Times New Roman"/>
                      <w:noProof/>
                      <w:sz w:val="22"/>
                      <w:szCs w:val="22"/>
                    </w:rPr>
                  </w:rPrChange>
                </w:rPr>
                <w:t>Puh/Tel: +358 (0) 10 554 500</w:t>
              </w:r>
            </w:ins>
          </w:p>
          <w:p>
            <w:pPr>
              <w:pStyle w:val="Standard1"/>
              <w:rPr>
                <w:ins w:id="13656" w:author="Author"/>
                <w:rFonts w:ascii="Times New Roman" w:hAnsi="Times New Roman"/>
                <w:noProof/>
                <w:sz w:val="22"/>
                <w:szCs w:val="22"/>
                <w:lang w:val="de-DE"/>
                <w:rPrChange w:id="13657" w:author="Author">
                  <w:rPr>
                    <w:ins w:id="13658" w:author="Author"/>
                    <w:rFonts w:ascii="Times New Roman" w:hAnsi="Times New Roman"/>
                    <w:noProof/>
                    <w:sz w:val="22"/>
                    <w:szCs w:val="22"/>
                  </w:rPr>
                </w:rPrChange>
              </w:rPr>
            </w:pPr>
          </w:p>
        </w:tc>
      </w:tr>
      <w:tr>
        <w:trPr>
          <w:cantSplit/>
          <w:ins w:id="13659" w:author="Author"/>
        </w:trPr>
        <w:tc>
          <w:tcPr>
            <w:tcW w:w="4590" w:type="dxa"/>
          </w:tcPr>
          <w:p>
            <w:pPr>
              <w:pStyle w:val="Standard1"/>
              <w:rPr>
                <w:ins w:id="13660" w:author="Author"/>
                <w:rFonts w:ascii="Times New Roman" w:hAnsi="Times New Roman"/>
                <w:b/>
                <w:noProof/>
                <w:sz w:val="22"/>
                <w:szCs w:val="22"/>
              </w:rPr>
            </w:pPr>
            <w:ins w:id="13661" w:author="Author">
              <w:r>
                <w:rPr>
                  <w:rFonts w:ascii="Times New Roman" w:hAnsi="Times New Roman"/>
                  <w:b/>
                  <w:noProof/>
                  <w:sz w:val="22"/>
                  <w:szCs w:val="22"/>
                </w:rPr>
                <w:t>Italia</w:t>
              </w:r>
            </w:ins>
          </w:p>
          <w:p>
            <w:pPr>
              <w:pStyle w:val="Standard1"/>
              <w:rPr>
                <w:ins w:id="13662" w:author="Author"/>
                <w:rFonts w:ascii="Times New Roman" w:hAnsi="Times New Roman"/>
                <w:bCs/>
                <w:noProof/>
                <w:sz w:val="22"/>
                <w:szCs w:val="22"/>
              </w:rPr>
            </w:pPr>
            <w:ins w:id="13663" w:author="Author">
              <w:r>
                <w:rPr>
                  <w:rFonts w:ascii="Times New Roman" w:hAnsi="Times New Roman"/>
                  <w:bCs/>
                  <w:noProof/>
                  <w:sz w:val="22"/>
                  <w:szCs w:val="22"/>
                </w:rPr>
                <w:t>Roche S.p.A.</w:t>
              </w:r>
            </w:ins>
          </w:p>
          <w:p>
            <w:pPr>
              <w:pStyle w:val="Standard1"/>
              <w:rPr>
                <w:ins w:id="13664" w:author="Author"/>
                <w:rFonts w:ascii="Times New Roman" w:hAnsi="Times New Roman"/>
                <w:bCs/>
                <w:noProof/>
                <w:sz w:val="22"/>
                <w:szCs w:val="22"/>
              </w:rPr>
            </w:pPr>
            <w:ins w:id="13665" w:author="Author">
              <w:r>
                <w:rPr>
                  <w:rFonts w:ascii="Times New Roman" w:hAnsi="Times New Roman"/>
                  <w:bCs/>
                  <w:noProof/>
                  <w:sz w:val="22"/>
                  <w:szCs w:val="22"/>
                </w:rPr>
                <w:t>Tel: +39 - 039 2471</w:t>
              </w:r>
            </w:ins>
          </w:p>
          <w:p>
            <w:pPr>
              <w:pStyle w:val="Standard1"/>
              <w:rPr>
                <w:ins w:id="13666" w:author="Author"/>
                <w:rFonts w:ascii="Times New Roman" w:hAnsi="Times New Roman"/>
                <w:b/>
                <w:noProof/>
                <w:sz w:val="22"/>
                <w:szCs w:val="22"/>
              </w:rPr>
            </w:pPr>
          </w:p>
        </w:tc>
        <w:tc>
          <w:tcPr>
            <w:tcW w:w="4590" w:type="dxa"/>
          </w:tcPr>
          <w:p>
            <w:pPr>
              <w:pStyle w:val="Standard1"/>
              <w:rPr>
                <w:ins w:id="13667" w:author="Author"/>
                <w:rFonts w:ascii="Times New Roman" w:hAnsi="Times New Roman"/>
                <w:b/>
                <w:bCs/>
                <w:noProof/>
                <w:sz w:val="22"/>
                <w:szCs w:val="22"/>
              </w:rPr>
            </w:pPr>
            <w:ins w:id="13668" w:author="Author">
              <w:r>
                <w:rPr>
                  <w:rFonts w:ascii="Times New Roman" w:hAnsi="Times New Roman"/>
                  <w:b/>
                  <w:bCs/>
                  <w:noProof/>
                  <w:sz w:val="22"/>
                  <w:szCs w:val="22"/>
                </w:rPr>
                <w:t>Sverige</w:t>
              </w:r>
            </w:ins>
          </w:p>
          <w:p>
            <w:pPr>
              <w:pStyle w:val="Standard1"/>
              <w:rPr>
                <w:ins w:id="13669" w:author="Author"/>
                <w:rFonts w:ascii="Times New Roman" w:hAnsi="Times New Roman"/>
                <w:noProof/>
                <w:sz w:val="22"/>
                <w:szCs w:val="22"/>
              </w:rPr>
            </w:pPr>
            <w:ins w:id="13670" w:author="Author">
              <w:r>
                <w:rPr>
                  <w:rFonts w:ascii="Times New Roman" w:hAnsi="Times New Roman"/>
                  <w:noProof/>
                  <w:sz w:val="22"/>
                  <w:szCs w:val="22"/>
                </w:rPr>
                <w:t>Roche AB</w:t>
              </w:r>
            </w:ins>
          </w:p>
          <w:p>
            <w:pPr>
              <w:pStyle w:val="Standard1"/>
              <w:rPr>
                <w:ins w:id="13671" w:author="Author"/>
                <w:rFonts w:ascii="Times New Roman" w:hAnsi="Times New Roman"/>
                <w:noProof/>
                <w:sz w:val="22"/>
                <w:szCs w:val="22"/>
              </w:rPr>
            </w:pPr>
            <w:ins w:id="13672" w:author="Author">
              <w:r>
                <w:rPr>
                  <w:rFonts w:ascii="Times New Roman" w:hAnsi="Times New Roman"/>
                  <w:noProof/>
                  <w:sz w:val="22"/>
                  <w:szCs w:val="22"/>
                </w:rPr>
                <w:t>Tel: +46 (0) 8 726 1200</w:t>
              </w:r>
            </w:ins>
          </w:p>
          <w:p>
            <w:pPr>
              <w:pStyle w:val="Standard1"/>
              <w:rPr>
                <w:ins w:id="13673" w:author="Author"/>
                <w:rFonts w:ascii="Times New Roman" w:hAnsi="Times New Roman"/>
                <w:noProof/>
                <w:sz w:val="22"/>
                <w:szCs w:val="22"/>
              </w:rPr>
            </w:pPr>
          </w:p>
        </w:tc>
      </w:tr>
    </w:tbl>
    <w:p>
      <w:pPr>
        <w:ind w:right="-449"/>
        <w:rPr>
          <w:noProof/>
          <w:szCs w:val="22"/>
          <w:lang w:val="it-IT"/>
        </w:rPr>
      </w:pPr>
    </w:p>
    <w:p>
      <w:pPr>
        <w:ind w:right="-449"/>
        <w:rPr>
          <w:b/>
          <w:noProof/>
          <w:szCs w:val="22"/>
          <w:lang w:val="it-IT" w:eastAsia="en-US"/>
        </w:rPr>
      </w:pPr>
      <w:r>
        <w:rPr>
          <w:rFonts w:eastAsia="Calibri"/>
          <w:b/>
          <w:noProof/>
          <w:szCs w:val="22"/>
          <w:lang w:val="it-IT" w:eastAsia="en-US"/>
        </w:rPr>
        <w:t xml:space="preserve">Questo foglio illustrativo è stato aggiornato il </w:t>
      </w:r>
    </w:p>
    <w:p>
      <w:pPr>
        <w:ind w:right="-449"/>
        <w:rPr>
          <w:b/>
          <w:noProof/>
          <w:szCs w:val="22"/>
          <w:lang w:val="it-IT"/>
        </w:rPr>
      </w:pPr>
    </w:p>
    <w:p>
      <w:pPr>
        <w:ind w:right="-449"/>
        <w:rPr>
          <w:noProof/>
          <w:szCs w:val="22"/>
          <w:lang w:val="it-IT" w:eastAsia="en-US"/>
        </w:rPr>
      </w:pPr>
      <w:r>
        <w:rPr>
          <w:rFonts w:eastAsia="Calibri"/>
          <w:b/>
          <w:noProof/>
          <w:szCs w:val="22"/>
          <w:lang w:val="it-IT" w:eastAsia="en-US"/>
        </w:rPr>
        <w:t>Altre fonti di informazione</w:t>
      </w:r>
    </w:p>
    <w:p>
      <w:pPr>
        <w:numPr>
          <w:ilvl w:val="12"/>
          <w:numId w:val="0"/>
        </w:numPr>
        <w:ind w:right="-2"/>
        <w:rPr>
          <w:noProof/>
          <w:szCs w:val="22"/>
          <w:lang w:val="it-IT" w:eastAsia="en-US"/>
        </w:rPr>
      </w:pPr>
      <w:r>
        <w:rPr>
          <w:rFonts w:eastAsia="Calibri"/>
          <w:noProof/>
          <w:szCs w:val="22"/>
          <w:lang w:val="it-IT" w:eastAsia="en-US"/>
        </w:rPr>
        <w:t>Informazioni più dettagliate su questo medicinale sono disponibili sul sito web della Agenzia europea dei medicinali,</w:t>
      </w:r>
      <w:ins w:id="13674" w:author="Author">
        <w:r>
          <w:rPr>
            <w:rFonts w:eastAsia="Calibri"/>
            <w:noProof/>
            <w:szCs w:val="22"/>
            <w:lang w:val="it-IT" w:eastAsia="en-US"/>
          </w:rPr>
          <w:t xml:space="preserve"> </w:t>
        </w:r>
        <w:r>
          <w:rPr>
            <w:rFonts w:eastAsia="Calibri"/>
            <w:noProof/>
            <w:szCs w:val="22"/>
            <w:lang w:val="it-IT" w:eastAsia="en-US"/>
          </w:rPr>
          <w:fldChar w:fldCharType="begin"/>
        </w:r>
        <w:r>
          <w:rPr>
            <w:rFonts w:eastAsia="Calibri"/>
            <w:noProof/>
            <w:szCs w:val="22"/>
            <w:lang w:val="it-IT" w:eastAsia="en-US"/>
          </w:rPr>
          <w:instrText>HYPERLINK "</w:instrText>
        </w:r>
      </w:ins>
      <w:r>
        <w:rPr>
          <w:rFonts w:eastAsia="Calibri"/>
          <w:noProof/>
          <w:lang w:val="es-ES"/>
          <w:rPrChange w:id="13675" w:author="TCS" w:date="2026-03-20T12:48:00Z">
            <w:rPr>
              <w:rStyle w:val="Hyperlink"/>
              <w:rFonts w:eastAsia="Calibri"/>
              <w:szCs w:val="22"/>
              <w:lang w:val="it-IT" w:eastAsia="en-US"/>
            </w:rPr>
          </w:rPrChange>
        </w:rPr>
        <w:instrText>https://www.ema.europa.eu</w:instrText>
      </w:r>
      <w:ins w:id="13676" w:author="Author">
        <w:r>
          <w:rPr>
            <w:rFonts w:eastAsia="Calibri"/>
            <w:noProof/>
            <w:szCs w:val="22"/>
            <w:lang w:val="it-IT" w:eastAsia="en-US"/>
          </w:rPr>
          <w:instrText>"</w:instrText>
        </w:r>
        <w:r>
          <w:rPr>
            <w:rFonts w:eastAsia="Calibri"/>
            <w:noProof/>
            <w:szCs w:val="22"/>
            <w:lang w:val="it-IT" w:eastAsia="en-US"/>
          </w:rPr>
          <w:fldChar w:fldCharType="separate"/>
        </w:r>
      </w:ins>
      <w:r>
        <w:rPr>
          <w:rStyle w:val="Hyperlink"/>
          <w:rFonts w:eastAsia="Calibri"/>
          <w:noProof/>
          <w:szCs w:val="22"/>
          <w:lang w:val="it-IT" w:eastAsia="en-US"/>
        </w:rPr>
        <w:t>https://www.ema.europa.eu</w:t>
      </w:r>
      <w:ins w:id="13677" w:author="Author">
        <w:r>
          <w:rPr>
            <w:rFonts w:eastAsia="Calibri"/>
            <w:noProof/>
            <w:szCs w:val="22"/>
            <w:lang w:val="it-IT" w:eastAsia="en-US"/>
          </w:rPr>
          <w:fldChar w:fldCharType="end"/>
        </w:r>
      </w:ins>
      <w:del w:id="13678" w:author="Author">
        <w:r>
          <w:rPr>
            <w:rFonts w:eastAsia="Calibri"/>
            <w:noProof/>
            <w:szCs w:val="22"/>
            <w:lang w:val="it-IT" w:eastAsia="en-US"/>
          </w:rPr>
          <w:delText xml:space="preserve"> </w:delText>
        </w:r>
      </w:del>
      <w:r>
        <w:rPr>
          <w:rFonts w:eastAsia="Calibri"/>
          <w:noProof/>
          <w:szCs w:val="22"/>
          <w:lang w:val="it-IT" w:eastAsia="en-US"/>
        </w:rPr>
        <w:t>.</w:t>
      </w:r>
    </w:p>
    <w:p>
      <w:pPr>
        <w:ind w:right="-449"/>
        <w:rPr>
          <w:noProof/>
          <w:szCs w:val="22"/>
          <w:lang w:val="it-IT"/>
        </w:rPr>
      </w:pPr>
    </w:p>
    <w:p>
      <w:pPr>
        <w:autoSpaceDE w:val="0"/>
        <w:autoSpaceDN w:val="0"/>
        <w:adjustRightInd w:val="0"/>
        <w:rPr>
          <w:rFonts w:eastAsia="Calibri"/>
          <w:b/>
          <w:noProof/>
          <w:color w:val="231F20"/>
          <w:szCs w:val="22"/>
          <w:lang w:val="it-IT" w:eastAsia="en-US"/>
        </w:rPr>
      </w:pPr>
      <w:r>
        <w:rPr>
          <w:rFonts w:ascii="Calibri" w:eastAsia="Calibri" w:hAnsi="Calibri"/>
          <w:noProof/>
          <w:szCs w:val="22"/>
          <w:lang w:val="it-IT" w:eastAsia="en-US"/>
        </w:rPr>
        <w:br w:type="page"/>
      </w:r>
      <w:r>
        <w:rPr>
          <w:rFonts w:eastAsia="Calibri"/>
          <w:b/>
          <w:noProof/>
          <w:color w:val="231F20"/>
          <w:szCs w:val="22"/>
          <w:lang w:val="it-IT" w:eastAsia="en-US"/>
        </w:rPr>
        <w:lastRenderedPageBreak/>
        <w:t>Istruzioni necessarie per l’uso sicuro di RoActemra in penna preriempita (ACTPen)</w:t>
      </w:r>
    </w:p>
    <w:p>
      <w:pPr>
        <w:autoSpaceDE w:val="0"/>
        <w:autoSpaceDN w:val="0"/>
        <w:adjustRightInd w:val="0"/>
        <w:rPr>
          <w:b/>
          <w:noProof/>
          <w:color w:val="231F20"/>
          <w:szCs w:val="22"/>
          <w:lang w:val="it-IT" w:eastAsia="en-US"/>
        </w:rPr>
      </w:pPr>
    </w:p>
    <w:p>
      <w:pPr>
        <w:autoSpaceDE w:val="0"/>
        <w:autoSpaceDN w:val="0"/>
        <w:adjustRightInd w:val="0"/>
        <w:rPr>
          <w:rFonts w:eastAsia="Calibri"/>
          <w:noProof/>
          <w:szCs w:val="22"/>
          <w:lang w:val="it-IT" w:eastAsia="en-US"/>
        </w:rPr>
      </w:pPr>
      <w:r>
        <w:rPr>
          <w:rFonts w:eastAsia="Calibri"/>
          <w:noProof/>
          <w:szCs w:val="22"/>
          <w:lang w:val="it-IT" w:eastAsia="en-US"/>
        </w:rPr>
        <w:t>Legga e segua le istruzioni per l’uso allegate alla sua penna preriempita con RoActemra prima di iniziare a usarla e ogni volta che che ottiene un rinnovo della prescrizione. Prima di usare la penna preriempita di RoActemra per la prima volta, un operatore sanitario le mostrerà come farlo in modo corretto.</w:t>
      </w:r>
    </w:p>
    <w:p>
      <w:pPr>
        <w:autoSpaceDE w:val="0"/>
        <w:autoSpaceDN w:val="0"/>
        <w:adjustRightInd w:val="0"/>
        <w:rPr>
          <w:noProof/>
          <w:szCs w:val="22"/>
          <w:lang w:val="it-IT" w:eastAsia="en-US"/>
        </w:rPr>
      </w:pPr>
    </w:p>
    <w:p>
      <w:pPr>
        <w:autoSpaceDE w:val="0"/>
        <w:autoSpaceDN w:val="0"/>
        <w:adjustRightInd w:val="0"/>
        <w:rPr>
          <w:ins w:id="13679" w:author="Author"/>
          <w:rFonts w:eastAsia="Calibri"/>
          <w:noProof/>
          <w:szCs w:val="22"/>
          <w:lang w:val="it-IT" w:eastAsia="en-US"/>
        </w:rPr>
      </w:pPr>
      <w:r>
        <w:rPr>
          <w:rFonts w:eastAsia="Calibri"/>
          <w:noProof/>
          <w:szCs w:val="22"/>
          <w:lang w:val="it-IT" w:eastAsia="en-US"/>
        </w:rPr>
        <w:t>Importante: tenere le penne preriempite non utilizzate nell</w:t>
      </w:r>
      <w:ins w:id="13680" w:author="Author">
        <w:r>
          <w:rPr>
            <w:rFonts w:eastAsia="Calibri"/>
            <w:noProof/>
            <w:szCs w:val="22"/>
            <w:lang w:val="it-IT" w:eastAsia="en-US"/>
          </w:rPr>
          <w:t>a confezione</w:t>
        </w:r>
      </w:ins>
      <w:del w:id="13681" w:author="Author">
        <w:r>
          <w:rPr>
            <w:rFonts w:eastAsia="Calibri"/>
            <w:noProof/>
            <w:szCs w:val="22"/>
            <w:lang w:val="it-IT" w:eastAsia="en-US"/>
          </w:rPr>
          <w:delText>’astuccio</w:delText>
        </w:r>
      </w:del>
      <w:r>
        <w:rPr>
          <w:rFonts w:eastAsia="Calibri"/>
          <w:noProof/>
          <w:szCs w:val="22"/>
          <w:lang w:val="it-IT" w:eastAsia="en-US"/>
        </w:rPr>
        <w:t xml:space="preserve"> originale e in frigorifero a una temperatura compresa tra 2 °C e 8 °C. </w:t>
      </w:r>
      <w:r>
        <w:rPr>
          <w:rFonts w:eastAsia="Calibri"/>
          <w:b/>
          <w:bCs/>
          <w:noProof/>
          <w:szCs w:val="22"/>
          <w:lang w:val="it-IT" w:eastAsia="en-US"/>
        </w:rPr>
        <w:t>Non</w:t>
      </w:r>
      <w:r>
        <w:rPr>
          <w:rFonts w:eastAsia="Calibri"/>
          <w:noProof/>
          <w:szCs w:val="22"/>
          <w:lang w:val="it-IT" w:eastAsia="en-US"/>
        </w:rPr>
        <w:t xml:space="preserve"> congelare.</w:t>
      </w:r>
    </w:p>
    <w:p>
      <w:pPr>
        <w:autoSpaceDE w:val="0"/>
        <w:autoSpaceDN w:val="0"/>
        <w:adjustRightInd w:val="0"/>
        <w:rPr>
          <w:rFonts w:eastAsia="Calibri"/>
          <w:noProof/>
          <w:szCs w:val="22"/>
          <w:lang w:val="it-IT" w:eastAsia="en-US"/>
        </w:rPr>
      </w:pPr>
    </w:p>
    <w:p>
      <w:pPr>
        <w:tabs>
          <w:tab w:val="left" w:pos="180"/>
        </w:tabs>
        <w:rPr>
          <w:del w:id="13682" w:author="Author"/>
          <w:noProof/>
          <w:szCs w:val="22"/>
          <w:lang w:val="it-IT"/>
        </w:rPr>
      </w:pPr>
      <w:r>
        <w:rPr>
          <w:noProof/>
          <w:szCs w:val="22"/>
          <w:lang w:val="it-IT"/>
        </w:rPr>
        <w:t>Una volta tolta dal frigorifero, la penna preriempita può essere conservata per un tempo totale di 2 settimane a temperatura pari o inferiore a 30°C, ma non oltre la data di scadenza originale (Scad.). Segnare la data pertinente sulla confezione.</w:t>
      </w:r>
      <w:ins w:id="13683" w:author="Author">
        <w:r>
          <w:rPr>
            <w:noProof/>
            <w:szCs w:val="22"/>
            <w:lang w:val="it-IT"/>
          </w:rPr>
          <w:t xml:space="preserve"> </w:t>
        </w:r>
      </w:ins>
    </w:p>
    <w:p>
      <w:pPr>
        <w:tabs>
          <w:tab w:val="left" w:pos="180"/>
        </w:tabs>
        <w:rPr>
          <w:noProof/>
          <w:szCs w:val="22"/>
          <w:lang w:val="it-IT"/>
        </w:rPr>
      </w:pPr>
      <w:r>
        <w:rPr>
          <w:noProof/>
          <w:szCs w:val="22"/>
          <w:lang w:val="it-IT"/>
        </w:rPr>
        <w:t>Tenere sempre le penne preriempite nell’imballaggio esterno per proteggerle dalla luce e dall'umidità.</w:t>
      </w:r>
    </w:p>
    <w:p>
      <w:pPr>
        <w:tabs>
          <w:tab w:val="left" w:pos="180"/>
        </w:tabs>
        <w:rPr>
          <w:noProof/>
          <w:szCs w:val="22"/>
          <w:lang w:val="it-IT"/>
        </w:rPr>
      </w:pPr>
    </w:p>
    <w:p>
      <w:pPr>
        <w:autoSpaceDE w:val="0"/>
        <w:autoSpaceDN w:val="0"/>
        <w:adjustRightInd w:val="0"/>
        <w:ind w:left="567" w:hanging="567"/>
        <w:rPr>
          <w:noProof/>
          <w:szCs w:val="22"/>
          <w:lang w:val="it-IT" w:eastAsia="en-US"/>
          <w:rPrChange w:id="13684" w:author="Author">
            <w:rPr>
              <w:b/>
              <w:szCs w:val="22"/>
              <w:lang w:val="it-IT" w:eastAsia="en-US"/>
            </w:rPr>
          </w:rPrChange>
        </w:rPr>
        <w:pPrChange w:id="13685" w:author="Author">
          <w:pPr>
            <w:autoSpaceDE w:val="0"/>
            <w:autoSpaceDN w:val="0"/>
            <w:adjustRightInd w:val="0"/>
            <w:spacing w:afterLines="60" w:after="144" w:line="259" w:lineRule="auto"/>
            <w:ind w:left="567" w:hanging="210"/>
          </w:pPr>
        </w:pPrChange>
      </w:pPr>
      <w:r>
        <w:rPr>
          <w:noProof/>
          <w:lang w:val="it-IT"/>
        </w:rPr>
        <w:sym w:font="Symbol" w:char="00B7"/>
      </w:r>
      <w:r>
        <w:rPr>
          <w:noProof/>
          <w:lang w:val="it-IT"/>
        </w:rPr>
        <w:tab/>
      </w:r>
      <w:r>
        <w:rPr>
          <w:rFonts w:eastAsia="Calibri"/>
          <w:noProof/>
          <w:szCs w:val="22"/>
          <w:lang w:val="it-IT" w:eastAsia="en-US"/>
          <w:rPrChange w:id="13686" w:author="Author">
            <w:rPr>
              <w:rFonts w:eastAsia="Calibri"/>
              <w:b/>
              <w:szCs w:val="22"/>
              <w:lang w:val="it-IT" w:eastAsia="en-US"/>
            </w:rPr>
          </w:rPrChange>
        </w:rPr>
        <w:t>Non togliere il cappuccio della penna preriempita fino a quando si è pronti per praticare l’iniezione di RoActemra.</w:t>
      </w:r>
    </w:p>
    <w:p>
      <w:pPr>
        <w:autoSpaceDE w:val="0"/>
        <w:autoSpaceDN w:val="0"/>
        <w:adjustRightInd w:val="0"/>
        <w:ind w:left="567" w:hanging="567"/>
        <w:rPr>
          <w:noProof/>
          <w:szCs w:val="22"/>
          <w:lang w:val="it-IT" w:eastAsia="en-US"/>
          <w:rPrChange w:id="13687" w:author="Author">
            <w:rPr>
              <w:b/>
              <w:szCs w:val="22"/>
              <w:lang w:val="it-IT" w:eastAsia="en-US"/>
            </w:rPr>
          </w:rPrChange>
        </w:rPr>
        <w:pPrChange w:id="13688" w:author="Author">
          <w:pPr>
            <w:autoSpaceDE w:val="0"/>
            <w:autoSpaceDN w:val="0"/>
            <w:adjustRightInd w:val="0"/>
            <w:spacing w:afterLines="60" w:after="144" w:line="259" w:lineRule="auto"/>
            <w:ind w:left="567" w:hanging="210"/>
          </w:pPr>
        </w:pPrChange>
      </w:pPr>
      <w:r>
        <w:rPr>
          <w:noProof/>
          <w:lang w:val="it-IT"/>
        </w:rPr>
        <w:sym w:font="Symbol" w:char="00B7"/>
      </w:r>
      <w:r>
        <w:rPr>
          <w:noProof/>
          <w:lang w:val="it-IT"/>
        </w:rPr>
        <w:tab/>
      </w:r>
      <w:r>
        <w:rPr>
          <w:rFonts w:eastAsia="Calibri"/>
          <w:noProof/>
          <w:szCs w:val="22"/>
          <w:lang w:val="it-IT" w:eastAsia="en-US"/>
          <w:rPrChange w:id="13689" w:author="Author">
            <w:rPr>
              <w:rFonts w:eastAsia="Calibri"/>
              <w:b/>
              <w:szCs w:val="22"/>
              <w:lang w:val="it-IT" w:eastAsia="en-US"/>
            </w:rPr>
          </w:rPrChange>
        </w:rPr>
        <w:t>Non cercare mai di smontare la penna preriempita.</w:t>
      </w:r>
    </w:p>
    <w:p>
      <w:pPr>
        <w:autoSpaceDE w:val="0"/>
        <w:autoSpaceDN w:val="0"/>
        <w:adjustRightInd w:val="0"/>
        <w:ind w:left="567" w:hanging="567"/>
        <w:rPr>
          <w:noProof/>
          <w:szCs w:val="22"/>
          <w:lang w:val="it-IT" w:eastAsia="en-US"/>
          <w:rPrChange w:id="13690" w:author="Author">
            <w:rPr>
              <w:b/>
              <w:szCs w:val="22"/>
              <w:lang w:val="it-IT" w:eastAsia="en-US"/>
            </w:rPr>
          </w:rPrChange>
        </w:rPr>
        <w:pPrChange w:id="13691" w:author="Author">
          <w:pPr>
            <w:autoSpaceDE w:val="0"/>
            <w:autoSpaceDN w:val="0"/>
            <w:adjustRightInd w:val="0"/>
            <w:spacing w:afterLines="60" w:after="144" w:line="259" w:lineRule="auto"/>
            <w:ind w:left="567" w:hanging="210"/>
          </w:pPr>
        </w:pPrChange>
      </w:pPr>
      <w:r>
        <w:rPr>
          <w:noProof/>
          <w:lang w:val="it-IT"/>
        </w:rPr>
        <w:sym w:font="Symbol" w:char="00B7"/>
      </w:r>
      <w:r>
        <w:rPr>
          <w:noProof/>
          <w:lang w:val="it-IT"/>
        </w:rPr>
        <w:tab/>
      </w:r>
      <w:r>
        <w:rPr>
          <w:rFonts w:eastAsia="Calibri"/>
          <w:noProof/>
          <w:szCs w:val="22"/>
          <w:lang w:val="it-IT" w:eastAsia="en-US"/>
          <w:rPrChange w:id="13692" w:author="Author">
            <w:rPr>
              <w:rFonts w:eastAsia="Calibri"/>
              <w:b/>
              <w:szCs w:val="22"/>
              <w:lang w:val="it-IT" w:eastAsia="en-US"/>
            </w:rPr>
          </w:rPrChange>
        </w:rPr>
        <w:t>Non riutilizzare mai la stessa penna preriempita.</w:t>
      </w:r>
    </w:p>
    <w:p>
      <w:pPr>
        <w:autoSpaceDE w:val="0"/>
        <w:autoSpaceDN w:val="0"/>
        <w:adjustRightInd w:val="0"/>
        <w:ind w:left="567" w:hanging="567"/>
        <w:rPr>
          <w:noProof/>
          <w:szCs w:val="22"/>
          <w:lang w:val="it-IT" w:eastAsia="en-US"/>
          <w:rPrChange w:id="13693" w:author="Author">
            <w:rPr>
              <w:b/>
              <w:szCs w:val="22"/>
              <w:lang w:val="it-IT" w:eastAsia="en-US"/>
            </w:rPr>
          </w:rPrChange>
        </w:rPr>
        <w:pPrChange w:id="13694" w:author="Author">
          <w:pPr>
            <w:autoSpaceDE w:val="0"/>
            <w:autoSpaceDN w:val="0"/>
            <w:adjustRightInd w:val="0"/>
            <w:spacing w:afterLines="60" w:after="144" w:line="259" w:lineRule="auto"/>
            <w:ind w:left="567" w:hanging="210"/>
          </w:pPr>
        </w:pPrChange>
      </w:pPr>
      <w:r>
        <w:rPr>
          <w:noProof/>
          <w:lang w:val="it-IT"/>
        </w:rPr>
        <w:sym w:font="Symbol" w:char="00B7"/>
      </w:r>
      <w:r>
        <w:rPr>
          <w:noProof/>
          <w:lang w:val="it-IT"/>
        </w:rPr>
        <w:tab/>
      </w:r>
      <w:r>
        <w:rPr>
          <w:rFonts w:eastAsia="Calibri"/>
          <w:noProof/>
          <w:szCs w:val="22"/>
          <w:lang w:val="it-IT" w:eastAsia="en-US"/>
          <w:rPrChange w:id="13695" w:author="Author">
            <w:rPr>
              <w:rFonts w:eastAsia="Calibri"/>
              <w:b/>
              <w:szCs w:val="22"/>
              <w:lang w:val="it-IT" w:eastAsia="en-US"/>
            </w:rPr>
          </w:rPrChange>
        </w:rPr>
        <w:t>Non somministrare l’iniezione attraverso degli indumenti.</w:t>
      </w:r>
    </w:p>
    <w:p>
      <w:pPr>
        <w:autoSpaceDE w:val="0"/>
        <w:autoSpaceDN w:val="0"/>
        <w:adjustRightInd w:val="0"/>
        <w:ind w:left="567" w:hanging="567"/>
        <w:rPr>
          <w:noProof/>
          <w:szCs w:val="22"/>
          <w:lang w:val="it-IT" w:eastAsia="en-US"/>
          <w:rPrChange w:id="13696" w:author="Author">
            <w:rPr>
              <w:b/>
              <w:szCs w:val="22"/>
              <w:lang w:val="it-IT" w:eastAsia="en-US"/>
            </w:rPr>
          </w:rPrChange>
        </w:rPr>
        <w:pPrChange w:id="13697" w:author="Author">
          <w:pPr>
            <w:autoSpaceDE w:val="0"/>
            <w:autoSpaceDN w:val="0"/>
            <w:adjustRightInd w:val="0"/>
            <w:spacing w:afterLines="60" w:after="144" w:line="259" w:lineRule="auto"/>
            <w:ind w:left="567" w:hanging="210"/>
          </w:pPr>
        </w:pPrChange>
      </w:pPr>
      <w:r>
        <w:rPr>
          <w:noProof/>
          <w:lang w:val="it-IT"/>
        </w:rPr>
        <w:sym w:font="Symbol" w:char="00B7"/>
      </w:r>
      <w:r>
        <w:rPr>
          <w:noProof/>
          <w:lang w:val="it-IT"/>
        </w:rPr>
        <w:tab/>
      </w:r>
      <w:r>
        <w:rPr>
          <w:rFonts w:eastAsia="Calibri"/>
          <w:noProof/>
          <w:szCs w:val="22"/>
          <w:lang w:val="it-IT" w:eastAsia="en-US"/>
          <w:rPrChange w:id="13698" w:author="Author">
            <w:rPr>
              <w:rFonts w:eastAsia="Calibri"/>
              <w:b/>
              <w:szCs w:val="22"/>
              <w:lang w:val="it-IT" w:eastAsia="en-US"/>
            </w:rPr>
          </w:rPrChange>
        </w:rPr>
        <w:t>Non lasciare la penna preriempita incustodita.</w:t>
      </w:r>
    </w:p>
    <w:p>
      <w:pPr>
        <w:autoSpaceDE w:val="0"/>
        <w:autoSpaceDN w:val="0"/>
        <w:adjustRightInd w:val="0"/>
        <w:ind w:left="567" w:hanging="567"/>
        <w:rPr>
          <w:noProof/>
          <w:szCs w:val="22"/>
          <w:lang w:val="it-IT" w:eastAsia="en-US"/>
          <w:rPrChange w:id="13699" w:author="Author">
            <w:rPr>
              <w:b/>
              <w:szCs w:val="22"/>
              <w:lang w:val="it-IT" w:eastAsia="en-US"/>
            </w:rPr>
          </w:rPrChange>
        </w:rPr>
        <w:pPrChange w:id="13700" w:author="Author">
          <w:pPr>
            <w:autoSpaceDE w:val="0"/>
            <w:autoSpaceDN w:val="0"/>
            <w:adjustRightInd w:val="0"/>
            <w:spacing w:afterLines="60" w:after="144" w:line="259" w:lineRule="auto"/>
            <w:ind w:left="567" w:hanging="210"/>
          </w:pPr>
        </w:pPrChange>
      </w:pPr>
      <w:r>
        <w:rPr>
          <w:noProof/>
          <w:lang w:val="it-IT"/>
        </w:rPr>
        <w:sym w:font="Symbol" w:char="00B7"/>
      </w:r>
      <w:r>
        <w:rPr>
          <w:noProof/>
          <w:lang w:val="it-IT"/>
        </w:rPr>
        <w:tab/>
      </w:r>
      <w:r>
        <w:rPr>
          <w:rFonts w:eastAsia="Calibri"/>
          <w:noProof/>
          <w:szCs w:val="22"/>
          <w:lang w:val="it-IT" w:eastAsia="en-US"/>
          <w:rPrChange w:id="13701" w:author="Author">
            <w:rPr>
              <w:rFonts w:eastAsia="Calibri"/>
              <w:b/>
              <w:szCs w:val="22"/>
              <w:lang w:val="it-IT" w:eastAsia="en-US"/>
            </w:rPr>
          </w:rPrChange>
        </w:rPr>
        <w:t>Tenere fuori dalla portata dei bambini.</w:t>
      </w:r>
    </w:p>
    <w:p>
      <w:pPr>
        <w:keepNext/>
        <w:autoSpaceDE w:val="0"/>
        <w:autoSpaceDN w:val="0"/>
        <w:adjustRightInd w:val="0"/>
        <w:rPr>
          <w:b/>
          <w:noProof/>
          <w:szCs w:val="22"/>
          <w:lang w:val="it-IT" w:eastAsia="en-US"/>
        </w:rPr>
        <w:pPrChange w:id="13702" w:author="Author">
          <w:pPr>
            <w:autoSpaceDE w:val="0"/>
            <w:autoSpaceDN w:val="0"/>
            <w:adjustRightInd w:val="0"/>
          </w:pPr>
        </w:pPrChange>
      </w:pPr>
      <w:r>
        <w:rPr>
          <w:rFonts w:eastAsia="Calibri"/>
          <w:noProof/>
          <w:szCs w:val="22"/>
          <w:lang w:val="it-IT" w:eastAsia="en-US"/>
        </w:rPr>
        <w:lastRenderedPageBreak/>
        <w:t xml:space="preserve">Parti della penna preriempita di RoActemra </w:t>
      </w:r>
      <w:r>
        <w:rPr>
          <w:rFonts w:eastAsia="Calibri"/>
          <w:b/>
          <w:noProof/>
          <w:szCs w:val="22"/>
          <w:lang w:val="it-IT" w:eastAsia="en-US"/>
        </w:rPr>
        <w:t>(vedere Figura A).</w:t>
      </w:r>
    </w:p>
    <w:p>
      <w:pPr>
        <w:autoSpaceDE w:val="0"/>
        <w:autoSpaceDN w:val="0"/>
        <w:adjustRightInd w:val="0"/>
        <w:spacing w:after="120"/>
        <w:jc w:val="center"/>
        <w:rPr>
          <w:noProof/>
          <w:lang w:val="it-IT" w:eastAsia="en-US"/>
        </w:rPr>
      </w:pPr>
      <w:r>
        <w:rPr>
          <w:noProof/>
          <w:szCs w:val="22"/>
          <w:lang w:eastAsia="en-US"/>
        </w:rPr>
        <mc:AlternateContent>
          <mc:Choice Requires="wps">
            <w:drawing>
              <wp:anchor distT="0" distB="0" distL="114300" distR="114300" simplePos="0" relativeHeight="251653120" behindDoc="0" locked="0" layoutInCell="1" allowOverlap="1">
                <wp:simplePos x="0" y="0"/>
                <wp:positionH relativeFrom="column">
                  <wp:posOffset>1490345</wp:posOffset>
                </wp:positionH>
                <wp:positionV relativeFrom="paragraph">
                  <wp:posOffset>3205480</wp:posOffset>
                </wp:positionV>
                <wp:extent cx="975360" cy="714375"/>
                <wp:effectExtent l="0" t="0" r="0" b="9525"/>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28"/>
                                <w:lang w:val="it-IT"/>
                              </w:rPr>
                            </w:pPr>
                            <w:r>
                              <w:rPr>
                                <w:sz w:val="28"/>
                                <w:lang w:val="it-IT"/>
                              </w:rPr>
                              <w:t>Finestr</w:t>
                            </w:r>
                            <w:ins w:id="13703" w:author="Author">
                              <w:r>
                                <w:rPr>
                                  <w:sz w:val="28"/>
                                  <w:lang w:val="it-IT"/>
                                </w:rPr>
                                <w:t>a di visualizzazione</w:t>
                              </w:r>
                            </w:ins>
                            <w:del w:id="13704" w:author="Author">
                              <w:r>
                                <w:rPr>
                                  <w:sz w:val="28"/>
                                  <w:lang w:val="it-IT"/>
                                </w:rPr>
                                <w:delText>ella</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117.35pt;margin-top:252.4pt;width:76.8pt;height:5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VPhQIAABYFAAAOAAAAZHJzL2Uyb0RvYy54bWysVG1v2yAQ/j5p/wHxPbWdOnFs1an6skyT&#10;uhep3Q8ggGM0DAxI7K7af9+BkzTrNmma5g8YuOPhubvnuLgcOol23DqhVY2zsxQjrqhmQm1q/Plh&#10;NVlg5DxRjEiteI0fucOXy9evLnpT8alutWTcIgBRrupNjVvvTZUkjra8I+5MG67A2GjbEQ9Lu0mY&#10;JT2gdzKZpuk86bVlxmrKnYPd29GIlxG/aTj1H5vGcY9kjYGbj6ON4zqMyfKCVBtLTCvongb5BxYd&#10;EQouPULdEk/Q1opfoDpBrXa68WdUd4luGkF5jAGiydIX0dy3xPAYCyTHmWOa3P+DpR92nywSrMbn&#10;BUaKdFCjBz54dK0HNAvp6Y2rwOvegJ8fYBvKHEN15k7TLw4pfdMSteFX1uq+5YQBvSycTE6Ojjgu&#10;gKz795rBNWTrdQQaGtuF3EE2EKBDmR6PpQlUKGyWxex8DhYKpiLLz4vILSHV4bCxzr/lukNhUmML&#10;lY/gZHfnfCBDqoNLuMtpKdhKSBkXdrO+kRbtCKhkFb/I/4WbVMFZ6XBsRBx3gCPcEWyBbaz6U5lN&#10;8/R6Wk5W80UxyVf5bFIW6WKSZuV1OU/zMr9dfQ8Es7xqBWNc3QnFDwrM8r+r8L4XRu1EDaIecjWb&#10;zsYK/THINH6/C7ITHhpSiq7Gi6MTqUJd3ygGYZPKEyHHefIz/ZhlyMHhH7MSVRAKP0rAD+sh6i1K&#10;JChkrdkjyMJqKBtUGB4TmLTafsOoh8assfu6JZZjJN8pkFaZ5Xno5LjIZ8UUFvbUsj61EEUBqsYe&#10;o3F648fu3xorNi3cNIpZ6SuQYyOiVJ5Z7UUMzRdj2j8UobtP19Hr+Tlb/gAAAP//AwBQSwMEFAAG&#10;AAgAAAAhAD/lIHDgAAAACwEAAA8AAABkcnMvZG93bnJldi54bWxMj9FOg0AQRd9N/IfNmPhi7NJC&#10;AZGlURONr639gIGdApGdJey20L93fdLHyZzce265W8wgLjS53rKC9SoCQdxY3XOr4Pj1/piDcB5Z&#10;42CZFFzJwa66vSmx0HbmPV0OvhUhhF2BCjrvx0JK13Rk0K3sSBx+JzsZ9OGcWqknnEO4GeQmilJp&#10;sOfQ0OFIbx0134ezUXD6nB+2T3P94Y/ZPklfsc9qe1Xq/m55eQbhafF/MPzqB3WoglNtz6ydGBRs&#10;4iQLqIJtlIQNgYjzPAZRK0jXWQyyKuX/DdUPAAAA//8DAFBLAQItABQABgAIAAAAIQC2gziS/gAA&#10;AOEBAAATAAAAAAAAAAAAAAAAAAAAAABbQ29udGVudF9UeXBlc10ueG1sUEsBAi0AFAAGAAgAAAAh&#10;ADj9If/WAAAAlAEAAAsAAAAAAAAAAAAAAAAALwEAAF9yZWxzLy5yZWxzUEsBAi0AFAAGAAgAAAAh&#10;ANZzpU+FAgAAFgUAAA4AAAAAAAAAAAAAAAAALgIAAGRycy9lMm9Eb2MueG1sUEsBAi0AFAAGAAgA&#10;AAAhAD/lIHDgAAAACwEAAA8AAAAAAAAAAAAAAAAA3wQAAGRycy9kb3ducmV2LnhtbFBLBQYAAAAA&#10;BAAEAPMAAADsBQAAAAA=&#10;" stroked="f">
                <v:textbox>
                  <w:txbxContent>
                    <w:p>
                      <w:pPr>
                        <w:jc w:val="center"/>
                        <w:rPr>
                          <w:sz w:val="28"/>
                          <w:lang w:val="it-IT"/>
                        </w:rPr>
                      </w:pPr>
                      <w:r>
                        <w:rPr>
                          <w:sz w:val="28"/>
                          <w:lang w:val="it-IT"/>
                        </w:rPr>
                        <w:t>Finestr</w:t>
                      </w:r>
                      <w:ins w:id="13735" w:author="Author">
                        <w:r>
                          <w:rPr>
                            <w:sz w:val="28"/>
                            <w:lang w:val="it-IT"/>
                          </w:rPr>
                          <w:t xml:space="preserve">a </w:t>
                        </w:r>
                        <w:r>
                          <w:rPr>
                            <w:sz w:val="28"/>
                            <w:lang w:val="it-IT"/>
                          </w:rPr>
                          <w:t>di visualizzazione</w:t>
                        </w:r>
                      </w:ins>
                      <w:del w:id="13736" w:author="Author">
                        <w:r>
                          <w:rPr>
                            <w:sz w:val="28"/>
                            <w:lang w:val="it-IT"/>
                          </w:rPr>
                          <w:delText>ella</w:delText>
                        </w:r>
                      </w:del>
                    </w:p>
                  </w:txbxContent>
                </v:textbox>
              </v:shape>
            </w:pict>
          </mc:Fallback>
        </mc:AlternateContent>
      </w:r>
      <w:r>
        <w:rPr>
          <w:noProof/>
          <w:szCs w:val="22"/>
          <w:lang w:eastAsia="en-US"/>
        </w:rPr>
        <mc:AlternateContent>
          <mc:Choice Requires="wps">
            <w:drawing>
              <wp:anchor distT="0" distB="0" distL="114300" distR="114300" simplePos="0" relativeHeight="251655168" behindDoc="0" locked="0" layoutInCell="1" allowOverlap="1">
                <wp:simplePos x="0" y="0"/>
                <wp:positionH relativeFrom="column">
                  <wp:posOffset>1557020</wp:posOffset>
                </wp:positionH>
                <wp:positionV relativeFrom="paragraph">
                  <wp:posOffset>3996054</wp:posOffset>
                </wp:positionV>
                <wp:extent cx="975360" cy="676275"/>
                <wp:effectExtent l="0" t="0" r="0" b="9525"/>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24"/>
                                <w:lang w:val="it-IT"/>
                              </w:rPr>
                            </w:pPr>
                            <w:del w:id="13705" w:author="Author">
                              <w:r>
                                <w:rPr>
                                  <w:sz w:val="24"/>
                                  <w:lang w:val="it-IT"/>
                                </w:rPr>
                                <w:delText>Manicotto di sicurezza</w:delText>
                              </w:r>
                            </w:del>
                            <w:ins w:id="13706" w:author="Author">
                              <w:r>
                                <w:rPr>
                                  <w:sz w:val="24"/>
                                  <w:lang w:val="it-IT"/>
                                </w:rPr>
                                <w:t>Copriago</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122.6pt;margin-top:314.65pt;width:76.8pt;height:5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iXhQIAABYFAAAOAAAAZHJzL2Uyb0RvYy54bWysVFtv2yAUfp+0/4B4T32pE8dWnKppl2lS&#10;d5Ha/QACOEbD4AGJ3VX77zvgJE13kaZpfrCBc/jO5fuOF1dDK9GeGyu0qnByEWPEFdVMqG2FPz+s&#10;J3OMrCOKEakVr/Ajt/hq+frVou9KnupGS8YNAhBly76rcONcV0aRpQ1vib3QHVdgrLVpiYOt2UbM&#10;kB7QWxmlcTyLem1YZzTl1sLp7WjEy4Bf15y6j3VtuUOywpCbC28T3hv/jpYLUm4N6RpBD2mQf8ii&#10;JUJB0BPULXEE7Yz4BaoV1Gira3dBdRvpuhaUhxqgmiT+qZr7hnQ81ALNsd2pTfb/wdIP+08GCVbh&#10;S2BKkRY4euCDQys9oNy3p+9sCV73Hfi5AY6B5lCq7e40/WKR0jcNUVt+bYzuG04YpJf4m9HZ1RHH&#10;epBN/14zCEN2TgegoTat7x10AwE60PR4osanQuGwyKeXM7BQMM3yWZpPQwRSHi93xrq3XLfILyps&#10;gPkATvZ31vlkSHl08bGsloKthZRhY7abG2nQnoBK1uE5oL9wk8o7K+2vjYjjCeQIMbzNZxtYfyqS&#10;NItXaTFZz+b5JFtn00mRx/NJnBSrYhZnRXa7/u4TTLKyEYxxdScUPyowyf6O4cMsjNoJGkQ99Gqa&#10;TkeG/lhkHJ7fFdkKBwMpRVvh+cmJlJ7XN4pB2aR0RMhxHb1MP3QZenD8hq4EFXjiRwm4YTMEvaU+&#10;ulfIRrNHkIXRQBswDD8TWDTafMOoh8GssP26I4ZjJN8pkFaRZJmf5LDJpnkKG3Nu2ZxbiKIAVWGH&#10;0bi8ceP07zojtg1EGsWs9DXIsRZBKs9ZHUQMwxdqOvwo/HSf74PX8+9s+QMAAP//AwBQSwMEFAAG&#10;AAgAAAAhAPHQJgLfAAAACwEAAA8AAABkcnMvZG93bnJldi54bWxMj91Og0AQhe9NfIfNmHhj7CKU&#10;XxkaNdF429oHGGALRHaWsNtC3971Si8n8+Wc75S7VY/iomY7GEZ42gQgFDemHbhDOH69P2YgrCNu&#10;aTSsEK7Kwq66vSmpaM3Ce3U5uE74ELYFIfTOTYWUtumVJrsxk2L/O5lZk/Pn3Ml2psWH61GGQZBI&#10;TQP7hp4m9dar5vtw1ginz+Uhzpf6wx3T/TZ5pSGtzRXx/m59eQbh1Or+YPjV9+pQeafanLm1YkQI&#10;t3HoUYQkzCMQnojyzI+pEdIozkBWpfy/ofoBAAD//wMAUEsBAi0AFAAGAAgAAAAhALaDOJL+AAAA&#10;4QEAABMAAAAAAAAAAAAAAAAAAAAAAFtDb250ZW50X1R5cGVzXS54bWxQSwECLQAUAAYACAAAACEA&#10;OP0h/9YAAACUAQAACwAAAAAAAAAAAAAAAAAvAQAAX3JlbHMvLnJlbHNQSwECLQAUAAYACAAAACEA&#10;joyYl4UCAAAWBQAADgAAAAAAAAAAAAAAAAAuAgAAZHJzL2Uyb0RvYy54bWxQSwECLQAUAAYACAAA&#10;ACEA8dAmAt8AAAALAQAADwAAAAAAAAAAAAAAAADfBAAAZHJzL2Rvd25yZXYueG1sUEsFBgAAAAAE&#10;AAQA8wAAAOsFAAAAAA==&#10;" stroked="f">
                <v:textbox>
                  <w:txbxContent>
                    <w:p>
                      <w:pPr>
                        <w:jc w:val="center"/>
                        <w:rPr>
                          <w:sz w:val="24"/>
                          <w:lang w:val="it-IT"/>
                        </w:rPr>
                      </w:pPr>
                      <w:del w:id="13739" w:author="Author">
                        <w:r>
                          <w:rPr>
                            <w:sz w:val="24"/>
                            <w:lang w:val="it-IT"/>
                          </w:rPr>
                          <w:delText>Manicotto di sicurezza</w:delText>
                        </w:r>
                      </w:del>
                      <w:ins w:id="13740" w:author="Author">
                        <w:r>
                          <w:rPr>
                            <w:sz w:val="24"/>
                            <w:lang w:val="it-IT"/>
                          </w:rPr>
                          <w:t>Copriago</w:t>
                        </w:r>
                      </w:ins>
                    </w:p>
                  </w:txbxContent>
                </v:textbox>
              </v:shape>
            </w:pict>
          </mc:Fallback>
        </mc:AlternateContent>
      </w:r>
      <w:r>
        <w:rPr>
          <w:noProof/>
          <w:szCs w:val="22"/>
          <w:lang w:eastAsia="en-US"/>
        </w:rPr>
        <mc:AlternateContent>
          <mc:Choice Requires="wps">
            <w:drawing>
              <wp:anchor distT="0" distB="0" distL="114300" distR="114300" simplePos="0" relativeHeight="251652096" behindDoc="0" locked="0" layoutInCell="1" allowOverlap="1">
                <wp:simplePos x="0" y="0"/>
                <wp:positionH relativeFrom="column">
                  <wp:posOffset>-83185</wp:posOffset>
                </wp:positionH>
                <wp:positionV relativeFrom="paragraph">
                  <wp:posOffset>2120265</wp:posOffset>
                </wp:positionV>
                <wp:extent cx="1105535" cy="657860"/>
                <wp:effectExtent l="0" t="1905" r="1270" b="0"/>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657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28"/>
                                <w:lang w:val="it-IT"/>
                              </w:rPr>
                            </w:pPr>
                            <w:r>
                              <w:rPr>
                                <w:sz w:val="28"/>
                                <w:lang w:val="it-IT"/>
                              </w:rPr>
                              <w:t>Data di</w:t>
                            </w:r>
                            <w:r>
                              <w:rPr>
                                <w:sz w:val="28"/>
                                <w:lang w:val="it-IT"/>
                              </w:rPr>
                              <w:br/>
                              <w:t>scadenza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6.55pt;margin-top:166.95pt;width:87.05pt;height:5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41hQIAABcFAAAOAAAAZHJzL2Uyb0RvYy54bWysVNmO0zAUfUfiHyy/d5J0kraJmo5moQhp&#10;WKQZPsCNncbCsY3tNhkQ/8613ZYygIQQeXC8XJ+7nHO9vBp7gfbMWK5kjbOLFCMmG0W53Nb44+N6&#10;ssDIOiIpEUqyGj8xi69WL18sB12xqeqUoMwgAJG2GnSNO+d0lSS26VhP7IXSTMJhq0xPHCzNNqGG&#10;DIDei2SaprNkUIZqoxpmLezexUO8Cvhtyxr3vm0tc0jUGGJzYTRh3PgxWS1JtTVEd7w5hEH+IYqe&#10;cAlOT1B3xBG0M/wXqJ43RlnVuotG9YlqW96wkANkk6XPsnnoiGYhFyiO1acy2f8H27zbfzCI0xpf&#10;lhhJ0gNHj2x06EaNKPflGbStwOpBg50bYRtoDqlafa+aTxZJddsRuWXXxqihY4RCeJm/mZxdjTjW&#10;g2yGt4qCG7JzKgCNrel97aAaCNCBpqcTNT6UxrvM0qK4LDBq4GxWzBezwF1CquNtbax7zVSP/KTG&#10;BqgP6GR/b52PhlRHE+/MKsHpmgsRFma7uRUG7QnIZB2+kMAzMyG9sVT+WkSMOxAk+PBnPtxA+9cy&#10;m+bpzbScrGeL+SRf58WknKeLSZqVN+Uszcv8bv3NB5jlVccpZfKeS3aUYJb/HcWHZojiCSJEQ43L&#10;YlpEiv6YZBq+3yXZcwcdKXhf48XJiFSe2FeSQtqkcoSLOE9+Dj9UGWpw/IeqBBl45qMG3LgZo+CO&#10;6too+gS6MApoA/LhNYFJp8wXjAbozBrbzztiGEbijQRtlVme+1YOi7yYT2Fhzk825ydENgBVY4dR&#10;nN662P47bfi2A09RzVJdgx5bHqTihRujOqgYui/kdHgpfHufr4PVj/ds9R0AAP//AwBQSwMEFAAG&#10;AAgAAAAhAErvVxLfAAAACwEAAA8AAABkcnMvZG93bnJldi54bWxMj9FOg0AQRd9N/IfNmPhi2gW3&#10;BYssjZpofG3tBwwwBSI7S9htoX/v9sk+Tubk3nPz7Wx6cabRdZY1xMsIBHFl644bDYefz8ULCOeR&#10;a+wtk4YLOdgW93c5ZrWdeEfnvW9ECGGXoYbW+yGT0lUtGXRLOxCH39GOBn04x0bWI04h3PTyOYoS&#10;abDj0NDiQB8tVb/7k9Fw/J6e1pup/PKHdLdK3rFLS3vR+vFhfnsF4Wn2/zBc9YM6FMGptCeuneg1&#10;LGIVB1SDUmoD4kokcVhXalipdA2yyOXthuIPAAD//wMAUEsBAi0AFAAGAAgAAAAhALaDOJL+AAAA&#10;4QEAABMAAAAAAAAAAAAAAAAAAAAAAFtDb250ZW50X1R5cGVzXS54bWxQSwECLQAUAAYACAAAACEA&#10;OP0h/9YAAACUAQAACwAAAAAAAAAAAAAAAAAvAQAAX3JlbHMvLnJlbHNQSwECLQAUAAYACAAAACEA&#10;QbzuNYUCAAAXBQAADgAAAAAAAAAAAAAAAAAuAgAAZHJzL2Uyb0RvYy54bWxQSwECLQAUAAYACAAA&#10;ACEASu9XEt8AAAALAQAADwAAAAAAAAAAAAAAAADfBAAAZHJzL2Rvd25yZXYueG1sUEsFBgAAAAAE&#10;AAQA8wAAAOsFAAAAAA==&#10;" stroked="f">
                <v:textbox>
                  <w:txbxContent>
                    <w:p>
                      <w:pPr>
                        <w:jc w:val="center"/>
                        <w:rPr>
                          <w:sz w:val="28"/>
                          <w:lang w:val="it-IT"/>
                        </w:rPr>
                      </w:pPr>
                      <w:r>
                        <w:rPr>
                          <w:sz w:val="28"/>
                          <w:lang w:val="it-IT"/>
                        </w:rPr>
                        <w:t>Data di</w:t>
                      </w:r>
                      <w:r>
                        <w:rPr>
                          <w:sz w:val="28"/>
                          <w:lang w:val="it-IT"/>
                        </w:rPr>
                        <w:br/>
                        <w:t>scadenza</w:t>
                      </w:r>
                    </w:p>
                  </w:txbxContent>
                </v:textbox>
              </v:shape>
            </w:pict>
          </mc:Fallback>
        </mc:AlternateContent>
      </w:r>
      <w:r>
        <w:rPr>
          <w:noProof/>
          <w:szCs w:val="22"/>
          <w:lang w:eastAsia="en-US"/>
        </w:rPr>
        <mc:AlternateContent>
          <mc:Choice Requires="wps">
            <w:drawing>
              <wp:anchor distT="0" distB="0" distL="114300" distR="114300" simplePos="0" relativeHeight="251658240" behindDoc="0" locked="0" layoutInCell="1" allowOverlap="1">
                <wp:simplePos x="0" y="0"/>
                <wp:positionH relativeFrom="column">
                  <wp:posOffset>3196590</wp:posOffset>
                </wp:positionH>
                <wp:positionV relativeFrom="paragraph">
                  <wp:posOffset>4122420</wp:posOffset>
                </wp:positionV>
                <wp:extent cx="1109980" cy="894715"/>
                <wp:effectExtent l="1270" t="3810" r="3175" b="0"/>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894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24"/>
                                <w:lang w:val="it-IT"/>
                              </w:rPr>
                            </w:pPr>
                            <w:del w:id="13707" w:author="Author">
                              <w:r>
                                <w:rPr>
                                  <w:sz w:val="24"/>
                                  <w:lang w:val="it-IT"/>
                                </w:rPr>
                                <w:delText>Manicotto di sicurezza</w:delText>
                              </w:r>
                            </w:del>
                            <w:ins w:id="13708" w:author="Author">
                              <w:r>
                                <w:rPr>
                                  <w:sz w:val="24"/>
                                  <w:lang w:val="it-IT"/>
                                </w:rPr>
                                <w:t>Copriago</w:t>
                              </w:r>
                            </w:ins>
                            <w:r>
                              <w:rPr>
                                <w:sz w:val="24"/>
                                <w:lang w:val="it-IT"/>
                              </w:rPr>
                              <w:t xml:space="preserve"> (esteso e bloccato)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251.7pt;margin-top:324.6pt;width:87.4pt;height:7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hhQIAABgFAAAOAAAAZHJzL2Uyb0RvYy54bWysVNuO2yAQfa/Uf0C8Z22nzsVWnNUm21SV&#10;thdptx9AAMeoGCiQ2Nuq/94BJ9lsL1JV1Q8YmPGZyznjxXXfSnTg1gmtKpxdpRhxRTUTalfhTw+b&#10;0Rwj54liRGrFK/zIHb5evnyx6EzJx7rRknGLAES5sjMVbrw3ZZI42vCWuCttuAJjrW1LPBztLmGW&#10;dIDeymScptOk05YZqyl3Dm5vByNeRvy65tR/qGvHPZIVhtx8XG1ct2FNlgtS7iwxjaDHNMg/ZNES&#10;oSDoGeqWeIL2VvwC1QpqtdO1v6K6TXRdC8pjDVBNlv5UzX1DDI+1QHOcObfJ/T9Y+v7w0SLBKvxq&#10;ipEiLXD0wHuPVrpHWexPZ1wJbvcGHH0P98BzrNWZO00/O6T0uiFqx2+s1V3DCYP8stDZ5OLTwIgr&#10;XQDZdu80gzhk73UE6mvbhuZBOxCgA0+PZ25CLjSEzNKimIOJgm1e5LNsEkOQ8vS1sc6/4bpFYVNh&#10;C9xHdHK4cz5kQ8qTSwjmtBRsI6SMB7vbrqVFBwI62cTniP7MTargrHT4bEAcbiBJiBFsId3I+7ci&#10;G+fpalyMNtP5bJRv8smomKXzUZoVq2Ka5kV+u/keEszyshGMcXUnFD9pMMv/juPjNAzqiSpEXYWL&#10;yXgyUPTHItP4/K7IVngYSSla6PPZiZSB2NeKxYHxRMhhnzxPP3YZenB6x65EGQTmBw34fttHxeUh&#10;elDFVrNH0IXVQBswDL8T2DTafsWog9GssPuyJ5ZjJN8q0FaR5XmY5XjIJ7MxHOylZXtpIYoCVIU9&#10;RsN27Yf53xsrdg1EGtSs9A3osRZRKk9ZHVUM4xdrOv4qwnxfnqPX0w9t+QMAAP//AwBQSwMEFAAG&#10;AAgAAAAhAFmg6NvgAAAACwEAAA8AAABkcnMvZG93bnJldi54bWxMj8FOg0AQhu8mvsNmTLwYu7RS&#10;KJShURON19Y+wMBugZTdJey20Ld3POltJvPln+8vdrPpxVWPvnMWYbmIQGhbO9XZBuH4/fG8AeED&#10;WUW9sxrhpj3syvu7gnLlJrvX10NoBIdYnxNCG8KQS+nrVhvyCzdoy7eTGw0FXsdGqpEmDje9XEVR&#10;Ig11lj+0NOj3Vtfnw8UgnL6mp3U2VZ/hmO7j5I26tHI3xMeH+XULIug5/MHwq8/qULJT5S5WedEj&#10;rKOXmFGEJM5WIJhI0g0PFUKaRUuQZSH/dyh/AAAA//8DAFBLAQItABQABgAIAAAAIQC2gziS/gAA&#10;AOEBAAATAAAAAAAAAAAAAAAAAAAAAABbQ29udGVudF9UeXBlc10ueG1sUEsBAi0AFAAGAAgAAAAh&#10;ADj9If/WAAAAlAEAAAsAAAAAAAAAAAAAAAAALwEAAF9yZWxzLy5yZWxzUEsBAi0AFAAGAAgAAAAh&#10;APB6j6GFAgAAGAUAAA4AAAAAAAAAAAAAAAAALgIAAGRycy9lMm9Eb2MueG1sUEsBAi0AFAAGAAgA&#10;AAAhAFmg6NvgAAAACwEAAA8AAAAAAAAAAAAAAAAA3wQAAGRycy9kb3ducmV2LnhtbFBLBQYAAAAA&#10;BAAEAPMAAADsBQAAAAA=&#10;" stroked="f">
                <v:textbox>
                  <w:txbxContent>
                    <w:p>
                      <w:pPr>
                        <w:jc w:val="center"/>
                        <w:rPr>
                          <w:sz w:val="24"/>
                          <w:lang w:val="it-IT"/>
                        </w:rPr>
                      </w:pPr>
                      <w:del w:id="13743" w:author="Author">
                        <w:r>
                          <w:rPr>
                            <w:sz w:val="24"/>
                            <w:lang w:val="it-IT"/>
                          </w:rPr>
                          <w:delText>Manicotto di sicurezza</w:delText>
                        </w:r>
                      </w:del>
                      <w:ins w:id="13744" w:author="Author">
                        <w:r>
                          <w:rPr>
                            <w:sz w:val="24"/>
                            <w:lang w:val="it-IT"/>
                          </w:rPr>
                          <w:t>Copriago</w:t>
                        </w:r>
                      </w:ins>
                      <w:r>
                        <w:rPr>
                          <w:sz w:val="24"/>
                          <w:lang w:val="it-IT"/>
                        </w:rPr>
                        <w:t xml:space="preserve"> </w:t>
                      </w:r>
                      <w:r>
                        <w:rPr>
                          <w:sz w:val="24"/>
                          <w:lang w:val="it-IT"/>
                        </w:rPr>
                        <w:t>(esteso e bloccato)</w:t>
                      </w:r>
                    </w:p>
                  </w:txbxContent>
                </v:textbox>
              </v:shape>
            </w:pict>
          </mc:Fallback>
        </mc:AlternateContent>
      </w:r>
      <w:r>
        <w:rPr>
          <w:noProof/>
          <w:szCs w:val="22"/>
          <w:lang w:eastAsia="en-US"/>
        </w:rPr>
        <mc:AlternateContent>
          <mc:Choice Requires="wps">
            <w:drawing>
              <wp:anchor distT="0" distB="0" distL="114300" distR="114300" simplePos="0" relativeHeight="251657216" behindDoc="0" locked="0" layoutInCell="1" allowOverlap="1">
                <wp:simplePos x="0" y="0"/>
                <wp:positionH relativeFrom="column">
                  <wp:posOffset>3196590</wp:posOffset>
                </wp:positionH>
                <wp:positionV relativeFrom="paragraph">
                  <wp:posOffset>3131185</wp:posOffset>
                </wp:positionV>
                <wp:extent cx="1109980" cy="894715"/>
                <wp:effectExtent l="1270" t="3175" r="3175" b="0"/>
                <wp:wrapNone/>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894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24"/>
                                <w:lang w:val="it-IT"/>
                              </w:rPr>
                            </w:pPr>
                            <w:r>
                              <w:rPr>
                                <w:sz w:val="24"/>
                                <w:lang w:val="it-IT"/>
                              </w:rPr>
                              <w:t xml:space="preserve">Indicatore viola </w:t>
                            </w:r>
                            <w:r>
                              <w:rPr>
                                <w:b/>
                                <w:sz w:val="24"/>
                                <w:lang w:val="it-IT"/>
                              </w:rPr>
                              <w:t>“inieizione completata”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251.7pt;margin-top:246.55pt;width:87.4pt;height:7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CZhAIAABcFAAAOAAAAZHJzL2Uyb0RvYy54bWysVMlu2zAQvRfoPxC8O5JcObaEyEGWuiiQ&#10;LkDSD6BJyiJKcVSStpQW/fcOKdtxugBFUR0kUjN8s7w3vLgcWk120joFpqLZWUqJNByEMpuKfnpY&#10;TRaUOM+MYBqMrOijdPRy+fLFRd+VcgoNaCEtQRDjyr6raON9VyaJ441smTuDTho01mBb5nFrN4mw&#10;rEf0VifTND1PerCis8Clc/j3djTSZcSva8n9h7p20hNdUczNx7eN73V4J8sLVm4s6xrF92mwf8ii&#10;Zcpg0CPULfOMbK36BapV3IKD2p9xaBOoa8VlrAGrydKfqrlvWCdjLdgc1x3b5P4fLH+/+2iJEhV9&#10;NaPEsBY5epCDJ9cwkCK0p+9ciV73Hfr5AX8jzbFU190B/+yIgZuGmY28shb6RjKB6WXhZHJydMRx&#10;AWTdvwOBYdjWQwQaatuG3mE3CKIjTY9HakIqPITM0qJYoImjbVHk82wWQ7DycLqzzr+R0JKwqKhF&#10;6iM62905H7Jh5cElBHOglVgprePGbtY32pIdQ5ms4rNHf+amTXA2EI6NiOMfTBJjBFtIN9L+rcim&#10;eXo9LSar88V8kq/y2aSYp4tJmhXXxXmaF/nt6ntIMMvLRgkhzZ0y8iDBLP87ivfDMIonipD0FS1m&#10;09lI0R+LTOPzuyJb5XEitWqxz0cnVgZiXxuBZbPSM6XHdfI8/dhl7MHhG7sSZRCYHzXgh/UQBRcJ&#10;DBJZg3hEXVhA2pBhvE1w0YD9SkmPk1lR92XLrKREvzWorSLL8zDKcZPP5lPc2FPL+tTCDEeoinpK&#10;xuWNH8d/21m1aTDSqGYDV6jHWkWpPGW1VzFOX6xpf1OE8T7dR6+n+2z5AwAA//8DAFBLAwQUAAYA&#10;CAAAACEA6MlmiuAAAAALAQAADwAAAGRycy9kb3ducmV2LnhtbEyPwU6DQBCG7ya+w2ZMvBi7tFBo&#10;kaVRE43X1j7Awk6ByM4Sdlvo2zue7G0m8+Wf7y92s+3FBUffOVKwXEQgkGpnOmoUHL8/njcgfNBk&#10;dO8IFVzRw668vyt0btxEe7wcQiM4hHyuFbQhDLmUvm7Rar9wAxLfTm60OvA6NtKMeuJw28tVFKXS&#10;6o74Q6sHfG+x/jmcrYLT1/S03k7VZzhm+yR9011WuatSjw/z6wuIgHP4h+FPn9WhZKfKncl40StY&#10;R3HCqIJkGy9BMJFmmxWIioc4iUCWhbztUP4CAAD//wMAUEsBAi0AFAAGAAgAAAAhALaDOJL+AAAA&#10;4QEAABMAAAAAAAAAAAAAAAAAAAAAAFtDb250ZW50X1R5cGVzXS54bWxQSwECLQAUAAYACAAAACEA&#10;OP0h/9YAAACUAQAACwAAAAAAAAAAAAAAAAAvAQAAX3JlbHMvLnJlbHNQSwECLQAUAAYACAAAACEA&#10;52zQmYQCAAAXBQAADgAAAAAAAAAAAAAAAAAuAgAAZHJzL2Uyb0RvYy54bWxQSwECLQAUAAYACAAA&#10;ACEA6MlmiuAAAAALAQAADwAAAAAAAAAAAAAAAADeBAAAZHJzL2Rvd25yZXYueG1sUEsFBgAAAAAE&#10;AAQA8wAAAOsFAAAAAA==&#10;" stroked="f">
                <v:textbox>
                  <w:txbxContent>
                    <w:p>
                      <w:pPr>
                        <w:jc w:val="center"/>
                        <w:rPr>
                          <w:sz w:val="24"/>
                          <w:lang w:val="it-IT"/>
                        </w:rPr>
                      </w:pPr>
                      <w:r>
                        <w:rPr>
                          <w:sz w:val="24"/>
                          <w:lang w:val="it-IT"/>
                        </w:rPr>
                        <w:t xml:space="preserve">Indicatore </w:t>
                      </w:r>
                      <w:r>
                        <w:rPr>
                          <w:sz w:val="24"/>
                          <w:lang w:val="it-IT"/>
                        </w:rPr>
                        <w:t xml:space="preserve">viola </w:t>
                      </w:r>
                      <w:r>
                        <w:rPr>
                          <w:b/>
                          <w:sz w:val="24"/>
                          <w:lang w:val="it-IT"/>
                        </w:rPr>
                        <w:t>“inieizione completata”</w:t>
                      </w:r>
                    </w:p>
                  </w:txbxContent>
                </v:textbox>
              </v:shape>
            </w:pict>
          </mc:Fallback>
        </mc:AlternateContent>
      </w:r>
      <w:r>
        <w:rPr>
          <w:noProof/>
          <w:szCs w:val="22"/>
          <w:lang w:eastAsia="en-US"/>
        </w:rPr>
        <mc:AlternateContent>
          <mc:Choice Requires="wps">
            <w:drawing>
              <wp:anchor distT="0" distB="0" distL="114300" distR="114300" simplePos="0" relativeHeight="251656192" behindDoc="0" locked="0" layoutInCell="1" allowOverlap="1">
                <wp:simplePos x="0" y="0"/>
                <wp:positionH relativeFrom="column">
                  <wp:posOffset>1464310</wp:posOffset>
                </wp:positionH>
                <wp:positionV relativeFrom="paragraph">
                  <wp:posOffset>4671060</wp:posOffset>
                </wp:positionV>
                <wp:extent cx="975360" cy="548640"/>
                <wp:effectExtent l="2540" t="0" r="3175" b="381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28"/>
                                <w:lang w:val="it-IT"/>
                              </w:rPr>
                            </w:pPr>
                            <w:r>
                              <w:rPr>
                                <w:sz w:val="28"/>
                                <w:lang w:val="it-IT"/>
                              </w:rPr>
                              <w:t>Cappuccio verde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115.3pt;margin-top:367.8pt;width:76.8pt;height:4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UvhgIAABY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uHr&#10;HCNFWuDokfcerXSP5qE8nXEleD0Y8PM9bAPNMVVn7jX95JDS64aoHb+1VncNJwzCy8LJ5OLogOMC&#10;yLZ7qxlcQ/ZeR6C+tm2oHVQDATrQ9HSmJoRCYbOYTa6nYKFgmuTzaR6pS0h5Omys86+5blGYVNgC&#10;8xGcHO6dD8GQ8uQS7nJaCrYRUsaF3W3X0qIDAZVs4hfjf+YmVXBWOhwbEIcdiBHuCLYQbWT9a5GN&#10;83Q1Lkab6Xw2yjf5ZFTM0vkozYpVMU3zIr/bfAsBZnnZCMa4uheKnxSY5X/H8LEXBu1EDaIOajUZ&#10;TwaG/phkGr/fJdkKDw0pRVvh+dmJlIHXV4pB2qT0RMhhnvwcfqwy1OD0j1WJKgjEDxLw/baPepue&#10;xLXV7AlkYTXQBgzDYwKTRtsvGHXQmBV2n/fEcozkGwXSKrIcyEc+LvLJbAwLe2nZXlqIogBVYY/R&#10;MF37ofv3xopdAzcNYlb6FuRYiyiVoNshqqOIofliTseHInT35Tp6/XjOlt8BAAD//wMAUEsDBBQA&#10;BgAIAAAAIQCqt4QC4AAAAAsBAAAPAAAAZHJzL2Rvd25yZXYueG1sTI9BTsMwEEX3SNzBGiQ2iNo4&#10;bRJCJhUggdi29ACT2E0iYjuK3Sa9PWZFdzOapz/vl9vFDOysJ987i/C0EsC0bZzqbYtw+P54zIH5&#10;QFbR4KxGuGgP2+r2pqRCudnu9HkfWhZDrC8IoQthLDj3TacN+ZUbtY23o5sMhbhOLVcTzTHcDFwK&#10;kXJDvY0fOhr1e6ebn/3JIBy/5ofN81x/hkO2W6dv1Ge1uyDe3y2vL8CCXsI/DH/6UR2q6FS7k1We&#10;DQgyEWlEEbJkE4dIJPlaAqsRcikF8Krk1x2qXwAAAP//AwBQSwECLQAUAAYACAAAACEAtoM4kv4A&#10;AADhAQAAEwAAAAAAAAAAAAAAAAAAAAAAW0NvbnRlbnRfVHlwZXNdLnhtbFBLAQItABQABgAIAAAA&#10;IQA4/SH/1gAAAJQBAAALAAAAAAAAAAAAAAAAAC8BAABfcmVscy8ucmVsc1BLAQItABQABgAIAAAA&#10;IQDFkWUvhgIAABYFAAAOAAAAAAAAAAAAAAAAAC4CAABkcnMvZTJvRG9jLnhtbFBLAQItABQABgAI&#10;AAAAIQCqt4QC4AAAAAsBAAAPAAAAAAAAAAAAAAAAAOAEAABkcnMvZG93bnJldi54bWxQSwUGAAAA&#10;AAQABADzAAAA7QUAAAAA&#10;" stroked="f">
                <v:textbox>
                  <w:txbxContent>
                    <w:p>
                      <w:pPr>
                        <w:jc w:val="center"/>
                        <w:rPr>
                          <w:sz w:val="28"/>
                          <w:lang w:val="it-IT"/>
                        </w:rPr>
                      </w:pPr>
                      <w:r>
                        <w:rPr>
                          <w:sz w:val="28"/>
                          <w:lang w:val="it-IT"/>
                        </w:rPr>
                        <w:t xml:space="preserve">Cappuccio </w:t>
                      </w:r>
                      <w:r>
                        <w:rPr>
                          <w:sz w:val="28"/>
                          <w:lang w:val="it-IT"/>
                        </w:rPr>
                        <w:t>verde</w:t>
                      </w:r>
                    </w:p>
                  </w:txbxContent>
                </v:textbox>
              </v:shape>
            </w:pict>
          </mc:Fallback>
        </mc:AlternateContent>
      </w:r>
      <w:r>
        <w:rPr>
          <w:noProof/>
          <w:szCs w:val="22"/>
          <w:lang w:eastAsia="en-US"/>
        </w:rPr>
        <mc:AlternateContent>
          <mc:Choice Requires="wps">
            <w:drawing>
              <wp:anchor distT="0" distB="0" distL="114300" distR="114300" simplePos="0" relativeHeight="251654144" behindDoc="0" locked="0" layoutInCell="1" allowOverlap="1">
                <wp:simplePos x="0" y="0"/>
                <wp:positionH relativeFrom="column">
                  <wp:posOffset>1539875</wp:posOffset>
                </wp:positionH>
                <wp:positionV relativeFrom="paragraph">
                  <wp:posOffset>1129030</wp:posOffset>
                </wp:positionV>
                <wp:extent cx="1054100" cy="750570"/>
                <wp:effectExtent l="1905" t="1270" r="1270" b="635"/>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750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28"/>
                                <w:lang w:val="it-IT"/>
                              </w:rPr>
                            </w:pPr>
                            <w:r>
                              <w:rPr>
                                <w:sz w:val="28"/>
                                <w:lang w:val="it-IT"/>
                              </w:rPr>
                              <w:t>Pulsante verde di attivazione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left:0;text-align:left;margin-left:121.25pt;margin-top:88.9pt;width:83pt;height:5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YrhgIAABcFAAAOAAAAZHJzL2Uyb0RvYy54bWysVNuO2yAQfa/Uf0C8Z21n7SS24qz20lSV&#10;thdptx9AAMeoGCiQ2Nuq/94BJ2m6baWqqh8wMMNhZs4ZlldDJ9GeWye0qnF2kWLEFdVMqG2NPz6u&#10;JwuMnCeKEakVr/ETd/hq9fLFsjcVn+pWS8YtAhDlqt7UuPXeVEniaMs74i604QqMjbYd8bC024RZ&#10;0gN6J5Npms6SXltmrKbcOdi9G414FfGbhlP/vmkc90jWGGLzcbRx3IQxWS1JtbXEtIIewiD/EEVH&#10;hIJLT1B3xBO0s+IXqE5Qq51u/AXVXaKbRlAec4BssvRZNg8tMTzmAsVx5lQm9/9g6bv9B4sEq/Hl&#10;JUaKdMDRIx88utEDmoXy9MZV4PVgwM8PsA00x1Sdudf0k0NK37ZEbfm1tbpvOWEQXhZOJmdHRxwX&#10;QDb9W83gGrLzOgINje1C7aAaCNCBpqcTNSEUGq5MizxLwUTBNi/SYh65S0h1PG2s86+57lCY1NgC&#10;9RGd7O+dD9GQ6ugSLnNaCrYWUsaF3W5upUV7AjJZxy8m8MxNquCsdDg2Io47ECTcEWwh3Ej71zKb&#10;5unNtJysZ4v5JF/nxaScp4tJmpU35SzNy/xu/S0EmOVVKxjj6l4ofpRglv8dxYdmGMUTRYj6GpfF&#10;tBgp+mOSafx+l2QnPHSkFF2NFycnUgViXykGaZPKEyHHefJz+LHKUIPjP1YlyiAwP2rAD5shCm5+&#10;VNdGsyfQhdVAGzAMrwlMWm2/YNRDZ9bYfd4RyzGSbxRoq8zyPLRyXOTFfAoLe27ZnFuIogBVY4/R&#10;OL31Y/vvjBXbFm4a1az0NeixEVEqQbhjVAcVQ/fFnA4vRWjv83X0+vGerb4DAAD//wMAUEsDBBQA&#10;BgAIAAAAIQBVs3mW3gAAAAsBAAAPAAAAZHJzL2Rvd25yZXYueG1sTI/BTsMwEETvSPyDtUhcELWJ&#10;0qQNcSpAAnFt6Qds4m0SEdtR7Dbp37Oc4Lgzo9k35W6xg7jQFHrvNDytFAhyjTe9azUcv94fNyBC&#10;RGdw8I40XCnArrq9KbEwfnZ7uhxiK7jEhQI1dDGOhZSh6chiWPmRHHsnP1mMfE6tNBPOXG4HmSiV&#10;SYu94w8djvTWUfN9OFsNp8/5Yb2d6494zPdp9op9Xvur1vd3y8sziEhL/AvDLz6jQ8VMtT87E8Sg&#10;IUmTNUfZyHPewIlUbVip2dpmCmRVyv8bqh8AAAD//wMAUEsBAi0AFAAGAAgAAAAhALaDOJL+AAAA&#10;4QEAABMAAAAAAAAAAAAAAAAAAAAAAFtDb250ZW50X1R5cGVzXS54bWxQSwECLQAUAAYACAAAACEA&#10;OP0h/9YAAACUAQAACwAAAAAAAAAAAAAAAAAvAQAAX3JlbHMvLnJlbHNQSwECLQAUAAYACAAAACEA&#10;wSsGK4YCAAAXBQAADgAAAAAAAAAAAAAAAAAuAgAAZHJzL2Uyb0RvYy54bWxQSwECLQAUAAYACAAA&#10;ACEAVbN5lt4AAAALAQAADwAAAAAAAAAAAAAAAADgBAAAZHJzL2Rvd25yZXYueG1sUEsFBgAAAAAE&#10;AAQA8wAAAOsFAAAAAA==&#10;" stroked="f">
                <v:textbox>
                  <w:txbxContent>
                    <w:p>
                      <w:pPr>
                        <w:jc w:val="center"/>
                        <w:rPr>
                          <w:sz w:val="28"/>
                          <w:lang w:val="it-IT"/>
                        </w:rPr>
                      </w:pPr>
                      <w:r>
                        <w:rPr>
                          <w:sz w:val="28"/>
                          <w:lang w:val="it-IT"/>
                        </w:rPr>
                        <w:t xml:space="preserve">Pulsante </w:t>
                      </w:r>
                      <w:r>
                        <w:rPr>
                          <w:sz w:val="28"/>
                          <w:lang w:val="it-IT"/>
                        </w:rPr>
                        <w:t>verde di attivazione</w:t>
                      </w:r>
                    </w:p>
                  </w:txbxContent>
                </v:textbox>
              </v:shape>
            </w:pict>
          </mc:Fallback>
        </mc:AlternateContent>
      </w:r>
      <w:r>
        <w:rPr>
          <w:noProof/>
          <w:szCs w:val="22"/>
          <w:lang w:eastAsia="en-US"/>
        </w:rPr>
        <mc:AlternateContent>
          <mc:Choice Requires="wps">
            <w:drawing>
              <wp:anchor distT="0" distB="0" distL="114300" distR="114300" simplePos="0" relativeHeight="251651072" behindDoc="0" locked="0" layoutInCell="1" allowOverlap="1">
                <wp:simplePos x="0" y="0"/>
                <wp:positionH relativeFrom="column">
                  <wp:posOffset>3842385</wp:posOffset>
                </wp:positionH>
                <wp:positionV relativeFrom="paragraph">
                  <wp:posOffset>597535</wp:posOffset>
                </wp:positionV>
                <wp:extent cx="1704975" cy="316230"/>
                <wp:effectExtent l="0" t="3175" r="635" b="4445"/>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b/>
                                <w:sz w:val="32"/>
                                <w:lang w:val="it-IT"/>
                              </w:rPr>
                            </w:pPr>
                            <w:r>
                              <w:rPr>
                                <w:b/>
                                <w:sz w:val="32"/>
                                <w:lang w:val="it-IT"/>
                              </w:rPr>
                              <w:t>Dopo l’uso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position:absolute;left:0;text-align:left;margin-left:302.55pt;margin-top:47.05pt;width:134.25pt;height:24.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fnhQIAABcFAAAOAAAAZHJzL2Uyb0RvYy54bWysVNmO0zAUfUfiHyy/d7I0XRJNOpqFIqRh&#10;kWb4ANd2GgvHNrbbZED8O9dOW8oAEkLkwfFyfe5yzvXl1dBJtOfWCa1qnF2kGHFFNRNqW+OPj+vJ&#10;EiPniWJEasVr/MQdvlq9fHHZm4rnutWScYsARLmqNzVuvTdVkjja8o64C224gsNG2454WNptwizp&#10;Ab2TSZ6m86TXlhmrKXcOdu/GQ7yK+E3DqX/fNI57JGsMsfk42jhuwpisLkm1tcS0gh7CIP8QRUeE&#10;AqcnqDviCdpZ8QtUJ6jVTjf+guou0U0jKI85QDZZ+iybh5YYHnOB4jhzKpP7f7D03f6DRYLVeJpj&#10;pEgHHD3ywaMbPaBpKE9vXAVWDwbs/ADbQHNM1Zl7TT85pPRtS9SWX1ur+5YTBuFl4WZydnXEcQFk&#10;07/VDNyQndcRaGhsF2oH1UCADjQ9nagJodDgcpEW5WKGEYWzaTbPp5G7hFTH28Y6/5rrDoVJjS1Q&#10;H9HJ/t75EA2pjibBmdNSsLWQMi7sdnMrLdoTkMk6fjGBZ2ZSBWOlw7URcdyBIMFHOAvhRtq/llle&#10;pDd5OVnPl4tJsS5mk3KRLidpVt6Uc0imuFt/CwFmRdUKxri6F4ofJZgVf0fxoRlG8UQRor7G5Syf&#10;jRT9Mck0fr9LshMeOlKKrsbLkxGpArGvFIO0SeWJkOM8+Tn8WGWowfEfqxJlEJgfNeCHzRAFtzyq&#10;a6PZE+jCaqANyIfXBCattl8w6qEza+w+74jlGMk3CrRVZkURWjkuitkih4U9P9mcnxBFAarGHqNx&#10;euvH9t8ZK7YteBrVrPQ16LERUSpBuGNUBxVD98WcDi9FaO/zdbT68Z6tvgMAAP//AwBQSwMEFAAG&#10;AAgAAAAhAPTvz3LfAAAACgEAAA8AAABkcnMvZG93bnJldi54bWxMj8FOg0AQhu8mvsNmTLwYu9RS&#10;KJSlURON19Y+wMJOgZSdJey20Ld3POlpMpkv/3x/sZttL644+s6RguUiAoFUO9NRo+D4/fG8AeGD&#10;JqN7R6jghh525f1doXPjJtrj9RAawSHkc62gDWHIpfR1i1b7hRuQ+HZyo9WB17GRZtQTh9tevkRR&#10;Iq3uiD+0esD3Fuvz4WIVnL6mp3U2VZ/hmO7j5E13aeVuSj0+zK9bEAHn8AfDrz6rQ8lOlbuQ8aJX&#10;kETrJaMKspgnA5t0lYComIxXGciykP8rlD8AAAD//wMAUEsBAi0AFAAGAAgAAAAhALaDOJL+AAAA&#10;4QEAABMAAAAAAAAAAAAAAAAAAAAAAFtDb250ZW50X1R5cGVzXS54bWxQSwECLQAUAAYACAAAACEA&#10;OP0h/9YAAACUAQAACwAAAAAAAAAAAAAAAAAvAQAAX3JlbHMvLnJlbHNQSwECLQAUAAYACAAAACEA&#10;oZTH54UCAAAXBQAADgAAAAAAAAAAAAAAAAAuAgAAZHJzL2Uyb0RvYy54bWxQSwECLQAUAAYACAAA&#10;ACEA9O/Pct8AAAAKAQAADwAAAAAAAAAAAAAAAADfBAAAZHJzL2Rvd25yZXYueG1sUEsFBgAAAAAE&#10;AAQA8wAAAOsFAAAAAA==&#10;" stroked="f">
                <v:textbox>
                  <w:txbxContent>
                    <w:p>
                      <w:pPr>
                        <w:jc w:val="center"/>
                        <w:rPr>
                          <w:b/>
                          <w:sz w:val="32"/>
                          <w:lang w:val="it-IT"/>
                        </w:rPr>
                      </w:pPr>
                      <w:r>
                        <w:rPr>
                          <w:b/>
                          <w:sz w:val="32"/>
                          <w:lang w:val="it-IT"/>
                        </w:rPr>
                        <w:t xml:space="preserve">Dopo </w:t>
                      </w:r>
                      <w:r>
                        <w:rPr>
                          <w:b/>
                          <w:sz w:val="32"/>
                          <w:lang w:val="it-IT"/>
                        </w:rPr>
                        <w:t>l’uso</w:t>
                      </w:r>
                    </w:p>
                  </w:txbxContent>
                </v:textbox>
              </v:shape>
            </w:pict>
          </mc:Fallback>
        </mc:AlternateContent>
      </w:r>
      <w:r>
        <w:rPr>
          <w:noProof/>
          <w:szCs w:val="22"/>
          <w:lang w:eastAsia="en-US"/>
        </w:rPr>
        <mc:AlternateContent>
          <mc:Choice Requires="wps">
            <w:drawing>
              <wp:anchor distT="0" distB="0" distL="114300" distR="114300" simplePos="0" relativeHeight="251650048" behindDoc="0" locked="0" layoutInCell="1" allowOverlap="1">
                <wp:simplePos x="0" y="0"/>
                <wp:positionH relativeFrom="column">
                  <wp:posOffset>1322070</wp:posOffset>
                </wp:positionH>
                <wp:positionV relativeFrom="paragraph">
                  <wp:posOffset>597535</wp:posOffset>
                </wp:positionV>
                <wp:extent cx="1704975" cy="316230"/>
                <wp:effectExtent l="3175" t="3175" r="0" b="444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b/>
                                <w:sz w:val="32"/>
                                <w:lang w:val="it-IT"/>
                              </w:rPr>
                            </w:pPr>
                            <w:r>
                              <w:rPr>
                                <w:b/>
                                <w:sz w:val="32"/>
                                <w:lang w:val="it-IT"/>
                              </w:rPr>
                              <w:t>Prima dell’uso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104.1pt;margin-top:47.05pt;width:134.25pt;height:24.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ZthQIAABc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X2YY&#10;KdIBR4988OhGDygP5emNq8DqwYCdH2AbaI6pOnOv6SeHlL5tidrya2t133LCILws3EzOro44LoBs&#10;+reagRuy8zoCDY3tQu2gGgjQgaanEzUhFBpcztOinE8xonB2mc3yy8hdQqrjbWOdf811h8Kkxhao&#10;j+hkf+98iIZUR5PgzGkp2FpIGRd2u7mVFu0JyGQdv5jAMzOpgrHS4dqIOO5AkOAjnIVwI+1fyywv&#10;0pu8nKxni/mkWBfTSTlPF5M0K2/KGSRT3K2/hQCzomoFY1zdC8WPEsyKv6P40AyjeKIIUV/jcppP&#10;R4r+mGQav98l2QkPHSlFV+PFyYhUgdhXikHapPJEyHGe/Bx+rDLU4PiPVYkyCMyPGvDDZoiCK4/q&#10;2mj2BLqwGmgD8uE1gUmr7ReMeujMGrvPO2I5RvKNAm2VWVGEVo6LYjrPYWHPTzbnJ0RRgKqxx2ic&#10;3vqx/XfGim0LnkY1K30NemxElEoQ7hjVQcXQfTGnw0sR2vt8Ha1+vGer7wAAAP//AwBQSwMEFAAG&#10;AAgAAAAhALGij9HeAAAACgEAAA8AAABkcnMvZG93bnJldi54bWxMj9FOg0AQRd9N/IfNmPhi7FJE&#10;KMjSqImmr639gIHdApGdJey20L93fNLHyT2590y5XewgLmbyvSMF61UEwlDjdE+tguPXx+MGhA9I&#10;GgdHRsHVeNhWtzclFtrNtDeXQ2gFl5AvUEEXwlhI6ZvOWPQrNxri7OQmi4HPqZV6wpnL7SDjKEql&#10;xZ54ocPRvHem+T6crYLTbn54zuf6MxyzfZK+YZ/V7qrU/d3y+gIimCX8wfCrz+pQsVPtzqS9GBTE&#10;0SZmVEGerEEwkGRpBqJmMnnKQVal/P9C9QMAAP//AwBQSwECLQAUAAYACAAAACEAtoM4kv4AAADh&#10;AQAAEwAAAAAAAAAAAAAAAAAAAAAAW0NvbnRlbnRfVHlwZXNdLnhtbFBLAQItABQABgAIAAAAIQA4&#10;/SH/1gAAAJQBAAALAAAAAAAAAAAAAAAAAC8BAABfcmVscy8ucmVsc1BLAQItABQABgAIAAAAIQDz&#10;exZthQIAABcFAAAOAAAAAAAAAAAAAAAAAC4CAABkcnMvZTJvRG9jLnhtbFBLAQItABQABgAIAAAA&#10;IQCxoo/R3gAAAAoBAAAPAAAAAAAAAAAAAAAAAN8EAABkcnMvZG93bnJldi54bWxQSwUGAAAAAAQA&#10;BADzAAAA6gUAAAAA&#10;" stroked="f">
                <v:textbox>
                  <w:txbxContent>
                    <w:p>
                      <w:pPr>
                        <w:jc w:val="center"/>
                        <w:rPr>
                          <w:b/>
                          <w:sz w:val="32"/>
                          <w:lang w:val="it-IT"/>
                        </w:rPr>
                      </w:pPr>
                      <w:r>
                        <w:rPr>
                          <w:b/>
                          <w:sz w:val="32"/>
                          <w:lang w:val="it-IT"/>
                        </w:rPr>
                        <w:t xml:space="preserve">Prima </w:t>
                      </w:r>
                      <w:r>
                        <w:rPr>
                          <w:b/>
                          <w:sz w:val="32"/>
                          <w:lang w:val="it-IT"/>
                        </w:rPr>
                        <w:t>dell’uso</w:t>
                      </w:r>
                    </w:p>
                  </w:txbxContent>
                </v:textbox>
              </v:shape>
            </w:pict>
          </mc:Fallback>
        </mc:AlternateContent>
      </w:r>
      <w:r>
        <w:rPr>
          <w:rFonts w:eastAsia="Calibri"/>
          <w:noProof/>
          <w:lang w:eastAsia="en-US"/>
        </w:rPr>
        <w:drawing>
          <wp:inline distT="0" distB="0" distL="0" distR="0">
            <wp:extent cx="5502275" cy="5549900"/>
            <wp:effectExtent l="0" t="0" r="0" b="0"/>
            <wp:docPr id="1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2275" cy="5549900"/>
                    </a:xfrm>
                    <a:prstGeom prst="rect">
                      <a:avLst/>
                    </a:prstGeom>
                    <a:noFill/>
                    <a:ln>
                      <a:noFill/>
                    </a:ln>
                  </pic:spPr>
                </pic:pic>
              </a:graphicData>
            </a:graphic>
          </wp:inline>
        </w:drawing>
      </w:r>
    </w:p>
    <w:p>
      <w:pPr>
        <w:autoSpaceDE w:val="0"/>
        <w:autoSpaceDN w:val="0"/>
        <w:adjustRightInd w:val="0"/>
        <w:spacing w:after="120"/>
        <w:jc w:val="center"/>
        <w:rPr>
          <w:b/>
          <w:noProof/>
          <w:szCs w:val="22"/>
          <w:lang w:val="it-IT" w:eastAsia="en-US"/>
        </w:rPr>
      </w:pPr>
      <w:r>
        <w:rPr>
          <w:rFonts w:eastAsia="Calibri"/>
          <w:b/>
          <w:noProof/>
          <w:szCs w:val="22"/>
          <w:lang w:val="it-IT" w:eastAsia="en-US"/>
        </w:rPr>
        <w:t>Figura A</w:t>
      </w:r>
    </w:p>
    <w:p>
      <w:pPr>
        <w:autoSpaceDE w:val="0"/>
        <w:autoSpaceDN w:val="0"/>
        <w:adjustRightInd w:val="0"/>
        <w:rPr>
          <w:noProof/>
          <w:szCs w:val="22"/>
          <w:lang w:val="it-IT"/>
        </w:rPr>
      </w:pPr>
    </w:p>
    <w:p>
      <w:pPr>
        <w:keepNext/>
        <w:keepLines/>
        <w:autoSpaceDE w:val="0"/>
        <w:autoSpaceDN w:val="0"/>
        <w:adjustRightInd w:val="0"/>
        <w:spacing w:after="60"/>
        <w:rPr>
          <w:noProof/>
          <w:szCs w:val="22"/>
          <w:lang w:val="it-IT" w:eastAsia="en-US"/>
        </w:rPr>
        <w:pPrChange w:id="13709" w:author="Author">
          <w:pPr>
            <w:autoSpaceDE w:val="0"/>
            <w:autoSpaceDN w:val="0"/>
            <w:adjustRightInd w:val="0"/>
            <w:spacing w:after="60"/>
          </w:pPr>
        </w:pPrChange>
      </w:pPr>
      <w:r>
        <w:rPr>
          <w:rFonts w:eastAsia="Calibri"/>
          <w:b/>
          <w:noProof/>
          <w:szCs w:val="22"/>
          <w:lang w:val="it-IT" w:eastAsia="en-US"/>
        </w:rPr>
        <w:t>Occorrente per somministrare l’iniezione con la penna preriempita di RoActemra (vedere Figura B):</w:t>
      </w:r>
    </w:p>
    <w:p>
      <w:pPr>
        <w:tabs>
          <w:tab w:val="left" w:pos="1080"/>
        </w:tabs>
        <w:autoSpaceDE w:val="0"/>
        <w:autoSpaceDN w:val="0"/>
        <w:adjustRightInd w:val="0"/>
        <w:ind w:left="567" w:hanging="567"/>
        <w:rPr>
          <w:noProof/>
          <w:szCs w:val="22"/>
          <w:lang w:val="it-IT" w:eastAsia="en-US"/>
        </w:rPr>
        <w:pPrChange w:id="13710" w:author="Author">
          <w:pPr>
            <w:tabs>
              <w:tab w:val="left" w:pos="1080"/>
            </w:tabs>
            <w:autoSpaceDE w:val="0"/>
            <w:autoSpaceDN w:val="0"/>
            <w:adjustRightInd w:val="0"/>
            <w:spacing w:line="259" w:lineRule="auto"/>
            <w:ind w:left="714" w:hanging="357"/>
          </w:pPr>
        </w:pPrChange>
      </w:pPr>
      <w:r>
        <w:rPr>
          <w:noProof/>
          <w:lang w:val="it-IT"/>
        </w:rPr>
        <w:sym w:font="Symbol" w:char="00B7"/>
      </w:r>
      <w:r>
        <w:rPr>
          <w:noProof/>
          <w:lang w:val="it-IT"/>
        </w:rPr>
        <w:tab/>
      </w:r>
      <w:r>
        <w:rPr>
          <w:rFonts w:eastAsia="Calibri"/>
          <w:noProof/>
          <w:szCs w:val="22"/>
          <w:lang w:val="it-IT" w:eastAsia="en-US"/>
        </w:rPr>
        <w:t>1 penna preriempita di RoActemra.</w:t>
      </w:r>
    </w:p>
    <w:p>
      <w:pPr>
        <w:autoSpaceDE w:val="0"/>
        <w:autoSpaceDN w:val="0"/>
        <w:adjustRightInd w:val="0"/>
        <w:ind w:left="567" w:hanging="567"/>
        <w:rPr>
          <w:noProof/>
          <w:szCs w:val="22"/>
          <w:lang w:val="it-IT" w:eastAsia="en-US"/>
        </w:rPr>
        <w:pPrChange w:id="13711" w:author="Author">
          <w:pPr>
            <w:autoSpaceDE w:val="0"/>
            <w:autoSpaceDN w:val="0"/>
            <w:adjustRightInd w:val="0"/>
            <w:spacing w:line="259" w:lineRule="auto"/>
            <w:ind w:left="714" w:hanging="357"/>
          </w:pPr>
        </w:pPrChange>
      </w:pPr>
      <w:r>
        <w:rPr>
          <w:noProof/>
          <w:lang w:val="it-IT"/>
        </w:rPr>
        <w:sym w:font="Symbol" w:char="00B7"/>
      </w:r>
      <w:r>
        <w:rPr>
          <w:noProof/>
          <w:lang w:val="it-IT"/>
        </w:rPr>
        <w:tab/>
      </w:r>
      <w:r>
        <w:rPr>
          <w:rFonts w:eastAsia="Calibri"/>
          <w:noProof/>
          <w:szCs w:val="22"/>
          <w:lang w:val="it-IT" w:eastAsia="en-US"/>
        </w:rPr>
        <w:t>1 tampone imbevuto d’alcol</w:t>
      </w:r>
    </w:p>
    <w:p>
      <w:pPr>
        <w:autoSpaceDE w:val="0"/>
        <w:autoSpaceDN w:val="0"/>
        <w:adjustRightInd w:val="0"/>
        <w:ind w:left="567" w:hanging="567"/>
        <w:rPr>
          <w:noProof/>
          <w:szCs w:val="22"/>
          <w:lang w:val="it-IT" w:eastAsia="en-US"/>
        </w:rPr>
        <w:pPrChange w:id="13712" w:author="Author">
          <w:pPr>
            <w:autoSpaceDE w:val="0"/>
            <w:autoSpaceDN w:val="0"/>
            <w:adjustRightInd w:val="0"/>
            <w:spacing w:line="259" w:lineRule="auto"/>
            <w:ind w:left="714" w:hanging="357"/>
          </w:pPr>
        </w:pPrChange>
      </w:pPr>
      <w:r>
        <w:rPr>
          <w:noProof/>
          <w:lang w:val="it-IT"/>
        </w:rPr>
        <w:sym w:font="Symbol" w:char="00B7"/>
      </w:r>
      <w:r>
        <w:rPr>
          <w:noProof/>
          <w:lang w:val="it-IT"/>
        </w:rPr>
        <w:tab/>
      </w:r>
      <w:r>
        <w:rPr>
          <w:rFonts w:eastAsia="Calibri"/>
          <w:noProof/>
          <w:szCs w:val="22"/>
          <w:lang w:val="it-IT" w:eastAsia="en-US"/>
        </w:rPr>
        <w:t>1 batuffolo di cotone o garza sterile</w:t>
      </w:r>
    </w:p>
    <w:p>
      <w:pPr>
        <w:keepNext/>
        <w:keepLines/>
        <w:autoSpaceDE w:val="0"/>
        <w:autoSpaceDN w:val="0"/>
        <w:adjustRightInd w:val="0"/>
        <w:ind w:left="567" w:hanging="567"/>
        <w:rPr>
          <w:noProof/>
          <w:szCs w:val="22"/>
          <w:lang w:val="it-IT" w:eastAsia="en-US"/>
        </w:rPr>
        <w:pPrChange w:id="13713" w:author="Author">
          <w:pPr>
            <w:autoSpaceDE w:val="0"/>
            <w:autoSpaceDN w:val="0"/>
            <w:adjustRightInd w:val="0"/>
            <w:spacing w:line="259" w:lineRule="auto"/>
            <w:ind w:left="714" w:hanging="357"/>
          </w:pPr>
        </w:pPrChange>
      </w:pPr>
      <w:r>
        <w:rPr>
          <w:noProof/>
          <w:lang w:val="it-IT"/>
        </w:rPr>
        <w:sym w:font="Symbol" w:char="00B7"/>
      </w:r>
      <w:r>
        <w:rPr>
          <w:noProof/>
          <w:lang w:val="it-IT"/>
        </w:rPr>
        <w:tab/>
      </w:r>
      <w:r>
        <w:rPr>
          <w:rFonts w:eastAsia="Calibri"/>
          <w:noProof/>
          <w:szCs w:val="22"/>
          <w:lang w:val="it-IT" w:eastAsia="en-US"/>
        </w:rPr>
        <w:t xml:space="preserve">1 contenitore resistente alla perforazione o contenitore per materiali taglienti per lo smaltimento sicuro del cappuccio della penna preriempita e della penna preriempita usata (vedere </w:t>
      </w:r>
      <w:r>
        <w:rPr>
          <w:rFonts w:eastAsia="Calibri"/>
          <w:b/>
          <w:noProof/>
          <w:szCs w:val="22"/>
          <w:lang w:val="it-IT" w:eastAsia="en-US"/>
        </w:rPr>
        <w:t>Fase 4 “Smaltimento della penna preriempita”</w:t>
      </w:r>
      <w:r>
        <w:rPr>
          <w:rFonts w:eastAsia="Calibri"/>
          <w:bCs/>
          <w:noProof/>
          <w:szCs w:val="22"/>
          <w:lang w:val="it-IT" w:eastAsia="en-US"/>
        </w:rPr>
        <w:t>)</w:t>
      </w:r>
    </w:p>
    <w:p>
      <w:pPr>
        <w:autoSpaceDE w:val="0"/>
        <w:autoSpaceDN w:val="0"/>
        <w:adjustRightInd w:val="0"/>
        <w:ind w:left="1080"/>
        <w:rPr>
          <w:del w:id="13714" w:author="Author"/>
          <w:noProof/>
          <w:szCs w:val="22"/>
          <w:lang w:val="it-IT"/>
        </w:rPr>
      </w:pPr>
    </w:p>
    <w:p>
      <w:pPr>
        <w:autoSpaceDE w:val="0"/>
        <w:autoSpaceDN w:val="0"/>
        <w:adjustRightInd w:val="0"/>
        <w:jc w:val="center"/>
        <w:rPr>
          <w:del w:id="13715" w:author="Author"/>
          <w:noProof/>
          <w:szCs w:val="22"/>
          <w:lang w:val="it-IT"/>
        </w:rPr>
      </w:pPr>
    </w:p>
    <w:p>
      <w:pPr>
        <w:autoSpaceDE w:val="0"/>
        <w:autoSpaceDN w:val="0"/>
        <w:adjustRightInd w:val="0"/>
        <w:jc w:val="center"/>
        <w:rPr>
          <w:b/>
          <w:noProof/>
          <w:szCs w:val="22"/>
          <w:lang w:val="it-IT"/>
        </w:rPr>
      </w:pPr>
    </w:p>
    <w:p>
      <w:pPr>
        <w:autoSpaceDE w:val="0"/>
        <w:autoSpaceDN w:val="0"/>
        <w:adjustRightInd w:val="0"/>
        <w:jc w:val="right"/>
        <w:rPr>
          <w:noProof/>
          <w:lang w:val="it-IT" w:eastAsia="en-US"/>
        </w:rPr>
      </w:pPr>
      <w:r>
        <w:rPr>
          <w:rFonts w:eastAsia="Calibri"/>
          <w:b/>
          <w:noProof/>
          <w:szCs w:val="22"/>
          <w:lang w:eastAsia="en-US"/>
        </w:rPr>
        <w:lastRenderedPageBreak/>
        <mc:AlternateContent>
          <mc:Choice Requires="wps">
            <w:drawing>
              <wp:anchor distT="0" distB="0" distL="114300" distR="114300" simplePos="0" relativeHeight="251663360" behindDoc="0" locked="0" layoutInCell="1" allowOverlap="1">
                <wp:simplePos x="0" y="0"/>
                <wp:positionH relativeFrom="column">
                  <wp:posOffset>852805</wp:posOffset>
                </wp:positionH>
                <wp:positionV relativeFrom="paragraph">
                  <wp:posOffset>1242695</wp:posOffset>
                </wp:positionV>
                <wp:extent cx="954405" cy="807085"/>
                <wp:effectExtent l="10160" t="10160" r="6985" b="1143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807085"/>
                        </a:xfrm>
                        <a:prstGeom prst="rect">
                          <a:avLst/>
                        </a:prstGeom>
                        <a:solidFill>
                          <a:srgbClr val="FFFFFF"/>
                        </a:solidFill>
                        <a:ln w="9525">
                          <a:solidFill>
                            <a:srgbClr val="000000"/>
                          </a:solidFill>
                          <a:miter lim="800000"/>
                          <a:headEnd/>
                          <a:tailEnd/>
                        </a:ln>
                      </wps:spPr>
                      <wps:txbx>
                        <w:txbxContent>
                          <w:p>
                            <w:pPr>
                              <w:jc w:val="center"/>
                              <w:rPr>
                                <w:sz w:val="24"/>
                                <w:lang w:val="it-IT"/>
                              </w:rPr>
                            </w:pPr>
                            <w:r>
                              <w:rPr>
                                <w:sz w:val="24"/>
                                <w:lang w:val="it-IT"/>
                              </w:rPr>
                              <w:t>Contenitore per smaltire materiali taglienti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left:0;text-align:left;margin-left:67.15pt;margin-top:97.85pt;width:75.15pt;height:6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PVLAIAAFkEAAAOAAAAZHJzL2Uyb0RvYy54bWysVNtu2zAMfR+wfxD0vtjOkjU14hRdugwD&#10;ugvQ7gNkWbaFSaImKbG7ry8lp2nQbS/D/CCIInV0eEh6fTVqRQ7CeQmmosUsp0QYDo00XUW/3+/e&#10;rCjxgZmGKTCiog/C06vN61frwZZiDj2oRjiCIMaXg61oH4Its8zzXmjmZ2CFQWcLTrOApuuyxrEB&#10;0bXK5nn+LhvANdYBF97j6c3kpJuE37aCh69t60UgqqLILaTVpbWOa7ZZs7JzzPaSH2mwf2ChmTT4&#10;6AnqhgVG9k7+BqUld+ChDTMOOoO2lVykHDCbIn+RzV3PrEi5oDjenmTy/w+Wfzl8c0Q2FX2L8him&#10;sUb3YgzkPYykWEZ9ButLDLuzGBhGPMc6p1y9vQX+wxMD256ZTlw7B0MvWIP8ingzO7s64fgIUg+f&#10;ocF32D5AAhpbp6N4KAdBdCTycKpN5MLx8HK5WORLSji6VvlFvkrcMlY+XbbOh48CNImbijosfQJn&#10;h1sfIhlWPoXEtzwo2eykUslwXb1VjhwYtskufYn/izBlyBCZzJdT/n+FyNP3JwgtA/a7kjpmEb8Y&#10;xMqo2gfTpH1gUk17pKzMUcao3KRhGOsxVaxIl6PGNTQPKKyDqb9xHnHTg/tFyYC9XVH/c8+coER9&#10;MlicywK1xGFIxmJ5MUfDnXvqcw8zHKEqGiiZttswDdDeOtn1+NLUDgausaCtTGI/szryx/5NNTjO&#10;WhyQcztFPf8RNo8AAAD//wMAUEsDBBQABgAIAAAAIQCaPzKP4QAAAAsBAAAPAAAAZHJzL2Rvd25y&#10;ZXYueG1sTI/BTsMwDIbvSLxDZCQuiKW0petK0wkhgeAG2wTXrMnaisQpSdaVt8ec4OZf/vT7c72e&#10;rWGT9mFwKOBmkQDT2Do1YCdgt328LoGFKFFJ41AL+NYB1s35WS0r5U74pqdN7BiVYKikgD7GseI8&#10;tL22MizcqJF2B+etjBR9x5WXJyq3hqdJUnArB6QLvRz1Q6/bz83RCijz5+kjvGSv721xMKt4tZye&#10;vrwQlxfz/R2wqOf4B8OvPqlDQ057d0QVmKGc5RmhNKxul8CISMu8ALYXkKVpCbyp+f8fmh8AAAD/&#10;/wMAUEsBAi0AFAAGAAgAAAAhALaDOJL+AAAA4QEAABMAAAAAAAAAAAAAAAAAAAAAAFtDb250ZW50&#10;X1R5cGVzXS54bWxQSwECLQAUAAYACAAAACEAOP0h/9YAAACUAQAACwAAAAAAAAAAAAAAAAAvAQAA&#10;X3JlbHMvLnJlbHNQSwECLQAUAAYACAAAACEAkLYD1SwCAABZBAAADgAAAAAAAAAAAAAAAAAuAgAA&#10;ZHJzL2Uyb0RvYy54bWxQSwECLQAUAAYACAAAACEAmj8yj+EAAAALAQAADwAAAAAAAAAAAAAAAACG&#10;BAAAZHJzL2Rvd25yZXYueG1sUEsFBgAAAAAEAAQA8wAAAJQFAAAAAA==&#10;">
                <v:textbox>
                  <w:txbxContent>
                    <w:p>
                      <w:pPr>
                        <w:jc w:val="center"/>
                        <w:rPr>
                          <w:sz w:val="24"/>
                          <w:lang w:val="it-IT"/>
                        </w:rPr>
                      </w:pPr>
                      <w:r>
                        <w:rPr>
                          <w:sz w:val="24"/>
                          <w:lang w:val="it-IT"/>
                        </w:rPr>
                        <w:t xml:space="preserve">Contenitore </w:t>
                      </w:r>
                      <w:r>
                        <w:rPr>
                          <w:sz w:val="24"/>
                          <w:lang w:val="it-IT"/>
                        </w:rPr>
                        <w:t>per smaltire materiali taglienti</w:t>
                      </w:r>
                    </w:p>
                  </w:txbxContent>
                </v:textbox>
              </v:shape>
            </w:pict>
          </mc:Fallback>
        </mc:AlternateContent>
      </w:r>
      <w:r>
        <w:rPr>
          <w:rFonts w:eastAsia="Calibri"/>
          <w:b/>
          <w:noProof/>
          <w:szCs w:val="22"/>
          <w:lang w:eastAsia="en-US"/>
        </w:rPr>
        <mc:AlternateContent>
          <mc:Choice Requires="wps">
            <w:drawing>
              <wp:anchor distT="0" distB="0" distL="114300" distR="114300" simplePos="0" relativeHeight="251662336" behindDoc="0" locked="0" layoutInCell="1" allowOverlap="1">
                <wp:simplePos x="0" y="0"/>
                <wp:positionH relativeFrom="column">
                  <wp:posOffset>1910080</wp:posOffset>
                </wp:positionH>
                <wp:positionV relativeFrom="paragraph">
                  <wp:posOffset>2679065</wp:posOffset>
                </wp:positionV>
                <wp:extent cx="1830070" cy="577215"/>
                <wp:effectExtent l="635" t="0" r="0" b="0"/>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32"/>
                                <w:lang w:val="it-IT"/>
                              </w:rPr>
                            </w:pPr>
                            <w:r>
                              <w:rPr>
                                <w:sz w:val="32"/>
                                <w:lang w:val="it-IT"/>
                              </w:rPr>
                              <w:t>batuffolo di cotone sterile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left:0;text-align:left;margin-left:150.4pt;margin-top:210.95pt;width:144.1pt;height:4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kDhQ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MRI&#10;kQ44euCDR9d6QFkR+tMbV4HbvQFHP8A+8BxrdeZO088OKX3TErXlV9bqvuWEQX5ZOJmcHR1xXADZ&#10;9O80gzhk53UEGhrbheZBOxCgA0+PJ25CLjSEXL5K0wWYKNhmi0WezWIIUh1PG+v8G647FCY1tsB9&#10;RCf7O+dDNqQ6uoRgTkvB1kLKuLDbzY20aE9AJ+v4HdCfuUkVnJUOx0bEcQeShBjBFtKNvH8rs7xI&#10;r/Nysp4vF5NiXcwm5SJdTtKsvC7naVEWt+vvIcGsqFrBGFd3QvGjBrPi7zg+3IZRPVGFqK9xOctn&#10;I0V/LDKN3++K7ISHKylFV+PlyYlUgdjXikHZpPJEyHGePE8/dhl6cPzHrkQZBOZHDfhhM0TFZVEk&#10;QSMbzR5BGFYDb0AxvCcwabX9ilEPd7PG7suOWI6RfKtAXGVWFOEyx0UxW+SwsOeWzbmFKApQNfYY&#10;jdMbPz4AO2PFtoVIo5yVvgJBNiJq5Smrg4zh/sWiDm9FuODn6+j19KKtfgAAAP//AwBQSwMEFAAG&#10;AAgAAAAhAAoYjrDgAAAACwEAAA8AAABkcnMvZG93bnJldi54bWxMj81OwzAQhO9IvIO1SFwQdRL6&#10;k6RxKkACcW3pA2xiN4kar6PYbdK3ZznBbVYzmv2m2M22F1cz+s6RgngRgTBUO91Ro+D4/fGcgvAB&#10;SWPvyCi4GQ+78v6uwFy7ifbmegiN4BLyOSpoQxhyKX3dGot+4QZD7J3caDHwOTZSjzhxue1lEkVr&#10;abEj/tDiYN5bU58PF6vg9DU9rbKp+gzHzX65fsNuU7mbUo8P8+sWRDBz+AvDLz6jQ8lMlbuQ9qJX&#10;8BJFjB4ULJM4A8GJVZrxuopFnKQgy0L+31D+AAAA//8DAFBLAQItABQABgAIAAAAIQC2gziS/gAA&#10;AOEBAAATAAAAAAAAAAAAAAAAAAAAAABbQ29udGVudF9UeXBlc10ueG1sUEsBAi0AFAAGAAgAAAAh&#10;ADj9If/WAAAAlAEAAAsAAAAAAAAAAAAAAAAALwEAAF9yZWxzLy5yZWxzUEsBAi0AFAAGAAgAAAAh&#10;ANg26QOFAgAAGQUAAA4AAAAAAAAAAAAAAAAALgIAAGRycy9lMm9Eb2MueG1sUEsBAi0AFAAGAAgA&#10;AAAhAAoYjrDgAAAACwEAAA8AAAAAAAAAAAAAAAAA3wQAAGRycy9kb3ducmV2LnhtbFBLBQYAAAAA&#10;BAAEAPMAAADsBQAAAAA=&#10;" stroked="f">
                <v:textbox>
                  <w:txbxContent>
                    <w:p>
                      <w:pPr>
                        <w:jc w:val="center"/>
                        <w:rPr>
                          <w:sz w:val="32"/>
                          <w:lang w:val="it-IT"/>
                        </w:rPr>
                      </w:pPr>
                      <w:r>
                        <w:rPr>
                          <w:sz w:val="32"/>
                          <w:lang w:val="it-IT"/>
                        </w:rPr>
                        <w:t xml:space="preserve">batuffolo </w:t>
                      </w:r>
                      <w:r>
                        <w:rPr>
                          <w:sz w:val="32"/>
                          <w:lang w:val="it-IT"/>
                        </w:rPr>
                        <w:t>di cotone sterile</w:t>
                      </w:r>
                    </w:p>
                  </w:txbxContent>
                </v:textbox>
              </v:shape>
            </w:pict>
          </mc:Fallback>
        </mc:AlternateContent>
      </w:r>
      <w:r>
        <w:rPr>
          <w:rFonts w:eastAsia="Calibri"/>
          <w:b/>
          <w:bCs/>
          <w:noProof/>
          <w:szCs w:val="22"/>
          <w:lang w:eastAsia="en-US"/>
        </w:rPr>
        <mc:AlternateContent>
          <mc:Choice Requires="wps">
            <w:drawing>
              <wp:anchor distT="0" distB="0" distL="114300" distR="114300" simplePos="0" relativeHeight="251660288" behindDoc="0" locked="0" layoutInCell="1" allowOverlap="1">
                <wp:simplePos x="0" y="0"/>
                <wp:positionH relativeFrom="column">
                  <wp:posOffset>2218690</wp:posOffset>
                </wp:positionH>
                <wp:positionV relativeFrom="paragraph">
                  <wp:posOffset>-125730</wp:posOffset>
                </wp:positionV>
                <wp:extent cx="1231900" cy="859790"/>
                <wp:effectExtent l="4445" t="3810" r="1905" b="3175"/>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859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32"/>
                                <w:lang w:val="it-IT"/>
                              </w:rPr>
                            </w:pPr>
                            <w:r>
                              <w:rPr>
                                <w:sz w:val="32"/>
                                <w:lang w:val="it-IT"/>
                              </w:rPr>
                              <w:t>Tampone imbevuto d’alcol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left:0;text-align:left;margin-left:174.7pt;margin-top:-9.9pt;width:97pt;height:6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g5hQIAABk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jkw&#10;pUgHHD3wwaNrPaAsD/XpjavA7d6Aox9gH3iOuTpzp+lnh5S+aYna8itrdd9ywiC+LJxMzo6OOC6A&#10;bPp3msE9ZOd1BBoa24XiQTkQoANPjyduQiw0XJm/ysoUTBRsy1m5KCN5CamOp411/g3XHQqTGlvg&#10;PqKT/Z3zIRpSHV3CZU5LwdZCyriw282NtGhPQCfr+MUEnrlJFZyVDsdGxHEHgoQ7gi2EG3n/VmZ5&#10;kV7n5WQ9Xy4mxbqYTcpFupykWXldztOiLG7X30OAWVG1gjGu7oTiRw1mxd9xfOiGUT1RhaivcTnL&#10;ZyNFf0wyjd/vkuyEh5aUooM6n5xIFYh9rRikTSpPhBznyc/hxypDDY7/WJUog8D8qAE/bIaouCd5&#10;bTR7BGFYDbwBxfCewKTV9itGPfRmjd2XHbEcI/lWgbjKrChCM8dFMVvksLDnls25hSgKUDX2GI3T&#10;Gz8+ADtjxbaFm0Y5K30FgmxE1EpQ7hjVQcbQfzGpw1sRGvx8Hb2eXrTVDwAAAP//AwBQSwMEFAAG&#10;AAgAAAAhACycUPXeAAAACwEAAA8AAABkcnMvZG93bnJldi54bWxMj8FOg0AQhu8mvsNmTLyYdsEC&#10;FWRp1ETjtbUPMLBbILKzhN0W+vaOJz3OzJd/vr/cLXYQFzP53pGCeB2BMNQ43VOr4Pj1vnoC4QOS&#10;xsGRUXA1HnbV7U2JhXYz7c3lEFrBIeQLVNCFMBZS+qYzFv3ajYb4dnKTxcDj1Eo94czhdpCPUZRJ&#10;iz3xhw5H89aZ5vtwtgpOn/NDms/1Rzhu90n2iv22dlel7u+Wl2cQwSzhD4ZffVaHip1qdybtxaBg&#10;k+QJowpWcc4dmEiTDW9qRuM0A1mV8n+H6gcAAP//AwBQSwECLQAUAAYACAAAACEAtoM4kv4AAADh&#10;AQAAEwAAAAAAAAAAAAAAAAAAAAAAW0NvbnRlbnRfVHlwZXNdLnhtbFBLAQItABQABgAIAAAAIQA4&#10;/SH/1gAAAJQBAAALAAAAAAAAAAAAAAAAAC8BAABfcmVscy8ucmVsc1BLAQItABQABgAIAAAAIQBn&#10;X6g5hQIAABkFAAAOAAAAAAAAAAAAAAAAAC4CAABkcnMvZTJvRG9jLnhtbFBLAQItABQABgAIAAAA&#10;IQAsnFD13gAAAAsBAAAPAAAAAAAAAAAAAAAAAN8EAABkcnMvZG93bnJldi54bWxQSwUGAAAAAAQA&#10;BADzAAAA6gUAAAAA&#10;" stroked="f">
                <v:textbox>
                  <w:txbxContent>
                    <w:p>
                      <w:pPr>
                        <w:jc w:val="center"/>
                        <w:rPr>
                          <w:sz w:val="32"/>
                          <w:lang w:val="it-IT"/>
                        </w:rPr>
                      </w:pPr>
                      <w:r>
                        <w:rPr>
                          <w:sz w:val="32"/>
                          <w:lang w:val="it-IT"/>
                        </w:rPr>
                        <w:t xml:space="preserve">Tampone </w:t>
                      </w:r>
                      <w:r>
                        <w:rPr>
                          <w:sz w:val="32"/>
                          <w:lang w:val="it-IT"/>
                        </w:rPr>
                        <w:t>imbevuto d’alcol</w:t>
                      </w:r>
                    </w:p>
                  </w:txbxContent>
                </v:textbox>
              </v:shape>
            </w:pict>
          </mc:Fallback>
        </mc:AlternateContent>
      </w:r>
      <w:r>
        <w:rPr>
          <w:rFonts w:eastAsia="Calibri"/>
          <w:noProof/>
          <w:szCs w:val="22"/>
          <w:lang w:eastAsia="en-US"/>
        </w:rPr>
        <mc:AlternateContent>
          <mc:Choice Requires="wps">
            <w:drawing>
              <wp:anchor distT="0" distB="0" distL="114300" distR="114300" simplePos="0" relativeHeight="251659264" behindDoc="0" locked="0" layoutInCell="1" allowOverlap="1">
                <wp:simplePos x="0" y="0"/>
                <wp:positionH relativeFrom="column">
                  <wp:posOffset>859790</wp:posOffset>
                </wp:positionH>
                <wp:positionV relativeFrom="paragraph">
                  <wp:posOffset>11430</wp:posOffset>
                </wp:positionV>
                <wp:extent cx="1231900" cy="820420"/>
                <wp:effectExtent l="0" t="0" r="0" b="635"/>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820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32"/>
                                <w:lang w:val="it-IT"/>
                              </w:rPr>
                            </w:pPr>
                            <w:r>
                              <w:rPr>
                                <w:sz w:val="32"/>
                                <w:lang w:val="it-IT"/>
                              </w:rPr>
                              <w:t>Contenitore per materiali taglienti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left:0;text-align:left;margin-left:67.7pt;margin-top:.9pt;width:97pt;height:6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sViQIAABkFAAAOAAAAZHJzL2Uyb0RvYy54bWysVNuO2yAQfa/Uf0C8Z31ZZxNbcVab3aaq&#10;tL1Iu/0AAjhGxUCBxN5W/fcOOEmzvUhVVT9gYIbDzJwzLK6HTqI9t05oVePsIsWIK6qZUNsaf3xc&#10;T+YYOU8UI1IrXuMn7vD18uWLRW8qnutWS8YtAhDlqt7UuPXeVEniaMs74i604QqMjbYd8bC024RZ&#10;0gN6J5M8Ta+SXltmrKbcOdi9G414GfGbhlP/vmkc90jWGGLzcbRx3IQxWS5ItbXEtIIewiD/EEVH&#10;hIJLT1B3xBO0s+IXqE5Qq51u/AXVXaKbRlAec4BssvSnbB5aYnjMBYrjzKlM7v/B0nf7DxYJVuN8&#10;hpEiHXD0yAePVnpAWRbq0xtXgduDAUc/wD7wHHN15l7TTw4pfdsSteU31uq+5YRBfPFkcnZ0xHEB&#10;ZNO/1QzuITuvI9DQ2C4UD8qBAB14ejpxE2Kh4cr8MitTMFGwzfO0yCN5CamOp411/jXXHQqTGlvg&#10;PqKT/b3zkAe4Hl3CZU5LwdZCyriw282ttGhPQCfr+IXU4cgzN6mCs9Lh2GgedyBIuCPYQriR969l&#10;lhfpKi8n66v5bFKsi+mknKXzSZqVq/IqLcribv0tBJgVVSsY4+peKH7UYFb8HceHbhjVE1WI+hqX&#10;03w6UvTHJNP4/S7JTnhoSSk6qPPJiVSB2FeKQdqk8kTIcZ48Dz+WDGpw/MeqRBkE5kcN+GEzRMVl&#10;l0d5bTR7AmFYDbwBxfCewKTV9gtGPfRmjd3nHbEcI/lGgbjKrChCM8dFMZ2BFJA9t2zOLURRgKqx&#10;x2ic3vrxAdgZK7Yt3DTKWekbEGQjolaCcseoIJWwgP6LSR3eitDg5+vo9eNFW34HAAD//wMAUEsD&#10;BBQABgAIAAAAIQDwBCfx2wAAAAkBAAAPAAAAZHJzL2Rvd25yZXYueG1sTI/NTsMwEITvSLyDtUhc&#10;EHX6T0OcCpBAXFv6AJt4m0TE6yh2m/Tt2Z7obUczmv0m246uVWfqQ+PZwHSSgCIuvW24MnD4+Xx+&#10;ARUissXWMxm4UIBtfn+XYWr9wDs672OlpIRDigbqGLtU61DW5DBMfEcs3tH3DqPIvtK2x0HKXatn&#10;SbLSDhuWDzV29FFT+bs/OQPH7+FpuRmKr3hY7xard2zWhb8Y8/gwvr2CijTG/zBc8QUdcmEq/Ilt&#10;UK3o+XIhUTlkgfjz2UZ0cTWmCeg807cL8j8AAAD//wMAUEsBAi0AFAAGAAgAAAAhALaDOJL+AAAA&#10;4QEAABMAAAAAAAAAAAAAAAAAAAAAAFtDb250ZW50X1R5cGVzXS54bWxQSwECLQAUAAYACAAAACEA&#10;OP0h/9YAAACUAQAACwAAAAAAAAAAAAAAAAAvAQAAX3JlbHMvLnJlbHNQSwECLQAUAAYACAAAACEA&#10;5ahbFYkCAAAZBQAADgAAAAAAAAAAAAAAAAAuAgAAZHJzL2Uyb0RvYy54bWxQSwECLQAUAAYACAAA&#10;ACEA8AQn8dsAAAAJAQAADwAAAAAAAAAAAAAAAADjBAAAZHJzL2Rvd25yZXYueG1sUEsFBgAAAAAE&#10;AAQA8wAAAOsFAAAAAA==&#10;" stroked="f">
                <v:textbox>
                  <w:txbxContent>
                    <w:p>
                      <w:pPr>
                        <w:jc w:val="center"/>
                        <w:rPr>
                          <w:sz w:val="32"/>
                          <w:lang w:val="it-IT"/>
                        </w:rPr>
                      </w:pPr>
                      <w:r>
                        <w:rPr>
                          <w:sz w:val="32"/>
                          <w:lang w:val="it-IT"/>
                        </w:rPr>
                        <w:t xml:space="preserve">Contenitore </w:t>
                      </w:r>
                      <w:r>
                        <w:rPr>
                          <w:sz w:val="32"/>
                          <w:lang w:val="it-IT"/>
                        </w:rPr>
                        <w:t>per materiali taglienti</w:t>
                      </w:r>
                    </w:p>
                  </w:txbxContent>
                </v:textbox>
              </v:shape>
            </w:pict>
          </mc:Fallback>
        </mc:AlternateContent>
      </w:r>
      <w:r>
        <w:rPr>
          <w:b/>
          <w:noProof/>
          <w:szCs w:val="22"/>
          <w:lang w:eastAsia="en-US"/>
        </w:rPr>
        <mc:AlternateContent>
          <mc:Choice Requires="wps">
            <w:drawing>
              <wp:anchor distT="0" distB="0" distL="114300" distR="114300" simplePos="0" relativeHeight="251661312" behindDoc="0" locked="0" layoutInCell="1" allowOverlap="1">
                <wp:simplePos x="0" y="0"/>
                <wp:positionH relativeFrom="column">
                  <wp:posOffset>4390390</wp:posOffset>
                </wp:positionH>
                <wp:positionV relativeFrom="paragraph">
                  <wp:posOffset>920750</wp:posOffset>
                </wp:positionV>
                <wp:extent cx="1485265" cy="1059180"/>
                <wp:effectExtent l="4445" t="254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1059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sz w:val="32"/>
                                <w:lang w:val="it-IT"/>
                              </w:rPr>
                            </w:pPr>
                            <w:r>
                              <w:rPr>
                                <w:sz w:val="32"/>
                                <w:lang w:val="it-IT"/>
                              </w:rPr>
                              <w:t>Penna preriempita di ROACTEMRA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left:0;text-align:left;margin-left:345.7pt;margin-top:72.5pt;width:116.95pt;height:8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6DiAIAABoFAAAOAAAAZHJzL2Uyb0RvYy54bWysVNmO0zAUfUfiHyy/d7KQdJpo0tEsFCEN&#10;izTDB7i201g4trHdJsOIf+faaUsZQEKIPDhers9dzrm+uBx7iXbcOqFVg7OzFCOuqGZCbRr86WE1&#10;W2DkPFGMSK14gx+5w5fLly8uBlPzXHdaMm4RgChXD6bBnfemThJHO94Td6YNV3DYatsTD0u7SZgl&#10;A6D3MsnTdJ4M2jJjNeXOwe7tdIiXEb9tOfUf2tZxj2SDITYfRxvHdRiT5QWpN5aYTtB9GOQfouiJ&#10;UOD0CHVLPEFbK36B6gW12unWn1HdJ7ptBeUxB8gmS59lc98Rw2MuUBxnjmVy/w+Wvt99tEiwBudz&#10;jBTpgaMHPnp0rUeUvQr1GYyrwezegKEfYR94jrk6c6fpZ4eUvumI2vAra/XQccIgvizcTE6uTjgu&#10;gKyHd5qBH7L1OgKNre1D8aAcCNCBp8cjNyEWGlwWizKflxhROMvSssoWkb2E1Ifrxjr/husehUmD&#10;LZAf4cnuzvkQDqkPJsGb01KwlZAyLuxmfSMt2hEQyip+MYNnZlIFY6XDtQlx2oEowUc4C/FG4p+q&#10;LC/S67yareaL81mxKspZdZ4uZmlWXVfztKiK29W3EGBW1J1gjKs7ofhBhFnxdyTv22GST5QhGhpc&#10;lXk5cfTHJNP4/S7JXnjoSSn6Bi+ORqQOzL5WDNImtSdCTvPk5/BjlaEGh3+sStRBoH4SgR/XY5Rc&#10;Vhz0tdbsEZRhNfAG9MODApNO268YDdCcDXZftsRyjORbBeqqsqII3RwXRXmew8KenqxPT4iiANVg&#10;j9E0vfHTC7A1Vmw68DTpWekrUGQrolaCdKeo9jqGBoxJ7R+L0OGn62j140lbfgcAAP//AwBQSwME&#10;FAAGAAgAAAAhAF+drU/fAAAACwEAAA8AAABkcnMvZG93bnJldi54bWxMj0FugzAQRfeVegdrInVT&#10;NYYESKCYqK3UqtukOYCBCaDgMcJOILfvdNUsR//pz/v5bja9uOLoOksKwmUAAqmydUeNguPP58sW&#10;hPOaat1bQgU3dLArHh9yndV2oj1eD74RXEIu0wpa74dMSle1aLRb2gGJs5MdjfZ8jo2sRz1xuenl&#10;KggSaXRH/KHVA360WJ0PF6Pg9D09x+lUfvnjZh8l77rblPam1NNifnsF4XH2/zD86bM6FOxU2gvV&#10;TvQKkjSMGOUginkUE+kqXoMoFazDcAuyyOX9huIXAAD//wMAUEsBAi0AFAAGAAgAAAAhALaDOJL+&#10;AAAA4QEAABMAAAAAAAAAAAAAAAAAAAAAAFtDb250ZW50X1R5cGVzXS54bWxQSwECLQAUAAYACAAA&#10;ACEAOP0h/9YAAACUAQAACwAAAAAAAAAAAAAAAAAvAQAAX3JlbHMvLnJlbHNQSwECLQAUAAYACAAA&#10;ACEAP+tOg4gCAAAaBQAADgAAAAAAAAAAAAAAAAAuAgAAZHJzL2Uyb0RvYy54bWxQSwECLQAUAAYA&#10;CAAAACEAX52tT98AAAALAQAADwAAAAAAAAAAAAAAAADiBAAAZHJzL2Rvd25yZXYueG1sUEsFBgAA&#10;AAAEAAQA8wAAAO4FAAAAAA==&#10;" stroked="f">
                <v:textbox>
                  <w:txbxContent>
                    <w:p>
                      <w:pPr>
                        <w:jc w:val="center"/>
                        <w:rPr>
                          <w:sz w:val="32"/>
                          <w:lang w:val="it-IT"/>
                        </w:rPr>
                      </w:pPr>
                      <w:r>
                        <w:rPr>
                          <w:sz w:val="32"/>
                          <w:lang w:val="it-IT"/>
                        </w:rPr>
                        <w:t xml:space="preserve">Penna </w:t>
                      </w:r>
                      <w:r>
                        <w:rPr>
                          <w:sz w:val="32"/>
                          <w:lang w:val="it-IT"/>
                        </w:rPr>
                        <w:t>preriempita di ROACTEMRA</w:t>
                      </w:r>
                    </w:p>
                  </w:txbxContent>
                </v:textbox>
              </v:shape>
            </w:pict>
          </mc:Fallback>
        </mc:AlternateContent>
      </w:r>
      <w:r>
        <w:rPr>
          <w:rFonts w:eastAsia="Calibri"/>
          <w:noProof/>
          <w:lang w:eastAsia="en-US"/>
        </w:rPr>
        <w:drawing>
          <wp:inline distT="0" distB="0" distL="0" distR="0">
            <wp:extent cx="5398770" cy="327596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8770" cy="3275965"/>
                    </a:xfrm>
                    <a:prstGeom prst="rect">
                      <a:avLst/>
                    </a:prstGeom>
                    <a:noFill/>
                    <a:ln>
                      <a:noFill/>
                    </a:ln>
                  </pic:spPr>
                </pic:pic>
              </a:graphicData>
            </a:graphic>
          </wp:inline>
        </w:drawing>
      </w:r>
    </w:p>
    <w:p>
      <w:pPr>
        <w:autoSpaceDE w:val="0"/>
        <w:autoSpaceDN w:val="0"/>
        <w:adjustRightInd w:val="0"/>
        <w:jc w:val="center"/>
        <w:rPr>
          <w:b/>
          <w:noProof/>
          <w:szCs w:val="22"/>
          <w:lang w:val="it-IT" w:eastAsia="en-US"/>
        </w:rPr>
      </w:pPr>
      <w:r>
        <w:rPr>
          <w:rFonts w:eastAsia="Calibri"/>
          <w:b/>
          <w:noProof/>
          <w:szCs w:val="22"/>
          <w:lang w:val="it-IT" w:eastAsia="en-US"/>
        </w:rPr>
        <w:t>Figura B</w:t>
      </w:r>
    </w:p>
    <w:p>
      <w:pPr>
        <w:autoSpaceDE w:val="0"/>
        <w:autoSpaceDN w:val="0"/>
        <w:adjustRightInd w:val="0"/>
        <w:jc w:val="center"/>
        <w:rPr>
          <w:b/>
          <w:noProof/>
          <w:szCs w:val="22"/>
          <w:lang w:val="it-IT"/>
        </w:rPr>
      </w:pPr>
    </w:p>
    <w:p>
      <w:pPr>
        <w:keepNext/>
        <w:outlineLvl w:val="0"/>
        <w:rPr>
          <w:b/>
          <w:bCs/>
          <w:noProof/>
          <w:kern w:val="32"/>
          <w:szCs w:val="22"/>
          <w:lang w:val="it-IT"/>
        </w:rPr>
        <w:pPrChange w:id="13716" w:author="Author">
          <w:pPr>
            <w:keepNext/>
            <w:spacing w:after="60"/>
            <w:outlineLvl w:val="0"/>
          </w:pPr>
        </w:pPrChange>
      </w:pPr>
    </w:p>
    <w:p>
      <w:pPr>
        <w:keepNext/>
        <w:outlineLvl w:val="0"/>
        <w:rPr>
          <w:b/>
          <w:bCs/>
          <w:noProof/>
          <w:kern w:val="32"/>
          <w:szCs w:val="22"/>
          <w:lang w:val="it-IT" w:eastAsia="en-US"/>
        </w:rPr>
        <w:pPrChange w:id="13717" w:author="Author">
          <w:pPr>
            <w:keepNext/>
            <w:spacing w:after="60"/>
            <w:outlineLvl w:val="0"/>
          </w:pPr>
        </w:pPrChange>
      </w:pPr>
      <w:bookmarkStart w:id="13718" w:name="_Toc435039231"/>
      <w:bookmarkStart w:id="13719" w:name="_Toc435039426"/>
      <w:bookmarkStart w:id="13720" w:name="_Toc435040191"/>
      <w:r>
        <w:rPr>
          <w:rFonts w:eastAsia="Calibri"/>
          <w:b/>
          <w:bCs/>
          <w:noProof/>
          <w:szCs w:val="22"/>
          <w:lang w:val="it-IT" w:eastAsia="en-US"/>
        </w:rPr>
        <w:t>Fase 1. Preparazione dell’iniezione di RoActemra</w:t>
      </w:r>
      <w:bookmarkEnd w:id="13718"/>
      <w:bookmarkEnd w:id="13719"/>
      <w:bookmarkEnd w:id="13720"/>
    </w:p>
    <w:p>
      <w:pPr>
        <w:autoSpaceDE w:val="0"/>
        <w:autoSpaceDN w:val="0"/>
        <w:adjustRightInd w:val="0"/>
        <w:rPr>
          <w:ins w:id="13721" w:author="Author"/>
          <w:rFonts w:eastAsia="Calibri"/>
          <w:noProof/>
          <w:szCs w:val="22"/>
          <w:lang w:val="it-IT" w:eastAsia="en-US"/>
        </w:rPr>
      </w:pPr>
      <w:r>
        <w:rPr>
          <w:rFonts w:eastAsia="Calibri"/>
          <w:noProof/>
          <w:szCs w:val="22"/>
          <w:lang w:val="it-IT" w:eastAsia="en-US"/>
        </w:rPr>
        <w:t>Individui un posto confortevole con una superficie di lavoro pulita e piatta.</w:t>
      </w:r>
    </w:p>
    <w:p>
      <w:pPr>
        <w:autoSpaceDE w:val="0"/>
        <w:autoSpaceDN w:val="0"/>
        <w:adjustRightInd w:val="0"/>
        <w:rPr>
          <w:noProof/>
          <w:szCs w:val="22"/>
          <w:lang w:val="it-IT" w:eastAsia="en-US"/>
        </w:rPr>
        <w:pPrChange w:id="13722" w:author="Author">
          <w:pPr>
            <w:autoSpaceDE w:val="0"/>
            <w:autoSpaceDN w:val="0"/>
            <w:adjustRightInd w:val="0"/>
            <w:spacing w:after="120"/>
          </w:pPr>
        </w:pPrChange>
      </w:pPr>
    </w:p>
    <w:p>
      <w:pPr>
        <w:autoSpaceDE w:val="0"/>
        <w:autoSpaceDN w:val="0"/>
        <w:adjustRightInd w:val="0"/>
        <w:ind w:left="567" w:hanging="567"/>
        <w:rPr>
          <w:noProof/>
          <w:szCs w:val="22"/>
          <w:lang w:val="it-IT" w:eastAsia="en-US"/>
        </w:rPr>
        <w:pPrChange w:id="13723"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noProof/>
          <w:szCs w:val="22"/>
          <w:lang w:val="it-IT" w:eastAsia="en-US"/>
        </w:rPr>
        <w:t>Tolga la confezione contenente la penna preriempita dal frigorifero.</w:t>
      </w:r>
    </w:p>
    <w:p>
      <w:pPr>
        <w:autoSpaceDE w:val="0"/>
        <w:autoSpaceDN w:val="0"/>
        <w:adjustRightInd w:val="0"/>
        <w:ind w:left="567" w:hanging="567"/>
        <w:rPr>
          <w:b/>
          <w:noProof/>
          <w:szCs w:val="22"/>
          <w:lang w:val="it-IT" w:eastAsia="en-US"/>
        </w:rPr>
        <w:pPrChange w:id="13724"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noProof/>
          <w:szCs w:val="22"/>
          <w:lang w:val="it-IT" w:eastAsia="en-US"/>
        </w:rPr>
        <w:t xml:space="preserve">Se apre la confezione per la prima volta, la controlli per verificare che sia correttamente sigillata. </w:t>
      </w:r>
      <w:r>
        <w:rPr>
          <w:rFonts w:eastAsia="Calibri"/>
          <w:b/>
          <w:noProof/>
          <w:szCs w:val="22"/>
          <w:lang w:val="it-IT" w:eastAsia="en-US"/>
        </w:rPr>
        <w:t xml:space="preserve">Non </w:t>
      </w:r>
      <w:r>
        <w:rPr>
          <w:rFonts w:eastAsia="Calibri"/>
          <w:b/>
          <w:bCs/>
          <w:noProof/>
          <w:szCs w:val="22"/>
          <w:lang w:val="it-IT" w:eastAsia="en-US"/>
        </w:rPr>
        <w:t>usi</w:t>
      </w:r>
      <w:r>
        <w:rPr>
          <w:rFonts w:eastAsia="Calibri"/>
          <w:noProof/>
          <w:szCs w:val="22"/>
          <w:lang w:val="it-IT" w:eastAsia="en-US"/>
        </w:rPr>
        <w:t xml:space="preserve"> la penna preriempita se le sembra che la confezione sia già stata aperta.</w:t>
      </w:r>
    </w:p>
    <w:p>
      <w:pPr>
        <w:autoSpaceDE w:val="0"/>
        <w:autoSpaceDN w:val="0"/>
        <w:adjustRightInd w:val="0"/>
        <w:ind w:left="567" w:hanging="567"/>
        <w:rPr>
          <w:rFonts w:eastAsia="Calibri"/>
          <w:noProof/>
          <w:szCs w:val="22"/>
          <w:lang w:val="it-IT" w:eastAsia="en-US"/>
        </w:rPr>
        <w:pPrChange w:id="13725"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noProof/>
          <w:szCs w:val="22"/>
          <w:lang w:val="it-IT" w:eastAsia="en-US"/>
        </w:rPr>
        <w:t xml:space="preserve">Verifichi che la confezione della penna preriempita non sia danneggiata. </w:t>
      </w:r>
      <w:r>
        <w:rPr>
          <w:rFonts w:eastAsia="Calibri"/>
          <w:b/>
          <w:noProof/>
          <w:szCs w:val="22"/>
          <w:lang w:val="it-IT" w:eastAsia="en-US"/>
        </w:rPr>
        <w:t xml:space="preserve">Non usi </w:t>
      </w:r>
      <w:r>
        <w:rPr>
          <w:rFonts w:eastAsia="Calibri"/>
          <w:noProof/>
          <w:szCs w:val="22"/>
          <w:lang w:val="it-IT" w:eastAsia="en-US"/>
        </w:rPr>
        <w:t>la penna preriempita con RoActemra se la confezione appare danneggiata.</w:t>
      </w:r>
    </w:p>
    <w:p>
      <w:pPr>
        <w:autoSpaceDE w:val="0"/>
        <w:autoSpaceDN w:val="0"/>
        <w:adjustRightInd w:val="0"/>
        <w:ind w:left="567" w:hanging="567"/>
        <w:rPr>
          <w:rFonts w:eastAsia="Calibri"/>
          <w:noProof/>
          <w:szCs w:val="22"/>
          <w:lang w:val="it-IT" w:eastAsia="en-US"/>
        </w:rPr>
        <w:pPrChange w:id="13726"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b/>
          <w:bCs/>
          <w:noProof/>
          <w:szCs w:val="22"/>
          <w:lang w:val="it-IT" w:eastAsia="en-US"/>
        </w:rPr>
        <w:t>Controlli la data di scadenza riportata sulla confezione della penna preriempita.</w:t>
      </w:r>
      <w:r>
        <w:rPr>
          <w:rFonts w:eastAsia="Calibri"/>
          <w:noProof/>
          <w:szCs w:val="22"/>
          <w:lang w:val="it-IT" w:eastAsia="en-US"/>
        </w:rPr>
        <w:t xml:space="preserve"> </w:t>
      </w:r>
      <w:r>
        <w:rPr>
          <w:rFonts w:eastAsia="Calibri"/>
          <w:b/>
          <w:noProof/>
          <w:szCs w:val="22"/>
          <w:lang w:val="it-IT" w:eastAsia="en-US"/>
        </w:rPr>
        <w:t xml:space="preserve">Non usi </w:t>
      </w:r>
      <w:r>
        <w:rPr>
          <w:rFonts w:eastAsia="Calibri"/>
          <w:noProof/>
          <w:szCs w:val="22"/>
          <w:lang w:val="it-IT" w:eastAsia="en-US"/>
        </w:rPr>
        <w:t>la penna preriempita se la data di scadenza è già passata perché potrebbe non essere sicuro.</w:t>
      </w:r>
    </w:p>
    <w:p>
      <w:pPr>
        <w:autoSpaceDE w:val="0"/>
        <w:autoSpaceDN w:val="0"/>
        <w:adjustRightInd w:val="0"/>
        <w:ind w:left="567" w:hanging="567"/>
        <w:rPr>
          <w:rFonts w:eastAsia="Calibri"/>
          <w:noProof/>
          <w:szCs w:val="22"/>
          <w:lang w:val="it-IT" w:eastAsia="en-US"/>
        </w:rPr>
        <w:pPrChange w:id="13727"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noProof/>
          <w:szCs w:val="22"/>
          <w:lang w:val="it-IT" w:eastAsia="en-US"/>
        </w:rPr>
        <w:t>Apra la confezione ed estragga una penna preriempita monodose di RoActemra dalla confezione.</w:t>
      </w:r>
    </w:p>
    <w:p>
      <w:pPr>
        <w:autoSpaceDE w:val="0"/>
        <w:autoSpaceDN w:val="0"/>
        <w:adjustRightInd w:val="0"/>
        <w:ind w:left="567" w:hanging="567"/>
        <w:rPr>
          <w:noProof/>
          <w:szCs w:val="22"/>
          <w:lang w:val="it-IT" w:eastAsia="en-US"/>
        </w:rPr>
        <w:pPrChange w:id="13728"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noProof/>
          <w:szCs w:val="22"/>
          <w:lang w:val="it-IT" w:eastAsia="en-US"/>
        </w:rPr>
        <w:t>Rimetta in frigorifero eventuali penne preriempite presenti nella confezione.</w:t>
      </w:r>
    </w:p>
    <w:p>
      <w:pPr>
        <w:autoSpaceDE w:val="0"/>
        <w:autoSpaceDN w:val="0"/>
        <w:adjustRightInd w:val="0"/>
        <w:ind w:left="567" w:hanging="567"/>
        <w:rPr>
          <w:noProof/>
          <w:szCs w:val="22"/>
          <w:lang w:val="it-IT" w:eastAsia="en-US"/>
        </w:rPr>
        <w:pPrChange w:id="13729"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b/>
          <w:bCs/>
          <w:noProof/>
          <w:szCs w:val="22"/>
          <w:lang w:val="it-IT" w:eastAsia="en-US"/>
        </w:rPr>
        <w:t>Controlli la data di scadenza riportata sulla confezione della penna preriempita di RoActemra (vedere Figura A).</w:t>
      </w:r>
      <w:r>
        <w:rPr>
          <w:rFonts w:eastAsia="Calibri"/>
          <w:b/>
          <w:noProof/>
          <w:szCs w:val="22"/>
          <w:lang w:val="it-IT" w:eastAsia="en-US"/>
        </w:rPr>
        <w:t xml:space="preserve"> Non usi </w:t>
      </w:r>
      <w:r>
        <w:rPr>
          <w:rFonts w:eastAsia="Calibri"/>
          <w:noProof/>
          <w:szCs w:val="22"/>
          <w:lang w:val="it-IT" w:eastAsia="en-US"/>
        </w:rPr>
        <w:t>la penna preriempita se la data di scadenza è già passata perché potrebbe non essere sicuro. Se la data di scadenza è passata, getti la penna preriempita in un contenitore per materiali taglienti e ne prenda una nuova.</w:t>
      </w:r>
    </w:p>
    <w:p>
      <w:pPr>
        <w:autoSpaceDE w:val="0"/>
        <w:autoSpaceDN w:val="0"/>
        <w:adjustRightInd w:val="0"/>
        <w:ind w:left="567" w:hanging="567"/>
        <w:rPr>
          <w:noProof/>
          <w:szCs w:val="22"/>
          <w:lang w:val="it-IT" w:eastAsia="en-US"/>
        </w:rPr>
        <w:pPrChange w:id="13730"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b/>
          <w:noProof/>
          <w:szCs w:val="22"/>
          <w:lang w:val="it-IT" w:eastAsia="en-US"/>
        </w:rPr>
        <w:t>Controlli la penna preriempita per verificare che non sia danneggiata.</w:t>
      </w:r>
      <w:r>
        <w:rPr>
          <w:rFonts w:eastAsia="Calibri"/>
          <w:noProof/>
          <w:szCs w:val="22"/>
          <w:lang w:val="it-IT" w:eastAsia="en-US"/>
        </w:rPr>
        <w:t xml:space="preserve"> Non usi la penna preriempita se appare danneggiata o se l’ha fatta cadere accidentalmente.</w:t>
      </w:r>
    </w:p>
    <w:p>
      <w:pPr>
        <w:autoSpaceDE w:val="0"/>
        <w:autoSpaceDN w:val="0"/>
        <w:adjustRightInd w:val="0"/>
        <w:ind w:left="567" w:hanging="567"/>
        <w:rPr>
          <w:noProof/>
          <w:szCs w:val="22"/>
          <w:lang w:val="it-IT" w:eastAsia="en-US"/>
        </w:rPr>
        <w:pPrChange w:id="13731"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noProof/>
          <w:szCs w:val="22"/>
          <w:lang w:val="it-IT" w:eastAsia="en-US"/>
        </w:rPr>
        <w:t>Posizioni la penna preriempita su una superficie piatta e pulita, e le lasci raggiungere la temperatura ambiente attendendo 45 minuti affinché si riscaldi. Se non si permette alla penna preriempita di raggiungere la temperatura ambiente, l’iniezione potrebbe rivelarsi fastidiosa e potrebbe richiedere più tempo del dovuto.</w:t>
      </w:r>
    </w:p>
    <w:p>
      <w:pPr>
        <w:tabs>
          <w:tab w:val="left" w:pos="720"/>
        </w:tabs>
        <w:autoSpaceDE w:val="0"/>
        <w:autoSpaceDN w:val="0"/>
        <w:adjustRightInd w:val="0"/>
        <w:ind w:left="567" w:hanging="567"/>
        <w:rPr>
          <w:noProof/>
          <w:szCs w:val="22"/>
          <w:lang w:val="it-IT" w:eastAsia="en-US"/>
        </w:rPr>
        <w:pPrChange w:id="13732" w:author="Author">
          <w:pPr>
            <w:tabs>
              <w:tab w:val="left" w:pos="720"/>
            </w:tabs>
            <w:autoSpaceDE w:val="0"/>
            <w:autoSpaceDN w:val="0"/>
            <w:adjustRightInd w:val="0"/>
            <w:spacing w:after="60" w:line="259" w:lineRule="auto"/>
            <w:ind w:left="1077" w:hanging="357"/>
          </w:pPr>
        </w:pPrChange>
      </w:pPr>
      <w:r>
        <w:rPr>
          <w:noProof/>
          <w:lang w:val="it-IT"/>
        </w:rPr>
        <w:sym w:font="Symbol" w:char="00B7"/>
      </w:r>
      <w:r>
        <w:rPr>
          <w:noProof/>
          <w:lang w:val="it-IT"/>
        </w:rPr>
        <w:tab/>
      </w:r>
      <w:r>
        <w:rPr>
          <w:rFonts w:eastAsia="Calibri"/>
          <w:b/>
          <w:noProof/>
          <w:szCs w:val="22"/>
          <w:lang w:val="it-IT" w:eastAsia="en-US"/>
        </w:rPr>
        <w:t xml:space="preserve">Non </w:t>
      </w:r>
      <w:r>
        <w:rPr>
          <w:rFonts w:eastAsia="Calibri"/>
          <w:noProof/>
          <w:szCs w:val="22"/>
          <w:lang w:val="it-IT" w:eastAsia="en-US"/>
        </w:rPr>
        <w:t>scaldi la penna preriempita in nessun altro modo, per esempio mettendola nel microonde o in acqua calda.</w:t>
      </w:r>
    </w:p>
    <w:p>
      <w:pPr>
        <w:autoSpaceDE w:val="0"/>
        <w:autoSpaceDN w:val="0"/>
        <w:adjustRightInd w:val="0"/>
        <w:ind w:left="567" w:hanging="567"/>
        <w:rPr>
          <w:noProof/>
          <w:szCs w:val="22"/>
          <w:lang w:val="it-IT" w:eastAsia="en-US"/>
        </w:rPr>
        <w:pPrChange w:id="13733" w:author="Author">
          <w:pPr>
            <w:autoSpaceDE w:val="0"/>
            <w:autoSpaceDN w:val="0"/>
            <w:adjustRightInd w:val="0"/>
            <w:spacing w:after="60" w:line="259" w:lineRule="auto"/>
            <w:ind w:left="1077" w:hanging="357"/>
          </w:pPr>
        </w:pPrChange>
      </w:pPr>
      <w:r>
        <w:rPr>
          <w:noProof/>
          <w:lang w:val="it-IT"/>
        </w:rPr>
        <w:sym w:font="Symbol" w:char="00B7"/>
      </w:r>
      <w:r>
        <w:rPr>
          <w:noProof/>
          <w:lang w:val="it-IT"/>
        </w:rPr>
        <w:tab/>
      </w:r>
      <w:r>
        <w:rPr>
          <w:rFonts w:eastAsia="Calibri"/>
          <w:b/>
          <w:noProof/>
          <w:szCs w:val="22"/>
          <w:lang w:val="it-IT" w:eastAsia="en-US"/>
        </w:rPr>
        <w:t xml:space="preserve">Non </w:t>
      </w:r>
      <w:r>
        <w:rPr>
          <w:rFonts w:eastAsia="Calibri"/>
          <w:noProof/>
          <w:szCs w:val="22"/>
          <w:lang w:val="it-IT" w:eastAsia="en-US"/>
        </w:rPr>
        <w:t>lasci che la penna preriempita si scaldi alla luce solare diretta.</w:t>
      </w:r>
    </w:p>
    <w:p>
      <w:pPr>
        <w:autoSpaceDE w:val="0"/>
        <w:autoSpaceDN w:val="0"/>
        <w:adjustRightInd w:val="0"/>
        <w:spacing w:after="60"/>
        <w:rPr>
          <w:b/>
          <w:noProof/>
          <w:szCs w:val="22"/>
          <w:lang w:val="it-IT" w:eastAsia="en-US"/>
        </w:rPr>
        <w:pPrChange w:id="13734" w:author="Author">
          <w:pPr>
            <w:autoSpaceDE w:val="0"/>
            <w:autoSpaceDN w:val="0"/>
            <w:adjustRightInd w:val="0"/>
            <w:spacing w:after="60"/>
            <w:ind w:left="360"/>
          </w:pPr>
        </w:pPrChange>
      </w:pPr>
      <w:r>
        <w:rPr>
          <w:rFonts w:eastAsia="Calibri"/>
          <w:b/>
          <w:bCs/>
          <w:noProof/>
          <w:szCs w:val="22"/>
          <w:lang w:val="it-IT" w:eastAsia="en-US"/>
        </w:rPr>
        <w:t>Non rimuova il cappuccio verde mentre la penna preriempita di RoActemra raggiunge la temperatura ambiente.</w:t>
      </w:r>
    </w:p>
    <w:p>
      <w:pPr>
        <w:keepNext/>
        <w:autoSpaceDE w:val="0"/>
        <w:autoSpaceDN w:val="0"/>
        <w:adjustRightInd w:val="0"/>
        <w:ind w:left="567" w:hanging="567"/>
        <w:rPr>
          <w:b/>
          <w:noProof/>
          <w:szCs w:val="22"/>
          <w:lang w:val="it-IT" w:eastAsia="en-US"/>
        </w:rPr>
        <w:pPrChange w:id="13735" w:author="Author">
          <w:pPr>
            <w:autoSpaceDE w:val="0"/>
            <w:autoSpaceDN w:val="0"/>
            <w:adjustRightInd w:val="0"/>
            <w:spacing w:after="200" w:line="276" w:lineRule="auto"/>
            <w:ind w:left="567" w:hanging="210"/>
          </w:pPr>
        </w:pPrChange>
      </w:pPr>
      <w:r>
        <w:rPr>
          <w:noProof/>
          <w:lang w:val="it-IT"/>
        </w:rPr>
        <w:lastRenderedPageBreak/>
        <w:sym w:font="Symbol" w:char="00B7"/>
      </w:r>
      <w:r>
        <w:rPr>
          <w:noProof/>
          <w:lang w:val="it-IT"/>
        </w:rPr>
        <w:tab/>
      </w:r>
      <w:r>
        <w:rPr>
          <w:rFonts w:eastAsia="Calibri"/>
          <w:noProof/>
          <w:szCs w:val="22"/>
          <w:lang w:val="it-IT" w:eastAsia="en-US"/>
        </w:rPr>
        <w:t xml:space="preserve">Tenga la penna preriempita di RoActemra con il cappuccio verde indirizzato verso il basso </w:t>
      </w:r>
      <w:r>
        <w:rPr>
          <w:rFonts w:eastAsia="Calibri"/>
          <w:b/>
          <w:noProof/>
          <w:szCs w:val="22"/>
          <w:lang w:val="it-IT" w:eastAsia="en-US"/>
        </w:rPr>
        <w:t>(vedere Figura C).</w:t>
      </w:r>
    </w:p>
    <w:p>
      <w:pPr>
        <w:keepNext/>
        <w:autoSpaceDE w:val="0"/>
        <w:autoSpaceDN w:val="0"/>
        <w:adjustRightInd w:val="0"/>
        <w:rPr>
          <w:b/>
          <w:noProof/>
          <w:szCs w:val="22"/>
          <w:lang w:val="it-IT"/>
        </w:rPr>
        <w:pPrChange w:id="13736" w:author="Author">
          <w:pPr>
            <w:autoSpaceDE w:val="0"/>
            <w:autoSpaceDN w:val="0"/>
            <w:adjustRightInd w:val="0"/>
          </w:pPr>
        </w:pPrChange>
      </w:pPr>
    </w:p>
    <w:p>
      <w:pPr>
        <w:autoSpaceDE w:val="0"/>
        <w:autoSpaceDN w:val="0"/>
        <w:adjustRightInd w:val="0"/>
        <w:jc w:val="center"/>
        <w:rPr>
          <w:b/>
          <w:noProof/>
          <w:szCs w:val="22"/>
          <w:lang w:val="it-IT" w:eastAsia="en-US"/>
        </w:rPr>
      </w:pPr>
      <w:r>
        <w:rPr>
          <w:rFonts w:eastAsia="Calibri"/>
          <w:b/>
          <w:noProof/>
          <w:szCs w:val="22"/>
          <w:lang w:eastAsia="en-US"/>
        </w:rPr>
        <w:drawing>
          <wp:inline distT="0" distB="0" distL="0" distR="0">
            <wp:extent cx="2743200" cy="2154555"/>
            <wp:effectExtent l="0" t="0" r="0" b="0"/>
            <wp:docPr id="13" name="Immagine 11" descr="AI-Upgrade-IFU_vG_images-updated-ver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AI-Upgrade-IFU_vG_images-updated-version-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154555"/>
                    </a:xfrm>
                    <a:prstGeom prst="rect">
                      <a:avLst/>
                    </a:prstGeom>
                    <a:noFill/>
                    <a:ln>
                      <a:noFill/>
                    </a:ln>
                  </pic:spPr>
                </pic:pic>
              </a:graphicData>
            </a:graphic>
          </wp:inline>
        </w:drawing>
      </w:r>
    </w:p>
    <w:p>
      <w:pPr>
        <w:autoSpaceDE w:val="0"/>
        <w:autoSpaceDN w:val="0"/>
        <w:adjustRightInd w:val="0"/>
        <w:jc w:val="center"/>
        <w:rPr>
          <w:rFonts w:eastAsia="Calibri"/>
          <w:b/>
          <w:noProof/>
          <w:szCs w:val="22"/>
          <w:lang w:val="it-IT" w:eastAsia="en-US"/>
        </w:rPr>
      </w:pPr>
      <w:r>
        <w:rPr>
          <w:rFonts w:eastAsia="Calibri"/>
          <w:b/>
          <w:noProof/>
          <w:szCs w:val="22"/>
          <w:lang w:val="it-IT" w:eastAsia="en-US"/>
        </w:rPr>
        <w:t>Figura C</w:t>
      </w:r>
    </w:p>
    <w:p>
      <w:pPr>
        <w:autoSpaceDE w:val="0"/>
        <w:autoSpaceDN w:val="0"/>
        <w:adjustRightInd w:val="0"/>
        <w:jc w:val="center"/>
        <w:rPr>
          <w:b/>
          <w:noProof/>
          <w:szCs w:val="22"/>
          <w:lang w:val="it-IT"/>
        </w:rPr>
      </w:pPr>
    </w:p>
    <w:p>
      <w:pPr>
        <w:autoSpaceDE w:val="0"/>
        <w:autoSpaceDN w:val="0"/>
        <w:adjustRightInd w:val="0"/>
        <w:ind w:left="567" w:hanging="567"/>
        <w:rPr>
          <w:rFonts w:eastAsia="Calibri"/>
          <w:noProof/>
          <w:szCs w:val="22"/>
          <w:lang w:val="it-IT" w:eastAsia="en-US"/>
        </w:rPr>
        <w:pPrChange w:id="13737" w:author="Author">
          <w:pPr>
            <w:tabs>
              <w:tab w:val="left" w:pos="180"/>
            </w:tabs>
            <w:autoSpaceDE w:val="0"/>
            <w:autoSpaceDN w:val="0"/>
            <w:adjustRightInd w:val="0"/>
            <w:spacing w:after="60" w:line="276" w:lineRule="auto"/>
            <w:ind w:left="567" w:hanging="210"/>
          </w:pPr>
        </w:pPrChange>
      </w:pPr>
      <w:r>
        <w:rPr>
          <w:noProof/>
          <w:lang w:val="it-IT"/>
        </w:rPr>
        <w:sym w:font="Symbol" w:char="00B7"/>
      </w:r>
      <w:r>
        <w:rPr>
          <w:noProof/>
          <w:lang w:val="it-IT"/>
        </w:rPr>
        <w:tab/>
      </w:r>
      <w:r>
        <w:rPr>
          <w:rFonts w:eastAsia="Calibri"/>
          <w:noProof/>
          <w:szCs w:val="22"/>
          <w:lang w:val="it-IT" w:eastAsia="en-US"/>
        </w:rPr>
        <w:t>Osservi attraverso la finestr</w:t>
      </w:r>
      <w:ins w:id="13738" w:author="Author">
        <w:r>
          <w:rPr>
            <w:rFonts w:eastAsia="Calibri"/>
            <w:noProof/>
            <w:szCs w:val="22"/>
            <w:lang w:val="it-IT" w:eastAsia="en-US"/>
          </w:rPr>
          <w:t>a di visualizzazione</w:t>
        </w:r>
      </w:ins>
      <w:del w:id="13739" w:author="Author">
        <w:r>
          <w:rPr>
            <w:rFonts w:eastAsia="Calibri"/>
            <w:noProof/>
            <w:szCs w:val="22"/>
            <w:lang w:val="it-IT" w:eastAsia="en-US"/>
          </w:rPr>
          <w:delText>ella</w:delText>
        </w:r>
      </w:del>
      <w:r>
        <w:rPr>
          <w:rFonts w:eastAsia="Calibri"/>
          <w:noProof/>
          <w:szCs w:val="22"/>
          <w:lang w:val="it-IT" w:eastAsia="en-US"/>
        </w:rPr>
        <w:t xml:space="preserve"> trasparente. Controlli il liquido contenuto nella penna preriempita di RoActemra </w:t>
      </w:r>
      <w:r>
        <w:rPr>
          <w:rFonts w:eastAsia="Calibri"/>
          <w:b/>
          <w:bCs/>
          <w:noProof/>
          <w:szCs w:val="22"/>
          <w:lang w:val="it-IT" w:eastAsia="en-US"/>
        </w:rPr>
        <w:t>(vedere Figura C).</w:t>
      </w:r>
      <w:r>
        <w:rPr>
          <w:rFonts w:eastAsia="Calibri"/>
          <w:noProof/>
          <w:szCs w:val="22"/>
          <w:lang w:val="it-IT" w:eastAsia="en-US"/>
        </w:rPr>
        <w:t xml:space="preserve"> Deve essere trasparente e da incolore a giallo chiaro. </w:t>
      </w:r>
      <w:r>
        <w:rPr>
          <w:rFonts w:eastAsia="Calibri"/>
          <w:b/>
          <w:noProof/>
          <w:szCs w:val="22"/>
          <w:lang w:val="it-IT" w:eastAsia="en-US"/>
        </w:rPr>
        <w:t xml:space="preserve">Non </w:t>
      </w:r>
      <w:r>
        <w:rPr>
          <w:rFonts w:eastAsia="Calibri"/>
          <w:noProof/>
          <w:szCs w:val="22"/>
          <w:lang w:val="it-IT" w:eastAsia="en-US"/>
        </w:rPr>
        <w:t>esegua l’iniezione di RoActemra se il liquido è torbido, di colore alterato o se contiene grumi o particelle poiché potrebbe non essere sicuro utilizzarlo. Getti la penna preriempita in un contenitore per materiali taglienti e ne prenda una nuova.</w:t>
      </w:r>
    </w:p>
    <w:p>
      <w:pPr>
        <w:autoSpaceDE w:val="0"/>
        <w:autoSpaceDN w:val="0"/>
        <w:adjustRightInd w:val="0"/>
        <w:ind w:left="567" w:hanging="567"/>
        <w:rPr>
          <w:noProof/>
          <w:szCs w:val="22"/>
          <w:lang w:val="it-IT" w:eastAsia="en-US"/>
        </w:rPr>
        <w:pPrChange w:id="13740" w:author="Author">
          <w:pPr>
            <w:autoSpaceDE w:val="0"/>
            <w:autoSpaceDN w:val="0"/>
            <w:adjustRightInd w:val="0"/>
            <w:spacing w:after="120" w:line="259" w:lineRule="auto"/>
            <w:ind w:left="567" w:hanging="210"/>
          </w:pPr>
        </w:pPrChange>
      </w:pPr>
      <w:r>
        <w:rPr>
          <w:noProof/>
          <w:lang w:val="it-IT"/>
        </w:rPr>
        <w:sym w:font="Symbol" w:char="00B7"/>
      </w:r>
      <w:r>
        <w:rPr>
          <w:noProof/>
          <w:lang w:val="it-IT"/>
        </w:rPr>
        <w:tab/>
      </w:r>
      <w:r>
        <w:rPr>
          <w:rFonts w:eastAsia="Calibri"/>
          <w:noProof/>
          <w:szCs w:val="22"/>
          <w:lang w:val="it-IT" w:eastAsia="en-US"/>
        </w:rPr>
        <w:t>Si lavi bene le mani con acqua e sapone.</w:t>
      </w:r>
    </w:p>
    <w:p>
      <w:pPr>
        <w:autoSpaceDE w:val="0"/>
        <w:autoSpaceDN w:val="0"/>
        <w:adjustRightInd w:val="0"/>
        <w:spacing w:after="60"/>
        <w:rPr>
          <w:b/>
          <w:noProof/>
          <w:szCs w:val="22"/>
          <w:lang w:val="it-IT" w:eastAsia="en-US"/>
        </w:rPr>
      </w:pPr>
      <w:r>
        <w:rPr>
          <w:rFonts w:eastAsia="Calibri"/>
          <w:b/>
          <w:noProof/>
          <w:szCs w:val="22"/>
          <w:lang w:val="it-IT" w:eastAsia="en-US"/>
        </w:rPr>
        <w:t>Fase 2. Scelta e preparazione del sito di iniezione</w:t>
      </w:r>
    </w:p>
    <w:p>
      <w:pPr>
        <w:autoSpaceDE w:val="0"/>
        <w:autoSpaceDN w:val="0"/>
        <w:adjustRightInd w:val="0"/>
        <w:spacing w:after="60"/>
        <w:rPr>
          <w:b/>
          <w:noProof/>
          <w:szCs w:val="22"/>
          <w:lang w:val="it-IT" w:eastAsia="en-US"/>
        </w:rPr>
      </w:pPr>
      <w:r>
        <w:rPr>
          <w:rFonts w:eastAsia="Calibri"/>
          <w:b/>
          <w:noProof/>
          <w:szCs w:val="22"/>
          <w:lang w:val="it-IT" w:eastAsia="en-US"/>
        </w:rPr>
        <w:t>Scelga un sito per l’iniezione</w:t>
      </w:r>
    </w:p>
    <w:p>
      <w:pPr>
        <w:autoSpaceDE w:val="0"/>
        <w:autoSpaceDN w:val="0"/>
        <w:adjustRightInd w:val="0"/>
        <w:ind w:left="567" w:hanging="567"/>
        <w:rPr>
          <w:noProof/>
          <w:szCs w:val="22"/>
          <w:lang w:val="it-IT" w:eastAsia="en-US"/>
        </w:rPr>
        <w:pPrChange w:id="13741" w:author="Author">
          <w:pPr>
            <w:autoSpaceDE w:val="0"/>
            <w:autoSpaceDN w:val="0"/>
            <w:adjustRightInd w:val="0"/>
            <w:spacing w:after="160" w:line="276" w:lineRule="auto"/>
            <w:ind w:left="714" w:hanging="357"/>
          </w:pPr>
        </w:pPrChange>
      </w:pPr>
      <w:r>
        <w:rPr>
          <w:noProof/>
          <w:lang w:val="it-IT"/>
        </w:rPr>
        <w:sym w:font="Symbol" w:char="00B7"/>
      </w:r>
      <w:r>
        <w:rPr>
          <w:noProof/>
          <w:lang w:val="it-IT"/>
        </w:rPr>
        <w:tab/>
      </w:r>
      <w:r>
        <w:rPr>
          <w:rFonts w:eastAsia="Calibri"/>
          <w:noProof/>
          <w:szCs w:val="22"/>
          <w:lang w:val="it-IT" w:eastAsia="en-US"/>
        </w:rPr>
        <w:t xml:space="preserve">I siti di iniezione raccomandati sono la parte anteriore delle cosce o dell’addome, ad eccezione dell’area di cinque centimetri attorno all’ombelico </w:t>
      </w:r>
      <w:r>
        <w:rPr>
          <w:rFonts w:eastAsia="Calibri"/>
          <w:b/>
          <w:bCs/>
          <w:noProof/>
          <w:szCs w:val="22"/>
          <w:lang w:val="it-IT" w:eastAsia="en-US"/>
        </w:rPr>
        <w:t>(Vedere Figura D)</w:t>
      </w:r>
      <w:r>
        <w:rPr>
          <w:rFonts w:eastAsia="Calibri"/>
          <w:noProof/>
          <w:szCs w:val="22"/>
          <w:lang w:val="it-IT" w:eastAsia="en-US"/>
        </w:rPr>
        <w:t>.</w:t>
      </w:r>
    </w:p>
    <w:p>
      <w:pPr>
        <w:autoSpaceDE w:val="0"/>
        <w:autoSpaceDN w:val="0"/>
        <w:adjustRightInd w:val="0"/>
        <w:ind w:left="567" w:hanging="567"/>
        <w:rPr>
          <w:b/>
          <w:noProof/>
          <w:szCs w:val="22"/>
          <w:lang w:val="it-IT" w:eastAsia="en-US"/>
        </w:rPr>
        <w:pPrChange w:id="13742" w:author="Author">
          <w:pPr>
            <w:autoSpaceDE w:val="0"/>
            <w:autoSpaceDN w:val="0"/>
            <w:adjustRightInd w:val="0"/>
            <w:spacing w:after="60" w:line="259" w:lineRule="auto"/>
            <w:ind w:left="714" w:hanging="357"/>
          </w:pPr>
        </w:pPrChange>
      </w:pPr>
      <w:r>
        <w:rPr>
          <w:noProof/>
          <w:lang w:val="it-IT"/>
        </w:rPr>
        <w:sym w:font="Symbol" w:char="00B7"/>
      </w:r>
      <w:r>
        <w:rPr>
          <w:noProof/>
          <w:lang w:val="it-IT"/>
        </w:rPr>
        <w:tab/>
      </w:r>
      <w:r>
        <w:rPr>
          <w:rFonts w:eastAsia="Calibri"/>
          <w:noProof/>
          <w:szCs w:val="22"/>
          <w:lang w:val="it-IT" w:eastAsia="en-US"/>
        </w:rPr>
        <w:t>Se l’iniezione è eseguita dalla persona che le presta assistenza, può essere utilizzata anche la zona esterna della parte superiore delle braccia. Non cerchi di usare da solo la zona esterna della parte superiore delle braccia</w:t>
      </w:r>
      <w:r>
        <w:rPr>
          <w:rFonts w:eastAsia="Calibri"/>
          <w:b/>
          <w:noProof/>
          <w:szCs w:val="22"/>
          <w:lang w:val="it-IT" w:eastAsia="en-US"/>
        </w:rPr>
        <w:t xml:space="preserve"> (Vedere Figura D).</w:t>
      </w:r>
    </w:p>
    <w:p>
      <w:pPr>
        <w:autoSpaceDE w:val="0"/>
        <w:autoSpaceDN w:val="0"/>
        <w:adjustRightInd w:val="0"/>
        <w:spacing w:after="60"/>
        <w:rPr>
          <w:rFonts w:eastAsia="Calibri"/>
          <w:b/>
          <w:noProof/>
          <w:szCs w:val="22"/>
          <w:lang w:val="it-IT" w:eastAsia="en-US"/>
        </w:rPr>
      </w:pPr>
      <w:r>
        <w:rPr>
          <w:rFonts w:eastAsia="Calibri"/>
          <w:b/>
          <w:noProof/>
          <w:szCs w:val="22"/>
          <w:lang w:val="it-IT" w:eastAsia="en-US"/>
        </w:rPr>
        <w:t>Alterni i siti di iniezione</w:t>
      </w:r>
    </w:p>
    <w:p>
      <w:pPr>
        <w:autoSpaceDE w:val="0"/>
        <w:autoSpaceDN w:val="0"/>
        <w:adjustRightInd w:val="0"/>
        <w:ind w:left="567" w:hanging="567"/>
        <w:rPr>
          <w:noProof/>
          <w:szCs w:val="22"/>
          <w:lang w:val="it-IT" w:eastAsia="en-US"/>
        </w:rPr>
        <w:pPrChange w:id="13743" w:author="Author">
          <w:pPr>
            <w:autoSpaceDE w:val="0"/>
            <w:autoSpaceDN w:val="0"/>
            <w:adjustRightInd w:val="0"/>
            <w:spacing w:after="60" w:line="259" w:lineRule="auto"/>
            <w:ind w:left="714" w:hanging="357"/>
          </w:pPr>
        </w:pPrChange>
      </w:pPr>
      <w:r>
        <w:rPr>
          <w:noProof/>
          <w:lang w:val="it-IT"/>
        </w:rPr>
        <w:sym w:font="Symbol" w:char="00B7"/>
      </w:r>
      <w:r>
        <w:rPr>
          <w:noProof/>
          <w:lang w:val="it-IT"/>
        </w:rPr>
        <w:tab/>
      </w:r>
      <w:r>
        <w:rPr>
          <w:rFonts w:eastAsia="Calibri"/>
          <w:noProof/>
          <w:szCs w:val="22"/>
          <w:lang w:val="it-IT" w:eastAsia="en-US"/>
        </w:rPr>
        <w:t>Ogni volta che si autosomministra un’iniezione deve utilizzare un sito di iniezione diverso, situato ad almeno 2,5 centimetri di distanza dall’area utilizzata per l’iniezione precedente.</w:t>
      </w:r>
    </w:p>
    <w:p>
      <w:pPr>
        <w:autoSpaceDE w:val="0"/>
        <w:autoSpaceDN w:val="0"/>
        <w:adjustRightInd w:val="0"/>
        <w:ind w:left="567" w:hanging="567"/>
        <w:rPr>
          <w:noProof/>
          <w:szCs w:val="22"/>
          <w:lang w:val="it-IT" w:eastAsia="en-US"/>
        </w:rPr>
        <w:pPrChange w:id="13744" w:author="Author">
          <w:pPr>
            <w:autoSpaceDE w:val="0"/>
            <w:autoSpaceDN w:val="0"/>
            <w:adjustRightInd w:val="0"/>
            <w:spacing w:after="160" w:line="259" w:lineRule="auto"/>
            <w:ind w:left="714" w:hanging="357"/>
          </w:pPr>
        </w:pPrChange>
      </w:pPr>
      <w:r>
        <w:rPr>
          <w:noProof/>
          <w:lang w:val="it-IT"/>
        </w:rPr>
        <w:sym w:font="Symbol" w:char="00B7"/>
      </w:r>
      <w:r>
        <w:rPr>
          <w:noProof/>
          <w:lang w:val="it-IT"/>
        </w:rPr>
        <w:tab/>
      </w:r>
      <w:r>
        <w:rPr>
          <w:rFonts w:eastAsia="Calibri"/>
          <w:noProof/>
          <w:szCs w:val="22"/>
          <w:lang w:val="it-IT" w:eastAsia="en-US"/>
        </w:rPr>
        <w:t>Non esegua l’iniezione su nei, cicatrici, lividi o nelle aree in cui la pelle si presenta dolente, arrossata, indurita o non integra.</w:t>
      </w:r>
    </w:p>
    <w:p>
      <w:pPr>
        <w:autoSpaceDE w:val="0"/>
        <w:autoSpaceDN w:val="0"/>
        <w:adjustRightInd w:val="0"/>
        <w:rPr>
          <w:noProof/>
          <w:szCs w:val="22"/>
          <w:lang w:val="it-IT"/>
        </w:rPr>
      </w:pPr>
    </w:p>
    <w:p>
      <w:pPr>
        <w:autoSpaceDE w:val="0"/>
        <w:autoSpaceDN w:val="0"/>
        <w:adjustRightInd w:val="0"/>
        <w:jc w:val="center"/>
        <w:rPr>
          <w:noProof/>
          <w:szCs w:val="22"/>
          <w:lang w:val="it-IT" w:eastAsia="en-US"/>
        </w:rPr>
      </w:pPr>
      <w:r>
        <w:rPr>
          <w:b/>
          <w:noProof/>
          <w:szCs w:val="22"/>
          <w:lang w:eastAsia="en-US"/>
        </w:rPr>
        <mc:AlternateContent>
          <mc:Choice Requires="wps">
            <w:drawing>
              <wp:anchor distT="0" distB="0" distL="114300" distR="114300" simplePos="0" relativeHeight="251664384" behindDoc="0" locked="0" layoutInCell="1" allowOverlap="1">
                <wp:simplePos x="0" y="0"/>
                <wp:positionH relativeFrom="column">
                  <wp:posOffset>1780540</wp:posOffset>
                </wp:positionH>
                <wp:positionV relativeFrom="paragraph">
                  <wp:posOffset>1842770</wp:posOffset>
                </wp:positionV>
                <wp:extent cx="2303780" cy="295910"/>
                <wp:effectExtent l="4445" t="0" r="0" b="381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sz w:val="28"/>
                                <w:lang w:val="it-IT"/>
                              </w:rPr>
                            </w:pPr>
                            <w:r>
                              <w:rPr>
                                <w:b/>
                                <w:sz w:val="28"/>
                                <w:lang w:val="it-IT"/>
                              </w:rPr>
                              <w:t>Fronte</w:t>
                            </w:r>
                            <w:r>
                              <w:rPr>
                                <w:b/>
                                <w:sz w:val="28"/>
                                <w:lang w:val="it-IT"/>
                              </w:rPr>
                              <w:tab/>
                            </w:r>
                            <w:r>
                              <w:rPr>
                                <w:b/>
                                <w:sz w:val="28"/>
                                <w:lang w:val="it-IT"/>
                              </w:rPr>
                              <w:tab/>
                              <w:t xml:space="preserve">        Retro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6" o:spid="_x0000_s1041" type="#_x0000_t202" style="position:absolute;left:0;text-align:left;margin-left:140.2pt;margin-top:145.1pt;width:181.4pt;height:23.3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GShwIAABk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kuc&#10;TjGSpAOOHtng0FoNKJn5+vTaFuD2oMHRDbAPPIdcrb5X9SeLpNq0RO7YrTGqbxmhEF/iT0YXR0cc&#10;60G2/VtF4R6ydyoADY3pfPGgHAjQgaenMzc+lho20+v4er4AUw22NJ/mSSAvIsXptDbWvWaqQ35S&#10;YgPcB3RyuLfOR0OKk4u/zCrBacWFCAuz226EQQcCOqnCFxJ45iakd5bKHxsRxx0IEu7wNh9u4P1r&#10;nqRZvE7zSTVbzCdZlU0n+TxeTOIkX+ezOMuzu+qbDzDJipZTyuQ9l+ykwST7O46P3TCqJ6gQ9SXO&#10;p8BmyOuPScbh+12SHXfQkoJ3JV6cnUjhiX0lKaRNCke4GOfRz+GHKkMNTv9QlSADz/yoATdsh6C4&#10;ZHqS11bRJxCGUcAbUAzvCUxaZb5g1ENvlth+3hPDMBJvJIgrT7LMN3NYZNN5CgtzadleWoisAarE&#10;DqNxunHjA7DXhu9auOkk51sQZMWDVrxyx6iOMob+C0kd3wrf4Jfr4PXjRVt9BwAA//8DAFBLAwQU&#10;AAYACAAAACEAOVujluEAAAALAQAADwAAAGRycy9kb3ducmV2LnhtbEyPy07DMBBF90j8gzVIbBC1&#10;61RRCHGq8tqwa0mlLt14mgRiO4rdNvD1TFewu6M5unOmWE62ZyccQ+edgvlMAENXe9O5RkH18Xaf&#10;AQtRO6N771DBNwZYltdXhc6NP7s1njaxYVTiQq4VtDEOOeehbtHqMPMDOtod/Gh1pHFsuBn1mcpt&#10;z6UQKbe6c3Sh1QM+t1h/bY5Wwc9T9bJ6vYvzg4w7uV3b96r+1Erd3kyrR2ARp/gHw0Wf1KEkp70/&#10;OhNYr0BmYkEohQchgRGRLhIKewVJkmbAy4L//6H8BQAA//8DAFBLAQItABQABgAIAAAAIQC2gziS&#10;/gAAAOEBAAATAAAAAAAAAAAAAAAAAAAAAABbQ29udGVudF9UeXBlc10ueG1sUEsBAi0AFAAGAAgA&#10;AAAhADj9If/WAAAAlAEAAAsAAAAAAAAAAAAAAAAALwEAAF9yZWxzLy5yZWxzUEsBAi0AFAAGAAgA&#10;AAAhADMgoZKHAgAAGQUAAA4AAAAAAAAAAAAAAAAALgIAAGRycy9lMm9Eb2MueG1sUEsBAi0AFAAG&#10;AAgAAAAhADlbo5bhAAAACwEAAA8AAAAAAAAAAAAAAAAA4QQAAGRycy9kb3ducmV2LnhtbFBLBQYA&#10;AAAABAAEAPMAAADvBQAAAAA=&#10;" stroked="f">
                <v:textbox style="mso-fit-shape-to-text:t">
                  <w:txbxContent>
                    <w:p>
                      <w:pPr>
                        <w:rPr>
                          <w:b/>
                          <w:sz w:val="28"/>
                          <w:lang w:val="it-IT"/>
                        </w:rPr>
                      </w:pPr>
                      <w:r>
                        <w:rPr>
                          <w:b/>
                          <w:sz w:val="28"/>
                          <w:lang w:val="it-IT"/>
                        </w:rPr>
                        <w:t>Fronte</w:t>
                      </w:r>
                      <w:r>
                        <w:rPr>
                          <w:b/>
                          <w:sz w:val="28"/>
                          <w:lang w:val="it-IT"/>
                        </w:rPr>
                        <w:tab/>
                      </w:r>
                      <w:r>
                        <w:rPr>
                          <w:b/>
                          <w:sz w:val="28"/>
                          <w:lang w:val="it-IT"/>
                        </w:rPr>
                        <w:tab/>
                        <w:t xml:space="preserve">        </w:t>
                      </w:r>
                      <w:r>
                        <w:rPr>
                          <w:b/>
                          <w:sz w:val="28"/>
                          <w:lang w:val="it-IT"/>
                        </w:rPr>
                        <w:t xml:space="preserve">Retro </w:t>
                      </w:r>
                    </w:p>
                  </w:txbxContent>
                </v:textbox>
              </v:shape>
            </w:pict>
          </mc:Fallback>
        </mc:AlternateContent>
      </w:r>
      <w:r>
        <w:rPr>
          <w:b/>
          <w:noProof/>
          <w:szCs w:val="22"/>
          <w:lang w:eastAsia="en-US"/>
        </w:rPr>
        <mc:AlternateContent>
          <mc:Choice Requires="wps">
            <w:drawing>
              <wp:anchor distT="0" distB="0" distL="114300" distR="114300" simplePos="0" relativeHeight="251665408" behindDoc="0" locked="0" layoutInCell="1" allowOverlap="1">
                <wp:simplePos x="0" y="0"/>
                <wp:positionH relativeFrom="column">
                  <wp:posOffset>2557145</wp:posOffset>
                </wp:positionH>
                <wp:positionV relativeFrom="paragraph">
                  <wp:posOffset>2185035</wp:posOffset>
                </wp:positionV>
                <wp:extent cx="2298065" cy="295910"/>
                <wp:effectExtent l="4445" t="3810" r="254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sz w:val="28"/>
                                <w:lang w:val="it-IT"/>
                              </w:rPr>
                            </w:pPr>
                            <w:r>
                              <w:rPr>
                                <w:b/>
                                <w:sz w:val="28"/>
                                <w:lang w:val="it-IT"/>
                              </w:rPr>
                              <w:t xml:space="preserve">Siti di iniezione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7" o:spid="_x0000_s1042" type="#_x0000_t202" style="position:absolute;left:0;text-align:left;margin-left:201.35pt;margin-top:172.05pt;width:180.95pt;height:23.3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46ehgIAABk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iwGucF&#10;Ror0wNEjHz260SPKlqE+g3EVuD0YcPQj7APPMVdn7jX95JDStx1RW35trR46ThjEl4WTydnRCccF&#10;kM3wVjO4h+y8jkBja/tQPCgHAnTg6enETYiFwmael6t0MceIgi0v52UWyUtIdTxtrPOvue5RmNTY&#10;AvcRnezvnQ/RkOroEi5zWgrWCCnjwm43t9KiPQGdNPGLCTxzkyo4Kx2OTYjTDgQJdwRbCDfy/rXM&#10;8iK9yctZs1gtZ0VTzGflMl3N0qy8KRdpURZ3zbcQYFZUnWCMq3uh+FGDWfF3HB+6YVJPVCEaalzO&#10;8/lE0R+TTOP3uyR74aElpehrvDo5kSoQ+0oxSJtUngg5zZOfw49Vhhoc/7EqUQaB+UkDftyMUXHZ&#10;4iivjWZPIAyrgTdgH94TmHTafsFogN6ssfu8I5ZjJN8oEFeZFUVo5rgo5sscFvbcsjm3EEUBqsYe&#10;o2l666cHYGes2HZw01HO1yDIRkStBOVOUR1kDP0Xkzq8FaHBz9fR68eLtv4OAAD//wMAUEsDBBQA&#10;BgAIAAAAIQC8m0j74QAAAAsBAAAPAAAAZHJzL2Rvd25yZXYueG1sTI9NT4NAEIbvJv6HzZh4MXYX&#10;JKDI0tSvS2+tmHicwhRQdpaw2xb99a4nPc7Mk3eet1jOZhBHmlxvWUO0UCCIa9v03GqoXl+ub0E4&#10;j9zgYJk0fJGDZXl+VmDe2BNv6Lj1rQgh7HLU0Hk/5lK6uiODbmFH4nDb28mgD+PUymbCUwg3g4yV&#10;SqXBnsOHDkd67Kj+3B6Mhu+H6mn1fOWjfezf47eNWVf1B2p9eTGv7kF4mv0fDL/6QR3K4LSzB26c&#10;GDQkKs4CquEmSSIQgcjSJAWxC5s7lYEsC/m/Q/kDAAD//wMAUEsBAi0AFAAGAAgAAAAhALaDOJL+&#10;AAAA4QEAABMAAAAAAAAAAAAAAAAAAAAAAFtDb250ZW50X1R5cGVzXS54bWxQSwECLQAUAAYACAAA&#10;ACEAOP0h/9YAAACUAQAACwAAAAAAAAAAAAAAAAAvAQAAX3JlbHMvLnJlbHNQSwECLQAUAAYACAAA&#10;ACEAx5uOnoYCAAAZBQAADgAAAAAAAAAAAAAAAAAuAgAAZHJzL2Uyb0RvYy54bWxQSwECLQAUAAYA&#10;CAAAACEAvJtI++EAAAALAQAADwAAAAAAAAAAAAAAAADgBAAAZHJzL2Rvd25yZXYueG1sUEsFBgAA&#10;AAAEAAQA8wAAAO4FAAAAAA==&#10;" stroked="f">
                <v:textbox style="mso-fit-shape-to-text:t">
                  <w:txbxContent>
                    <w:p>
                      <w:pPr>
                        <w:rPr>
                          <w:b/>
                          <w:sz w:val="28"/>
                          <w:lang w:val="it-IT"/>
                        </w:rPr>
                      </w:pPr>
                      <w:r>
                        <w:rPr>
                          <w:b/>
                          <w:sz w:val="28"/>
                          <w:lang w:val="it-IT"/>
                        </w:rPr>
                        <w:t xml:space="preserve">Siti </w:t>
                      </w:r>
                      <w:r>
                        <w:rPr>
                          <w:b/>
                          <w:sz w:val="28"/>
                          <w:lang w:val="it-IT"/>
                        </w:rPr>
                        <w:t xml:space="preserve">di iniezione </w:t>
                      </w:r>
                    </w:p>
                  </w:txbxContent>
                </v:textbox>
              </v:shape>
            </w:pict>
          </mc:Fallback>
        </mc:AlternateContent>
      </w:r>
      <w:r>
        <w:rPr>
          <w:rFonts w:eastAsia="Calibri"/>
          <w:noProof/>
          <w:szCs w:val="22"/>
          <w:lang w:eastAsia="en-US"/>
        </w:rPr>
        <w:drawing>
          <wp:inline distT="0" distB="0" distL="0" distR="0">
            <wp:extent cx="3021330" cy="2520315"/>
            <wp:effectExtent l="0" t="0" r="0" b="0"/>
            <wp:docPr id="14" name="Immagine 10" descr="AI-Upgrade-IFU_vG_image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AI-Upgrade-IFU_vG_images-(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1330" cy="2520315"/>
                    </a:xfrm>
                    <a:prstGeom prst="rect">
                      <a:avLst/>
                    </a:prstGeom>
                    <a:noFill/>
                    <a:ln>
                      <a:noFill/>
                    </a:ln>
                  </pic:spPr>
                </pic:pic>
              </a:graphicData>
            </a:graphic>
          </wp:inline>
        </w:drawing>
      </w:r>
    </w:p>
    <w:p>
      <w:pPr>
        <w:autoSpaceDE w:val="0"/>
        <w:autoSpaceDN w:val="0"/>
        <w:adjustRightInd w:val="0"/>
        <w:jc w:val="center"/>
        <w:rPr>
          <w:b/>
          <w:noProof/>
          <w:szCs w:val="22"/>
          <w:lang w:val="it-IT" w:eastAsia="en-US"/>
        </w:rPr>
      </w:pPr>
      <w:r>
        <w:rPr>
          <w:rFonts w:eastAsia="Calibri"/>
          <w:b/>
          <w:noProof/>
          <w:szCs w:val="22"/>
          <w:lang w:val="it-IT" w:eastAsia="en-US"/>
        </w:rPr>
        <w:t>Figura D</w:t>
      </w:r>
    </w:p>
    <w:p>
      <w:pPr>
        <w:autoSpaceDE w:val="0"/>
        <w:autoSpaceDN w:val="0"/>
        <w:adjustRightInd w:val="0"/>
        <w:spacing w:after="60"/>
        <w:rPr>
          <w:b/>
          <w:noProof/>
          <w:szCs w:val="22"/>
          <w:lang w:val="it-IT"/>
        </w:rPr>
      </w:pPr>
    </w:p>
    <w:p>
      <w:pPr>
        <w:keepNext/>
        <w:autoSpaceDE w:val="0"/>
        <w:autoSpaceDN w:val="0"/>
        <w:adjustRightInd w:val="0"/>
        <w:spacing w:after="60"/>
        <w:rPr>
          <w:b/>
          <w:noProof/>
          <w:szCs w:val="22"/>
          <w:lang w:val="it-IT" w:eastAsia="en-US"/>
        </w:rPr>
        <w:pPrChange w:id="13745" w:author="Author">
          <w:pPr>
            <w:autoSpaceDE w:val="0"/>
            <w:autoSpaceDN w:val="0"/>
            <w:adjustRightInd w:val="0"/>
            <w:spacing w:after="60"/>
          </w:pPr>
        </w:pPrChange>
      </w:pPr>
      <w:r>
        <w:rPr>
          <w:rFonts w:eastAsia="Calibri"/>
          <w:b/>
          <w:noProof/>
          <w:szCs w:val="22"/>
          <w:lang w:val="it-IT" w:eastAsia="en-US"/>
        </w:rPr>
        <w:lastRenderedPageBreak/>
        <w:t>Preparazione del sito di iniezione</w:t>
      </w:r>
    </w:p>
    <w:p>
      <w:pPr>
        <w:autoSpaceDE w:val="0"/>
        <w:autoSpaceDN w:val="0"/>
        <w:adjustRightInd w:val="0"/>
        <w:ind w:left="567" w:hanging="567"/>
        <w:rPr>
          <w:rFonts w:eastAsia="Calibri"/>
          <w:noProof/>
          <w:szCs w:val="22"/>
          <w:lang w:val="it-IT" w:eastAsia="en-US"/>
        </w:rPr>
        <w:pPrChange w:id="13746" w:author="Author">
          <w:pPr>
            <w:autoSpaceDE w:val="0"/>
            <w:autoSpaceDN w:val="0"/>
            <w:adjustRightInd w:val="0"/>
            <w:spacing w:after="60" w:line="259" w:lineRule="auto"/>
            <w:ind w:left="714" w:hanging="357"/>
          </w:pPr>
        </w:pPrChange>
      </w:pPr>
      <w:r>
        <w:rPr>
          <w:noProof/>
          <w:lang w:val="it-IT"/>
        </w:rPr>
        <w:sym w:font="Symbol" w:char="00B7"/>
      </w:r>
      <w:r>
        <w:rPr>
          <w:noProof/>
          <w:lang w:val="it-IT"/>
        </w:rPr>
        <w:tab/>
      </w:r>
      <w:r>
        <w:rPr>
          <w:rFonts w:eastAsia="Calibri"/>
          <w:noProof/>
          <w:szCs w:val="22"/>
          <w:lang w:val="it-IT" w:eastAsia="en-US"/>
        </w:rPr>
        <w:t xml:space="preserve">Disinfetti l’area scelta come sito di iniezione utilizzando il tampone imbevuto di alcool in movimenti circolari e lo lasci asciugare per ridurre il rischio di infezione. Si assicuri di </w:t>
      </w:r>
      <w:r>
        <w:rPr>
          <w:rFonts w:eastAsia="Calibri"/>
          <w:b/>
          <w:bCs/>
          <w:noProof/>
          <w:szCs w:val="22"/>
          <w:lang w:val="it-IT" w:eastAsia="en-US"/>
        </w:rPr>
        <w:t>non</w:t>
      </w:r>
      <w:r>
        <w:rPr>
          <w:rFonts w:eastAsia="Calibri"/>
          <w:noProof/>
          <w:szCs w:val="22"/>
          <w:lang w:val="it-IT" w:eastAsia="en-US"/>
        </w:rPr>
        <w:t xml:space="preserve"> toccare quest’area prima di eseguire l’iniezione.</w:t>
      </w:r>
    </w:p>
    <w:p>
      <w:pPr>
        <w:autoSpaceDE w:val="0"/>
        <w:autoSpaceDN w:val="0"/>
        <w:adjustRightInd w:val="0"/>
        <w:ind w:left="567" w:hanging="567"/>
        <w:rPr>
          <w:noProof/>
          <w:szCs w:val="22"/>
          <w:lang w:val="it-IT" w:eastAsia="en-US"/>
        </w:rPr>
        <w:pPrChange w:id="13747" w:author="Author">
          <w:pPr>
            <w:autoSpaceDE w:val="0"/>
            <w:autoSpaceDN w:val="0"/>
            <w:adjustRightInd w:val="0"/>
            <w:spacing w:after="60" w:line="259" w:lineRule="auto"/>
            <w:ind w:left="714" w:hanging="357"/>
          </w:pPr>
        </w:pPrChange>
      </w:pPr>
      <w:r>
        <w:rPr>
          <w:noProof/>
          <w:lang w:val="it-IT"/>
        </w:rPr>
        <w:sym w:font="Symbol" w:char="00B7"/>
      </w:r>
      <w:r>
        <w:rPr>
          <w:noProof/>
          <w:lang w:val="it-IT"/>
        </w:rPr>
        <w:tab/>
      </w:r>
      <w:r>
        <w:rPr>
          <w:rFonts w:eastAsia="Calibri"/>
          <w:b/>
          <w:noProof/>
          <w:szCs w:val="22"/>
          <w:lang w:val="it-IT" w:eastAsia="en-US"/>
        </w:rPr>
        <w:t xml:space="preserve">Non </w:t>
      </w:r>
      <w:r>
        <w:rPr>
          <w:rFonts w:eastAsia="Calibri"/>
          <w:noProof/>
          <w:szCs w:val="22"/>
          <w:lang w:val="it-IT" w:eastAsia="en-US"/>
        </w:rPr>
        <w:t>soffi, né sventoli l’area disinfettata.</w:t>
      </w:r>
    </w:p>
    <w:p>
      <w:pPr>
        <w:spacing w:after="60"/>
        <w:rPr>
          <w:ins w:id="13748" w:author="Author"/>
          <w:rFonts w:eastAsia="Calibri"/>
          <w:b/>
          <w:noProof/>
          <w:szCs w:val="22"/>
          <w:lang w:val="it-IT" w:eastAsia="en-US"/>
        </w:rPr>
      </w:pPr>
    </w:p>
    <w:p>
      <w:pPr>
        <w:spacing w:after="60"/>
        <w:rPr>
          <w:noProof/>
          <w:szCs w:val="22"/>
          <w:lang w:val="it-IT" w:eastAsia="en-US"/>
        </w:rPr>
      </w:pPr>
      <w:r>
        <w:rPr>
          <w:rFonts w:eastAsia="Calibri"/>
          <w:b/>
          <w:noProof/>
          <w:szCs w:val="22"/>
          <w:lang w:val="it-IT" w:eastAsia="en-US"/>
        </w:rPr>
        <w:t>Fase 3. Iniezione di RoActemra</w:t>
      </w:r>
    </w:p>
    <w:p>
      <w:pPr>
        <w:autoSpaceDE w:val="0"/>
        <w:autoSpaceDN w:val="0"/>
        <w:adjustRightInd w:val="0"/>
        <w:ind w:left="567" w:hanging="567"/>
        <w:rPr>
          <w:rFonts w:eastAsia="Calibri"/>
          <w:noProof/>
          <w:szCs w:val="22"/>
          <w:lang w:val="it-IT" w:eastAsia="en-US"/>
        </w:rPr>
        <w:pPrChange w:id="13749" w:author="Author">
          <w:pPr>
            <w:autoSpaceDE w:val="0"/>
            <w:autoSpaceDN w:val="0"/>
            <w:adjustRightInd w:val="0"/>
            <w:spacing w:after="120" w:line="276" w:lineRule="auto"/>
            <w:ind w:left="1077" w:hanging="357"/>
          </w:pPr>
        </w:pPrChange>
      </w:pPr>
      <w:r>
        <w:rPr>
          <w:noProof/>
          <w:lang w:val="it-IT"/>
        </w:rPr>
        <w:sym w:font="Symbol" w:char="00B7"/>
      </w:r>
      <w:r>
        <w:rPr>
          <w:noProof/>
          <w:lang w:val="it-IT"/>
        </w:rPr>
        <w:tab/>
      </w:r>
      <w:r>
        <w:rPr>
          <w:rFonts w:eastAsia="Calibri"/>
          <w:noProof/>
          <w:szCs w:val="22"/>
          <w:lang w:val="it-IT" w:eastAsia="en-US"/>
        </w:rPr>
        <w:t xml:space="preserve">Tenga saldamente con una mano la penna preriempita di RoActemra. Ruoti e rimuova il cappuccio verde con l’altra mano </w:t>
      </w:r>
      <w:r>
        <w:rPr>
          <w:rFonts w:eastAsia="Calibri"/>
          <w:b/>
          <w:bCs/>
          <w:noProof/>
          <w:szCs w:val="22"/>
          <w:lang w:val="it-IT" w:eastAsia="en-US"/>
        </w:rPr>
        <w:t>(Vedere Figura E)</w:t>
      </w:r>
      <w:r>
        <w:rPr>
          <w:rFonts w:eastAsia="Calibri"/>
          <w:noProof/>
          <w:szCs w:val="22"/>
          <w:lang w:val="it-IT" w:eastAsia="en-US"/>
        </w:rPr>
        <w:t>. Il cappuccio verde contiene un tubicino metallico largo.</w:t>
      </w:r>
    </w:p>
    <w:p>
      <w:pPr>
        <w:autoSpaceDE w:val="0"/>
        <w:autoSpaceDN w:val="0"/>
        <w:adjustRightInd w:val="0"/>
        <w:ind w:left="567" w:hanging="567"/>
        <w:rPr>
          <w:rFonts w:eastAsia="Calibri"/>
          <w:noProof/>
          <w:szCs w:val="22"/>
          <w:lang w:val="it-IT" w:eastAsia="en-US"/>
        </w:rPr>
        <w:pPrChange w:id="13750" w:author="Author">
          <w:pPr>
            <w:autoSpaceDE w:val="0"/>
            <w:autoSpaceDN w:val="0"/>
            <w:adjustRightInd w:val="0"/>
            <w:spacing w:after="120" w:line="276" w:lineRule="auto"/>
            <w:ind w:left="1077" w:hanging="357"/>
          </w:pPr>
        </w:pPrChange>
      </w:pPr>
      <w:r>
        <w:rPr>
          <w:noProof/>
          <w:lang w:val="it-IT"/>
        </w:rPr>
        <w:sym w:font="Symbol" w:char="00B7"/>
      </w:r>
      <w:r>
        <w:rPr>
          <w:noProof/>
          <w:lang w:val="it-IT"/>
        </w:rPr>
        <w:tab/>
      </w:r>
      <w:r>
        <w:rPr>
          <w:rFonts w:eastAsia="Calibri"/>
          <w:noProof/>
          <w:szCs w:val="22"/>
          <w:lang w:val="it-IT" w:eastAsia="en-US"/>
        </w:rPr>
        <w:t>Se non riesce a rimuovere il cappuccio verde, chieda aiuto alla persona che le presta assistenza o si rivolga all’operatore sanitario.</w:t>
      </w:r>
    </w:p>
    <w:p>
      <w:pPr>
        <w:autoSpaceDE w:val="0"/>
        <w:autoSpaceDN w:val="0"/>
        <w:adjustRightInd w:val="0"/>
        <w:ind w:left="1080"/>
        <w:rPr>
          <w:noProof/>
          <w:szCs w:val="22"/>
          <w:lang w:val="it-IT"/>
        </w:rPr>
      </w:pPr>
    </w:p>
    <w:p>
      <w:pPr>
        <w:autoSpaceDE w:val="0"/>
        <w:autoSpaceDN w:val="0"/>
        <w:adjustRightInd w:val="0"/>
        <w:spacing w:after="120"/>
        <w:jc w:val="center"/>
        <w:rPr>
          <w:noProof/>
          <w:szCs w:val="22"/>
          <w:lang w:val="it-IT" w:eastAsia="en-US"/>
        </w:rPr>
      </w:pPr>
      <w:r>
        <w:rPr>
          <w:noProof/>
          <w:lang w:eastAsia="en-US"/>
        </w:rPr>
        <w:drawing>
          <wp:inline distT="0" distB="0" distL="0" distR="0">
            <wp:extent cx="2886075" cy="2329815"/>
            <wp:effectExtent l="0" t="0" r="0" b="0"/>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6075" cy="2329815"/>
                    </a:xfrm>
                    <a:prstGeom prst="rect">
                      <a:avLst/>
                    </a:prstGeom>
                    <a:noFill/>
                    <a:ln>
                      <a:noFill/>
                    </a:ln>
                  </pic:spPr>
                </pic:pic>
              </a:graphicData>
            </a:graphic>
          </wp:inline>
        </w:drawing>
      </w:r>
    </w:p>
    <w:p>
      <w:pPr>
        <w:autoSpaceDE w:val="0"/>
        <w:autoSpaceDN w:val="0"/>
        <w:adjustRightInd w:val="0"/>
        <w:spacing w:after="120"/>
        <w:jc w:val="center"/>
        <w:rPr>
          <w:b/>
          <w:noProof/>
          <w:szCs w:val="22"/>
          <w:lang w:val="it-IT" w:eastAsia="en-US"/>
        </w:rPr>
      </w:pPr>
      <w:r>
        <w:rPr>
          <w:rFonts w:eastAsia="Calibri"/>
          <w:b/>
          <w:noProof/>
          <w:szCs w:val="22"/>
          <w:lang w:val="it-IT" w:eastAsia="en-US"/>
        </w:rPr>
        <w:t>Figura E</w:t>
      </w:r>
    </w:p>
    <w:p>
      <w:pPr>
        <w:autoSpaceDE w:val="0"/>
        <w:autoSpaceDN w:val="0"/>
        <w:adjustRightInd w:val="0"/>
        <w:spacing w:after="60"/>
        <w:ind w:left="567"/>
        <w:rPr>
          <w:noProof/>
          <w:szCs w:val="22"/>
          <w:lang w:val="it-IT" w:eastAsia="en-US"/>
        </w:rPr>
        <w:pPrChange w:id="13751" w:author="Author">
          <w:pPr>
            <w:autoSpaceDE w:val="0"/>
            <w:autoSpaceDN w:val="0"/>
            <w:adjustRightInd w:val="0"/>
            <w:spacing w:after="60"/>
            <w:ind w:left="720"/>
          </w:pPr>
        </w:pPrChange>
      </w:pPr>
      <w:r>
        <w:rPr>
          <w:rFonts w:eastAsia="Calibri"/>
          <w:b/>
          <w:noProof/>
          <w:szCs w:val="22"/>
          <w:lang w:val="it-IT" w:eastAsia="en-US"/>
        </w:rPr>
        <w:t xml:space="preserve">Importante: non tocchi il </w:t>
      </w:r>
      <w:del w:id="13752" w:author="Author">
        <w:r>
          <w:rPr>
            <w:rFonts w:eastAsia="Calibri"/>
            <w:b/>
            <w:noProof/>
            <w:szCs w:val="22"/>
            <w:lang w:val="it-IT" w:eastAsia="en-US"/>
          </w:rPr>
          <w:delText>manicotto di sicurezza per l’ago</w:delText>
        </w:r>
      </w:del>
      <w:ins w:id="13753" w:author="Author">
        <w:r>
          <w:rPr>
            <w:rFonts w:eastAsia="Calibri"/>
            <w:b/>
            <w:noProof/>
            <w:szCs w:val="22"/>
            <w:lang w:val="it-IT" w:eastAsia="en-US"/>
          </w:rPr>
          <w:t>copriago</w:t>
        </w:r>
      </w:ins>
      <w:r>
        <w:rPr>
          <w:rFonts w:eastAsia="Calibri"/>
          <w:b/>
          <w:noProof/>
          <w:szCs w:val="22"/>
          <w:lang w:val="it-IT" w:eastAsia="en-US"/>
        </w:rPr>
        <w:t xml:space="preserve"> collocato sulla punta della penna preriempita sotto la </w:t>
      </w:r>
      <w:ins w:id="13754" w:author="Author">
        <w:r>
          <w:rPr>
            <w:rFonts w:eastAsia="Calibri"/>
            <w:b/>
            <w:noProof/>
            <w:szCs w:val="22"/>
            <w:lang w:val="it-IT" w:eastAsia="en-US"/>
          </w:rPr>
          <w:t>f</w:t>
        </w:r>
      </w:ins>
      <w:del w:id="13755" w:author="Author">
        <w:r>
          <w:rPr>
            <w:rFonts w:eastAsia="Calibri"/>
            <w:b/>
            <w:noProof/>
            <w:szCs w:val="22"/>
            <w:lang w:val="it-IT" w:eastAsia="en-US"/>
          </w:rPr>
          <w:delText>F</w:delText>
        </w:r>
      </w:del>
      <w:r>
        <w:rPr>
          <w:rFonts w:eastAsia="Calibri"/>
          <w:b/>
          <w:noProof/>
          <w:szCs w:val="22"/>
          <w:lang w:val="it-IT" w:eastAsia="en-US"/>
        </w:rPr>
        <w:t>inestr</w:t>
      </w:r>
      <w:ins w:id="13756" w:author="Author">
        <w:r>
          <w:rPr>
            <w:rFonts w:eastAsia="Calibri"/>
            <w:b/>
            <w:noProof/>
            <w:szCs w:val="22"/>
            <w:lang w:val="it-IT" w:eastAsia="en-US"/>
          </w:rPr>
          <w:t>a di visualizzazione</w:t>
        </w:r>
      </w:ins>
      <w:del w:id="13757" w:author="Author">
        <w:r>
          <w:rPr>
            <w:rFonts w:eastAsia="Calibri"/>
            <w:b/>
            <w:noProof/>
            <w:szCs w:val="22"/>
            <w:lang w:val="it-IT" w:eastAsia="en-US"/>
          </w:rPr>
          <w:delText>ella</w:delText>
        </w:r>
      </w:del>
      <w:r>
        <w:rPr>
          <w:rFonts w:eastAsia="Calibri"/>
          <w:b/>
          <w:noProof/>
          <w:szCs w:val="22"/>
          <w:lang w:val="it-IT" w:eastAsia="en-US"/>
        </w:rPr>
        <w:t xml:space="preserve"> (vedere Figura A) per evitare punture d’ago accidentali.</w:t>
      </w:r>
    </w:p>
    <w:p>
      <w:pPr>
        <w:autoSpaceDE w:val="0"/>
        <w:autoSpaceDN w:val="0"/>
        <w:adjustRightInd w:val="0"/>
        <w:ind w:left="567" w:hanging="567"/>
        <w:rPr>
          <w:noProof/>
          <w:szCs w:val="22"/>
          <w:lang w:val="it-IT" w:eastAsia="en-US"/>
        </w:rPr>
        <w:pPrChange w:id="13758" w:author="Author">
          <w:pPr>
            <w:autoSpaceDE w:val="0"/>
            <w:autoSpaceDN w:val="0"/>
            <w:adjustRightInd w:val="0"/>
            <w:spacing w:after="60" w:line="259" w:lineRule="auto"/>
            <w:ind w:left="714" w:hanging="357"/>
          </w:pPr>
        </w:pPrChange>
      </w:pPr>
      <w:r>
        <w:rPr>
          <w:noProof/>
          <w:lang w:val="it-IT"/>
        </w:rPr>
        <w:sym w:font="Symbol" w:char="00B7"/>
      </w:r>
      <w:r>
        <w:rPr>
          <w:noProof/>
          <w:lang w:val="it-IT"/>
        </w:rPr>
        <w:tab/>
      </w:r>
      <w:r>
        <w:rPr>
          <w:rFonts w:eastAsia="Calibri"/>
          <w:noProof/>
          <w:szCs w:val="22"/>
          <w:lang w:val="it-IT" w:eastAsia="en-US"/>
        </w:rPr>
        <w:t>Getti il cappuccio verde in un contenitore per materiali taglienti.</w:t>
      </w:r>
    </w:p>
    <w:p>
      <w:pPr>
        <w:keepNext/>
        <w:keepLines/>
        <w:autoSpaceDE w:val="0"/>
        <w:autoSpaceDN w:val="0"/>
        <w:adjustRightInd w:val="0"/>
        <w:ind w:left="567" w:hanging="567"/>
        <w:rPr>
          <w:noProof/>
          <w:szCs w:val="22"/>
          <w:lang w:val="it-IT" w:eastAsia="en-US"/>
        </w:rPr>
        <w:pPrChange w:id="13759" w:author="Author">
          <w:pPr>
            <w:keepNext/>
            <w:keepLines/>
            <w:autoSpaceDE w:val="0"/>
            <w:autoSpaceDN w:val="0"/>
            <w:adjustRightInd w:val="0"/>
            <w:spacing w:after="60" w:line="259" w:lineRule="auto"/>
            <w:ind w:left="714" w:hanging="357"/>
          </w:pPr>
        </w:pPrChange>
      </w:pPr>
      <w:r>
        <w:rPr>
          <w:noProof/>
          <w:lang w:val="it-IT"/>
        </w:rPr>
        <w:sym w:font="Symbol" w:char="00B7"/>
      </w:r>
      <w:r>
        <w:rPr>
          <w:noProof/>
          <w:lang w:val="it-IT"/>
        </w:rPr>
        <w:tab/>
      </w:r>
      <w:r>
        <w:rPr>
          <w:rFonts w:eastAsia="Calibri"/>
          <w:noProof/>
          <w:szCs w:val="22"/>
          <w:lang w:val="it-IT" w:eastAsia="en-US"/>
        </w:rPr>
        <w:t>Una volta rimosso il cappuccio verde, la penna preriempita è pronta per l’uso. Nel caso in cui non venga utilizzata entro 3 minuti dalla rimozione del cappuccio, la penna preriempita deve essere smaltita in un contenitore per materiali taglienti e deve essere impiegata una nuova penna preriempita.</w:t>
      </w:r>
    </w:p>
    <w:p>
      <w:pPr>
        <w:autoSpaceDE w:val="0"/>
        <w:autoSpaceDN w:val="0"/>
        <w:adjustRightInd w:val="0"/>
        <w:ind w:left="567" w:hanging="567"/>
        <w:rPr>
          <w:noProof/>
          <w:szCs w:val="22"/>
          <w:lang w:val="it-IT" w:eastAsia="en-US"/>
        </w:rPr>
        <w:pPrChange w:id="13760" w:author="Author">
          <w:pPr>
            <w:autoSpaceDE w:val="0"/>
            <w:autoSpaceDN w:val="0"/>
            <w:adjustRightInd w:val="0"/>
            <w:spacing w:after="60" w:line="259" w:lineRule="auto"/>
            <w:ind w:left="714" w:hanging="357"/>
          </w:pPr>
        </w:pPrChange>
      </w:pPr>
      <w:r>
        <w:rPr>
          <w:noProof/>
          <w:lang w:val="it-IT"/>
        </w:rPr>
        <w:sym w:font="Symbol" w:char="00B7"/>
      </w:r>
      <w:r>
        <w:rPr>
          <w:noProof/>
          <w:lang w:val="it-IT"/>
        </w:rPr>
        <w:tab/>
      </w:r>
      <w:r>
        <w:rPr>
          <w:rFonts w:eastAsia="Calibri"/>
          <w:noProof/>
          <w:szCs w:val="22"/>
          <w:lang w:val="it-IT" w:eastAsia="en-US"/>
        </w:rPr>
        <w:t>Non reinserisca il cappuccio verde dopo averlo rimosso.</w:t>
      </w:r>
    </w:p>
    <w:p>
      <w:pPr>
        <w:autoSpaceDE w:val="0"/>
        <w:autoSpaceDN w:val="0"/>
        <w:adjustRightInd w:val="0"/>
        <w:ind w:left="567" w:hanging="567"/>
        <w:rPr>
          <w:ins w:id="13761" w:author="Author"/>
          <w:rFonts w:eastAsia="Calibri"/>
          <w:b/>
          <w:bCs/>
          <w:noProof/>
          <w:szCs w:val="22"/>
          <w:lang w:val="it-IT" w:eastAsia="en-US"/>
        </w:rPr>
      </w:pPr>
      <w:r>
        <w:rPr>
          <w:noProof/>
          <w:lang w:val="it-IT"/>
        </w:rPr>
        <w:sym w:font="Symbol" w:char="00B7"/>
      </w:r>
      <w:r>
        <w:rPr>
          <w:noProof/>
          <w:lang w:val="it-IT"/>
        </w:rPr>
        <w:tab/>
      </w:r>
      <w:r>
        <w:rPr>
          <w:rFonts w:eastAsia="Calibri"/>
          <w:noProof/>
          <w:szCs w:val="22"/>
          <w:lang w:val="it-IT" w:eastAsia="en-US"/>
        </w:rPr>
        <w:t>Tenga comodamente la penna preriempita in una mano dalla parte alta, in modo da poter vedere la finestr</w:t>
      </w:r>
      <w:ins w:id="13762" w:author="Author">
        <w:r>
          <w:rPr>
            <w:rFonts w:eastAsia="Calibri"/>
            <w:noProof/>
            <w:szCs w:val="22"/>
            <w:lang w:val="it-IT" w:eastAsia="en-US"/>
          </w:rPr>
          <w:t>a di visualizzazione</w:t>
        </w:r>
      </w:ins>
      <w:del w:id="13763" w:author="Author">
        <w:r>
          <w:rPr>
            <w:rFonts w:eastAsia="Calibri"/>
            <w:noProof/>
            <w:szCs w:val="22"/>
            <w:lang w:val="it-IT" w:eastAsia="en-US"/>
          </w:rPr>
          <w:delText>ella</w:delText>
        </w:r>
      </w:del>
      <w:r>
        <w:rPr>
          <w:rFonts w:eastAsia="Calibri"/>
          <w:noProof/>
          <w:szCs w:val="22"/>
          <w:lang w:val="it-IT" w:eastAsia="en-US"/>
        </w:rPr>
        <w:t xml:space="preserve"> della penna preriempita </w:t>
      </w:r>
      <w:r>
        <w:rPr>
          <w:rFonts w:eastAsia="Calibri"/>
          <w:b/>
          <w:bCs/>
          <w:noProof/>
          <w:szCs w:val="22"/>
          <w:lang w:val="it-IT" w:eastAsia="en-US"/>
        </w:rPr>
        <w:t>(Vedere Figura F).</w:t>
      </w:r>
    </w:p>
    <w:p>
      <w:pPr>
        <w:autoSpaceDE w:val="0"/>
        <w:autoSpaceDN w:val="0"/>
        <w:adjustRightInd w:val="0"/>
        <w:ind w:left="567" w:hanging="567"/>
        <w:rPr>
          <w:rFonts w:eastAsia="Calibri"/>
          <w:noProof/>
          <w:szCs w:val="22"/>
          <w:lang w:val="it-IT" w:eastAsia="en-US"/>
        </w:rPr>
        <w:pPrChange w:id="13764" w:author="Author">
          <w:pPr>
            <w:autoSpaceDE w:val="0"/>
            <w:autoSpaceDN w:val="0"/>
            <w:adjustRightInd w:val="0"/>
            <w:spacing w:after="60" w:line="259" w:lineRule="auto"/>
            <w:ind w:left="714" w:hanging="357"/>
          </w:pPr>
        </w:pPrChange>
      </w:pPr>
    </w:p>
    <w:p>
      <w:pPr>
        <w:autoSpaceDE w:val="0"/>
        <w:autoSpaceDN w:val="0"/>
        <w:adjustRightInd w:val="0"/>
        <w:jc w:val="center"/>
        <w:rPr>
          <w:noProof/>
          <w:szCs w:val="22"/>
          <w:lang w:val="it-IT" w:eastAsia="en-US"/>
        </w:rPr>
      </w:pPr>
      <w:r>
        <w:rPr>
          <w:rFonts w:eastAsia="Calibri"/>
          <w:noProof/>
          <w:szCs w:val="22"/>
          <w:lang w:eastAsia="en-US"/>
        </w:rPr>
        <w:drawing>
          <wp:inline distT="0" distB="0" distL="0" distR="0">
            <wp:extent cx="2743200" cy="2146935"/>
            <wp:effectExtent l="0" t="0" r="0" b="0"/>
            <wp:docPr id="16" name="Immagine 8" descr="AI-Upgrade-IFU_vG_images-updated-version-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8" descr="AI-Upgrade-IFU_vG_images-updated-version-2-2"/>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146935"/>
                    </a:xfrm>
                    <a:prstGeom prst="rect">
                      <a:avLst/>
                    </a:prstGeom>
                    <a:noFill/>
                    <a:ln>
                      <a:noFill/>
                    </a:ln>
                  </pic:spPr>
                </pic:pic>
              </a:graphicData>
            </a:graphic>
          </wp:inline>
        </w:drawing>
      </w:r>
    </w:p>
    <w:p>
      <w:pPr>
        <w:autoSpaceDE w:val="0"/>
        <w:autoSpaceDN w:val="0"/>
        <w:adjustRightInd w:val="0"/>
        <w:jc w:val="center"/>
        <w:rPr>
          <w:b/>
          <w:noProof/>
          <w:szCs w:val="22"/>
          <w:lang w:val="it-IT" w:eastAsia="en-US"/>
        </w:rPr>
      </w:pPr>
      <w:r>
        <w:rPr>
          <w:rFonts w:eastAsia="Calibri"/>
          <w:b/>
          <w:noProof/>
          <w:szCs w:val="22"/>
          <w:lang w:val="it-IT" w:eastAsia="en-US"/>
        </w:rPr>
        <w:t>Figura F</w:t>
      </w:r>
    </w:p>
    <w:p>
      <w:pPr>
        <w:autoSpaceDE w:val="0"/>
        <w:autoSpaceDN w:val="0"/>
        <w:adjustRightInd w:val="0"/>
        <w:rPr>
          <w:noProof/>
          <w:szCs w:val="22"/>
          <w:lang w:val="it-IT"/>
        </w:rPr>
      </w:pPr>
    </w:p>
    <w:p>
      <w:pPr>
        <w:autoSpaceDE w:val="0"/>
        <w:autoSpaceDN w:val="0"/>
        <w:adjustRightInd w:val="0"/>
        <w:ind w:left="567" w:hanging="567"/>
        <w:rPr>
          <w:noProof/>
          <w:szCs w:val="22"/>
          <w:lang w:val="it-IT" w:eastAsia="en-US"/>
        </w:rPr>
        <w:pPrChange w:id="13765" w:author="Author">
          <w:pPr>
            <w:autoSpaceDE w:val="0"/>
            <w:autoSpaceDN w:val="0"/>
            <w:adjustRightInd w:val="0"/>
            <w:spacing w:after="200" w:line="276" w:lineRule="auto"/>
            <w:ind w:left="714" w:hanging="357"/>
          </w:pPr>
        </w:pPrChange>
      </w:pPr>
      <w:r>
        <w:rPr>
          <w:noProof/>
          <w:lang w:val="it-IT"/>
        </w:rPr>
        <w:lastRenderedPageBreak/>
        <w:sym w:font="Symbol" w:char="00B7"/>
      </w:r>
      <w:r>
        <w:rPr>
          <w:noProof/>
          <w:lang w:val="it-IT"/>
        </w:rPr>
        <w:tab/>
      </w:r>
      <w:r>
        <w:rPr>
          <w:rFonts w:eastAsia="Calibri"/>
          <w:noProof/>
          <w:szCs w:val="22"/>
          <w:lang w:val="it-IT" w:eastAsia="en-US"/>
        </w:rPr>
        <w:t xml:space="preserve">Usi l’altra mano per pizzicare la zona di cute disinfettata, per predisporre un sito di iniezione stabile </w:t>
      </w:r>
      <w:r>
        <w:rPr>
          <w:rFonts w:eastAsia="Calibri"/>
          <w:b/>
          <w:bCs/>
          <w:noProof/>
          <w:szCs w:val="22"/>
          <w:lang w:val="it-IT" w:eastAsia="en-US"/>
        </w:rPr>
        <w:t>(Vedere Figura G).</w:t>
      </w:r>
      <w:r>
        <w:rPr>
          <w:rFonts w:eastAsia="Calibri"/>
          <w:b/>
          <w:noProof/>
          <w:szCs w:val="22"/>
          <w:lang w:val="it-IT" w:eastAsia="en-US"/>
        </w:rPr>
        <w:t xml:space="preserve"> </w:t>
      </w:r>
      <w:r>
        <w:rPr>
          <w:rFonts w:eastAsia="Calibri"/>
          <w:noProof/>
          <w:szCs w:val="22"/>
          <w:lang w:val="it-IT" w:eastAsia="en-US"/>
        </w:rPr>
        <w:t>Per essere attivata in modo corretto, la penna preriempita necessita di un sito d’iniezione stabile.</w:t>
      </w:r>
    </w:p>
    <w:p>
      <w:pPr>
        <w:autoSpaceDE w:val="0"/>
        <w:autoSpaceDN w:val="0"/>
        <w:adjustRightInd w:val="0"/>
        <w:ind w:left="567" w:hanging="567"/>
        <w:rPr>
          <w:noProof/>
          <w:szCs w:val="22"/>
          <w:lang w:val="it-IT" w:eastAsia="en-US"/>
        </w:rPr>
        <w:pPrChange w:id="13766" w:author="Author">
          <w:pPr>
            <w:autoSpaceDE w:val="0"/>
            <w:autoSpaceDN w:val="0"/>
            <w:adjustRightInd w:val="0"/>
            <w:spacing w:after="200" w:line="276" w:lineRule="auto"/>
            <w:ind w:left="714" w:hanging="357"/>
          </w:pPr>
        </w:pPrChange>
      </w:pPr>
      <w:r>
        <w:rPr>
          <w:noProof/>
          <w:lang w:val="it-IT"/>
        </w:rPr>
        <w:sym w:font="Symbol" w:char="00B7"/>
      </w:r>
      <w:r>
        <w:rPr>
          <w:noProof/>
          <w:lang w:val="it-IT"/>
        </w:rPr>
        <w:tab/>
      </w:r>
      <w:r>
        <w:rPr>
          <w:rFonts w:eastAsia="Calibri"/>
          <w:noProof/>
          <w:szCs w:val="22"/>
          <w:lang w:val="it-IT" w:eastAsia="en-US"/>
        </w:rPr>
        <w:t>Pizzicare la cute è importante per essere sicuri di riuscire a inserire correttamente l’ago sotto la pelle (nel tessuto adiposo), ma non più in profondità (nel muscolo). L’iniezione nel muscolo potrebbe risultare fastidiosa.</w:t>
      </w:r>
    </w:p>
    <w:p>
      <w:pPr>
        <w:autoSpaceDE w:val="0"/>
        <w:autoSpaceDN w:val="0"/>
        <w:adjustRightInd w:val="0"/>
        <w:rPr>
          <w:noProof/>
          <w:szCs w:val="22"/>
          <w:lang w:val="it-IT"/>
        </w:rPr>
      </w:pPr>
    </w:p>
    <w:p>
      <w:pPr>
        <w:autoSpaceDE w:val="0"/>
        <w:autoSpaceDN w:val="0"/>
        <w:adjustRightInd w:val="0"/>
        <w:jc w:val="center"/>
        <w:rPr>
          <w:noProof/>
          <w:szCs w:val="22"/>
          <w:lang w:val="it-IT" w:eastAsia="en-US"/>
        </w:rPr>
      </w:pPr>
      <w:r>
        <w:rPr>
          <w:rFonts w:eastAsia="Calibri"/>
          <w:noProof/>
          <w:szCs w:val="22"/>
          <w:lang w:eastAsia="en-US"/>
        </w:rPr>
        <w:drawing>
          <wp:inline distT="0" distB="0" distL="0" distR="0">
            <wp:extent cx="2743200" cy="2138680"/>
            <wp:effectExtent l="0" t="0" r="0" b="0"/>
            <wp:docPr id="17" name="Immagine 7" descr="AI-Upgrade-IFU_vG_images-(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7" descr="AI-Upgrade-IFU_vG_images-(2)-9"/>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138680"/>
                    </a:xfrm>
                    <a:prstGeom prst="rect">
                      <a:avLst/>
                    </a:prstGeom>
                    <a:noFill/>
                    <a:ln>
                      <a:noFill/>
                    </a:ln>
                  </pic:spPr>
                </pic:pic>
              </a:graphicData>
            </a:graphic>
          </wp:inline>
        </w:drawing>
      </w:r>
    </w:p>
    <w:p>
      <w:pPr>
        <w:autoSpaceDE w:val="0"/>
        <w:autoSpaceDN w:val="0"/>
        <w:adjustRightInd w:val="0"/>
        <w:jc w:val="center"/>
        <w:rPr>
          <w:b/>
          <w:noProof/>
          <w:szCs w:val="22"/>
          <w:lang w:val="it-IT" w:eastAsia="en-US"/>
        </w:rPr>
        <w:pPrChange w:id="13767" w:author="Author">
          <w:pPr>
            <w:autoSpaceDE w:val="0"/>
            <w:autoSpaceDN w:val="0"/>
            <w:adjustRightInd w:val="0"/>
            <w:spacing w:after="120"/>
            <w:jc w:val="center"/>
          </w:pPr>
        </w:pPrChange>
      </w:pPr>
      <w:r>
        <w:rPr>
          <w:rFonts w:eastAsia="Calibri"/>
          <w:b/>
          <w:noProof/>
          <w:szCs w:val="22"/>
          <w:lang w:val="it-IT" w:eastAsia="en-US"/>
        </w:rPr>
        <w:t>Figura G</w:t>
      </w:r>
    </w:p>
    <w:p>
      <w:pPr>
        <w:autoSpaceDE w:val="0"/>
        <w:autoSpaceDN w:val="0"/>
        <w:adjustRightInd w:val="0"/>
        <w:jc w:val="center"/>
        <w:rPr>
          <w:b/>
          <w:noProof/>
          <w:szCs w:val="22"/>
          <w:lang w:val="it-IT"/>
        </w:rPr>
        <w:pPrChange w:id="13768" w:author="Author">
          <w:pPr>
            <w:autoSpaceDE w:val="0"/>
            <w:autoSpaceDN w:val="0"/>
            <w:adjustRightInd w:val="0"/>
            <w:spacing w:after="120"/>
            <w:jc w:val="center"/>
          </w:pPr>
        </w:pPrChange>
      </w:pPr>
    </w:p>
    <w:p>
      <w:pPr>
        <w:autoSpaceDE w:val="0"/>
        <w:autoSpaceDN w:val="0"/>
        <w:adjustRightInd w:val="0"/>
        <w:ind w:left="567" w:hanging="567"/>
        <w:rPr>
          <w:rFonts w:eastAsia="Calibri"/>
          <w:noProof/>
          <w:szCs w:val="22"/>
          <w:lang w:val="it-IT" w:eastAsia="en-US"/>
        </w:rPr>
        <w:pPrChange w:id="13769"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b/>
          <w:noProof/>
          <w:szCs w:val="22"/>
          <w:lang w:val="it-IT" w:eastAsia="en-US"/>
        </w:rPr>
        <w:t xml:space="preserve">Non </w:t>
      </w:r>
      <w:r>
        <w:rPr>
          <w:rFonts w:eastAsia="Calibri"/>
          <w:noProof/>
          <w:szCs w:val="22"/>
          <w:lang w:val="it-IT" w:eastAsia="en-US"/>
        </w:rPr>
        <w:t>prema ancora il pulsante verde di attivazione.</w:t>
      </w:r>
    </w:p>
    <w:p>
      <w:pPr>
        <w:autoSpaceDE w:val="0"/>
        <w:autoSpaceDN w:val="0"/>
        <w:adjustRightInd w:val="0"/>
        <w:ind w:left="567" w:hanging="567"/>
        <w:rPr>
          <w:rFonts w:eastAsia="Calibri"/>
          <w:noProof/>
          <w:szCs w:val="22"/>
          <w:lang w:val="it-IT" w:eastAsia="en-US"/>
        </w:rPr>
        <w:pPrChange w:id="13770"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noProof/>
          <w:szCs w:val="22"/>
          <w:lang w:val="it-IT" w:eastAsia="en-US"/>
        </w:rPr>
        <w:t xml:space="preserve">Inserisca il manicotto di sicurezza per l’ago della penna preriempita nella plica cutanea con un angolo di inclinazione di 90° </w:t>
      </w:r>
      <w:r>
        <w:rPr>
          <w:rFonts w:eastAsia="Calibri"/>
          <w:b/>
          <w:bCs/>
          <w:noProof/>
          <w:szCs w:val="22"/>
          <w:lang w:val="it-IT" w:eastAsia="en-US"/>
        </w:rPr>
        <w:t>(Vedere Figura H).</w:t>
      </w:r>
    </w:p>
    <w:p>
      <w:pPr>
        <w:autoSpaceDE w:val="0"/>
        <w:autoSpaceDN w:val="0"/>
        <w:adjustRightInd w:val="0"/>
        <w:ind w:left="567" w:hanging="567"/>
        <w:rPr>
          <w:noProof/>
          <w:szCs w:val="22"/>
          <w:lang w:val="it-IT" w:eastAsia="en-US"/>
        </w:rPr>
        <w:pPrChange w:id="13771"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noProof/>
          <w:szCs w:val="22"/>
          <w:lang w:val="it-IT" w:eastAsia="en-US"/>
        </w:rPr>
        <w:t>La scelta dell’angolo di inclinazione corretto è importante poiché assicura che il medicinale venga rilasciato sotto la pelle (nel tessuto adiposo); in caso contrario l’iniezione potrebbe risultare dolorosa e il medicinale non efficace.</w:t>
      </w:r>
    </w:p>
    <w:p>
      <w:pPr>
        <w:autoSpaceDE w:val="0"/>
        <w:autoSpaceDN w:val="0"/>
        <w:adjustRightInd w:val="0"/>
        <w:ind w:left="720"/>
        <w:rPr>
          <w:noProof/>
          <w:szCs w:val="22"/>
          <w:lang w:val="it-IT"/>
        </w:rPr>
      </w:pPr>
    </w:p>
    <w:p>
      <w:pPr>
        <w:autoSpaceDE w:val="0"/>
        <w:autoSpaceDN w:val="0"/>
        <w:adjustRightInd w:val="0"/>
        <w:spacing w:after="120"/>
        <w:jc w:val="center"/>
        <w:rPr>
          <w:noProof/>
          <w:szCs w:val="22"/>
          <w:lang w:val="it-IT" w:eastAsia="en-US"/>
        </w:rPr>
      </w:pPr>
      <w:r>
        <w:rPr>
          <w:rFonts w:eastAsia="Calibri"/>
          <w:noProof/>
          <w:szCs w:val="22"/>
          <w:lang w:eastAsia="en-US"/>
        </w:rPr>
        <w:drawing>
          <wp:inline distT="0" distB="0" distL="0" distR="0">
            <wp:extent cx="2743200" cy="2162810"/>
            <wp:effectExtent l="0" t="0" r="0" b="0"/>
            <wp:docPr id="18" name="Immagine 6" descr="AI-Upgrade-IFU_vG_images-(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AI-Upgrade-IFU_vG_images-(2)-11"/>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162810"/>
                    </a:xfrm>
                    <a:prstGeom prst="rect">
                      <a:avLst/>
                    </a:prstGeom>
                    <a:noFill/>
                    <a:ln>
                      <a:noFill/>
                    </a:ln>
                  </pic:spPr>
                </pic:pic>
              </a:graphicData>
            </a:graphic>
          </wp:inline>
        </w:drawing>
      </w:r>
    </w:p>
    <w:p>
      <w:pPr>
        <w:autoSpaceDE w:val="0"/>
        <w:autoSpaceDN w:val="0"/>
        <w:adjustRightInd w:val="0"/>
        <w:jc w:val="center"/>
        <w:rPr>
          <w:b/>
          <w:noProof/>
          <w:szCs w:val="22"/>
          <w:lang w:val="it-IT" w:eastAsia="en-US"/>
        </w:rPr>
        <w:pPrChange w:id="13772" w:author="Author">
          <w:pPr>
            <w:autoSpaceDE w:val="0"/>
            <w:autoSpaceDN w:val="0"/>
            <w:adjustRightInd w:val="0"/>
            <w:spacing w:after="120"/>
            <w:jc w:val="center"/>
          </w:pPr>
        </w:pPrChange>
      </w:pPr>
      <w:r>
        <w:rPr>
          <w:rFonts w:eastAsia="Calibri"/>
          <w:b/>
          <w:noProof/>
          <w:szCs w:val="22"/>
          <w:lang w:val="it-IT" w:eastAsia="en-US"/>
        </w:rPr>
        <w:t>Figura H</w:t>
      </w:r>
    </w:p>
    <w:p>
      <w:pPr>
        <w:autoSpaceDE w:val="0"/>
        <w:autoSpaceDN w:val="0"/>
        <w:adjustRightInd w:val="0"/>
        <w:rPr>
          <w:b/>
          <w:noProof/>
          <w:szCs w:val="22"/>
          <w:lang w:val="it-IT"/>
        </w:rPr>
      </w:pPr>
    </w:p>
    <w:p>
      <w:pPr>
        <w:autoSpaceDE w:val="0"/>
        <w:autoSpaceDN w:val="0"/>
        <w:adjustRightInd w:val="0"/>
        <w:ind w:left="567" w:hanging="567"/>
        <w:rPr>
          <w:noProof/>
          <w:szCs w:val="22"/>
          <w:lang w:val="it-IT" w:eastAsia="en-US"/>
        </w:rPr>
        <w:pPrChange w:id="13773"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noProof/>
          <w:szCs w:val="22"/>
          <w:lang w:val="it-IT" w:eastAsia="en-US"/>
        </w:rPr>
        <w:t>Per utilizzare la penna preriempita, si deve innanzitutto sbloccare il pulsante verde di attivazione.</w:t>
      </w:r>
    </w:p>
    <w:p>
      <w:pPr>
        <w:autoSpaceDE w:val="0"/>
        <w:autoSpaceDN w:val="0"/>
        <w:adjustRightInd w:val="0"/>
        <w:ind w:left="567" w:hanging="567"/>
        <w:rPr>
          <w:rFonts w:eastAsia="Calibri"/>
          <w:noProof/>
          <w:szCs w:val="22"/>
          <w:lang w:val="it-IT" w:eastAsia="en-US"/>
        </w:rPr>
        <w:pPrChange w:id="13774"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noProof/>
          <w:szCs w:val="22"/>
          <w:lang w:val="it-IT" w:eastAsia="en-US"/>
        </w:rPr>
        <w:t xml:space="preserve">Per sbloccarlo, premere con decisione la penna preriempita contro la plica cutanea finché il </w:t>
      </w:r>
      <w:ins w:id="13775" w:author="Author">
        <w:r>
          <w:rPr>
            <w:rFonts w:eastAsia="Calibri"/>
            <w:noProof/>
            <w:szCs w:val="22"/>
            <w:lang w:val="it-IT" w:eastAsia="en-US"/>
          </w:rPr>
          <w:t>copriago</w:t>
        </w:r>
      </w:ins>
      <w:del w:id="13776" w:author="Author">
        <w:r>
          <w:rPr>
            <w:rFonts w:eastAsia="Calibri"/>
            <w:noProof/>
            <w:szCs w:val="22"/>
            <w:lang w:val="it-IT" w:eastAsia="en-US"/>
          </w:rPr>
          <w:delText>manicotto per l’ago</w:delText>
        </w:r>
      </w:del>
      <w:r>
        <w:rPr>
          <w:rFonts w:eastAsia="Calibri"/>
          <w:noProof/>
          <w:szCs w:val="22"/>
          <w:lang w:val="it-IT" w:eastAsia="en-US"/>
        </w:rPr>
        <w:t xml:space="preserve"> rientra completamente </w:t>
      </w:r>
      <w:r>
        <w:rPr>
          <w:rFonts w:eastAsia="Calibri"/>
          <w:b/>
          <w:bCs/>
          <w:noProof/>
          <w:szCs w:val="22"/>
          <w:lang w:val="it-IT" w:eastAsia="en-US"/>
        </w:rPr>
        <w:t>(Vedere Figura I).</w:t>
      </w:r>
    </w:p>
    <w:p>
      <w:pPr>
        <w:autoSpaceDE w:val="0"/>
        <w:autoSpaceDN w:val="0"/>
        <w:adjustRightInd w:val="0"/>
        <w:spacing w:after="60"/>
        <w:ind w:left="720"/>
        <w:rPr>
          <w:rFonts w:eastAsia="Calibri"/>
          <w:noProof/>
          <w:szCs w:val="22"/>
          <w:lang w:val="it-IT" w:eastAsia="en-US"/>
        </w:rPr>
      </w:pPr>
    </w:p>
    <w:p>
      <w:pPr>
        <w:autoSpaceDE w:val="0"/>
        <w:autoSpaceDN w:val="0"/>
        <w:adjustRightInd w:val="0"/>
        <w:spacing w:after="60"/>
        <w:ind w:left="360"/>
        <w:jc w:val="center"/>
        <w:rPr>
          <w:noProof/>
          <w:szCs w:val="22"/>
          <w:lang w:val="it-IT" w:eastAsia="en-US"/>
        </w:rPr>
      </w:pPr>
      <w:r>
        <w:rPr>
          <w:rFonts w:eastAsia="Calibri"/>
          <w:noProof/>
          <w:szCs w:val="22"/>
          <w:lang w:eastAsia="en-US"/>
        </w:rPr>
        <w:lastRenderedPageBreak/>
        <w:drawing>
          <wp:inline distT="0" distB="0" distL="0" distR="0">
            <wp:extent cx="3037205" cy="2345690"/>
            <wp:effectExtent l="0" t="0" r="0" b="0"/>
            <wp:docPr id="19" name="Immagine 5" descr="push in picture_arros_pushed_sk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push in picture_arros_pushed_skin cop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7205" cy="2345690"/>
                    </a:xfrm>
                    <a:prstGeom prst="rect">
                      <a:avLst/>
                    </a:prstGeom>
                    <a:noFill/>
                    <a:ln>
                      <a:noFill/>
                    </a:ln>
                  </pic:spPr>
                </pic:pic>
              </a:graphicData>
            </a:graphic>
          </wp:inline>
        </w:drawing>
      </w:r>
    </w:p>
    <w:p>
      <w:pPr>
        <w:autoSpaceDE w:val="0"/>
        <w:autoSpaceDN w:val="0"/>
        <w:adjustRightInd w:val="0"/>
        <w:ind w:left="720"/>
        <w:jc w:val="center"/>
        <w:rPr>
          <w:ins w:id="13777" w:author="Author"/>
          <w:rFonts w:eastAsia="Calibri"/>
          <w:b/>
          <w:noProof/>
          <w:szCs w:val="22"/>
          <w:lang w:val="it-IT" w:eastAsia="en-US"/>
        </w:rPr>
      </w:pPr>
      <w:r>
        <w:rPr>
          <w:rFonts w:eastAsia="Calibri"/>
          <w:b/>
          <w:noProof/>
          <w:szCs w:val="22"/>
          <w:lang w:val="it-IT" w:eastAsia="en-US"/>
        </w:rPr>
        <w:t>Figura I</w:t>
      </w:r>
    </w:p>
    <w:p>
      <w:pPr>
        <w:autoSpaceDE w:val="0"/>
        <w:autoSpaceDN w:val="0"/>
        <w:adjustRightInd w:val="0"/>
        <w:ind w:left="720"/>
        <w:jc w:val="center"/>
        <w:rPr>
          <w:b/>
          <w:noProof/>
          <w:szCs w:val="22"/>
          <w:lang w:val="it-IT" w:eastAsia="en-US"/>
        </w:rPr>
      </w:pPr>
    </w:p>
    <w:p>
      <w:pPr>
        <w:autoSpaceDE w:val="0"/>
        <w:autoSpaceDN w:val="0"/>
        <w:adjustRightInd w:val="0"/>
        <w:ind w:left="567" w:hanging="567"/>
        <w:rPr>
          <w:rFonts w:eastAsia="Calibri"/>
          <w:noProof/>
          <w:szCs w:val="22"/>
          <w:lang w:val="it-IT" w:eastAsia="en-US"/>
        </w:rPr>
        <w:pPrChange w:id="13778" w:author="Author">
          <w:pPr>
            <w:autoSpaceDE w:val="0"/>
            <w:autoSpaceDN w:val="0"/>
            <w:adjustRightInd w:val="0"/>
            <w:spacing w:after="60" w:line="259" w:lineRule="auto"/>
            <w:ind w:left="714" w:hanging="357"/>
          </w:pPr>
        </w:pPrChange>
      </w:pPr>
      <w:r>
        <w:rPr>
          <w:noProof/>
          <w:lang w:val="it-IT"/>
        </w:rPr>
        <w:sym w:font="Symbol" w:char="00B7"/>
      </w:r>
      <w:r>
        <w:rPr>
          <w:noProof/>
          <w:lang w:val="it-IT"/>
        </w:rPr>
        <w:tab/>
      </w:r>
      <w:r>
        <w:rPr>
          <w:rFonts w:eastAsia="Calibri"/>
          <w:noProof/>
          <w:szCs w:val="22"/>
          <w:lang w:val="it-IT" w:eastAsia="en-US"/>
        </w:rPr>
        <w:t xml:space="preserve">Continui a tenere premuto il </w:t>
      </w:r>
      <w:ins w:id="13779" w:author="Author">
        <w:r>
          <w:rPr>
            <w:rFonts w:eastAsia="Calibri"/>
            <w:noProof/>
            <w:szCs w:val="22"/>
            <w:lang w:val="it-IT" w:eastAsia="en-US"/>
          </w:rPr>
          <w:t>copriago</w:t>
        </w:r>
      </w:ins>
      <w:del w:id="13780" w:author="Author">
        <w:r>
          <w:rPr>
            <w:rFonts w:eastAsia="Calibri"/>
            <w:noProof/>
            <w:szCs w:val="22"/>
            <w:lang w:val="it-IT" w:eastAsia="en-US"/>
          </w:rPr>
          <w:delText>manicotto per l’ago</w:delText>
        </w:r>
      </w:del>
      <w:r>
        <w:rPr>
          <w:rFonts w:eastAsia="Calibri"/>
          <w:noProof/>
          <w:szCs w:val="22"/>
          <w:lang w:val="it-IT" w:eastAsia="en-US"/>
        </w:rPr>
        <w:t>.</w:t>
      </w:r>
    </w:p>
    <w:p>
      <w:pPr>
        <w:autoSpaceDE w:val="0"/>
        <w:autoSpaceDN w:val="0"/>
        <w:adjustRightInd w:val="0"/>
        <w:ind w:left="567" w:hanging="567"/>
        <w:rPr>
          <w:noProof/>
          <w:szCs w:val="22"/>
          <w:lang w:val="it-IT" w:eastAsia="en-US"/>
        </w:rPr>
        <w:pPrChange w:id="13781" w:author="Author">
          <w:pPr>
            <w:autoSpaceDE w:val="0"/>
            <w:autoSpaceDN w:val="0"/>
            <w:adjustRightInd w:val="0"/>
            <w:spacing w:after="60" w:line="259" w:lineRule="auto"/>
            <w:ind w:left="714" w:hanging="357"/>
          </w:pPr>
        </w:pPrChange>
      </w:pPr>
      <w:r>
        <w:rPr>
          <w:noProof/>
          <w:lang w:val="it-IT"/>
        </w:rPr>
        <w:sym w:font="Symbol" w:char="00B7"/>
      </w:r>
      <w:r>
        <w:rPr>
          <w:noProof/>
          <w:lang w:val="it-IT"/>
        </w:rPr>
        <w:tab/>
      </w:r>
      <w:r>
        <w:rPr>
          <w:rFonts w:eastAsia="Calibri"/>
          <w:noProof/>
          <w:szCs w:val="22"/>
          <w:lang w:val="it-IT" w:eastAsia="en-US"/>
        </w:rPr>
        <w:t xml:space="preserve">Se non mantiene il </w:t>
      </w:r>
      <w:ins w:id="13782" w:author="Author">
        <w:r>
          <w:rPr>
            <w:rFonts w:eastAsia="Calibri"/>
            <w:noProof/>
            <w:szCs w:val="22"/>
            <w:lang w:val="it-IT" w:eastAsia="en-US"/>
          </w:rPr>
          <w:t>copriagp</w:t>
        </w:r>
      </w:ins>
      <w:del w:id="13783" w:author="Author">
        <w:r>
          <w:rPr>
            <w:rFonts w:eastAsia="Calibri"/>
            <w:noProof/>
            <w:szCs w:val="22"/>
            <w:lang w:val="it-IT" w:eastAsia="en-US"/>
          </w:rPr>
          <w:delText>manicotto per l’ago</w:delText>
        </w:r>
      </w:del>
      <w:r>
        <w:rPr>
          <w:rFonts w:eastAsia="Calibri"/>
          <w:noProof/>
          <w:szCs w:val="22"/>
          <w:lang w:val="it-IT" w:eastAsia="en-US"/>
        </w:rPr>
        <w:t xml:space="preserve"> premuto completamente contro la cute, il pulsante verde di attivazione non funzionerà.</w:t>
      </w:r>
    </w:p>
    <w:p>
      <w:pPr>
        <w:autoSpaceDE w:val="0"/>
        <w:autoSpaceDN w:val="0"/>
        <w:adjustRightInd w:val="0"/>
        <w:ind w:left="567" w:hanging="567"/>
        <w:rPr>
          <w:noProof/>
          <w:szCs w:val="22"/>
          <w:lang w:val="it-IT" w:eastAsia="en-US"/>
        </w:rPr>
        <w:pPrChange w:id="13784" w:author="Author">
          <w:pPr>
            <w:autoSpaceDE w:val="0"/>
            <w:autoSpaceDN w:val="0"/>
            <w:adjustRightInd w:val="0"/>
            <w:spacing w:after="200" w:line="276" w:lineRule="auto"/>
            <w:ind w:left="714" w:hanging="357"/>
          </w:pPr>
        </w:pPrChange>
      </w:pPr>
      <w:r>
        <w:rPr>
          <w:noProof/>
          <w:lang w:val="it-IT"/>
        </w:rPr>
        <w:sym w:font="Symbol" w:char="00B7"/>
      </w:r>
      <w:r>
        <w:rPr>
          <w:noProof/>
          <w:lang w:val="it-IT"/>
        </w:rPr>
        <w:tab/>
      </w:r>
      <w:r>
        <w:rPr>
          <w:rFonts w:eastAsia="Calibri"/>
          <w:noProof/>
          <w:szCs w:val="22"/>
          <w:lang w:val="it-IT" w:eastAsia="en-US"/>
        </w:rPr>
        <w:t>Continui a tenere pizzicata la cute finché la penna preriempita rimane in posizione.</w:t>
      </w:r>
    </w:p>
    <w:p>
      <w:pPr>
        <w:autoSpaceDE w:val="0"/>
        <w:autoSpaceDN w:val="0"/>
        <w:adjustRightInd w:val="0"/>
        <w:ind w:left="567" w:hanging="567"/>
        <w:rPr>
          <w:noProof/>
          <w:szCs w:val="22"/>
          <w:lang w:val="it-IT" w:eastAsia="en-US"/>
        </w:rPr>
        <w:pPrChange w:id="13785" w:author="Author">
          <w:pPr>
            <w:autoSpaceDE w:val="0"/>
            <w:autoSpaceDN w:val="0"/>
            <w:adjustRightInd w:val="0"/>
            <w:spacing w:after="200" w:line="276" w:lineRule="auto"/>
            <w:ind w:left="714" w:hanging="357"/>
          </w:pPr>
        </w:pPrChange>
      </w:pPr>
      <w:r>
        <w:rPr>
          <w:noProof/>
          <w:lang w:val="it-IT"/>
        </w:rPr>
        <w:sym w:font="Symbol" w:char="00B7"/>
      </w:r>
      <w:r>
        <w:rPr>
          <w:noProof/>
          <w:lang w:val="it-IT"/>
        </w:rPr>
        <w:tab/>
      </w:r>
      <w:r>
        <w:rPr>
          <w:rFonts w:eastAsia="Calibri"/>
          <w:noProof/>
          <w:szCs w:val="22"/>
          <w:lang w:val="it-IT" w:eastAsia="en-US"/>
        </w:rPr>
        <w:t xml:space="preserve">Prema il pulsante verde di attivazione per iniziare l’iniezione. Un “clic” la avviserà che l’iniezione è iniziata. Continui a tenere premuto il pulsante e continui a tenere la penna preriempita premuta saldamente contro la cute </w:t>
      </w:r>
      <w:r>
        <w:rPr>
          <w:rFonts w:eastAsia="Calibri"/>
          <w:b/>
          <w:bCs/>
          <w:noProof/>
          <w:szCs w:val="22"/>
          <w:lang w:val="it-IT" w:eastAsia="en-US"/>
        </w:rPr>
        <w:t>(Vedere Figura J).</w:t>
      </w:r>
      <w:r>
        <w:rPr>
          <w:rFonts w:eastAsia="Calibri"/>
          <w:b/>
          <w:noProof/>
          <w:szCs w:val="22"/>
          <w:lang w:val="it-IT" w:eastAsia="en-US"/>
        </w:rPr>
        <w:t xml:space="preserve"> </w:t>
      </w:r>
      <w:r>
        <w:rPr>
          <w:rFonts w:eastAsia="Calibri"/>
          <w:noProof/>
          <w:szCs w:val="22"/>
          <w:lang w:val="it-IT" w:eastAsia="en-US"/>
        </w:rPr>
        <w:t>Se non riesce ad avviare l’iniezione, si rivolga alla persona che le presta assistenza o consulti l’operatore sanitario.</w:t>
      </w:r>
    </w:p>
    <w:p>
      <w:pPr>
        <w:autoSpaceDE w:val="0"/>
        <w:autoSpaceDN w:val="0"/>
        <w:adjustRightInd w:val="0"/>
        <w:jc w:val="center"/>
        <w:rPr>
          <w:noProof/>
          <w:szCs w:val="22"/>
          <w:lang w:val="it-IT" w:eastAsia="en-US"/>
        </w:rPr>
      </w:pPr>
      <w:r>
        <w:rPr>
          <w:rFonts w:eastAsia="Calibri"/>
          <w:noProof/>
          <w:szCs w:val="22"/>
          <w:lang w:eastAsia="en-US"/>
        </w:rPr>
        <w:drawing>
          <wp:inline distT="0" distB="0" distL="0" distR="0">
            <wp:extent cx="2743200" cy="2146935"/>
            <wp:effectExtent l="0" t="0" r="0" b="0"/>
            <wp:docPr id="20" name="Immagine 4" descr="Figure J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Figure J cop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146935"/>
                    </a:xfrm>
                    <a:prstGeom prst="rect">
                      <a:avLst/>
                    </a:prstGeom>
                    <a:noFill/>
                    <a:ln>
                      <a:noFill/>
                    </a:ln>
                  </pic:spPr>
                </pic:pic>
              </a:graphicData>
            </a:graphic>
          </wp:inline>
        </w:drawing>
      </w:r>
    </w:p>
    <w:p>
      <w:pPr>
        <w:autoSpaceDE w:val="0"/>
        <w:autoSpaceDN w:val="0"/>
        <w:adjustRightInd w:val="0"/>
        <w:jc w:val="center"/>
        <w:rPr>
          <w:noProof/>
          <w:szCs w:val="22"/>
          <w:lang w:val="it-IT" w:eastAsia="en-US"/>
        </w:rPr>
      </w:pPr>
      <w:r>
        <w:rPr>
          <w:rFonts w:eastAsia="Calibri"/>
          <w:b/>
          <w:noProof/>
          <w:szCs w:val="22"/>
          <w:lang w:val="it-IT" w:eastAsia="en-US"/>
        </w:rPr>
        <w:t>Figura J</w:t>
      </w:r>
    </w:p>
    <w:p>
      <w:pPr>
        <w:autoSpaceDE w:val="0"/>
        <w:autoSpaceDN w:val="0"/>
        <w:adjustRightInd w:val="0"/>
        <w:rPr>
          <w:noProof/>
          <w:szCs w:val="22"/>
          <w:lang w:val="it-IT"/>
        </w:rPr>
      </w:pPr>
    </w:p>
    <w:p>
      <w:pPr>
        <w:autoSpaceDE w:val="0"/>
        <w:autoSpaceDN w:val="0"/>
        <w:adjustRightInd w:val="0"/>
        <w:ind w:left="567" w:hanging="567"/>
        <w:rPr>
          <w:b/>
          <w:noProof/>
          <w:szCs w:val="22"/>
          <w:lang w:val="it-IT" w:eastAsia="en-US"/>
        </w:rPr>
        <w:pPrChange w:id="13786"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noProof/>
          <w:szCs w:val="22"/>
          <w:lang w:val="it-IT" w:eastAsia="en-US"/>
        </w:rPr>
        <w:t>L’indicatore viola si muoverà lungo la finestr</w:t>
      </w:r>
      <w:ins w:id="13787" w:author="Author">
        <w:r>
          <w:rPr>
            <w:rFonts w:eastAsia="Calibri"/>
            <w:noProof/>
            <w:szCs w:val="22"/>
            <w:lang w:val="it-IT" w:eastAsia="en-US"/>
          </w:rPr>
          <w:t>a di visualizzazione</w:t>
        </w:r>
      </w:ins>
      <w:del w:id="13788" w:author="Author">
        <w:r>
          <w:rPr>
            <w:rFonts w:eastAsia="Calibri"/>
            <w:noProof/>
            <w:szCs w:val="22"/>
            <w:lang w:val="it-IT" w:eastAsia="en-US"/>
          </w:rPr>
          <w:delText>ella</w:delText>
        </w:r>
      </w:del>
      <w:r>
        <w:rPr>
          <w:rFonts w:eastAsia="Calibri"/>
          <w:noProof/>
          <w:szCs w:val="22"/>
          <w:lang w:val="it-IT" w:eastAsia="en-US"/>
        </w:rPr>
        <w:t xml:space="preserve"> durante l’iniezione </w:t>
      </w:r>
      <w:r>
        <w:rPr>
          <w:rFonts w:eastAsia="Calibri"/>
          <w:b/>
          <w:bCs/>
          <w:noProof/>
          <w:szCs w:val="22"/>
          <w:lang w:val="it-IT" w:eastAsia="en-US"/>
        </w:rPr>
        <w:t>(Vedere Figura K).</w:t>
      </w:r>
    </w:p>
    <w:p>
      <w:pPr>
        <w:autoSpaceDE w:val="0"/>
        <w:autoSpaceDN w:val="0"/>
        <w:adjustRightInd w:val="0"/>
        <w:ind w:left="567" w:hanging="567"/>
        <w:rPr>
          <w:noProof/>
          <w:szCs w:val="22"/>
          <w:lang w:val="it-IT" w:eastAsia="en-US"/>
        </w:rPr>
        <w:pPrChange w:id="13789"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noProof/>
          <w:szCs w:val="22"/>
          <w:lang w:val="it-IT" w:eastAsia="en-US"/>
        </w:rPr>
        <w:t>Segua l’indicatore viola finché si arresta per accertarsi di iniettare la dose completa del medicinale.</w:t>
      </w:r>
    </w:p>
    <w:p>
      <w:pPr>
        <w:keepNext/>
        <w:keepLines/>
        <w:autoSpaceDE w:val="0"/>
        <w:autoSpaceDN w:val="0"/>
        <w:adjustRightInd w:val="0"/>
        <w:jc w:val="center"/>
        <w:rPr>
          <w:rFonts w:eastAsia="Calibri"/>
          <w:noProof/>
          <w:szCs w:val="22"/>
          <w:lang w:val="it-IT" w:eastAsia="en-US"/>
        </w:rPr>
        <w:pPrChange w:id="13790" w:author="Author">
          <w:pPr>
            <w:autoSpaceDE w:val="0"/>
            <w:autoSpaceDN w:val="0"/>
            <w:adjustRightInd w:val="0"/>
            <w:jc w:val="center"/>
          </w:pPr>
        </w:pPrChange>
      </w:pPr>
      <w:r>
        <w:rPr>
          <w:rFonts w:eastAsia="Calibri"/>
          <w:noProof/>
          <w:szCs w:val="22"/>
          <w:lang w:eastAsia="en-US"/>
        </w:rPr>
        <w:lastRenderedPageBreak/>
        <w:drawing>
          <wp:inline distT="0" distB="0" distL="0" distR="0">
            <wp:extent cx="2743200" cy="2138680"/>
            <wp:effectExtent l="0" t="0" r="0" b="0"/>
            <wp:docPr id="21" name="Immagine 3" descr="Figure K_corrected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 descr="Figure K_corrected copy"/>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138680"/>
                    </a:xfrm>
                    <a:prstGeom prst="rect">
                      <a:avLst/>
                    </a:prstGeom>
                    <a:noFill/>
                    <a:ln>
                      <a:noFill/>
                    </a:ln>
                  </pic:spPr>
                </pic:pic>
              </a:graphicData>
            </a:graphic>
          </wp:inline>
        </w:drawing>
      </w:r>
    </w:p>
    <w:p>
      <w:pPr>
        <w:autoSpaceDE w:val="0"/>
        <w:autoSpaceDN w:val="0"/>
        <w:adjustRightInd w:val="0"/>
        <w:jc w:val="center"/>
        <w:rPr>
          <w:noProof/>
          <w:szCs w:val="22"/>
          <w:lang w:val="it-IT" w:eastAsia="en-US"/>
        </w:rPr>
      </w:pPr>
      <w:r>
        <w:rPr>
          <w:rFonts w:eastAsia="Calibri"/>
          <w:b/>
          <w:noProof/>
          <w:szCs w:val="22"/>
          <w:lang w:val="it-IT" w:eastAsia="en-US"/>
        </w:rPr>
        <w:t>Figura K</w:t>
      </w:r>
    </w:p>
    <w:p>
      <w:pPr>
        <w:autoSpaceDE w:val="0"/>
        <w:autoSpaceDN w:val="0"/>
        <w:adjustRightInd w:val="0"/>
        <w:ind w:left="720"/>
        <w:rPr>
          <w:noProof/>
          <w:szCs w:val="22"/>
          <w:lang w:val="it-IT"/>
        </w:rPr>
      </w:pPr>
    </w:p>
    <w:p>
      <w:pPr>
        <w:autoSpaceDE w:val="0"/>
        <w:autoSpaceDN w:val="0"/>
        <w:adjustRightInd w:val="0"/>
        <w:ind w:left="567" w:hanging="567"/>
        <w:rPr>
          <w:noProof/>
          <w:szCs w:val="22"/>
          <w:lang w:val="it-IT" w:eastAsia="en-US"/>
        </w:rPr>
        <w:pPrChange w:id="13791"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noProof/>
          <w:color w:val="000000"/>
          <w:szCs w:val="22"/>
          <w:lang w:val="it-IT" w:eastAsia="en-US"/>
        </w:rPr>
        <w:t xml:space="preserve">L’iniezione potrebbe richiedere </w:t>
      </w:r>
      <w:r>
        <w:rPr>
          <w:rFonts w:eastAsia="Calibri"/>
          <w:b/>
          <w:bCs/>
          <w:noProof/>
          <w:color w:val="000000"/>
          <w:szCs w:val="22"/>
          <w:lang w:val="it-IT" w:eastAsia="en-US"/>
        </w:rPr>
        <w:t>fino a 10 secondi</w:t>
      </w:r>
      <w:r>
        <w:rPr>
          <w:rFonts w:eastAsia="Calibri"/>
          <w:noProof/>
          <w:color w:val="000000"/>
          <w:szCs w:val="22"/>
          <w:lang w:val="it-IT" w:eastAsia="en-US"/>
        </w:rPr>
        <w:t>.</w:t>
      </w:r>
    </w:p>
    <w:p>
      <w:pPr>
        <w:autoSpaceDE w:val="0"/>
        <w:autoSpaceDN w:val="0"/>
        <w:adjustRightInd w:val="0"/>
        <w:ind w:left="567" w:hanging="567"/>
        <w:rPr>
          <w:rFonts w:eastAsia="Calibri"/>
          <w:noProof/>
          <w:szCs w:val="22"/>
          <w:lang w:val="it-IT" w:eastAsia="en-US"/>
        </w:rPr>
        <w:pPrChange w:id="13792" w:author="Author">
          <w:pPr>
            <w:autoSpaceDE w:val="0"/>
            <w:autoSpaceDN w:val="0"/>
            <w:adjustRightInd w:val="0"/>
            <w:spacing w:after="60" w:line="259" w:lineRule="auto"/>
            <w:ind w:left="567" w:hanging="357"/>
          </w:pPr>
        </w:pPrChange>
      </w:pPr>
      <w:r>
        <w:rPr>
          <w:noProof/>
          <w:lang w:val="it-IT"/>
        </w:rPr>
        <w:sym w:font="Symbol" w:char="00B7"/>
      </w:r>
      <w:r>
        <w:rPr>
          <w:noProof/>
          <w:lang w:val="it-IT"/>
        </w:rPr>
        <w:tab/>
      </w:r>
      <w:r>
        <w:rPr>
          <w:rFonts w:eastAsia="Calibri"/>
          <w:noProof/>
          <w:szCs w:val="22"/>
          <w:lang w:val="it-IT" w:eastAsia="en-US"/>
        </w:rPr>
        <w:t>Potrebbe sentire un secondo “clic” durante l’iniezione; continui comunque a tenere la penna preriempita premuta saldamente contro la cute finché l’indicatore viola si arresta.</w:t>
      </w:r>
    </w:p>
    <w:p>
      <w:pPr>
        <w:autoSpaceDE w:val="0"/>
        <w:autoSpaceDN w:val="0"/>
        <w:adjustRightInd w:val="0"/>
        <w:ind w:left="567" w:hanging="567"/>
        <w:rPr>
          <w:noProof/>
          <w:szCs w:val="22"/>
          <w:lang w:val="it-IT" w:eastAsia="en-US"/>
        </w:rPr>
        <w:pPrChange w:id="13793" w:author="Author">
          <w:pPr>
            <w:autoSpaceDE w:val="0"/>
            <w:autoSpaceDN w:val="0"/>
            <w:adjustRightInd w:val="0"/>
            <w:spacing w:after="60" w:line="259" w:lineRule="auto"/>
            <w:ind w:left="567" w:hanging="357"/>
          </w:pPr>
        </w:pPrChange>
      </w:pPr>
      <w:r>
        <w:rPr>
          <w:noProof/>
          <w:lang w:val="it-IT"/>
        </w:rPr>
        <w:sym w:font="Symbol" w:char="00B7"/>
      </w:r>
      <w:r>
        <w:rPr>
          <w:noProof/>
          <w:lang w:val="it-IT"/>
        </w:rPr>
        <w:tab/>
      </w:r>
      <w:r>
        <w:rPr>
          <w:rFonts w:eastAsia="Calibri"/>
          <w:noProof/>
          <w:szCs w:val="22"/>
          <w:lang w:val="it-IT" w:eastAsia="en-US"/>
        </w:rPr>
        <w:t xml:space="preserve">Quando l’indicatore viola si arresta, rilasci il pulsante verde. Sollevi la penna preriempita dal sito di iniezione con un angolo di inclinazione di 90° per estrarre l’ago dalla cute. Il </w:t>
      </w:r>
      <w:ins w:id="13794" w:author="Author">
        <w:r>
          <w:rPr>
            <w:rFonts w:eastAsia="Calibri"/>
            <w:noProof/>
            <w:szCs w:val="22"/>
            <w:lang w:val="it-IT" w:eastAsia="en-US"/>
          </w:rPr>
          <w:t>copriago</w:t>
        </w:r>
      </w:ins>
      <w:del w:id="13795" w:author="Author">
        <w:r>
          <w:rPr>
            <w:rFonts w:eastAsia="Calibri"/>
            <w:noProof/>
            <w:szCs w:val="22"/>
            <w:lang w:val="it-IT" w:eastAsia="en-US"/>
          </w:rPr>
          <w:delText>manicotto di sicurezza</w:delText>
        </w:r>
      </w:del>
      <w:r>
        <w:rPr>
          <w:rFonts w:eastAsia="Calibri"/>
          <w:noProof/>
          <w:szCs w:val="22"/>
          <w:lang w:val="it-IT" w:eastAsia="en-US"/>
        </w:rPr>
        <w:t xml:space="preserve"> uscirà e coprirà l’ago </w:t>
      </w:r>
      <w:r>
        <w:rPr>
          <w:rFonts w:eastAsia="Calibri"/>
          <w:b/>
          <w:bCs/>
          <w:noProof/>
          <w:szCs w:val="22"/>
          <w:lang w:val="it-IT" w:eastAsia="en-US"/>
        </w:rPr>
        <w:t>(Vedere Figura L).</w:t>
      </w:r>
    </w:p>
    <w:p>
      <w:pPr>
        <w:autoSpaceDE w:val="0"/>
        <w:autoSpaceDN w:val="0"/>
        <w:adjustRightInd w:val="0"/>
        <w:jc w:val="center"/>
        <w:rPr>
          <w:noProof/>
          <w:szCs w:val="22"/>
          <w:lang w:val="it-IT" w:eastAsia="en-US"/>
        </w:rPr>
      </w:pPr>
      <w:r>
        <w:rPr>
          <w:rFonts w:eastAsia="Calibri"/>
          <w:noProof/>
          <w:szCs w:val="22"/>
          <w:lang w:eastAsia="en-US"/>
        </w:rPr>
        <w:drawing>
          <wp:inline distT="0" distB="0" distL="0" distR="0">
            <wp:extent cx="2743200" cy="2138680"/>
            <wp:effectExtent l="0" t="0" r="0" b="0"/>
            <wp:docPr id="22" name="Immagine 2" descr="AI-Upgrade-IFU_vG_images-(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descr="AI-Upgrade-IFU_vG_images-(2)-10"/>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138680"/>
                    </a:xfrm>
                    <a:prstGeom prst="rect">
                      <a:avLst/>
                    </a:prstGeom>
                    <a:noFill/>
                    <a:ln>
                      <a:noFill/>
                    </a:ln>
                  </pic:spPr>
                </pic:pic>
              </a:graphicData>
            </a:graphic>
          </wp:inline>
        </w:drawing>
      </w:r>
    </w:p>
    <w:p>
      <w:pPr>
        <w:autoSpaceDE w:val="0"/>
        <w:autoSpaceDN w:val="0"/>
        <w:adjustRightInd w:val="0"/>
        <w:jc w:val="center"/>
        <w:rPr>
          <w:b/>
          <w:noProof/>
          <w:szCs w:val="22"/>
          <w:lang w:val="it-IT" w:eastAsia="en-US"/>
        </w:rPr>
      </w:pPr>
      <w:r>
        <w:rPr>
          <w:rFonts w:eastAsia="Calibri"/>
          <w:b/>
          <w:noProof/>
          <w:szCs w:val="22"/>
          <w:lang w:val="it-IT" w:eastAsia="en-US"/>
        </w:rPr>
        <w:t>Figura L</w:t>
      </w:r>
    </w:p>
    <w:p>
      <w:pPr>
        <w:autoSpaceDE w:val="0"/>
        <w:autoSpaceDN w:val="0"/>
        <w:adjustRightInd w:val="0"/>
        <w:jc w:val="center"/>
        <w:rPr>
          <w:noProof/>
          <w:szCs w:val="22"/>
          <w:lang w:val="it-IT"/>
        </w:rPr>
      </w:pPr>
    </w:p>
    <w:p>
      <w:pPr>
        <w:autoSpaceDE w:val="0"/>
        <w:autoSpaceDN w:val="0"/>
        <w:adjustRightInd w:val="0"/>
        <w:ind w:left="567" w:hanging="567"/>
        <w:rPr>
          <w:b/>
          <w:noProof/>
          <w:szCs w:val="22"/>
          <w:lang w:val="it-IT" w:eastAsia="en-US"/>
        </w:rPr>
        <w:pPrChange w:id="13796"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noProof/>
          <w:szCs w:val="22"/>
          <w:lang w:val="it-IT" w:eastAsia="en-US"/>
        </w:rPr>
        <w:t>Controlli la finestr</w:t>
      </w:r>
      <w:ins w:id="13797" w:author="Author">
        <w:r>
          <w:rPr>
            <w:rFonts w:eastAsia="Calibri"/>
            <w:noProof/>
            <w:szCs w:val="22"/>
            <w:lang w:val="it-IT" w:eastAsia="en-US"/>
          </w:rPr>
          <w:t>a di visualizzazione</w:t>
        </w:r>
      </w:ins>
      <w:del w:id="13798" w:author="Author">
        <w:r>
          <w:rPr>
            <w:rFonts w:eastAsia="Calibri"/>
            <w:noProof/>
            <w:szCs w:val="22"/>
            <w:lang w:val="it-IT" w:eastAsia="en-US"/>
          </w:rPr>
          <w:delText>ella</w:delText>
        </w:r>
      </w:del>
      <w:r>
        <w:rPr>
          <w:rFonts w:eastAsia="Calibri"/>
          <w:noProof/>
          <w:szCs w:val="22"/>
          <w:lang w:val="it-IT" w:eastAsia="en-US"/>
        </w:rPr>
        <w:t xml:space="preserve"> per verificare che l’indicatore viola la copra completamente </w:t>
      </w:r>
      <w:r>
        <w:rPr>
          <w:rFonts w:eastAsia="Calibri"/>
          <w:b/>
          <w:bCs/>
          <w:noProof/>
          <w:szCs w:val="22"/>
          <w:lang w:val="it-IT" w:eastAsia="en-US"/>
        </w:rPr>
        <w:t>(Vedere Figura L).</w:t>
      </w:r>
    </w:p>
    <w:p>
      <w:pPr>
        <w:autoSpaceDE w:val="0"/>
        <w:autoSpaceDN w:val="0"/>
        <w:adjustRightInd w:val="0"/>
        <w:ind w:left="567" w:hanging="567"/>
        <w:rPr>
          <w:noProof/>
          <w:szCs w:val="22"/>
          <w:lang w:val="it-IT" w:eastAsia="en-US"/>
        </w:rPr>
        <w:pPrChange w:id="13799" w:author="Author">
          <w:pPr>
            <w:autoSpaceDE w:val="0"/>
            <w:autoSpaceDN w:val="0"/>
            <w:adjustRightInd w:val="0"/>
            <w:spacing w:after="60" w:line="259" w:lineRule="auto"/>
            <w:ind w:left="567" w:hanging="210"/>
          </w:pPr>
        </w:pPrChange>
      </w:pPr>
      <w:r>
        <w:rPr>
          <w:noProof/>
          <w:lang w:val="it-IT"/>
        </w:rPr>
        <w:sym w:font="Symbol" w:char="00B7"/>
      </w:r>
      <w:r>
        <w:rPr>
          <w:noProof/>
          <w:lang w:val="it-IT"/>
        </w:rPr>
        <w:tab/>
      </w:r>
      <w:r>
        <w:rPr>
          <w:rFonts w:eastAsia="Calibri"/>
          <w:noProof/>
          <w:szCs w:val="22"/>
          <w:lang w:val="it-IT" w:eastAsia="en-US"/>
        </w:rPr>
        <w:t>Se la finestr</w:t>
      </w:r>
      <w:ins w:id="13800" w:author="Author">
        <w:r>
          <w:rPr>
            <w:rFonts w:eastAsia="Calibri"/>
            <w:noProof/>
            <w:szCs w:val="22"/>
            <w:lang w:val="it-IT" w:eastAsia="en-US"/>
          </w:rPr>
          <w:t>a di visualizzazione</w:t>
        </w:r>
      </w:ins>
      <w:del w:id="13801" w:author="Author">
        <w:r>
          <w:rPr>
            <w:rFonts w:eastAsia="Calibri"/>
            <w:noProof/>
            <w:szCs w:val="22"/>
            <w:lang w:val="it-IT" w:eastAsia="en-US"/>
          </w:rPr>
          <w:delText>ella</w:delText>
        </w:r>
      </w:del>
      <w:r>
        <w:rPr>
          <w:rFonts w:eastAsia="Calibri"/>
          <w:noProof/>
          <w:szCs w:val="22"/>
          <w:lang w:val="it-IT" w:eastAsia="en-US"/>
        </w:rPr>
        <w:t xml:space="preserve"> non è completamente ricoperta dall’indicatore viola:</w:t>
      </w:r>
    </w:p>
    <w:p>
      <w:pPr>
        <w:autoSpaceDE w:val="0"/>
        <w:autoSpaceDN w:val="0"/>
        <w:adjustRightInd w:val="0"/>
        <w:ind w:left="1134" w:hanging="567"/>
        <w:rPr>
          <w:noProof/>
          <w:szCs w:val="22"/>
          <w:lang w:val="it-IT" w:eastAsia="en-US"/>
        </w:rPr>
        <w:pPrChange w:id="13802" w:author="Author">
          <w:pPr>
            <w:autoSpaceDE w:val="0"/>
            <w:autoSpaceDN w:val="0"/>
            <w:adjustRightInd w:val="0"/>
            <w:spacing w:after="60" w:line="259" w:lineRule="auto"/>
            <w:ind w:left="1434" w:hanging="357"/>
          </w:pPr>
        </w:pPrChange>
      </w:pPr>
      <w:r>
        <w:rPr>
          <w:noProof/>
          <w:lang w:val="it-IT"/>
        </w:rPr>
        <w:sym w:font="Symbol" w:char="00B7"/>
      </w:r>
      <w:r>
        <w:rPr>
          <w:noProof/>
          <w:lang w:val="it-IT"/>
        </w:rPr>
        <w:tab/>
      </w:r>
      <w:r>
        <w:rPr>
          <w:rFonts w:eastAsia="Calibri"/>
          <w:noProof/>
          <w:szCs w:val="22"/>
          <w:lang w:val="it-IT" w:eastAsia="en-US"/>
        </w:rPr>
        <w:t xml:space="preserve">È possibile che il </w:t>
      </w:r>
      <w:ins w:id="13803" w:author="Author">
        <w:r>
          <w:rPr>
            <w:rFonts w:eastAsia="Calibri"/>
            <w:noProof/>
            <w:szCs w:val="22"/>
            <w:lang w:val="it-IT" w:eastAsia="en-US"/>
          </w:rPr>
          <w:t>copriago</w:t>
        </w:r>
      </w:ins>
      <w:del w:id="13804" w:author="Author">
        <w:r>
          <w:rPr>
            <w:rFonts w:eastAsia="Calibri"/>
            <w:noProof/>
            <w:szCs w:val="22"/>
            <w:lang w:val="it-IT" w:eastAsia="en-US"/>
          </w:rPr>
          <w:delText>manicotto di sicurezza</w:delText>
        </w:r>
      </w:del>
      <w:r>
        <w:rPr>
          <w:rFonts w:eastAsia="Calibri"/>
          <w:noProof/>
          <w:szCs w:val="22"/>
          <w:lang w:val="it-IT" w:eastAsia="en-US"/>
        </w:rPr>
        <w:t xml:space="preserve"> non si sia bloccato. </w:t>
      </w:r>
      <w:r>
        <w:rPr>
          <w:rFonts w:eastAsia="Calibri"/>
          <w:b/>
          <w:bCs/>
          <w:noProof/>
          <w:szCs w:val="22"/>
          <w:lang w:val="it-IT" w:eastAsia="en-US"/>
        </w:rPr>
        <w:t xml:space="preserve">Non tocchi </w:t>
      </w:r>
      <w:r>
        <w:rPr>
          <w:rFonts w:eastAsia="Calibri"/>
          <w:noProof/>
          <w:szCs w:val="22"/>
          <w:lang w:val="it-IT" w:eastAsia="en-US"/>
        </w:rPr>
        <w:t xml:space="preserve">il </w:t>
      </w:r>
      <w:ins w:id="13805" w:author="Author">
        <w:r>
          <w:rPr>
            <w:rFonts w:eastAsia="Calibri"/>
            <w:noProof/>
            <w:szCs w:val="22"/>
            <w:lang w:val="it-IT" w:eastAsia="en-US"/>
          </w:rPr>
          <w:t>copriago</w:t>
        </w:r>
      </w:ins>
      <w:del w:id="13806" w:author="Author">
        <w:r>
          <w:rPr>
            <w:rFonts w:eastAsia="Calibri"/>
            <w:noProof/>
            <w:szCs w:val="22"/>
            <w:lang w:val="it-IT" w:eastAsia="en-US"/>
          </w:rPr>
          <w:delText xml:space="preserve">manicotto di sicurezza della </w:delText>
        </w:r>
      </w:del>
      <w:ins w:id="13807" w:author="Author">
        <w:r>
          <w:rPr>
            <w:rFonts w:eastAsia="Calibri"/>
            <w:noProof/>
            <w:szCs w:val="22"/>
            <w:lang w:val="it-IT" w:eastAsia="en-US"/>
          </w:rPr>
          <w:t xml:space="preserve"> della </w:t>
        </w:r>
      </w:ins>
      <w:r>
        <w:rPr>
          <w:rFonts w:eastAsia="Calibri"/>
          <w:noProof/>
          <w:szCs w:val="22"/>
          <w:lang w:val="it-IT" w:eastAsia="en-US"/>
        </w:rPr>
        <w:t>penna preriempita perché potrebbe pungersi con l’ago. Se l’ago non è coperto, riponga con attenzione la penna preriempita nel contenitore per materiali taglienti per evitare di ferirsi con l’ago.</w:t>
      </w:r>
    </w:p>
    <w:p>
      <w:pPr>
        <w:autoSpaceDE w:val="0"/>
        <w:autoSpaceDN w:val="0"/>
        <w:adjustRightInd w:val="0"/>
        <w:spacing w:afterLines="60" w:after="144"/>
        <w:ind w:left="1134" w:hanging="567"/>
        <w:rPr>
          <w:b/>
          <w:noProof/>
          <w:szCs w:val="22"/>
          <w:lang w:val="it-IT" w:eastAsia="en-US"/>
        </w:rPr>
        <w:pPrChange w:id="13808" w:author="Author">
          <w:pPr>
            <w:autoSpaceDE w:val="0"/>
            <w:autoSpaceDN w:val="0"/>
            <w:adjustRightInd w:val="0"/>
            <w:spacing w:afterLines="60" w:after="144" w:line="259" w:lineRule="auto"/>
            <w:ind w:left="1434" w:hanging="357"/>
          </w:pPr>
        </w:pPrChange>
      </w:pPr>
      <w:r>
        <w:rPr>
          <w:noProof/>
          <w:lang w:val="it-IT"/>
        </w:rPr>
        <w:sym w:font="Symbol" w:char="00B7"/>
      </w:r>
      <w:r>
        <w:rPr>
          <w:noProof/>
          <w:lang w:val="it-IT"/>
        </w:rPr>
        <w:tab/>
      </w:r>
      <w:r>
        <w:rPr>
          <w:rFonts w:eastAsia="Calibri"/>
          <w:noProof/>
          <w:szCs w:val="22"/>
          <w:lang w:val="it-IT" w:eastAsia="en-US"/>
        </w:rPr>
        <w:t xml:space="preserve">Potrebbe non aver ricevuto la dose completa di RoActemra. </w:t>
      </w:r>
      <w:r>
        <w:rPr>
          <w:rFonts w:eastAsia="Calibri"/>
          <w:b/>
          <w:noProof/>
          <w:szCs w:val="22"/>
          <w:lang w:val="it-IT" w:eastAsia="en-US"/>
        </w:rPr>
        <w:t xml:space="preserve">Non </w:t>
      </w:r>
      <w:r>
        <w:rPr>
          <w:rFonts w:eastAsia="Calibri"/>
          <w:noProof/>
          <w:szCs w:val="22"/>
          <w:lang w:val="it-IT" w:eastAsia="en-US"/>
        </w:rPr>
        <w:t>cerchi di riutilizzare la penna preriempita. Non ripeta l’iniezione con un’altra penna preriempita. Contatti l’operatore sanitario per ricevere assistenza.</w:t>
      </w:r>
    </w:p>
    <w:p>
      <w:pPr>
        <w:autoSpaceDE w:val="0"/>
        <w:autoSpaceDN w:val="0"/>
        <w:adjustRightInd w:val="0"/>
        <w:spacing w:after="60"/>
        <w:rPr>
          <w:rFonts w:eastAsia="Calibri"/>
          <w:b/>
          <w:noProof/>
          <w:szCs w:val="22"/>
          <w:lang w:val="it-IT" w:eastAsia="en-US"/>
        </w:rPr>
      </w:pPr>
      <w:r>
        <w:rPr>
          <w:rFonts w:eastAsia="Calibri"/>
          <w:b/>
          <w:noProof/>
          <w:szCs w:val="22"/>
          <w:lang w:val="it-IT" w:eastAsia="en-US"/>
        </w:rPr>
        <w:t>Dopo l’iniezione</w:t>
      </w:r>
    </w:p>
    <w:p>
      <w:pPr>
        <w:autoSpaceDE w:val="0"/>
        <w:autoSpaceDN w:val="0"/>
        <w:adjustRightInd w:val="0"/>
        <w:ind w:left="567" w:hanging="567"/>
        <w:rPr>
          <w:rFonts w:eastAsia="Calibri"/>
          <w:noProof/>
          <w:szCs w:val="22"/>
          <w:lang w:val="it-IT" w:eastAsia="en-US"/>
        </w:rPr>
        <w:pPrChange w:id="13809" w:author="Author">
          <w:pPr>
            <w:autoSpaceDE w:val="0"/>
            <w:autoSpaceDN w:val="0"/>
            <w:adjustRightInd w:val="0"/>
            <w:spacing w:after="60" w:line="259" w:lineRule="auto"/>
            <w:ind w:left="714" w:hanging="357"/>
          </w:pPr>
        </w:pPrChange>
      </w:pPr>
      <w:r>
        <w:rPr>
          <w:noProof/>
          <w:lang w:val="it-IT"/>
        </w:rPr>
        <w:sym w:font="Symbol" w:char="00B7"/>
      </w:r>
      <w:r>
        <w:rPr>
          <w:noProof/>
          <w:lang w:val="it-IT"/>
        </w:rPr>
        <w:tab/>
      </w:r>
      <w:r>
        <w:rPr>
          <w:rFonts w:eastAsia="Calibri"/>
          <w:noProof/>
          <w:szCs w:val="22"/>
          <w:lang w:val="it-IT" w:eastAsia="en-US"/>
        </w:rPr>
        <w:t>Se nota la presenza di qualche goccia di sangue nel sito di iniezione, può premere un batuffolo di cotone o una garza sterile sul sito di iniezione.</w:t>
      </w:r>
    </w:p>
    <w:p>
      <w:pPr>
        <w:autoSpaceDE w:val="0"/>
        <w:autoSpaceDN w:val="0"/>
        <w:adjustRightInd w:val="0"/>
        <w:ind w:left="567" w:hanging="567"/>
        <w:rPr>
          <w:rFonts w:eastAsia="Calibri"/>
          <w:noProof/>
          <w:szCs w:val="22"/>
          <w:lang w:val="it-IT" w:eastAsia="en-US"/>
        </w:rPr>
        <w:pPrChange w:id="13810" w:author="Author">
          <w:pPr>
            <w:autoSpaceDE w:val="0"/>
            <w:autoSpaceDN w:val="0"/>
            <w:adjustRightInd w:val="0"/>
            <w:spacing w:after="60" w:line="259" w:lineRule="auto"/>
            <w:ind w:left="714" w:hanging="357"/>
          </w:pPr>
        </w:pPrChange>
      </w:pPr>
      <w:r>
        <w:rPr>
          <w:noProof/>
          <w:lang w:val="it-IT"/>
        </w:rPr>
        <w:sym w:font="Symbol" w:char="00B7"/>
      </w:r>
      <w:r>
        <w:rPr>
          <w:noProof/>
          <w:lang w:val="it-IT"/>
        </w:rPr>
        <w:tab/>
      </w:r>
      <w:r>
        <w:rPr>
          <w:rFonts w:eastAsia="Calibri"/>
          <w:b/>
          <w:bCs/>
          <w:noProof/>
          <w:szCs w:val="22"/>
          <w:lang w:val="it-IT" w:eastAsia="en-US"/>
        </w:rPr>
        <w:t>Non strofini</w:t>
      </w:r>
      <w:r>
        <w:rPr>
          <w:rFonts w:eastAsia="Calibri"/>
          <w:noProof/>
          <w:szCs w:val="22"/>
          <w:lang w:val="it-IT" w:eastAsia="en-US"/>
        </w:rPr>
        <w:t xml:space="preserve"> il sito di iniezione.</w:t>
      </w:r>
    </w:p>
    <w:p>
      <w:pPr>
        <w:autoSpaceDE w:val="0"/>
        <w:autoSpaceDN w:val="0"/>
        <w:adjustRightInd w:val="0"/>
        <w:ind w:left="567" w:hanging="567"/>
        <w:rPr>
          <w:rFonts w:eastAsia="Calibri"/>
          <w:noProof/>
          <w:szCs w:val="22"/>
          <w:lang w:val="it-IT" w:eastAsia="en-US"/>
        </w:rPr>
        <w:pPrChange w:id="13811" w:author="Author">
          <w:pPr>
            <w:autoSpaceDE w:val="0"/>
            <w:autoSpaceDN w:val="0"/>
            <w:adjustRightInd w:val="0"/>
            <w:spacing w:after="60" w:line="259" w:lineRule="auto"/>
            <w:ind w:left="714" w:hanging="357"/>
          </w:pPr>
        </w:pPrChange>
      </w:pPr>
      <w:r>
        <w:rPr>
          <w:noProof/>
          <w:lang w:val="it-IT"/>
        </w:rPr>
        <w:sym w:font="Symbol" w:char="00B7"/>
      </w:r>
      <w:r>
        <w:rPr>
          <w:noProof/>
          <w:lang w:val="it-IT"/>
        </w:rPr>
        <w:tab/>
      </w:r>
      <w:r>
        <w:rPr>
          <w:rFonts w:eastAsia="Calibri"/>
          <w:noProof/>
          <w:szCs w:val="22"/>
          <w:lang w:val="it-IT" w:eastAsia="en-US"/>
        </w:rPr>
        <w:t>Se necessario, può coprire il sito di iniezione con un cerotto.</w:t>
      </w:r>
    </w:p>
    <w:p>
      <w:pPr>
        <w:autoSpaceDE w:val="0"/>
        <w:autoSpaceDN w:val="0"/>
        <w:adjustRightInd w:val="0"/>
        <w:spacing w:after="60"/>
        <w:rPr>
          <w:ins w:id="13812" w:author="Author"/>
          <w:rFonts w:eastAsia="Calibri"/>
          <w:b/>
          <w:noProof/>
          <w:szCs w:val="22"/>
          <w:lang w:val="it-IT" w:eastAsia="en-US"/>
        </w:rPr>
      </w:pPr>
    </w:p>
    <w:p>
      <w:pPr>
        <w:keepNext/>
        <w:keepLines/>
        <w:autoSpaceDE w:val="0"/>
        <w:autoSpaceDN w:val="0"/>
        <w:adjustRightInd w:val="0"/>
        <w:spacing w:after="60"/>
        <w:rPr>
          <w:rFonts w:eastAsia="Calibri"/>
          <w:b/>
          <w:noProof/>
          <w:szCs w:val="22"/>
          <w:lang w:val="it-IT" w:eastAsia="en-US"/>
        </w:rPr>
        <w:pPrChange w:id="13813" w:author="Author">
          <w:pPr>
            <w:autoSpaceDE w:val="0"/>
            <w:autoSpaceDN w:val="0"/>
            <w:adjustRightInd w:val="0"/>
            <w:spacing w:after="60"/>
          </w:pPr>
        </w:pPrChange>
      </w:pPr>
      <w:r>
        <w:rPr>
          <w:rFonts w:eastAsia="Calibri"/>
          <w:b/>
          <w:noProof/>
          <w:szCs w:val="22"/>
          <w:lang w:val="it-IT" w:eastAsia="en-US"/>
        </w:rPr>
        <w:lastRenderedPageBreak/>
        <w:t>Fase 4. Smaltimento della penna preriempita</w:t>
      </w:r>
    </w:p>
    <w:p>
      <w:pPr>
        <w:keepNext/>
        <w:keepLines/>
        <w:autoSpaceDE w:val="0"/>
        <w:autoSpaceDN w:val="0"/>
        <w:adjustRightInd w:val="0"/>
        <w:ind w:left="567" w:hanging="567"/>
        <w:rPr>
          <w:rFonts w:eastAsia="Calibri"/>
          <w:noProof/>
          <w:szCs w:val="22"/>
          <w:lang w:val="it-IT" w:eastAsia="en-US"/>
        </w:rPr>
        <w:pPrChange w:id="13814" w:author="Author">
          <w:pPr>
            <w:autoSpaceDE w:val="0"/>
            <w:autoSpaceDN w:val="0"/>
            <w:adjustRightInd w:val="0"/>
            <w:spacing w:after="60" w:line="259" w:lineRule="auto"/>
            <w:ind w:left="714" w:hanging="357"/>
          </w:pPr>
        </w:pPrChange>
      </w:pPr>
      <w:r>
        <w:rPr>
          <w:noProof/>
          <w:lang w:val="it-IT"/>
        </w:rPr>
        <w:sym w:font="Symbol" w:char="00B7"/>
      </w:r>
      <w:r>
        <w:rPr>
          <w:noProof/>
          <w:lang w:val="it-IT"/>
        </w:rPr>
        <w:tab/>
      </w:r>
      <w:r>
        <w:rPr>
          <w:rFonts w:eastAsia="Calibri"/>
          <w:noProof/>
          <w:szCs w:val="22"/>
          <w:lang w:val="it-IT" w:eastAsia="en-US"/>
        </w:rPr>
        <w:t>La penna preriempita di RoActemra non deve essere riutilizzata.</w:t>
      </w:r>
    </w:p>
    <w:p>
      <w:pPr>
        <w:tabs>
          <w:tab w:val="left" w:pos="567"/>
          <w:tab w:val="left" w:pos="709"/>
        </w:tabs>
        <w:autoSpaceDE w:val="0"/>
        <w:autoSpaceDN w:val="0"/>
        <w:adjustRightInd w:val="0"/>
        <w:ind w:left="567" w:hanging="567"/>
        <w:rPr>
          <w:rFonts w:eastAsia="Calibri"/>
          <w:b/>
          <w:noProof/>
          <w:szCs w:val="22"/>
          <w:lang w:val="it-IT" w:eastAsia="en-US"/>
        </w:rPr>
        <w:pPrChange w:id="13815" w:author="Author">
          <w:pPr>
            <w:tabs>
              <w:tab w:val="left" w:pos="567"/>
              <w:tab w:val="left" w:pos="709"/>
            </w:tabs>
            <w:autoSpaceDE w:val="0"/>
            <w:autoSpaceDN w:val="0"/>
            <w:adjustRightInd w:val="0"/>
            <w:spacing w:after="60" w:line="259" w:lineRule="auto"/>
            <w:ind w:left="714" w:hanging="357"/>
          </w:pPr>
        </w:pPrChange>
      </w:pPr>
      <w:r>
        <w:rPr>
          <w:noProof/>
          <w:lang w:val="it-IT"/>
        </w:rPr>
        <w:sym w:font="Symbol" w:char="00B7"/>
      </w:r>
      <w:r>
        <w:rPr>
          <w:noProof/>
          <w:lang w:val="it-IT"/>
        </w:rPr>
        <w:tab/>
      </w:r>
      <w:r>
        <w:rPr>
          <w:rFonts w:eastAsia="Calibri"/>
          <w:noProof/>
          <w:szCs w:val="22"/>
          <w:lang w:val="it-IT" w:eastAsia="en-US"/>
        </w:rPr>
        <w:t xml:space="preserve">Riponga la penna preriempita nel contenitore per materiali taglienti (vedere </w:t>
      </w:r>
      <w:r>
        <w:rPr>
          <w:rFonts w:eastAsia="Calibri"/>
          <w:b/>
          <w:bCs/>
          <w:noProof/>
          <w:szCs w:val="22"/>
          <w:lang w:val="it-IT" w:eastAsia="en-US"/>
        </w:rPr>
        <w:t>“Indicazioni per lo smaltimento delle penne preriempite”</w:t>
      </w:r>
      <w:r>
        <w:rPr>
          <w:rFonts w:eastAsia="Calibri"/>
          <w:noProof/>
          <w:szCs w:val="22"/>
          <w:lang w:val="it-IT" w:eastAsia="en-US"/>
        </w:rPr>
        <w:t>)</w:t>
      </w:r>
    </w:p>
    <w:p>
      <w:pPr>
        <w:tabs>
          <w:tab w:val="left" w:pos="540"/>
          <w:tab w:val="left" w:pos="1440"/>
          <w:tab w:val="left" w:pos="1620"/>
        </w:tabs>
        <w:autoSpaceDE w:val="0"/>
        <w:autoSpaceDN w:val="0"/>
        <w:adjustRightInd w:val="0"/>
        <w:ind w:left="567" w:hanging="567"/>
        <w:rPr>
          <w:rFonts w:eastAsia="Calibri"/>
          <w:noProof/>
          <w:szCs w:val="22"/>
          <w:lang w:val="it-IT" w:eastAsia="en-US"/>
        </w:rPr>
        <w:pPrChange w:id="13816" w:author="Author">
          <w:pPr>
            <w:tabs>
              <w:tab w:val="left" w:pos="540"/>
              <w:tab w:val="left" w:pos="1440"/>
              <w:tab w:val="left" w:pos="1620"/>
            </w:tabs>
            <w:autoSpaceDE w:val="0"/>
            <w:autoSpaceDN w:val="0"/>
            <w:adjustRightInd w:val="0"/>
            <w:spacing w:after="60" w:line="259" w:lineRule="auto"/>
            <w:ind w:left="714" w:hanging="357"/>
          </w:pPr>
        </w:pPrChange>
      </w:pPr>
      <w:r>
        <w:rPr>
          <w:noProof/>
          <w:lang w:val="it-IT"/>
        </w:rPr>
        <w:sym w:font="Symbol" w:char="00B7"/>
      </w:r>
      <w:r>
        <w:rPr>
          <w:noProof/>
          <w:lang w:val="it-IT"/>
        </w:rPr>
        <w:tab/>
      </w:r>
      <w:r>
        <w:rPr>
          <w:rFonts w:eastAsia="Calibri"/>
          <w:b/>
          <w:noProof/>
          <w:szCs w:val="22"/>
          <w:lang w:val="it-IT" w:eastAsia="en-US"/>
        </w:rPr>
        <w:t>Non</w:t>
      </w:r>
      <w:r>
        <w:rPr>
          <w:rFonts w:eastAsia="Calibri"/>
          <w:noProof/>
          <w:szCs w:val="22"/>
          <w:lang w:val="it-IT" w:eastAsia="en-US"/>
        </w:rPr>
        <w:t xml:space="preserve"> cerchi di rimettere il cappuccio sulla penna preriempita.</w:t>
      </w:r>
    </w:p>
    <w:p>
      <w:pPr>
        <w:tabs>
          <w:tab w:val="left" w:pos="540"/>
        </w:tabs>
        <w:autoSpaceDE w:val="0"/>
        <w:autoSpaceDN w:val="0"/>
        <w:adjustRightInd w:val="0"/>
        <w:ind w:left="567" w:hanging="567"/>
        <w:rPr>
          <w:rFonts w:eastAsia="Calibri"/>
          <w:noProof/>
          <w:szCs w:val="22"/>
          <w:lang w:val="it-IT" w:eastAsia="en-US"/>
        </w:rPr>
        <w:pPrChange w:id="13817" w:author="Author">
          <w:pPr>
            <w:tabs>
              <w:tab w:val="left" w:pos="540"/>
            </w:tabs>
            <w:autoSpaceDE w:val="0"/>
            <w:autoSpaceDN w:val="0"/>
            <w:adjustRightInd w:val="0"/>
            <w:spacing w:after="60" w:line="259" w:lineRule="auto"/>
            <w:ind w:left="714" w:hanging="357"/>
          </w:pPr>
        </w:pPrChange>
      </w:pPr>
      <w:r>
        <w:rPr>
          <w:noProof/>
          <w:lang w:val="it-IT"/>
        </w:rPr>
        <w:sym w:font="Symbol" w:char="00B7"/>
      </w:r>
      <w:r>
        <w:rPr>
          <w:noProof/>
          <w:lang w:val="it-IT"/>
        </w:rPr>
        <w:tab/>
      </w:r>
      <w:r>
        <w:rPr>
          <w:rFonts w:eastAsia="Calibri"/>
          <w:b/>
          <w:noProof/>
          <w:szCs w:val="22"/>
          <w:lang w:val="it-IT" w:eastAsia="en-US"/>
        </w:rPr>
        <w:t xml:space="preserve">Se l’iniezione le viene somministrata da un’altra persona, questa persona deve fare attenzione durante la rimozione </w:t>
      </w:r>
      <w:ins w:id="13818" w:author="Author">
        <w:r>
          <w:rPr>
            <w:rFonts w:eastAsia="Calibri"/>
            <w:b/>
            <w:noProof/>
            <w:szCs w:val="22"/>
            <w:lang w:val="it-IT" w:eastAsia="en-US"/>
          </w:rPr>
          <w:t xml:space="preserve">e lo smaltimento </w:t>
        </w:r>
      </w:ins>
      <w:r>
        <w:rPr>
          <w:rFonts w:eastAsia="Calibri"/>
          <w:b/>
          <w:noProof/>
          <w:szCs w:val="22"/>
          <w:lang w:val="it-IT" w:eastAsia="en-US"/>
        </w:rPr>
        <w:t xml:space="preserve">della penna preriempita </w:t>
      </w:r>
      <w:del w:id="13819" w:author="Author">
        <w:r>
          <w:rPr>
            <w:rFonts w:eastAsia="Calibri"/>
            <w:b/>
            <w:noProof/>
            <w:szCs w:val="22"/>
            <w:lang w:val="it-IT" w:eastAsia="en-US"/>
          </w:rPr>
          <w:delText xml:space="preserve">e il suo smaltimento </w:delText>
        </w:r>
      </w:del>
      <w:r>
        <w:rPr>
          <w:rFonts w:eastAsia="Calibri"/>
          <w:b/>
          <w:noProof/>
          <w:szCs w:val="22"/>
          <w:lang w:val="it-IT" w:eastAsia="en-US"/>
        </w:rPr>
        <w:t>al fine di evitare una lesione da puntura accidentale e la trasmissione di un’infezione.</w:t>
      </w:r>
    </w:p>
    <w:p>
      <w:pPr>
        <w:autoSpaceDE w:val="0"/>
        <w:autoSpaceDN w:val="0"/>
        <w:adjustRightInd w:val="0"/>
        <w:spacing w:after="60"/>
        <w:rPr>
          <w:rFonts w:eastAsia="Calibri"/>
          <w:b/>
          <w:noProof/>
          <w:szCs w:val="22"/>
          <w:lang w:val="it-IT" w:eastAsia="en-US"/>
        </w:rPr>
      </w:pPr>
      <w:r>
        <w:rPr>
          <w:rFonts w:eastAsia="Calibri"/>
          <w:b/>
          <w:noProof/>
          <w:szCs w:val="22"/>
          <w:lang w:val="it-IT" w:eastAsia="en-US"/>
        </w:rPr>
        <w:t>Indicazioni per lo smaltimento delle penne preriempite</w:t>
      </w:r>
    </w:p>
    <w:p>
      <w:pPr>
        <w:widowControl w:val="0"/>
        <w:tabs>
          <w:tab w:val="left" w:pos="567"/>
          <w:tab w:val="left" w:pos="720"/>
        </w:tabs>
        <w:ind w:left="567" w:hanging="567"/>
        <w:rPr>
          <w:rFonts w:eastAsia="Calibri"/>
          <w:noProof/>
          <w:szCs w:val="22"/>
          <w:lang w:val="it-IT" w:eastAsia="en-US"/>
        </w:rPr>
        <w:pPrChange w:id="13820" w:author="Author">
          <w:pPr>
            <w:widowControl w:val="0"/>
            <w:tabs>
              <w:tab w:val="left" w:pos="567"/>
              <w:tab w:val="left" w:pos="720"/>
            </w:tabs>
            <w:spacing w:after="60" w:line="259" w:lineRule="auto"/>
            <w:ind w:left="714" w:hanging="357"/>
          </w:pPr>
        </w:pPrChange>
      </w:pPr>
      <w:r>
        <w:rPr>
          <w:noProof/>
          <w:lang w:val="it-IT"/>
        </w:rPr>
        <w:sym w:font="Symbol" w:char="00B7"/>
      </w:r>
      <w:r>
        <w:rPr>
          <w:noProof/>
          <w:lang w:val="it-IT"/>
        </w:rPr>
        <w:tab/>
      </w:r>
      <w:r>
        <w:rPr>
          <w:rFonts w:eastAsia="Calibri"/>
          <w:noProof/>
          <w:szCs w:val="22"/>
          <w:lang w:val="it-IT" w:eastAsia="en-US"/>
        </w:rPr>
        <w:t xml:space="preserve">Metta la penna preriempita di RoActemra e il cappuccio verde in un contenitore per materiali taglienti subito dopo l’uso </w:t>
      </w:r>
      <w:r>
        <w:rPr>
          <w:rFonts w:eastAsia="Calibri"/>
          <w:b/>
          <w:bCs/>
          <w:noProof/>
          <w:szCs w:val="22"/>
          <w:lang w:val="it-IT" w:eastAsia="en-US"/>
        </w:rPr>
        <w:t>(Vedere Figura M).</w:t>
      </w:r>
    </w:p>
    <w:p>
      <w:pPr>
        <w:widowControl w:val="0"/>
        <w:tabs>
          <w:tab w:val="left" w:pos="620"/>
          <w:tab w:val="left" w:pos="720"/>
        </w:tabs>
        <w:ind w:left="567" w:hanging="567"/>
        <w:rPr>
          <w:rFonts w:eastAsia="Verdana"/>
          <w:b/>
          <w:noProof/>
          <w:szCs w:val="22"/>
          <w:lang w:val="it-IT" w:eastAsia="en-US"/>
        </w:rPr>
        <w:pPrChange w:id="13821" w:author="Author">
          <w:pPr>
            <w:widowControl w:val="0"/>
            <w:tabs>
              <w:tab w:val="left" w:pos="620"/>
              <w:tab w:val="left" w:pos="720"/>
            </w:tabs>
            <w:spacing w:after="60" w:line="259" w:lineRule="auto"/>
            <w:ind w:left="714" w:hanging="357"/>
          </w:pPr>
        </w:pPrChange>
      </w:pPr>
      <w:r>
        <w:rPr>
          <w:noProof/>
          <w:lang w:val="it-IT"/>
        </w:rPr>
        <w:sym w:font="Symbol" w:char="00B7"/>
      </w:r>
      <w:r>
        <w:rPr>
          <w:noProof/>
          <w:lang w:val="it-IT"/>
        </w:rPr>
        <w:tab/>
      </w:r>
      <w:r>
        <w:rPr>
          <w:rFonts w:eastAsia="Calibri"/>
          <w:b/>
          <w:noProof/>
          <w:szCs w:val="22"/>
          <w:lang w:val="it-IT" w:eastAsia="en-US"/>
        </w:rPr>
        <w:t>Non getti (smaltisca) la penna preriempita e il cappuccio verde nei rifiuti domestici e non li ricicli.</w:t>
      </w:r>
    </w:p>
    <w:p>
      <w:pPr>
        <w:widowControl w:val="0"/>
        <w:tabs>
          <w:tab w:val="left" w:pos="620"/>
        </w:tabs>
        <w:spacing w:before="60"/>
        <w:ind w:left="360" w:right="-14"/>
        <w:jc w:val="center"/>
        <w:rPr>
          <w:b/>
          <w:noProof/>
          <w:szCs w:val="22"/>
          <w:lang w:val="it-IT" w:eastAsia="en-US"/>
        </w:rPr>
      </w:pPr>
      <w:r>
        <w:rPr>
          <w:rFonts w:eastAsia="Calibri"/>
          <w:b/>
          <w:noProof/>
          <w:szCs w:val="22"/>
          <w:lang w:eastAsia="en-US"/>
        </w:rPr>
        <w:drawing>
          <wp:inline distT="0" distB="0" distL="0" distR="0">
            <wp:extent cx="2743200" cy="2131060"/>
            <wp:effectExtent l="0" t="0" r="0" b="0"/>
            <wp:docPr id="23" name="Immagine 1" descr="AI-Upgrade-IFU_vG_images-(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AI-Upgrade-IFU_vG_images-(2)-12"/>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131060"/>
                    </a:xfrm>
                    <a:prstGeom prst="rect">
                      <a:avLst/>
                    </a:prstGeom>
                    <a:noFill/>
                    <a:ln>
                      <a:noFill/>
                    </a:ln>
                  </pic:spPr>
                </pic:pic>
              </a:graphicData>
            </a:graphic>
          </wp:inline>
        </w:drawing>
      </w:r>
    </w:p>
    <w:p>
      <w:pPr>
        <w:widowControl w:val="0"/>
        <w:tabs>
          <w:tab w:val="left" w:pos="620"/>
        </w:tabs>
        <w:spacing w:before="60"/>
        <w:ind w:left="360" w:right="-14"/>
        <w:jc w:val="center"/>
        <w:rPr>
          <w:b/>
          <w:noProof/>
          <w:szCs w:val="22"/>
          <w:lang w:val="it-IT" w:eastAsia="en-US"/>
        </w:rPr>
      </w:pPr>
      <w:r>
        <w:rPr>
          <w:rFonts w:eastAsia="Calibri"/>
          <w:b/>
          <w:noProof/>
          <w:szCs w:val="22"/>
          <w:lang w:val="it-IT" w:eastAsia="en-US"/>
        </w:rPr>
        <w:t>Figura M</w:t>
      </w:r>
    </w:p>
    <w:p>
      <w:pPr>
        <w:widowControl w:val="0"/>
        <w:tabs>
          <w:tab w:val="left" w:pos="620"/>
        </w:tabs>
        <w:ind w:right="-20"/>
        <w:rPr>
          <w:rFonts w:eastAsia="Verdana"/>
          <w:b/>
          <w:noProof/>
          <w:szCs w:val="22"/>
          <w:lang w:val="it-IT"/>
        </w:rPr>
      </w:pPr>
    </w:p>
    <w:p>
      <w:pPr>
        <w:autoSpaceDE w:val="0"/>
        <w:autoSpaceDN w:val="0"/>
        <w:adjustRightInd w:val="0"/>
        <w:ind w:left="567" w:hanging="567"/>
        <w:rPr>
          <w:noProof/>
          <w:szCs w:val="22"/>
          <w:lang w:val="it-IT" w:eastAsia="en-US"/>
        </w:rPr>
        <w:pPrChange w:id="13822" w:author="Author">
          <w:pPr>
            <w:autoSpaceDE w:val="0"/>
            <w:autoSpaceDN w:val="0"/>
            <w:adjustRightInd w:val="0"/>
            <w:ind w:left="714" w:hanging="357"/>
          </w:pPr>
        </w:pPrChange>
      </w:pPr>
      <w:r>
        <w:rPr>
          <w:noProof/>
          <w:lang w:val="it-IT"/>
        </w:rPr>
        <w:sym w:font="Symbol" w:char="00B7"/>
      </w:r>
      <w:r>
        <w:rPr>
          <w:noProof/>
          <w:lang w:val="it-IT"/>
        </w:rPr>
        <w:tab/>
      </w:r>
      <w:del w:id="13823" w:author="Author">
        <w:r>
          <w:rPr>
            <w:rFonts w:eastAsia="Calibri"/>
            <w:b/>
            <w:noProof/>
            <w:szCs w:val="22"/>
            <w:lang w:val="it-IT" w:eastAsia="en-US"/>
          </w:rPr>
          <w:delText xml:space="preserve"> </w:delText>
        </w:r>
      </w:del>
      <w:r>
        <w:rPr>
          <w:rFonts w:eastAsia="Calibri"/>
          <w:noProof/>
          <w:szCs w:val="22"/>
          <w:lang w:val="it-IT" w:eastAsia="en-US"/>
        </w:rPr>
        <w:t>Smaltisca il contenitore pieno attenendosi alle istruzioni ricevute dall’operatore sanitario o dal farmacista.</w:t>
      </w:r>
    </w:p>
    <w:p>
      <w:pPr>
        <w:autoSpaceDE w:val="0"/>
        <w:autoSpaceDN w:val="0"/>
        <w:adjustRightInd w:val="0"/>
        <w:ind w:left="567" w:hanging="567"/>
        <w:rPr>
          <w:noProof/>
          <w:szCs w:val="22"/>
          <w:lang w:val="it-IT" w:eastAsia="en-US"/>
        </w:rPr>
        <w:pPrChange w:id="13824" w:author="Author">
          <w:pPr>
            <w:autoSpaceDE w:val="0"/>
            <w:autoSpaceDN w:val="0"/>
            <w:adjustRightInd w:val="0"/>
            <w:ind w:left="714" w:hanging="357"/>
          </w:pPr>
        </w:pPrChange>
      </w:pPr>
      <w:r>
        <w:rPr>
          <w:noProof/>
          <w:lang w:val="it-IT"/>
        </w:rPr>
        <w:sym w:font="Symbol" w:char="00B7"/>
      </w:r>
      <w:r>
        <w:rPr>
          <w:noProof/>
          <w:lang w:val="it-IT"/>
        </w:rPr>
        <w:tab/>
      </w:r>
      <w:del w:id="13825" w:author="Author">
        <w:r>
          <w:rPr>
            <w:rFonts w:eastAsia="Calibri"/>
            <w:b/>
            <w:noProof/>
            <w:szCs w:val="22"/>
            <w:lang w:val="it-IT" w:eastAsia="en-US"/>
          </w:rPr>
          <w:delText xml:space="preserve"> </w:delText>
        </w:r>
      </w:del>
      <w:r>
        <w:rPr>
          <w:rFonts w:eastAsia="Calibri"/>
          <w:noProof/>
          <w:szCs w:val="22"/>
          <w:lang w:val="it-IT" w:eastAsia="en-US"/>
        </w:rPr>
        <w:t>Tenga sempre il contenitore resistente alla perforazione fuori dalla vista e dalla portata dei bambini.</w:t>
      </w:r>
    </w:p>
    <w:p>
      <w:pPr>
        <w:autoSpaceDE w:val="0"/>
        <w:autoSpaceDN w:val="0"/>
        <w:adjustRightInd w:val="0"/>
        <w:spacing w:after="60"/>
        <w:rPr>
          <w:rFonts w:eastAsia="Calibri"/>
          <w:b/>
          <w:noProof/>
          <w:szCs w:val="22"/>
          <w:lang w:val="it-IT"/>
        </w:rPr>
      </w:pPr>
    </w:p>
    <w:p>
      <w:pPr>
        <w:autoSpaceDE w:val="0"/>
        <w:autoSpaceDN w:val="0"/>
        <w:adjustRightInd w:val="0"/>
        <w:spacing w:after="60"/>
        <w:rPr>
          <w:rFonts w:eastAsia="Calibri"/>
          <w:b/>
          <w:noProof/>
          <w:szCs w:val="22"/>
          <w:lang w:val="it-IT" w:eastAsia="en-US"/>
        </w:rPr>
      </w:pPr>
      <w:r>
        <w:rPr>
          <w:rFonts w:eastAsia="Calibri"/>
          <w:b/>
          <w:noProof/>
          <w:szCs w:val="22"/>
          <w:lang w:val="it-IT" w:eastAsia="en-US"/>
        </w:rPr>
        <w:t>Tenere la penna preriempita di RoActemra e il contenitore resistente alla perforazione fuori dalla vista e dalla portata dei bambini.</w:t>
      </w:r>
    </w:p>
    <w:p>
      <w:pPr>
        <w:autoSpaceDE w:val="0"/>
        <w:autoSpaceDN w:val="0"/>
        <w:adjustRightInd w:val="0"/>
        <w:spacing w:after="60"/>
        <w:rPr>
          <w:rFonts w:eastAsia="Calibri"/>
          <w:b/>
          <w:noProof/>
          <w:szCs w:val="22"/>
          <w:lang w:val="it-IT" w:eastAsia="en-US"/>
        </w:rPr>
      </w:pPr>
      <w:r>
        <w:rPr>
          <w:rFonts w:eastAsia="Calibri"/>
          <w:b/>
          <w:noProof/>
          <w:szCs w:val="22"/>
          <w:lang w:val="it-IT" w:eastAsia="en-US"/>
        </w:rPr>
        <w:t>Registrazione dell’iniezione</w:t>
      </w:r>
    </w:p>
    <w:p>
      <w:pPr>
        <w:autoSpaceDE w:val="0"/>
        <w:autoSpaceDN w:val="0"/>
        <w:adjustRightInd w:val="0"/>
        <w:ind w:left="567" w:hanging="567"/>
        <w:rPr>
          <w:rFonts w:eastAsia="Calibri"/>
          <w:b/>
          <w:noProof/>
          <w:szCs w:val="22"/>
          <w:lang w:val="it-IT" w:eastAsia="en-US"/>
        </w:rPr>
        <w:pPrChange w:id="13826" w:author="Author">
          <w:pPr>
            <w:autoSpaceDE w:val="0"/>
            <w:autoSpaceDN w:val="0"/>
            <w:adjustRightInd w:val="0"/>
            <w:spacing w:after="60" w:line="259" w:lineRule="auto"/>
            <w:ind w:left="714" w:hanging="357"/>
          </w:pPr>
        </w:pPrChange>
      </w:pPr>
      <w:r>
        <w:rPr>
          <w:noProof/>
          <w:lang w:val="it-IT"/>
        </w:rPr>
        <w:sym w:font="Symbol" w:char="00B7"/>
      </w:r>
      <w:r>
        <w:rPr>
          <w:noProof/>
          <w:lang w:val="it-IT"/>
        </w:rPr>
        <w:tab/>
      </w:r>
      <w:r>
        <w:rPr>
          <w:rFonts w:eastAsia="Calibri"/>
          <w:noProof/>
          <w:szCs w:val="22"/>
          <w:lang w:val="it-IT" w:eastAsia="en-US"/>
        </w:rPr>
        <w:t>Una volta eseguita l’iniezione, annoti la data, l’ora e la parte del corpo specifica in cui ha praticato l’iniezione. Potrebbe essere utile anche annotare eventuali domande o dubbi sull’iniezione da portare all’attenzione dell’operatore sanitario.</w:t>
      </w:r>
    </w:p>
    <w:p>
      <w:pPr>
        <w:autoSpaceDE w:val="0"/>
        <w:autoSpaceDN w:val="0"/>
        <w:adjustRightInd w:val="0"/>
        <w:spacing w:after="60"/>
        <w:rPr>
          <w:ins w:id="13827" w:author="Author"/>
          <w:rFonts w:eastAsia="Calibri"/>
          <w:b/>
          <w:noProof/>
          <w:szCs w:val="22"/>
          <w:lang w:val="it-IT" w:eastAsia="en-US"/>
        </w:rPr>
      </w:pPr>
    </w:p>
    <w:p>
      <w:pPr>
        <w:autoSpaceDE w:val="0"/>
        <w:autoSpaceDN w:val="0"/>
        <w:adjustRightInd w:val="0"/>
        <w:spacing w:after="60"/>
        <w:rPr>
          <w:rFonts w:eastAsia="Calibri"/>
          <w:b/>
          <w:noProof/>
          <w:szCs w:val="22"/>
          <w:lang w:val="it-IT" w:eastAsia="en-US"/>
        </w:rPr>
      </w:pPr>
      <w:r>
        <w:rPr>
          <w:rFonts w:eastAsia="Calibri"/>
          <w:b/>
          <w:noProof/>
          <w:szCs w:val="22"/>
          <w:lang w:val="it-IT" w:eastAsia="en-US"/>
        </w:rPr>
        <w:t>Se ha domande o dubbi sulla penna preriempita di RoActemra, ne parli con l’operatore sanitario esperto di RoActemra.</w:t>
      </w:r>
    </w:p>
    <w:p>
      <w:pPr>
        <w:rPr>
          <w:ins w:id="13828" w:author="Author"/>
          <w:noProof/>
          <w:lang w:val="it-IT"/>
        </w:rPr>
      </w:pPr>
      <w:ins w:id="13829" w:author="Author">
        <w:r>
          <w:rPr>
            <w:noProof/>
            <w:lang w:val="it-IT"/>
          </w:rPr>
          <w:br w:type="page"/>
        </w:r>
      </w:ins>
    </w:p>
    <w:p>
      <w:pPr>
        <w:pBdr>
          <w:top w:val="dashed" w:sz="4" w:space="1" w:color="auto"/>
        </w:pBdr>
        <w:rPr>
          <w:ins w:id="13830" w:author="Author"/>
          <w:noProof/>
          <w:szCs w:val="22"/>
          <w:lang w:val="it-IT"/>
          <w:rPrChange w:id="13831" w:author="Author">
            <w:rPr>
              <w:ins w:id="13832" w:author="Author"/>
              <w:szCs w:val="22"/>
            </w:rPr>
          </w:rPrChange>
        </w:rPr>
      </w:pPr>
      <w:ins w:id="13833" w:author="Author">
        <w:r>
          <w:rPr>
            <w:noProof/>
            <w:szCs w:val="22"/>
            <w:lang w:val="it-IT"/>
            <w:rPrChange w:id="13834" w:author="Author">
              <w:rPr>
                <w:szCs w:val="22"/>
              </w:rPr>
            </w:rPrChange>
          </w:rPr>
          <w:lastRenderedPageBreak/>
          <w:t>Questi pittogrammi sono raffigurati a sinistra nel foglio illustrativ</w:t>
        </w:r>
        <w:r>
          <w:rPr>
            <w:noProof/>
            <w:szCs w:val="22"/>
            <w:lang w:val="it-IT"/>
          </w:rPr>
          <w:t>o</w:t>
        </w:r>
        <w:r>
          <w:rPr>
            <w:noProof/>
            <w:szCs w:val="22"/>
            <w:lang w:val="it-IT"/>
            <w:rPrChange w:id="13835" w:author="Author">
              <w:rPr>
                <w:szCs w:val="22"/>
              </w:rPr>
            </w:rPrChange>
          </w:rPr>
          <w:t xml:space="preserve"> stampato</w:t>
        </w:r>
      </w:ins>
    </w:p>
    <w:p>
      <w:pPr>
        <w:jc w:val="center"/>
        <w:rPr>
          <w:ins w:id="13836" w:author="Author"/>
          <w:noProof/>
          <w:lang w:val="it-IT"/>
        </w:rPr>
      </w:pPr>
      <w:ins w:id="13837" w:author="Author">
        <w:r>
          <w:rPr>
            <w:noProof/>
            <w:lang w:eastAsia="en-US"/>
          </w:rPr>
          <mc:AlternateContent>
            <mc:Choice Requires="wps">
              <w:drawing>
                <wp:anchor distT="45720" distB="45720" distL="114300" distR="114300" simplePos="0" relativeHeight="251667456" behindDoc="0" locked="0" layoutInCell="1" allowOverlap="1">
                  <wp:simplePos x="0" y="0"/>
                  <wp:positionH relativeFrom="margin">
                    <wp:posOffset>2009025</wp:posOffset>
                  </wp:positionH>
                  <wp:positionV relativeFrom="paragraph">
                    <wp:posOffset>121483</wp:posOffset>
                  </wp:positionV>
                  <wp:extent cx="1934210" cy="70658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706582"/>
                          </a:xfrm>
                          <a:prstGeom prst="rect">
                            <a:avLst/>
                          </a:prstGeom>
                          <a:noFill/>
                          <a:ln w="9525">
                            <a:noFill/>
                            <a:miter lim="800000"/>
                            <a:headEnd/>
                            <a:tailEnd/>
                          </a:ln>
                        </wps:spPr>
                        <wps:txbx>
                          <w:txbxContent>
                            <w:p>
                              <w:pPr>
                                <w:spacing w:line="192" w:lineRule="auto"/>
                                <w:rPr>
                                  <w:ins w:id="13838" w:author="Author"/>
                                  <w:rFonts w:asciiTheme="minorHAnsi" w:hAnsiTheme="minorHAnsi" w:cstheme="minorHAnsi"/>
                                  <w:sz w:val="24"/>
                                  <w:szCs w:val="24"/>
                                  <w:lang w:val="it-IT"/>
                                  <w:rPrChange w:id="13839" w:author="Author">
                                    <w:rPr>
                                      <w:ins w:id="13840" w:author="Author"/>
                                      <w:rFonts w:asciiTheme="minorHAnsi" w:hAnsiTheme="minorHAnsi" w:cstheme="minorHAnsi"/>
                                      <w:sz w:val="24"/>
                                      <w:szCs w:val="24"/>
                                    </w:rPr>
                                  </w:rPrChange>
                                </w:rPr>
                              </w:pPr>
                              <w:ins w:id="13841" w:author="Author">
                                <w:r>
                                  <w:rPr>
                                    <w:rFonts w:asciiTheme="minorHAnsi" w:hAnsiTheme="minorHAnsi" w:cstheme="minorHAnsi"/>
                                    <w:b/>
                                    <w:sz w:val="24"/>
                                    <w:szCs w:val="24"/>
                                    <w:lang w:val="it-IT"/>
                                    <w:rPrChange w:id="13842" w:author="Author">
                                      <w:rPr>
                                        <w:rFonts w:asciiTheme="minorHAnsi" w:hAnsiTheme="minorHAnsi" w:cstheme="minorHAnsi"/>
                                        <w:b/>
                                        <w:sz w:val="24"/>
                                        <w:szCs w:val="24"/>
                                      </w:rPr>
                                    </w:rPrChange>
                                  </w:rPr>
                                  <w:t>Premere</w:t>
                                </w:r>
                                <w:r>
                                  <w:rPr>
                                    <w:rFonts w:asciiTheme="minorHAnsi" w:hAnsiTheme="minorHAnsi" w:cstheme="minorHAnsi"/>
                                    <w:sz w:val="24"/>
                                    <w:szCs w:val="24"/>
                                    <w:lang w:val="it-IT"/>
                                    <w:rPrChange w:id="13843" w:author="Author">
                                      <w:rPr>
                                        <w:rFonts w:asciiTheme="minorHAnsi" w:hAnsiTheme="minorHAnsi" w:cstheme="minorHAnsi"/>
                                        <w:sz w:val="24"/>
                                        <w:szCs w:val="24"/>
                                      </w:rPr>
                                    </w:rPrChange>
                                  </w:rPr>
                                  <w:t xml:space="preserve"> contro la pelle per sbloccare. </w:t>
                                </w:r>
                                <w:r>
                                  <w:rPr>
                                    <w:rFonts w:asciiTheme="minorHAnsi" w:hAnsiTheme="minorHAnsi" w:cstheme="minorHAnsi"/>
                                    <w:sz w:val="24"/>
                                    <w:szCs w:val="24"/>
                                    <w:lang w:val="it-IT"/>
                                  </w:rPr>
                                  <w:t xml:space="preserve">Per ora </w:t>
                                </w:r>
                                <w:del w:id="13844" w:author="Author">
                                  <w:r>
                                    <w:rPr>
                                      <w:rFonts w:asciiTheme="minorHAnsi" w:hAnsiTheme="minorHAnsi" w:cstheme="minorHAnsi"/>
                                      <w:b/>
                                      <w:sz w:val="24"/>
                                      <w:szCs w:val="24"/>
                                      <w:lang w:val="it-IT"/>
                                      <w:rPrChange w:id="13845" w:author="Author">
                                        <w:rPr>
                                          <w:rFonts w:asciiTheme="minorHAnsi" w:hAnsiTheme="minorHAnsi" w:cstheme="minorHAnsi"/>
                                          <w:b/>
                                          <w:sz w:val="24"/>
                                          <w:szCs w:val="24"/>
                                        </w:rPr>
                                      </w:rPrChange>
                                    </w:rPr>
                                    <w:delText>N</w:delText>
                                  </w:r>
                                </w:del>
                                <w:r>
                                  <w:rPr>
                                    <w:rFonts w:asciiTheme="minorHAnsi" w:hAnsiTheme="minorHAnsi" w:cstheme="minorHAnsi"/>
                                    <w:b/>
                                    <w:sz w:val="24"/>
                                    <w:szCs w:val="24"/>
                                    <w:lang w:val="it-IT"/>
                                  </w:rPr>
                                  <w:t>n</w:t>
                                </w:r>
                                <w:r>
                                  <w:rPr>
                                    <w:rFonts w:asciiTheme="minorHAnsi" w:hAnsiTheme="minorHAnsi" w:cstheme="minorHAnsi"/>
                                    <w:b/>
                                    <w:sz w:val="24"/>
                                    <w:szCs w:val="24"/>
                                    <w:lang w:val="it-IT"/>
                                    <w:rPrChange w:id="13846" w:author="Author">
                                      <w:rPr>
                                        <w:rFonts w:asciiTheme="minorHAnsi" w:hAnsiTheme="minorHAnsi" w:cstheme="minorHAnsi"/>
                                        <w:b/>
                                        <w:sz w:val="24"/>
                                        <w:szCs w:val="24"/>
                                      </w:rPr>
                                    </w:rPrChange>
                                  </w:rPr>
                                  <w:t xml:space="preserve">on </w:t>
                                </w:r>
                                <w:r>
                                  <w:rPr>
                                    <w:rFonts w:asciiTheme="minorHAnsi" w:hAnsiTheme="minorHAnsi" w:cstheme="minorHAnsi"/>
                                    <w:sz w:val="24"/>
                                    <w:szCs w:val="24"/>
                                    <w:lang w:val="it-IT"/>
                                    <w:rPrChange w:id="13847" w:author="Author">
                                      <w:rPr>
                                        <w:rFonts w:asciiTheme="minorHAnsi" w:hAnsiTheme="minorHAnsi" w:cstheme="minorHAnsi"/>
                                        <w:sz w:val="24"/>
                                        <w:szCs w:val="24"/>
                                      </w:rPr>
                                    </w:rPrChange>
                                  </w:rPr>
                                  <w:t xml:space="preserve">premere </w:t>
                                </w:r>
                                <w:del w:id="13848" w:author="Author">
                                  <w:r>
                                    <w:rPr>
                                      <w:rFonts w:asciiTheme="minorHAnsi" w:hAnsiTheme="minorHAnsi" w:cstheme="minorHAnsi"/>
                                      <w:sz w:val="24"/>
                                      <w:szCs w:val="24"/>
                                      <w:lang w:val="it-IT"/>
                                      <w:rPrChange w:id="13849" w:author="Author">
                                        <w:rPr>
                                          <w:rFonts w:asciiTheme="minorHAnsi" w:hAnsiTheme="minorHAnsi" w:cstheme="minorHAnsi"/>
                                          <w:sz w:val="24"/>
                                          <w:szCs w:val="24"/>
                                        </w:rPr>
                                      </w:rPrChange>
                                    </w:rPr>
                                    <w:delText xml:space="preserve">ancora </w:delText>
                                  </w:r>
                                </w:del>
                                <w:r>
                                  <w:rPr>
                                    <w:rFonts w:asciiTheme="minorHAnsi" w:hAnsiTheme="minorHAnsi" w:cstheme="minorHAnsi"/>
                                    <w:sz w:val="24"/>
                                    <w:szCs w:val="24"/>
                                    <w:lang w:val="it-IT"/>
                                    <w:rPrChange w:id="13850" w:author="Author">
                                      <w:rPr>
                                        <w:rFonts w:asciiTheme="minorHAnsi" w:hAnsiTheme="minorHAnsi" w:cstheme="minorHAnsi"/>
                                        <w:sz w:val="24"/>
                                        <w:szCs w:val="24"/>
                                      </w:rPr>
                                    </w:rPrChange>
                                  </w:rPr>
                                  <w:t>il pulsante</w:t>
                                </w:r>
                                <w:r>
                                  <w:rPr>
                                    <w:rFonts w:asciiTheme="minorHAnsi" w:hAnsiTheme="minorHAnsi" w:cstheme="minorHAnsi"/>
                                    <w:sz w:val="24"/>
                                    <w:szCs w:val="24"/>
                                    <w:lang w:val="it-IT"/>
                                  </w:rPr>
                                  <w:t xml:space="preserve"> verde</w:t>
                                </w:r>
                                <w:r>
                                  <w:rPr>
                                    <w:rFonts w:asciiTheme="minorHAnsi" w:hAnsiTheme="minorHAnsi" w:cstheme="minorHAnsi"/>
                                    <w:sz w:val="24"/>
                                    <w:szCs w:val="24"/>
                                    <w:lang w:val="it-IT"/>
                                    <w:rPrChange w:id="13851" w:author="Author">
                                      <w:rPr>
                                        <w:rFonts w:asciiTheme="minorHAnsi" w:hAnsiTheme="minorHAnsi" w:cstheme="minorHAnsi"/>
                                        <w:sz w:val="24"/>
                                        <w:szCs w:val="24"/>
                                      </w:rPr>
                                    </w:rPrChange>
                                  </w:rPr>
                                  <w:t xml:space="preserve"> </w:t>
                                </w:r>
                                <w:del w:id="13852" w:author="Author">
                                  <w:r>
                                    <w:rPr>
                                      <w:rFonts w:asciiTheme="minorHAnsi" w:hAnsiTheme="minorHAnsi" w:cstheme="minorHAnsi"/>
                                      <w:sz w:val="24"/>
                                      <w:szCs w:val="24"/>
                                      <w:lang w:val="it-IT"/>
                                      <w:rPrChange w:id="13853" w:author="Author">
                                        <w:rPr>
                                          <w:rFonts w:asciiTheme="minorHAnsi" w:hAnsiTheme="minorHAnsi" w:cstheme="minorHAnsi"/>
                                          <w:sz w:val="24"/>
                                          <w:szCs w:val="24"/>
                                        </w:rPr>
                                      </w:rPrChange>
                                    </w:rPr>
                                    <w:delText>verde</w:delText>
                                  </w:r>
                                </w:del>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58.2pt;margin-top:9.55pt;width:152.3pt;height:55.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O0DwIAAPwDAAAOAAAAZHJzL2Uyb0RvYy54bWysU8tu2zAQvBfoPxC813rUjm3BcpAmTVEg&#10;fQBJP4CiKIsoyWVJ2pL79VlSjmO0t6I6EKSWOzszu9xcj1qRg3BegqlpMcspEYZDK82upj+e7t+t&#10;KPGBmZYpMKKmR+Hp9fbtm81gK1FCD6oVjiCI8dVga9qHYKss87wXmvkZWGEw2IHTLODR7bLWsQHR&#10;tcrKPL/KBnCtdcCF9/j3bgrSbcLvOsHDt67zIhBVU+QW0urS2sQ1225YtXPM9pKfaLB/YKGZNFj0&#10;DHXHAiN7J/+C0pI78NCFGQedQddJLpIGVFPkf6h57JkVSQua4+3ZJv//YPnXw3dHZFvTslhSYpjG&#10;Jj2JMZAPMJIy+jNYX+G1R4sXw4i/sc9Jq7cPwH96YuC2Z2YnbpyDoResRX5FzMwuUiccH0Ga4Qu0&#10;WIbtAySgsXM6mod2EETHPh3PvYlUeCy5fj8vCwxxjC3zq8UqkctY9ZJtnQ+fBGgSNzV12PuEzg4P&#10;PkQ2rHq5EosZuJdKpf4rQ4aarhflIiVcRLQMOJ5K6pqu8vhNAxNFfjRtSg5MqmmPBZQ5qY5CJ8lh&#10;bMZkMPqLCdGSBtoj+uBgGkd8Prjpwf2mZMBRrKn/tWdOUKI+G/RyXczncXbTYb5Ylnhwl5HmMsIM&#10;R6iaBkqm7W1I8z5pvkHPO5nseGVy4owjllw6PYc4w5fndOv10W6fAQAA//8DAFBLAwQUAAYACAAA&#10;ACEA6P3cUd4AAAAKAQAADwAAAGRycy9kb3ducmV2LnhtbEyPwU7DMBBE70j8g7WVuFE7bYjaEKdC&#10;IK4gSluJmxtvk6jxOordJvw9ywmOO/M0O1NsJteJKw6h9aQhmSsQSJW3LdUadp+v9ysQIRqypvOE&#10;Gr4xwKa8vSlMbv1IH3jdxlpwCIXcaGhi7HMpQ9WgM2HueyT2Tn5wJvI51NIOZuRw18mFUpl0piX+&#10;0JgenxusztuL07B/O30dUvVev7iHfvSTkuTWUuu72fT0CCLiFP9g+K3P1aHkTkd/IRtEp2GZZCmj&#10;bKwTEAxki4THHVlYqhRkWcj/E8ofAAAA//8DAFBLAQItABQABgAIAAAAIQC2gziS/gAAAOEBAAAT&#10;AAAAAAAAAAAAAAAAAAAAAABbQ29udGVudF9UeXBlc10ueG1sUEsBAi0AFAAGAAgAAAAhADj9If/W&#10;AAAAlAEAAAsAAAAAAAAAAAAAAAAALwEAAF9yZWxzLy5yZWxzUEsBAi0AFAAGAAgAAAAhALuWc7QP&#10;AgAA/AMAAA4AAAAAAAAAAAAAAAAALgIAAGRycy9lMm9Eb2MueG1sUEsBAi0AFAAGAAgAAAAhAOj9&#10;3FHeAAAACgEAAA8AAAAAAAAAAAAAAAAAaQQAAGRycy9kb3ducmV2LnhtbFBLBQYAAAAABAAEAPMA&#10;AAB0BQAAAAA=&#10;" filled="f" stroked="f">
                  <v:textbox>
                    <w:txbxContent>
                      <w:p>
                        <w:pPr>
                          <w:spacing w:line="192" w:lineRule="auto"/>
                          <w:rPr>
                            <w:ins w:id="13891" w:author="Author"/>
                            <w:rFonts w:asciiTheme="minorHAnsi" w:hAnsiTheme="minorHAnsi" w:cstheme="minorHAnsi"/>
                            <w:sz w:val="24"/>
                            <w:szCs w:val="24"/>
                            <w:lang w:val="it-IT"/>
                            <w:rPrChange w:id="13892" w:author="Author">
                              <w:rPr>
                                <w:ins w:id="13893" w:author="Author"/>
                                <w:rFonts w:asciiTheme="minorHAnsi" w:hAnsiTheme="minorHAnsi" w:cstheme="minorHAnsi"/>
                                <w:sz w:val="24"/>
                                <w:szCs w:val="24"/>
                              </w:rPr>
                            </w:rPrChange>
                          </w:rPr>
                        </w:pPr>
                        <w:ins w:id="13894" w:author="Author">
                          <w:r>
                            <w:rPr>
                              <w:rFonts w:asciiTheme="minorHAnsi" w:hAnsiTheme="minorHAnsi" w:cstheme="minorHAnsi"/>
                              <w:b/>
                              <w:sz w:val="24"/>
                              <w:szCs w:val="24"/>
                              <w:lang w:val="it-IT"/>
                              <w:rPrChange w:id="13895" w:author="Author">
                                <w:rPr>
                                  <w:rFonts w:asciiTheme="minorHAnsi" w:hAnsiTheme="minorHAnsi" w:cstheme="minorHAnsi"/>
                                  <w:b/>
                                  <w:sz w:val="24"/>
                                  <w:szCs w:val="24"/>
                                </w:rPr>
                              </w:rPrChange>
                            </w:rPr>
                            <w:t>Premere</w:t>
                          </w:r>
                          <w:r>
                            <w:rPr>
                              <w:rFonts w:asciiTheme="minorHAnsi" w:hAnsiTheme="minorHAnsi" w:cstheme="minorHAnsi"/>
                              <w:sz w:val="24"/>
                              <w:szCs w:val="24"/>
                              <w:lang w:val="it-IT"/>
                              <w:rPrChange w:id="13896" w:author="Author">
                                <w:rPr>
                                  <w:rFonts w:asciiTheme="minorHAnsi" w:hAnsiTheme="minorHAnsi" w:cstheme="minorHAnsi"/>
                                  <w:sz w:val="24"/>
                                  <w:szCs w:val="24"/>
                                </w:rPr>
                              </w:rPrChange>
                            </w:rPr>
                            <w:t xml:space="preserve"> </w:t>
                          </w:r>
                          <w:r>
                            <w:rPr>
                              <w:rFonts w:asciiTheme="minorHAnsi" w:hAnsiTheme="minorHAnsi" w:cstheme="minorHAnsi"/>
                              <w:sz w:val="24"/>
                              <w:szCs w:val="24"/>
                              <w:lang w:val="it-IT"/>
                              <w:rPrChange w:id="13897" w:author="Author">
                                <w:rPr>
                                  <w:rFonts w:asciiTheme="minorHAnsi" w:hAnsiTheme="minorHAnsi" w:cstheme="minorHAnsi"/>
                                  <w:sz w:val="24"/>
                                  <w:szCs w:val="24"/>
                                </w:rPr>
                              </w:rPrChange>
                            </w:rPr>
                            <w:t xml:space="preserve">contro la pelle per sbloccare. </w:t>
                          </w:r>
                          <w:r>
                            <w:rPr>
                              <w:rFonts w:asciiTheme="minorHAnsi" w:hAnsiTheme="minorHAnsi" w:cstheme="minorHAnsi"/>
                              <w:sz w:val="24"/>
                              <w:szCs w:val="24"/>
                              <w:lang w:val="it-IT"/>
                            </w:rPr>
                            <w:t xml:space="preserve">Per ora </w:t>
                          </w:r>
                          <w:del w:id="13898" w:author="Author">
                            <w:r>
                              <w:rPr>
                                <w:rFonts w:asciiTheme="minorHAnsi" w:hAnsiTheme="minorHAnsi" w:cstheme="minorHAnsi"/>
                                <w:b/>
                                <w:sz w:val="24"/>
                                <w:szCs w:val="24"/>
                                <w:lang w:val="it-IT"/>
                                <w:rPrChange w:id="13899" w:author="Author">
                                  <w:rPr>
                                    <w:rFonts w:asciiTheme="minorHAnsi" w:hAnsiTheme="minorHAnsi" w:cstheme="minorHAnsi"/>
                                    <w:b/>
                                    <w:sz w:val="24"/>
                                    <w:szCs w:val="24"/>
                                  </w:rPr>
                                </w:rPrChange>
                              </w:rPr>
                              <w:delText>N</w:delText>
                            </w:r>
                          </w:del>
                          <w:r>
                            <w:rPr>
                              <w:rFonts w:asciiTheme="minorHAnsi" w:hAnsiTheme="minorHAnsi" w:cstheme="minorHAnsi"/>
                              <w:b/>
                              <w:sz w:val="24"/>
                              <w:szCs w:val="24"/>
                              <w:lang w:val="it-IT"/>
                            </w:rPr>
                            <w:t>n</w:t>
                          </w:r>
                          <w:r>
                            <w:rPr>
                              <w:rFonts w:asciiTheme="minorHAnsi" w:hAnsiTheme="minorHAnsi" w:cstheme="minorHAnsi"/>
                              <w:b/>
                              <w:sz w:val="24"/>
                              <w:szCs w:val="24"/>
                              <w:lang w:val="it-IT"/>
                              <w:rPrChange w:id="13900" w:author="Author">
                                <w:rPr>
                                  <w:rFonts w:asciiTheme="minorHAnsi" w:hAnsiTheme="minorHAnsi" w:cstheme="minorHAnsi"/>
                                  <w:b/>
                                  <w:sz w:val="24"/>
                                  <w:szCs w:val="24"/>
                                </w:rPr>
                              </w:rPrChange>
                            </w:rPr>
                            <w:t xml:space="preserve">on </w:t>
                          </w:r>
                          <w:r>
                            <w:rPr>
                              <w:rFonts w:asciiTheme="minorHAnsi" w:hAnsiTheme="minorHAnsi" w:cstheme="minorHAnsi"/>
                              <w:sz w:val="24"/>
                              <w:szCs w:val="24"/>
                              <w:lang w:val="it-IT"/>
                              <w:rPrChange w:id="13901" w:author="Author">
                                <w:rPr>
                                  <w:rFonts w:asciiTheme="minorHAnsi" w:hAnsiTheme="minorHAnsi" w:cstheme="minorHAnsi"/>
                                  <w:sz w:val="24"/>
                                  <w:szCs w:val="24"/>
                                </w:rPr>
                              </w:rPrChange>
                            </w:rPr>
                            <w:t xml:space="preserve">premere </w:t>
                          </w:r>
                          <w:del w:id="13902" w:author="Author">
                            <w:r>
                              <w:rPr>
                                <w:rFonts w:asciiTheme="minorHAnsi" w:hAnsiTheme="minorHAnsi" w:cstheme="minorHAnsi"/>
                                <w:sz w:val="24"/>
                                <w:szCs w:val="24"/>
                                <w:lang w:val="it-IT"/>
                                <w:rPrChange w:id="13903" w:author="Author">
                                  <w:rPr>
                                    <w:rFonts w:asciiTheme="minorHAnsi" w:hAnsiTheme="minorHAnsi" w:cstheme="minorHAnsi"/>
                                    <w:sz w:val="24"/>
                                    <w:szCs w:val="24"/>
                                  </w:rPr>
                                </w:rPrChange>
                              </w:rPr>
                              <w:delText xml:space="preserve">ancora </w:delText>
                            </w:r>
                          </w:del>
                          <w:r>
                            <w:rPr>
                              <w:rFonts w:asciiTheme="minorHAnsi" w:hAnsiTheme="minorHAnsi" w:cstheme="minorHAnsi"/>
                              <w:sz w:val="24"/>
                              <w:szCs w:val="24"/>
                              <w:lang w:val="it-IT"/>
                              <w:rPrChange w:id="13904" w:author="Author">
                                <w:rPr>
                                  <w:rFonts w:asciiTheme="minorHAnsi" w:hAnsiTheme="minorHAnsi" w:cstheme="minorHAnsi"/>
                                  <w:sz w:val="24"/>
                                  <w:szCs w:val="24"/>
                                </w:rPr>
                              </w:rPrChange>
                            </w:rPr>
                            <w:t>il pulsante</w:t>
                          </w:r>
                          <w:r>
                            <w:rPr>
                              <w:rFonts w:asciiTheme="minorHAnsi" w:hAnsiTheme="minorHAnsi" w:cstheme="minorHAnsi"/>
                              <w:sz w:val="24"/>
                              <w:szCs w:val="24"/>
                              <w:lang w:val="it-IT"/>
                            </w:rPr>
                            <w:t xml:space="preserve"> verde</w:t>
                          </w:r>
                          <w:r>
                            <w:rPr>
                              <w:rFonts w:asciiTheme="minorHAnsi" w:hAnsiTheme="minorHAnsi" w:cstheme="minorHAnsi"/>
                              <w:sz w:val="24"/>
                              <w:szCs w:val="24"/>
                              <w:lang w:val="it-IT"/>
                              <w:rPrChange w:id="13905" w:author="Author">
                                <w:rPr>
                                  <w:rFonts w:asciiTheme="minorHAnsi" w:hAnsiTheme="minorHAnsi" w:cstheme="minorHAnsi"/>
                                  <w:sz w:val="24"/>
                                  <w:szCs w:val="24"/>
                                </w:rPr>
                              </w:rPrChange>
                            </w:rPr>
                            <w:t xml:space="preserve"> </w:t>
                          </w:r>
                          <w:del w:id="13906" w:author="Author">
                            <w:r>
                              <w:rPr>
                                <w:rFonts w:asciiTheme="minorHAnsi" w:hAnsiTheme="minorHAnsi" w:cstheme="minorHAnsi"/>
                                <w:sz w:val="24"/>
                                <w:szCs w:val="24"/>
                                <w:lang w:val="it-IT"/>
                                <w:rPrChange w:id="13907" w:author="Author">
                                  <w:rPr>
                                    <w:rFonts w:asciiTheme="minorHAnsi" w:hAnsiTheme="minorHAnsi" w:cstheme="minorHAnsi"/>
                                    <w:sz w:val="24"/>
                                    <w:szCs w:val="24"/>
                                  </w:rPr>
                                </w:rPrChange>
                              </w:rPr>
                              <w:delText>verde</w:delText>
                            </w:r>
                          </w:del>
                        </w:ins>
                      </w:p>
                    </w:txbxContent>
                  </v:textbox>
                  <w10:wrap anchorx="margin"/>
                </v:shape>
              </w:pict>
            </mc:Fallback>
          </mc:AlternateContent>
        </w:r>
        <w:r>
          <w:rPr>
            <w:noProof/>
            <w:lang w:eastAsia="en-US"/>
          </w:rPr>
          <mc:AlternateContent>
            <mc:Choice Requires="wps">
              <w:drawing>
                <wp:anchor distT="45720" distB="45720" distL="114300" distR="114300" simplePos="0" relativeHeight="251669504" behindDoc="0" locked="0" layoutInCell="1" allowOverlap="1">
                  <wp:simplePos x="0" y="0"/>
                  <wp:positionH relativeFrom="margin">
                    <wp:posOffset>1900910</wp:posOffset>
                  </wp:positionH>
                  <wp:positionV relativeFrom="paragraph">
                    <wp:posOffset>4539035</wp:posOffset>
                  </wp:positionV>
                  <wp:extent cx="2193503" cy="285750"/>
                  <wp:effectExtent l="0" t="0" r="0" b="0"/>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503" cy="285750"/>
                          </a:xfrm>
                          <a:prstGeom prst="rect">
                            <a:avLst/>
                          </a:prstGeom>
                          <a:noFill/>
                          <a:ln w="9525">
                            <a:noFill/>
                            <a:miter lim="800000"/>
                            <a:headEnd/>
                            <a:tailEnd/>
                          </a:ln>
                        </wps:spPr>
                        <wps:txbx>
                          <w:txbxContent>
                            <w:p>
                              <w:pPr>
                                <w:spacing w:line="192" w:lineRule="auto"/>
                                <w:rPr>
                                  <w:ins w:id="13854" w:author="Author"/>
                                  <w:rFonts w:asciiTheme="minorHAnsi" w:hAnsiTheme="minorHAnsi" w:cstheme="minorHAnsi"/>
                                  <w:sz w:val="24"/>
                                  <w:szCs w:val="24"/>
                                </w:rPr>
                              </w:pPr>
                              <w:ins w:id="13855" w:author="Author">
                                <w:r>
                                  <w:rPr>
                                    <w:rFonts w:asciiTheme="minorHAnsi" w:hAnsiTheme="minorHAnsi" w:cstheme="minorHAnsi"/>
                                    <w:sz w:val="24"/>
                                    <w:szCs w:val="24"/>
                                  </w:rPr>
                                  <w:t>Consultare le Istruzioni per l’uso</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928504212" o:spid="_x0000_s1044" type="#_x0000_t202" style="position:absolute;left:0;text-align:left;margin-left:149.7pt;margin-top:357.4pt;width:172.7pt;height:2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YgDAIAAPIDAAAOAAAAZHJzL2Uyb0RvYy54bWysU9uO2yAQfa/Uf0C8N75s3E2sOKt2t1tV&#10;2l6k3X4AwThGBYYCiZ1+/Q44m1rtW1U/IGA8Z+acOWxuRq3IUTgvwTS0WOSUCMOhlWbf0O9P929W&#10;lPjATMsUGNHQk/D0Zvv61WawtSihB9UKRxDE+HqwDe1DsHWWed4LzfwCrDAY7MBpFvDo9lnr2IDo&#10;WmVlnr/NBnCtdcCF93h7NwXpNuF3neDha9d5EYhqKPYW0urSuotrtt2weu+Y7SU/t8H+oQvNpMGi&#10;F6g7Fhg5OPkXlJbcgYcuLDjoDLpOcpE4IJsi/4PNY8+sSFxQHG8vMvn/B8u/HL85Iluc3bpcVfmy&#10;LEpKDNM4qycxBvIeRjILoV6D9TWmPVpMDCPGMTdx9/YB+A9PDNz2zOzFO+dg6AVrsd8iKp3NUicc&#10;H0F2w2dosR47BEhAY+d0FBPlIYiOcztdZhV74nhZFuurKr+ihGMMO7+u0jAzVr9kW+fDRwGaxE1D&#10;HXohobPjgw+xG1a//BKLGbiXSiU/KEOGhq6rskoJs4iWAe2qpG7oKo/fZKBI8oNpU3JgUk17LKDM&#10;mXUkOlEO426cBF/F5CjJDtoT6uBgsic+J9z04H5RMqA1G+p/HpgTlKhPBrVcF8tl9HI6LKvrEg9u&#10;HtnNI8xwhGpooGTa3obk/6hALI7GSlqcH0F07vyc/vr9VLfPAAAA//8DAFBLAwQUAAYACAAAACEA&#10;umqMJN8AAAALAQAADwAAAGRycy9kb3ducmV2LnhtbEyPQW/CMAyF70j8h8iTdoMEVBjtmiK0addN&#10;YwNpt9CYtlrjVE2g3b+fOW032+/p+Xv5dnStuGIfGk8aFnMFAqn0tqFKw+fHy2wDIkRD1rSeUMMP&#10;BtgW00luMusHesfrPlaCQyhkRkMdY5dJGcoanQlz3yGxdva9M5HXvpK2NwOHu1YulVpLZxriD7Xp&#10;8KnG8nt/cRoOr+evY6Leqme36gY/KkkulVrf3427RxARx/hnhhs+o0PBTCd/IRtEq2GZpglbNTws&#10;Eu7AjnVyG058WaUbkEUu/3cofgEAAP//AwBQSwECLQAUAAYACAAAACEAtoM4kv4AAADhAQAAEwAA&#10;AAAAAAAAAAAAAAAAAAAAW0NvbnRlbnRfVHlwZXNdLnhtbFBLAQItABQABgAIAAAAIQA4/SH/1gAA&#10;AJQBAAALAAAAAAAAAAAAAAAAAC8BAABfcmVscy8ucmVsc1BLAQItABQABgAIAAAAIQBHNaYgDAIA&#10;APIDAAAOAAAAAAAAAAAAAAAAAC4CAABkcnMvZTJvRG9jLnhtbFBLAQItABQABgAIAAAAIQC6aowk&#10;3wAAAAsBAAAPAAAAAAAAAAAAAAAAAGYEAABkcnMvZG93bnJldi54bWxQSwUGAAAAAAQABADzAAAA&#10;cgUAAAAA&#10;" filled="f" stroked="f">
                  <v:textbox>
                    <w:txbxContent>
                      <w:p>
                        <w:pPr>
                          <w:spacing w:line="192" w:lineRule="auto"/>
                          <w:rPr>
                            <w:ins w:id="13910" w:author="Author"/>
                            <w:rFonts w:asciiTheme="minorHAnsi" w:hAnsiTheme="minorHAnsi" w:cstheme="minorHAnsi"/>
                            <w:sz w:val="24"/>
                            <w:szCs w:val="24"/>
                          </w:rPr>
                        </w:pPr>
                        <w:proofErr w:type="spellStart"/>
                        <w:ins w:id="13911" w:author="Author">
                          <w:r>
                            <w:rPr>
                              <w:rFonts w:asciiTheme="minorHAnsi" w:hAnsiTheme="minorHAnsi" w:cstheme="minorHAnsi"/>
                              <w:sz w:val="24"/>
                              <w:szCs w:val="24"/>
                            </w:rPr>
                            <w:t>Consultare</w:t>
                          </w:r>
                          <w:proofErr w:type="spellEnd"/>
                          <w:r>
                            <w:rPr>
                              <w:rFonts w:asciiTheme="minorHAnsi" w:hAnsiTheme="minorHAnsi" w:cstheme="minorHAnsi"/>
                              <w:sz w:val="24"/>
                              <w:szCs w:val="24"/>
                            </w:rPr>
                            <w:t xml:space="preserve"> le </w:t>
                          </w:r>
                          <w:proofErr w:type="spellStart"/>
                          <w:r>
                            <w:rPr>
                              <w:rFonts w:asciiTheme="minorHAnsi" w:hAnsiTheme="minorHAnsi" w:cstheme="minorHAnsi"/>
                              <w:sz w:val="24"/>
                              <w:szCs w:val="24"/>
                            </w:rPr>
                            <w:t>Istruzioni</w:t>
                          </w:r>
                          <w:proofErr w:type="spellEnd"/>
                          <w:r>
                            <w:rPr>
                              <w:rFonts w:asciiTheme="minorHAnsi" w:hAnsiTheme="minorHAnsi" w:cstheme="minorHAnsi"/>
                              <w:sz w:val="24"/>
                              <w:szCs w:val="24"/>
                            </w:rPr>
                            <w:t xml:space="preserve"> per </w:t>
                          </w:r>
                          <w:proofErr w:type="spellStart"/>
                          <w:r>
                            <w:rPr>
                              <w:rFonts w:asciiTheme="minorHAnsi" w:hAnsiTheme="minorHAnsi" w:cstheme="minorHAnsi"/>
                              <w:sz w:val="24"/>
                              <w:szCs w:val="24"/>
                            </w:rPr>
                            <w:t>l’uso</w:t>
                          </w:r>
                          <w:proofErr w:type="spellEnd"/>
                        </w:ins>
                      </w:p>
                    </w:txbxContent>
                  </v:textbox>
                  <w10:wrap anchorx="margin"/>
                </v:shape>
              </w:pict>
            </mc:Fallback>
          </mc:AlternateContent>
        </w:r>
        <w:r>
          <w:rPr>
            <w:noProof/>
            <w:lang w:eastAsia="en-US"/>
          </w:rPr>
          <mc:AlternateContent>
            <mc:Choice Requires="wps">
              <w:drawing>
                <wp:anchor distT="45720" distB="45720" distL="114300" distR="114300" simplePos="0" relativeHeight="251668480" behindDoc="0" locked="0" layoutInCell="1" allowOverlap="1">
                  <wp:simplePos x="0" y="0"/>
                  <wp:positionH relativeFrom="column">
                    <wp:posOffset>2043620</wp:posOffset>
                  </wp:positionH>
                  <wp:positionV relativeFrom="paragraph">
                    <wp:posOffset>2403673</wp:posOffset>
                  </wp:positionV>
                  <wp:extent cx="1997937" cy="428625"/>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97937" cy="428625"/>
                          </a:xfrm>
                          <a:prstGeom prst="rect">
                            <a:avLst/>
                          </a:prstGeom>
                          <a:noFill/>
                          <a:ln w="9525">
                            <a:noFill/>
                            <a:miter lim="800000"/>
                            <a:headEnd/>
                            <a:tailEnd/>
                          </a:ln>
                        </wps:spPr>
                        <wps:txbx>
                          <w:txbxContent>
                            <w:p>
                              <w:pPr>
                                <w:spacing w:line="192" w:lineRule="auto"/>
                                <w:rPr>
                                  <w:ins w:id="13856" w:author="Author"/>
                                  <w:rFonts w:asciiTheme="minorHAnsi" w:hAnsiTheme="minorHAnsi" w:cstheme="minorHAnsi"/>
                                  <w:sz w:val="24"/>
                                  <w:szCs w:val="24"/>
                                  <w:lang w:val="it-IT"/>
                                  <w:rPrChange w:id="13857" w:author="Author">
                                    <w:rPr>
                                      <w:ins w:id="13858" w:author="Author"/>
                                      <w:rFonts w:asciiTheme="minorHAnsi" w:hAnsiTheme="minorHAnsi" w:cstheme="minorHAnsi"/>
                                      <w:sz w:val="24"/>
                                      <w:szCs w:val="24"/>
                                    </w:rPr>
                                  </w:rPrChange>
                                </w:rPr>
                              </w:pPr>
                              <w:ins w:id="13859" w:author="Author">
                                <w:r>
                                  <w:rPr>
                                    <w:rFonts w:asciiTheme="minorHAnsi" w:hAnsiTheme="minorHAnsi" w:cstheme="minorHAnsi"/>
                                    <w:b/>
                                    <w:sz w:val="24"/>
                                    <w:szCs w:val="24"/>
                                    <w:lang w:val="it-IT"/>
                                    <w:rPrChange w:id="13860" w:author="Author">
                                      <w:rPr>
                                        <w:rFonts w:asciiTheme="minorHAnsi" w:hAnsiTheme="minorHAnsi" w:cstheme="minorHAnsi"/>
                                        <w:b/>
                                        <w:sz w:val="24"/>
                                        <w:szCs w:val="24"/>
                                      </w:rPr>
                                    </w:rPrChange>
                                  </w:rPr>
                                  <w:t xml:space="preserve">Quindi </w:t>
                                </w:r>
                                <w:r>
                                  <w:rPr>
                                    <w:rFonts w:asciiTheme="minorHAnsi" w:hAnsiTheme="minorHAnsi" w:cstheme="minorHAnsi"/>
                                    <w:sz w:val="24"/>
                                    <w:szCs w:val="24"/>
                                    <w:lang w:val="it-IT"/>
                                    <w:rPrChange w:id="13861" w:author="Author">
                                      <w:rPr>
                                        <w:rFonts w:asciiTheme="minorHAnsi" w:hAnsiTheme="minorHAnsi" w:cstheme="minorHAnsi"/>
                                        <w:sz w:val="24"/>
                                        <w:szCs w:val="24"/>
                                      </w:rPr>
                                    </w:rPrChange>
                                  </w:rPr>
                                  <w:t>premere il pulsante verde per iniettare</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492092514" o:spid="_x0000_s1045" type="#_x0000_t202" style="position:absolute;left:0;text-align:left;margin-left:160.9pt;margin-top:189.25pt;width:157.3pt;height:33.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mVEgIAAAUEAAAOAAAAZHJzL2Uyb0RvYy54bWysU11v2yAUfZ+0/4B4X+x4ThNbcaqtXadJ&#10;3YfU7gcQjGM04DIgsbNf3wtO06h7m+YHBBzfc+8597K+HrUiB+G8BNPQ+SynRBgOrTS7hv58vHu3&#10;osQHZlqmwIiGHoWn15u3b9aDrUUBPahWOIIkxteDbWgfgq2zzPNeaOZnYIVBsAOnWcCj22WtYwOy&#10;a5UVeX6VDeBa64AL7/H2dgLpJvF3neDhe9d5EYhqKNYW0urSuo1rtlmzeueY7SU/lcH+oQrNpMGk&#10;Z6pbFhjZO/kXlZbcgYcuzDjoDLpOcpE0oJp5/krNQ8+sSFrQHG/PNvn/R8u/HX44IlvsXVkVeVUs&#10;5iUlhmns1aMYA/kII7mA0K/B+hrDHiwGhhFxjE3avb0H/ssTAzc9MzvxwVv0P6IvV87B0AvWooR5&#10;ND+7YJuofeTdDl+hxRLYPkDiHjuno7/oGMGE2MrjuX2xTB6rqKpl9X5JCUesLFZXxSKlYPVztHU+&#10;fBagSdw01GF5iZ0d7n2I1bD6+ZeYzMCdVCqNiDJkaGi1QMpXiJYBJ1hJ3dBVHr9ppqLIT6ZNwYFJ&#10;Ne0xgTIn1VHoJDmM23HqQRWDoyVbaI/og4NpYvGF4aYH94eSAae1of73njlBifpi0MtqXpZxvNOh&#10;XCwLPLhLZHuJMMORqqGBkml7E9KTiA7E5DhryYvTu4jDfHlOf7283s0TAAAA//8DAFBLAwQUAAYA&#10;CAAAACEALCzwk+AAAAALAQAADwAAAGRycy9kb3ducmV2LnhtbEyPzU7DMBCE70i8g7VI3KjdNk3b&#10;NE6FQFxB9AeJmxtvk4h4HcVuE96e5QS3He1o5pt8O7pWXLEPjScN04kCgVR621Cl4bB/eViBCNGQ&#10;Na0n1PCNAbbF7U1uMusHesfrLlaCQyhkRkMdY5dJGcoanQkT3yHx7+x7ZyLLvpK2NwOHu1bOlEql&#10;Mw1xQ206fKqx/NpdnIbj6/nzI1Fv1bNbdIMflSS3llrf342PGxARx/hnhl98RoeCmU7+QjaIVsN8&#10;NmX0yMdytQDBjnSeJiBOGpIkVSCLXP7fUPwAAAD//wMAUEsBAi0AFAAGAAgAAAAhALaDOJL+AAAA&#10;4QEAABMAAAAAAAAAAAAAAAAAAAAAAFtDb250ZW50X1R5cGVzXS54bWxQSwECLQAUAAYACAAAACEA&#10;OP0h/9YAAACUAQAACwAAAAAAAAAAAAAAAAAvAQAAX3JlbHMvLnJlbHNQSwECLQAUAAYACAAAACEA&#10;jK4JlRICAAAFBAAADgAAAAAAAAAAAAAAAAAuAgAAZHJzL2Uyb0RvYy54bWxQSwECLQAUAAYACAAA&#10;ACEALCzwk+AAAAALAQAADwAAAAAAAAAAAAAAAABsBAAAZHJzL2Rvd25yZXYueG1sUEsFBgAAAAAE&#10;AAQA8wAAAHkFAAAAAA==&#10;" filled="f" stroked="f">
                  <o:lock v:ext="edit" aspectratio="t"/>
                  <v:textbox>
                    <w:txbxContent>
                      <w:p>
                        <w:pPr>
                          <w:spacing w:line="192" w:lineRule="auto"/>
                          <w:rPr>
                            <w:ins w:id="13918" w:author="Author"/>
                            <w:rFonts w:asciiTheme="minorHAnsi" w:hAnsiTheme="minorHAnsi" w:cstheme="minorHAnsi"/>
                            <w:sz w:val="24"/>
                            <w:szCs w:val="24"/>
                            <w:lang w:val="it-IT"/>
                            <w:rPrChange w:id="13919" w:author="Author">
                              <w:rPr>
                                <w:ins w:id="13920" w:author="Author"/>
                                <w:rFonts w:asciiTheme="minorHAnsi" w:hAnsiTheme="minorHAnsi" w:cstheme="minorHAnsi"/>
                                <w:sz w:val="24"/>
                                <w:szCs w:val="24"/>
                              </w:rPr>
                            </w:rPrChange>
                          </w:rPr>
                        </w:pPr>
                        <w:ins w:id="13921" w:author="Author">
                          <w:r>
                            <w:rPr>
                              <w:rFonts w:asciiTheme="minorHAnsi" w:hAnsiTheme="minorHAnsi" w:cstheme="minorHAnsi"/>
                              <w:b/>
                              <w:sz w:val="24"/>
                              <w:szCs w:val="24"/>
                              <w:lang w:val="it-IT"/>
                              <w:rPrChange w:id="13922" w:author="Author">
                                <w:rPr>
                                  <w:rFonts w:asciiTheme="minorHAnsi" w:hAnsiTheme="minorHAnsi" w:cstheme="minorHAnsi"/>
                                  <w:b/>
                                  <w:sz w:val="24"/>
                                  <w:szCs w:val="24"/>
                                </w:rPr>
                              </w:rPrChange>
                            </w:rPr>
                            <w:t xml:space="preserve">Quindi </w:t>
                          </w:r>
                          <w:r>
                            <w:rPr>
                              <w:rFonts w:asciiTheme="minorHAnsi" w:hAnsiTheme="minorHAnsi" w:cstheme="minorHAnsi"/>
                              <w:sz w:val="24"/>
                              <w:szCs w:val="24"/>
                              <w:lang w:val="it-IT"/>
                              <w:rPrChange w:id="13923" w:author="Author">
                                <w:rPr>
                                  <w:rFonts w:asciiTheme="minorHAnsi" w:hAnsiTheme="minorHAnsi" w:cstheme="minorHAnsi"/>
                                  <w:sz w:val="24"/>
                                  <w:szCs w:val="24"/>
                                </w:rPr>
                              </w:rPrChange>
                            </w:rPr>
                            <w:t>premere il pulsante verde per iniettare</w:t>
                          </w:r>
                        </w:ins>
                      </w:p>
                    </w:txbxContent>
                  </v:textbox>
                </v:shape>
              </w:pict>
            </mc:Fallback>
          </mc:AlternateContent>
        </w:r>
        <w:r>
          <w:rPr>
            <w:noProof/>
            <w:lang w:eastAsia="en-US"/>
          </w:rPr>
          <mc:AlternateContent>
            <mc:Choice Requires="wps">
              <w:drawing>
                <wp:anchor distT="0" distB="0" distL="114300" distR="114300" simplePos="0" relativeHeight="251670528" behindDoc="0" locked="0" layoutInCell="1" allowOverlap="1">
                  <wp:simplePos x="0" y="0"/>
                  <wp:positionH relativeFrom="column">
                    <wp:posOffset>2110105</wp:posOffset>
                  </wp:positionH>
                  <wp:positionV relativeFrom="paragraph">
                    <wp:posOffset>3796030</wp:posOffset>
                  </wp:positionV>
                  <wp:extent cx="528918" cy="792480"/>
                  <wp:effectExtent l="0" t="0" r="5080" b="0"/>
                  <wp:wrapNone/>
                  <wp:docPr id="1423048315" name="Надпись 4"/>
                  <wp:cNvGraphicFramePr/>
                  <a:graphic xmlns:a="http://schemas.openxmlformats.org/drawingml/2006/main">
                    <a:graphicData uri="http://schemas.microsoft.com/office/word/2010/wordprocessingShape">
                      <wps:wsp>
                        <wps:cNvSpPr txBox="1"/>
                        <wps:spPr>
                          <a:xfrm>
                            <a:off x="0" y="0"/>
                            <a:ext cx="528918" cy="792480"/>
                          </a:xfrm>
                          <a:prstGeom prst="rect">
                            <a:avLst/>
                          </a:prstGeom>
                          <a:solidFill>
                            <a:schemeClr val="lt1"/>
                          </a:solidFill>
                          <a:ln w="6350">
                            <a:noFill/>
                          </a:ln>
                        </wps:spPr>
                        <wps:txbx>
                          <w:txbxContent>
                            <w:p>
                              <w:pPr>
                                <w:jc w:val="center"/>
                                <w:rPr>
                                  <w:rFonts w:asciiTheme="minorHAnsi" w:hAnsiTheme="minorHAnsi" w:cstheme="minorHAnsi"/>
                                  <w:b/>
                                  <w:bCs/>
                                  <w:color w:val="000000" w:themeColor="text1"/>
                                </w:rPr>
                              </w:pPr>
                              <w:ins w:id="13862" w:author="Author">
                                <w:r>
                                  <w:rPr>
                                    <w:rFonts w:asciiTheme="minorHAnsi" w:hAnsiTheme="minorHAnsi" w:cstheme="minorHAnsi"/>
                                    <w:b/>
                                    <w:bCs/>
                                    <w:color w:val="000000" w:themeColor="text1"/>
                                  </w:rPr>
                                  <w:t>“Clic”</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Надпись 4" o:spid="_x0000_s1046" type="#_x0000_t202" style="position:absolute;left:0;text-align:left;margin-left:166.15pt;margin-top:298.9pt;width:41.65pt;height:62.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jNWQIAAH8EAAAOAAAAZHJzL2Uyb0RvYy54bWysVM1uEzEQviPxDpbvdJM0LWmUTRVaFSFV&#10;baUW9ex4vclKXo+xneyWG3degXfgwIEbr5C+EZ+dbAqFE+LizM7/fN9MJqdtrdlaOV+RyXn/oMeZ&#10;MpKKyixy/v7u4tWIMx+EKYQmo3L+oDw/nb58MWnsWA1oSbpQjiGJ8ePG5nwZgh1nmZdLVQt/QFYZ&#10;GEtytQj4dIuscKJB9lpng17vOGvIFdaRVN5De7418mnKX5ZKhuuy9CownXP0FtLr0juPbzadiPHC&#10;Cbus5K4N8Q9d1KIyKLpPdS6CYCtX/ZGqrqQjT2U4kFRnVJaVVGkGTNPvPZvmdimsSrMAHG/3MPn/&#10;l1ZerW8cqwpwNxwc9oajw/4RZ0bU4GrzZfN1823zY/P98dPjZzaMYDXWjxFzaxEV2jfUIrDTeygj&#10;Bm3p6viL6RjsgP1hD7VqA5NQHg1GJ33shoTp9clgOEpUZE/B1vnwVlHNopBzByYTwGJ96QMagWvn&#10;Emt50lVxUWmdPuL2qDPt2FqAdx1Si4j4zUsb1uT8+PColxIbiuHbzNqgQBx1O1KUQjtvE06D1GlU&#10;zal4AAyOtlvlrbyo0Oyl8OFGOKwRJsdphGs8pSYUo53E2ZLcx7/poz/YhZWzBmuZc/9hJZziTL8z&#10;4D3ucCe4Tph3glnVZ4SJ+zg6K5OIABd0J5aO6ntczCxWgUkYiVo5D514FrbHgYuTajZLTthUK8Kl&#10;ubUypo4IR+jv2nvh7I6fAGKvqFtYMX5G09Y3cWNnqwCoE4dPKO7wxpYnancXGc/o1+/k9fS/Mf0J&#10;AAD//wMAUEsDBBQABgAIAAAAIQCmzVLe4AAAAAsBAAAPAAAAZHJzL2Rvd25yZXYueG1sTI/LTsMw&#10;EEX3SPyDNUjsqPOgaRviVFEqJITY0PIBbjKNo8bjKHbb8PcMK1iO5ujec4vtbAdxxcn3jhTEiwgE&#10;UuPanjoFX4fXpzUIHzS1enCECr7Rw7a8vyt03robfeJ1HzrBIeRzrcCEMOZS+sag1X7hRiT+ndxk&#10;deBz6mQ76RuH20EmUZRJq3viBqNHrA025/3FKjgbV9cu2vnD2/tphzKmqvpIlXp8mKsXEAHn8AfD&#10;rz6rQ8lOR3eh1otBQZomKaMKlpsVb2DiOV5mII4KVkmSgSwL+X9D+QMAAP//AwBQSwECLQAUAAYA&#10;CAAAACEAtoM4kv4AAADhAQAAEwAAAAAAAAAAAAAAAAAAAAAAW0NvbnRlbnRfVHlwZXNdLnhtbFBL&#10;AQItABQABgAIAAAAIQA4/SH/1gAAAJQBAAALAAAAAAAAAAAAAAAAAC8BAABfcmVscy8ucmVsc1BL&#10;AQItABQABgAIAAAAIQBbB3jNWQIAAH8EAAAOAAAAAAAAAAAAAAAAAC4CAABkcnMvZTJvRG9jLnht&#10;bFBLAQItABQABgAIAAAAIQCmzVLe4AAAAAsBAAAPAAAAAAAAAAAAAAAAALMEAABkcnMvZG93bnJl&#10;di54bWxQSwUGAAAAAAQABADzAAAAwAUAAAAA&#10;" fillcolor="white [3201]" stroked="f" strokeweight=".5pt">
                  <v:textbox style="mso-fit-shape-to-text:t" inset="0,0,0,0">
                    <w:txbxContent>
                      <w:p>
                        <w:pPr>
                          <w:jc w:val="center"/>
                          <w:rPr>
                            <w:rFonts w:asciiTheme="minorHAnsi" w:hAnsiTheme="minorHAnsi" w:cstheme="minorHAnsi"/>
                            <w:b/>
                            <w:bCs/>
                            <w:color w:val="000000" w:themeColor="text1"/>
                          </w:rPr>
                        </w:pPr>
                        <w:ins w:id="13925" w:author="Author">
                          <w:r>
                            <w:rPr>
                              <w:rFonts w:asciiTheme="minorHAnsi" w:hAnsiTheme="minorHAnsi" w:cstheme="minorHAnsi"/>
                              <w:b/>
                              <w:bCs/>
                              <w:color w:val="000000" w:themeColor="text1"/>
                            </w:rPr>
                            <w:t>“</w:t>
                          </w:r>
                          <w:proofErr w:type="spellStart"/>
                          <w:r>
                            <w:rPr>
                              <w:rFonts w:asciiTheme="minorHAnsi" w:hAnsiTheme="minorHAnsi" w:cstheme="minorHAnsi"/>
                              <w:b/>
                              <w:bCs/>
                              <w:color w:val="000000" w:themeColor="text1"/>
                            </w:rPr>
                            <w:t>Clic</w:t>
                          </w:r>
                          <w:proofErr w:type="spellEnd"/>
                          <w:r>
                            <w:rPr>
                              <w:rFonts w:asciiTheme="minorHAnsi" w:hAnsiTheme="minorHAnsi" w:cstheme="minorHAnsi"/>
                              <w:b/>
                              <w:bCs/>
                              <w:color w:val="000000" w:themeColor="text1"/>
                            </w:rPr>
                            <w:t>”</w:t>
                          </w:r>
                        </w:ins>
                      </w:p>
                    </w:txbxContent>
                  </v:textbox>
                </v:shape>
              </w:pict>
            </mc:Fallback>
          </mc:AlternateContent>
        </w:r>
        <w:r>
          <w:rPr>
            <w:noProof/>
            <w:lang w:eastAsia="en-US"/>
          </w:rPr>
          <w:drawing>
            <wp:inline distT="0" distB="0" distL="0" distR="0">
              <wp:extent cx="2295525" cy="4972160"/>
              <wp:effectExtent l="0" t="0" r="0" b="0"/>
              <wp:docPr id="1550659247" name="Picture 15506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Actemra_Hand+Autoinjector+code_Pantone376C-01.png"/>
                      <pic:cNvPicPr/>
                    </pic:nvPicPr>
                    <pic:blipFill>
                      <a:blip r:embed="rId32">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pPr>
        <w:rPr>
          <w:ins w:id="13863" w:author="Author"/>
          <w:noProof/>
        </w:rPr>
        <w:pPrChange w:id="13864" w:author="Author">
          <w:pPr>
            <w:pStyle w:val="Standard1"/>
          </w:pPr>
        </w:pPrChange>
      </w:pPr>
    </w:p>
    <w:p>
      <w:pPr>
        <w:tabs>
          <w:tab w:val="left" w:pos="180"/>
        </w:tabs>
        <w:outlineLvl w:val="0"/>
        <w:rPr>
          <w:noProof/>
          <w:lang w:val="it-IT"/>
        </w:rPr>
      </w:pPr>
    </w:p>
    <w:sectPr>
      <w:footerReference w:type="default" r:id="rId33"/>
      <w:footerReference w:type="first" r:id="rId34"/>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p/>
  </w:endnote>
  <w:endnote w:type="continuationSeparator" w:id="0">
    <w:p>
      <w:r>
        <w:continuationSeparator/>
      </w:r>
    </w:p>
    <w:p/>
  </w:endnote>
  <w:endnote w:type="continuationNotice" w:id="1">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TimesNewRoman">
    <w:altName w:val="Times New Roman"/>
    <w:panose1 w:val="00000000000000000000"/>
    <w:charset w:val="80"/>
    <w:family w:val="auto"/>
    <w:notTrueType/>
    <w:pitch w:val="default"/>
    <w:sig w:usb0="00000083" w:usb1="08070000" w:usb2="00000010" w:usb3="00000000" w:csb0="00020009" w:csb1="00000000"/>
  </w:font>
  <w:font w:name="Imago">
    <w:altName w:val="Calibri"/>
    <w:panose1 w:val="02000500060000020004"/>
    <w:charset w:val="00"/>
    <w:family w:val="auto"/>
    <w:pitch w:val="variable"/>
    <w:sig w:usb0="A00002AF" w:usb1="5000205B" w:usb2="00000000" w:usb3="00000000" w:csb0="0000009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inherit">
    <w:altName w:val="Cambria"/>
    <w:panose1 w:val="00000000000000000000"/>
    <w:charset w:val="00"/>
    <w:family w:val="roman"/>
    <w:notTrueType/>
    <w:pitch w:val="default"/>
  </w:font>
  <w:font w:name="HelveticaNeueLTPro-Roman">
    <w:altName w:val="Arial"/>
    <w:panose1 w:val="00000000000000000000"/>
    <w:charset w:val="00"/>
    <w:family w:val="swiss"/>
    <w:notTrueType/>
    <w:pitch w:val="default"/>
    <w:sig w:usb0="00000003" w:usb1="00000000" w:usb2="00000000" w:usb3="00000000" w:csb0="00000001" w:csb1="00000000"/>
  </w:font>
  <w:font w:name="HelveticaNeueLTPro-Bd">
    <w:altName w:val="Arial"/>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jc w:val="center"/>
      <w:rPr>
        <w:del w:id="13865" w:author="Author"/>
        <w:rFonts w:cs="Arial"/>
        <w:szCs w:val="16"/>
      </w:rPr>
    </w:pPr>
    <w:r>
      <w:fldChar w:fldCharType="begin"/>
    </w:r>
    <w:r>
      <w:instrText>PAGE   \* MERGEFORMAT</w:instrText>
    </w:r>
    <w:r>
      <w:fldChar w:fldCharType="separate"/>
    </w:r>
    <w:r>
      <w:rPr>
        <w:noProof/>
        <w:lang w:val="it-IT"/>
      </w:rPr>
      <w:t>2</w:t>
    </w:r>
    <w:r>
      <w:fldChar w:fldCharType="end"/>
    </w:r>
  </w:p>
  <w:p>
    <w:pPr>
      <w:pStyle w:val="Footer"/>
      <w:tabs>
        <w:tab w:val="right" w:pos="8931"/>
      </w:tabs>
      <w:ind w:right="96"/>
      <w:rPr>
        <w:del w:id="13866" w:author="Author"/>
        <w:rFonts w:cs="Arial"/>
        <w:szCs w:val="16"/>
      </w:rPr>
      <w:pPrChange w:id="13867" w:author="Author">
        <w:pPr>
          <w:pStyle w:val="Footer"/>
          <w:tabs>
            <w:tab w:val="right" w:pos="8931"/>
          </w:tabs>
          <w:ind w:right="96"/>
          <w:jc w:val="center"/>
        </w:pPr>
      </w:pPrChange>
    </w:pPr>
  </w:p>
  <w:p>
    <w:pPr>
      <w:pStyle w:val="Footer"/>
      <w:jc w:val="center"/>
      <w:pPrChange w:id="13868" w:author="Author">
        <w:pPr/>
      </w:pPrChan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116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p/>
  </w:footnote>
  <w:footnote w:type="continuationSeparator" w:id="0">
    <w:p>
      <w:r>
        <w:continuationSeparator/>
      </w:r>
    </w:p>
    <w:p/>
  </w:footnote>
  <w:footnote w:type="continuationNotice" w:id="1">
    <w:p/>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52CF82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721F9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722AC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C0C2C5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D6845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88D7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2C60E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786374"/>
    <w:lvl w:ilvl="0">
      <w:start w:val="1"/>
      <w:numFmt w:val="decimal"/>
      <w:pStyle w:val="ListNumber"/>
      <w:lvlText w:val="%1."/>
      <w:lvlJc w:val="left"/>
      <w:pPr>
        <w:tabs>
          <w:tab w:val="num" w:pos="360"/>
        </w:tabs>
        <w:ind w:left="360" w:hanging="360"/>
      </w:pPr>
    </w:lvl>
  </w:abstractNum>
  <w:abstractNum w:abstractNumId="9" w15:restartNumberingAfterBreak="0">
    <w:nsid w:val="FFFFFFFE"/>
    <w:multiLevelType w:val="singleLevel"/>
    <w:tmpl w:val="FFFFFFFF"/>
    <w:lvl w:ilvl="0">
      <w:numFmt w:val="decimal"/>
      <w:pStyle w:val="ListNumber4"/>
      <w:lvlText w:val="*"/>
      <w:lvlJc w:val="left"/>
    </w:lvl>
  </w:abstractNum>
  <w:abstractNum w:abstractNumId="10" w15:restartNumberingAfterBreak="0">
    <w:nsid w:val="03004507"/>
    <w:multiLevelType w:val="hybridMultilevel"/>
    <w:tmpl w:val="5FDE46B8"/>
    <w:lvl w:ilvl="0" w:tplc="507047CC">
      <w:numFmt w:val="bullet"/>
      <w:lvlText w:val="·"/>
      <w:lvlJc w:val="left"/>
      <w:pPr>
        <w:ind w:left="729" w:hanging="360"/>
      </w:pPr>
      <w:rPr>
        <w:rFonts w:ascii="Symbol" w:eastAsia="Times New Roman" w:hAnsi="Symbol" w:cs="Times New Roman" w:hint="default"/>
        <w:sz w:val="22"/>
        <w:szCs w:val="22"/>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11" w15:restartNumberingAfterBreak="0">
    <w:nsid w:val="035F09A1"/>
    <w:multiLevelType w:val="hybridMultilevel"/>
    <w:tmpl w:val="580A0F00"/>
    <w:lvl w:ilvl="0" w:tplc="98FA175A">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F55EF5"/>
    <w:multiLevelType w:val="hybridMultilevel"/>
    <w:tmpl w:val="1248CC68"/>
    <w:lvl w:ilvl="0" w:tplc="53B4A51C">
      <w:start w:val="1"/>
      <w:numFmt w:val="bullet"/>
      <w:pStyle w:val="TextBull"/>
      <w:lvlText w:val=""/>
      <w:lvlJc w:val="left"/>
      <w:pPr>
        <w:tabs>
          <w:tab w:val="num" w:pos="357"/>
        </w:tabs>
        <w:ind w:left="357"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394780"/>
    <w:multiLevelType w:val="hybridMultilevel"/>
    <w:tmpl w:val="6846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8C224F"/>
    <w:multiLevelType w:val="hybridMultilevel"/>
    <w:tmpl w:val="C45A3F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A701CCF"/>
    <w:multiLevelType w:val="hybridMultilevel"/>
    <w:tmpl w:val="3F6C68E8"/>
    <w:lvl w:ilvl="0" w:tplc="0A12B71C">
      <w:start w:val="1"/>
      <w:numFmt w:val="bullet"/>
      <w:pStyle w:val="ListBullet"/>
      <w:lvlText w:val=""/>
      <w:lvlJc w:val="left"/>
      <w:pPr>
        <w:tabs>
          <w:tab w:val="num" w:pos="432"/>
        </w:tabs>
        <w:ind w:left="432" w:hanging="43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CF5419"/>
    <w:multiLevelType w:val="hybridMultilevel"/>
    <w:tmpl w:val="2544E5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9A1F04"/>
    <w:multiLevelType w:val="hybridMultilevel"/>
    <w:tmpl w:val="A1E8EA9A"/>
    <w:lvl w:ilvl="0" w:tplc="FB020AB8">
      <w:start w:val="4"/>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8" w15:restartNumberingAfterBreak="0">
    <w:nsid w:val="0F2A6A2E"/>
    <w:multiLevelType w:val="hybridMultilevel"/>
    <w:tmpl w:val="B1860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F376C4A"/>
    <w:multiLevelType w:val="hybridMultilevel"/>
    <w:tmpl w:val="4FA02F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59F3678"/>
    <w:multiLevelType w:val="hybridMultilevel"/>
    <w:tmpl w:val="8ED29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82D2D4D"/>
    <w:multiLevelType w:val="hybridMultilevel"/>
    <w:tmpl w:val="3C027F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9237AFA"/>
    <w:multiLevelType w:val="hybridMultilevel"/>
    <w:tmpl w:val="1C729D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A6F3EA5"/>
    <w:multiLevelType w:val="hybridMultilevel"/>
    <w:tmpl w:val="EB605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A712676"/>
    <w:multiLevelType w:val="hybridMultilevel"/>
    <w:tmpl w:val="809EAE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229E2E19"/>
    <w:multiLevelType w:val="hybridMultilevel"/>
    <w:tmpl w:val="420C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C80689"/>
    <w:multiLevelType w:val="hybridMultilevel"/>
    <w:tmpl w:val="D61C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CA57FA"/>
    <w:multiLevelType w:val="hybridMultilevel"/>
    <w:tmpl w:val="BAF83250"/>
    <w:lvl w:ilvl="0" w:tplc="04100001">
      <w:start w:val="1"/>
      <w:numFmt w:val="bullet"/>
      <w:lvlText w:val=""/>
      <w:lvlJc w:val="left"/>
      <w:pPr>
        <w:ind w:left="834" w:hanging="360"/>
      </w:pPr>
      <w:rPr>
        <w:rFonts w:ascii="Symbol" w:hAnsi="Symbol" w:hint="default"/>
      </w:rPr>
    </w:lvl>
    <w:lvl w:ilvl="1" w:tplc="04100003" w:tentative="1">
      <w:start w:val="1"/>
      <w:numFmt w:val="bullet"/>
      <w:lvlText w:val="o"/>
      <w:lvlJc w:val="left"/>
      <w:pPr>
        <w:ind w:left="1554" w:hanging="360"/>
      </w:pPr>
      <w:rPr>
        <w:rFonts w:ascii="Courier New" w:hAnsi="Courier New" w:cs="Courier New" w:hint="default"/>
      </w:rPr>
    </w:lvl>
    <w:lvl w:ilvl="2" w:tplc="04100005" w:tentative="1">
      <w:start w:val="1"/>
      <w:numFmt w:val="bullet"/>
      <w:lvlText w:val=""/>
      <w:lvlJc w:val="left"/>
      <w:pPr>
        <w:ind w:left="2274" w:hanging="360"/>
      </w:pPr>
      <w:rPr>
        <w:rFonts w:ascii="Wingdings" w:hAnsi="Wingdings" w:hint="default"/>
      </w:rPr>
    </w:lvl>
    <w:lvl w:ilvl="3" w:tplc="04100001" w:tentative="1">
      <w:start w:val="1"/>
      <w:numFmt w:val="bullet"/>
      <w:lvlText w:val=""/>
      <w:lvlJc w:val="left"/>
      <w:pPr>
        <w:ind w:left="2994" w:hanging="360"/>
      </w:pPr>
      <w:rPr>
        <w:rFonts w:ascii="Symbol" w:hAnsi="Symbol" w:hint="default"/>
      </w:rPr>
    </w:lvl>
    <w:lvl w:ilvl="4" w:tplc="04100003" w:tentative="1">
      <w:start w:val="1"/>
      <w:numFmt w:val="bullet"/>
      <w:lvlText w:val="o"/>
      <w:lvlJc w:val="left"/>
      <w:pPr>
        <w:ind w:left="3714" w:hanging="360"/>
      </w:pPr>
      <w:rPr>
        <w:rFonts w:ascii="Courier New" w:hAnsi="Courier New" w:cs="Courier New" w:hint="default"/>
      </w:rPr>
    </w:lvl>
    <w:lvl w:ilvl="5" w:tplc="04100005" w:tentative="1">
      <w:start w:val="1"/>
      <w:numFmt w:val="bullet"/>
      <w:lvlText w:val=""/>
      <w:lvlJc w:val="left"/>
      <w:pPr>
        <w:ind w:left="4434" w:hanging="360"/>
      </w:pPr>
      <w:rPr>
        <w:rFonts w:ascii="Wingdings" w:hAnsi="Wingdings" w:hint="default"/>
      </w:rPr>
    </w:lvl>
    <w:lvl w:ilvl="6" w:tplc="04100001" w:tentative="1">
      <w:start w:val="1"/>
      <w:numFmt w:val="bullet"/>
      <w:lvlText w:val=""/>
      <w:lvlJc w:val="left"/>
      <w:pPr>
        <w:ind w:left="5154" w:hanging="360"/>
      </w:pPr>
      <w:rPr>
        <w:rFonts w:ascii="Symbol" w:hAnsi="Symbol" w:hint="default"/>
      </w:rPr>
    </w:lvl>
    <w:lvl w:ilvl="7" w:tplc="04100003" w:tentative="1">
      <w:start w:val="1"/>
      <w:numFmt w:val="bullet"/>
      <w:lvlText w:val="o"/>
      <w:lvlJc w:val="left"/>
      <w:pPr>
        <w:ind w:left="5874" w:hanging="360"/>
      </w:pPr>
      <w:rPr>
        <w:rFonts w:ascii="Courier New" w:hAnsi="Courier New" w:cs="Courier New" w:hint="default"/>
      </w:rPr>
    </w:lvl>
    <w:lvl w:ilvl="8" w:tplc="04100005" w:tentative="1">
      <w:start w:val="1"/>
      <w:numFmt w:val="bullet"/>
      <w:lvlText w:val=""/>
      <w:lvlJc w:val="left"/>
      <w:pPr>
        <w:ind w:left="6594" w:hanging="360"/>
      </w:pPr>
      <w:rPr>
        <w:rFonts w:ascii="Wingdings" w:hAnsi="Wingdings" w:hint="default"/>
      </w:rPr>
    </w:lvl>
  </w:abstractNum>
  <w:abstractNum w:abstractNumId="28" w15:restartNumberingAfterBreak="0">
    <w:nsid w:val="27314919"/>
    <w:multiLevelType w:val="hybridMultilevel"/>
    <w:tmpl w:val="FA60E8E6"/>
    <w:lvl w:ilvl="0" w:tplc="5BBCD754">
      <w:numFmt w:val="bullet"/>
      <w:lvlText w:val="•"/>
      <w:lvlJc w:val="left"/>
      <w:pPr>
        <w:ind w:left="1280" w:hanging="5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A152FF9"/>
    <w:multiLevelType w:val="hybridMultilevel"/>
    <w:tmpl w:val="C5AE30F2"/>
    <w:lvl w:ilvl="0" w:tplc="FA8A3D66">
      <w:start w:val="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31" w15:restartNumberingAfterBreak="0">
    <w:nsid w:val="3316132C"/>
    <w:multiLevelType w:val="hybridMultilevel"/>
    <w:tmpl w:val="592C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F42131"/>
    <w:multiLevelType w:val="hybridMultilevel"/>
    <w:tmpl w:val="C1EC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AC0139"/>
    <w:multiLevelType w:val="hybridMultilevel"/>
    <w:tmpl w:val="C46C1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EA2A86"/>
    <w:multiLevelType w:val="hybridMultilevel"/>
    <w:tmpl w:val="0B4A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AD660C"/>
    <w:multiLevelType w:val="hybridMultilevel"/>
    <w:tmpl w:val="364C6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3683002"/>
    <w:multiLevelType w:val="hybridMultilevel"/>
    <w:tmpl w:val="D8828F56"/>
    <w:lvl w:ilvl="0" w:tplc="EC04FCCA">
      <w:start w:val="1"/>
      <w:numFmt w:val="bullet"/>
      <w:pStyle w:val="Bulletsty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38" w15:restartNumberingAfterBreak="0">
    <w:nsid w:val="4967267D"/>
    <w:multiLevelType w:val="hybridMultilevel"/>
    <w:tmpl w:val="832A5C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2B07230"/>
    <w:multiLevelType w:val="hybridMultilevel"/>
    <w:tmpl w:val="C04E0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5AC6651"/>
    <w:multiLevelType w:val="hybridMultilevel"/>
    <w:tmpl w:val="E5CC8A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57A36158"/>
    <w:multiLevelType w:val="hybridMultilevel"/>
    <w:tmpl w:val="18283A5C"/>
    <w:lvl w:ilvl="0" w:tplc="00E8077A">
      <w:start w:val="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9D344DE"/>
    <w:multiLevelType w:val="hybridMultilevel"/>
    <w:tmpl w:val="15409DA6"/>
    <w:lvl w:ilvl="0" w:tplc="A498EC98">
      <w:start w:val="4"/>
      <w:numFmt w:val="bullet"/>
      <w:lvlText w:val="-"/>
      <w:lvlJc w:val="left"/>
      <w:pPr>
        <w:ind w:left="720" w:hanging="360"/>
      </w:pPr>
      <w:rPr>
        <w:rFonts w:ascii="Times New Roman" w:eastAsia="SimSu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18F5B53"/>
    <w:multiLevelType w:val="hybridMultilevel"/>
    <w:tmpl w:val="BE46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1438AE"/>
    <w:multiLevelType w:val="hybridMultilevel"/>
    <w:tmpl w:val="05D6239C"/>
    <w:lvl w:ilvl="0" w:tplc="08090001">
      <w:start w:val="1"/>
      <w:numFmt w:val="bullet"/>
      <w:lvlText w:val=""/>
      <w:lvlJc w:val="left"/>
      <w:pPr>
        <w:ind w:left="-201" w:hanging="360"/>
      </w:pPr>
      <w:rPr>
        <w:rFonts w:ascii="Symbol" w:hAnsi="Symbol" w:hint="default"/>
      </w:rPr>
    </w:lvl>
    <w:lvl w:ilvl="1" w:tplc="08090003">
      <w:start w:val="1"/>
      <w:numFmt w:val="bullet"/>
      <w:lvlText w:val="o"/>
      <w:lvlJc w:val="left"/>
      <w:pPr>
        <w:ind w:left="519" w:hanging="360"/>
      </w:pPr>
      <w:rPr>
        <w:rFonts w:ascii="Courier New" w:hAnsi="Courier New" w:cs="Courier New" w:hint="default"/>
      </w:rPr>
    </w:lvl>
    <w:lvl w:ilvl="2" w:tplc="08090005" w:tentative="1">
      <w:start w:val="1"/>
      <w:numFmt w:val="bullet"/>
      <w:lvlText w:val=""/>
      <w:lvlJc w:val="left"/>
      <w:pPr>
        <w:ind w:left="1239" w:hanging="360"/>
      </w:pPr>
      <w:rPr>
        <w:rFonts w:ascii="Wingdings" w:hAnsi="Wingdings" w:hint="default"/>
      </w:rPr>
    </w:lvl>
    <w:lvl w:ilvl="3" w:tplc="08090001" w:tentative="1">
      <w:start w:val="1"/>
      <w:numFmt w:val="bullet"/>
      <w:lvlText w:val=""/>
      <w:lvlJc w:val="left"/>
      <w:pPr>
        <w:ind w:left="1959" w:hanging="360"/>
      </w:pPr>
      <w:rPr>
        <w:rFonts w:ascii="Symbol" w:hAnsi="Symbol" w:hint="default"/>
      </w:rPr>
    </w:lvl>
    <w:lvl w:ilvl="4" w:tplc="08090003" w:tentative="1">
      <w:start w:val="1"/>
      <w:numFmt w:val="bullet"/>
      <w:lvlText w:val="o"/>
      <w:lvlJc w:val="left"/>
      <w:pPr>
        <w:ind w:left="2679" w:hanging="360"/>
      </w:pPr>
      <w:rPr>
        <w:rFonts w:ascii="Courier New" w:hAnsi="Courier New" w:cs="Courier New" w:hint="default"/>
      </w:rPr>
    </w:lvl>
    <w:lvl w:ilvl="5" w:tplc="08090005" w:tentative="1">
      <w:start w:val="1"/>
      <w:numFmt w:val="bullet"/>
      <w:lvlText w:val=""/>
      <w:lvlJc w:val="left"/>
      <w:pPr>
        <w:ind w:left="3399" w:hanging="360"/>
      </w:pPr>
      <w:rPr>
        <w:rFonts w:ascii="Wingdings" w:hAnsi="Wingdings" w:hint="default"/>
      </w:rPr>
    </w:lvl>
    <w:lvl w:ilvl="6" w:tplc="08090001" w:tentative="1">
      <w:start w:val="1"/>
      <w:numFmt w:val="bullet"/>
      <w:lvlText w:val=""/>
      <w:lvlJc w:val="left"/>
      <w:pPr>
        <w:ind w:left="4119" w:hanging="360"/>
      </w:pPr>
      <w:rPr>
        <w:rFonts w:ascii="Symbol" w:hAnsi="Symbol" w:hint="default"/>
      </w:rPr>
    </w:lvl>
    <w:lvl w:ilvl="7" w:tplc="08090003" w:tentative="1">
      <w:start w:val="1"/>
      <w:numFmt w:val="bullet"/>
      <w:lvlText w:val="o"/>
      <w:lvlJc w:val="left"/>
      <w:pPr>
        <w:ind w:left="4839" w:hanging="360"/>
      </w:pPr>
      <w:rPr>
        <w:rFonts w:ascii="Courier New" w:hAnsi="Courier New" w:cs="Courier New" w:hint="default"/>
      </w:rPr>
    </w:lvl>
    <w:lvl w:ilvl="8" w:tplc="08090005" w:tentative="1">
      <w:start w:val="1"/>
      <w:numFmt w:val="bullet"/>
      <w:lvlText w:val=""/>
      <w:lvlJc w:val="left"/>
      <w:pPr>
        <w:ind w:left="5559" w:hanging="360"/>
      </w:pPr>
      <w:rPr>
        <w:rFonts w:ascii="Wingdings" w:hAnsi="Wingdings" w:hint="default"/>
      </w:rPr>
    </w:lvl>
  </w:abstractNum>
  <w:abstractNum w:abstractNumId="46" w15:restartNumberingAfterBreak="0">
    <w:nsid w:val="731E1F1A"/>
    <w:multiLevelType w:val="hybridMultilevel"/>
    <w:tmpl w:val="BC0A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2755B4"/>
    <w:multiLevelType w:val="hybridMultilevel"/>
    <w:tmpl w:val="1A4E7FDE"/>
    <w:lvl w:ilvl="0" w:tplc="04090001">
      <w:start w:val="1"/>
      <w:numFmt w:val="bullet"/>
      <w:lvlText w:val=""/>
      <w:lvlJc w:val="left"/>
      <w:pPr>
        <w:tabs>
          <w:tab w:val="num" w:pos="720"/>
        </w:tabs>
        <w:ind w:left="720" w:hanging="360"/>
      </w:pPr>
      <w:rPr>
        <w:rFonts w:ascii="Symbol" w:hAnsi="Symbol" w:hint="default"/>
      </w:rPr>
    </w:lvl>
    <w:lvl w:ilvl="1" w:tplc="851E3E8E">
      <w:start w:val="2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lvlOverride w:ilvl="0">
      <w:lvl w:ilvl="0">
        <w:start w:val="1"/>
        <w:numFmt w:val="bullet"/>
        <w:pStyle w:val="ListNumber4"/>
        <w:lvlText w:val=""/>
        <w:legacy w:legacy="1" w:legacySpace="0" w:legacyIndent="360"/>
        <w:lvlJc w:val="left"/>
        <w:pPr>
          <w:ind w:left="360" w:hanging="360"/>
        </w:pPr>
        <w:rPr>
          <w:rFonts w:ascii="Symbol" w:hAnsi="Symbol" w:hint="default"/>
        </w:rPr>
      </w:lvl>
    </w:lvlOverride>
  </w:num>
  <w:num w:numId="3">
    <w:abstractNumId w:val="12"/>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0"/>
  </w:num>
  <w:num w:numId="12">
    <w:abstractNumId w:val="37"/>
  </w:num>
  <w:num w:numId="13">
    <w:abstractNumId w:val="45"/>
  </w:num>
  <w:num w:numId="14">
    <w:abstractNumId w:val="44"/>
  </w:num>
  <w:num w:numId="15">
    <w:abstractNumId w:val="26"/>
  </w:num>
  <w:num w:numId="16">
    <w:abstractNumId w:val="33"/>
  </w:num>
  <w:num w:numId="17">
    <w:abstractNumId w:val="32"/>
  </w:num>
  <w:num w:numId="18">
    <w:abstractNumId w:val="36"/>
  </w:num>
  <w:num w:numId="19">
    <w:abstractNumId w:val="47"/>
  </w:num>
  <w:num w:numId="20">
    <w:abstractNumId w:val="24"/>
  </w:num>
  <w:num w:numId="21">
    <w:abstractNumId w:val="18"/>
  </w:num>
  <w:num w:numId="22">
    <w:abstractNumId w:val="22"/>
  </w:num>
  <w:num w:numId="23">
    <w:abstractNumId w:val="35"/>
  </w:num>
  <w:num w:numId="24">
    <w:abstractNumId w:val="25"/>
  </w:num>
  <w:num w:numId="25">
    <w:abstractNumId w:val="23"/>
  </w:num>
  <w:num w:numId="26">
    <w:abstractNumId w:val="13"/>
  </w:num>
  <w:num w:numId="27">
    <w:abstractNumId w:val="46"/>
  </w:num>
  <w:num w:numId="28">
    <w:abstractNumId w:val="31"/>
  </w:num>
  <w:num w:numId="29">
    <w:abstractNumId w:val="34"/>
  </w:num>
  <w:num w:numId="30">
    <w:abstractNumId w:val="16"/>
  </w:num>
  <w:num w:numId="31">
    <w:abstractNumId w:val="39"/>
  </w:num>
  <w:num w:numId="32">
    <w:abstractNumId w:val="19"/>
  </w:num>
  <w:num w:numId="33">
    <w:abstractNumId w:val="28"/>
  </w:num>
  <w:num w:numId="34">
    <w:abstractNumId w:val="21"/>
  </w:num>
  <w:num w:numId="35">
    <w:abstractNumId w:val="38"/>
  </w:num>
  <w:num w:numId="36">
    <w:abstractNumId w:val="1"/>
  </w:num>
  <w:num w:numId="37">
    <w:abstractNumId w:val="30"/>
  </w:num>
  <w:num w:numId="38">
    <w:abstractNumId w:val="43"/>
  </w:num>
  <w:num w:numId="39">
    <w:abstractNumId w:val="27"/>
  </w:num>
  <w:num w:numId="40">
    <w:abstractNumId w:val="14"/>
  </w:num>
  <w:num w:numId="41">
    <w:abstractNumId w:val="40"/>
  </w:num>
  <w:num w:numId="42">
    <w:abstractNumId w:val="10"/>
  </w:num>
  <w:num w:numId="43">
    <w:abstractNumId w:val="11"/>
  </w:num>
  <w:num w:numId="44">
    <w:abstractNumId w:val="29"/>
  </w:num>
  <w:num w:numId="45">
    <w:abstractNumId w:val="41"/>
  </w:num>
  <w:num w:numId="46">
    <w:abstractNumId w:val="42"/>
  </w:num>
  <w:num w:numId="47">
    <w:abstractNumId w:val="17"/>
  </w:num>
  <w:num w:numId="48">
    <w:abstractNumId w:val="20"/>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CS">
    <w15:presenceInfo w15:providerId="None" w15:userId="T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Grammatical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de-DE" w:vendorID="64" w:dllVersion="6" w:nlCheck="1" w:checkStyle="0"/>
  <w:activeWritingStyle w:appName="MSWord" w:lang="de-CH" w:vendorID="64" w:dllVersion="6" w:nlCheck="1" w:checkStyle="1"/>
  <w:activeWritingStyle w:appName="MSWord" w:lang="es-ES" w:vendorID="64" w:dllVersion="6" w:nlCheck="1" w:checkStyle="1"/>
  <w:activeWritingStyle w:appName="MSWord" w:lang="fr-CH" w:vendorID="64" w:dllVersion="6" w:nlCheck="1" w:checkStyle="1"/>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de-CH" w:vendorID="64" w:dllVersion="0" w:nlCheck="1" w:checkStyle="0"/>
  <w:activeWritingStyle w:appName="MSWord" w:lang="fr-FR" w:vendorID="64" w:dllVersion="0" w:nlCheck="1" w:checkStyle="0"/>
  <w:activeWritingStyle w:appName="MSWord" w:lang="de-DE" w:vendorID="64" w:dllVersion="0" w:nlCheck="1" w:checkStyle="0"/>
  <w:activeWritingStyle w:appName="MSWord" w:lang="en-US" w:vendorID="64" w:dllVersion="4096" w:nlCheck="1" w:checkStyle="0"/>
  <w:activeWritingStyle w:appName="MSWord" w:lang="it-IT" w:vendorID="64" w:dllVersion="6" w:nlCheck="1" w:checkStyle="0"/>
  <w:activeWritingStyle w:appName="MSWord" w:lang="pt-BR" w:vendorID="64" w:dllVersion="6" w:nlCheck="1" w:checkStyle="0"/>
  <w:activeWritingStyle w:appName="MSWord" w:lang="it-IT"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pl-PL" w:vendorID="64" w:dllVersion="0" w:nlCheck="1" w:checkStyle="0"/>
  <w:activeWritingStyle w:appName="MSWord" w:lang="pt-BR" w:vendorID="64" w:dllVersion="0" w:nlCheck="1" w:checkStyle="0"/>
  <w:activeWritingStyle w:appName="MSWord" w:lang="ru-RU" w:vendorID="64" w:dllVersion="0" w:nlCheck="1" w:checkStyle="0"/>
  <w:activeWritingStyle w:appName="MSWord" w:lang="fi-FI" w:vendorID="64" w:dllVersion="0" w:nlCheck="1" w:checkStyle="0"/>
  <w:activeWritingStyle w:appName="MSWord" w:lang="es-ES" w:vendorID="64" w:dllVersion="0" w:nlCheck="1" w:checkStyle="0"/>
  <w:activeWritingStyle w:appName="MSWord" w:lang="en-US" w:vendorID="64" w:dllVersion="131078" w:nlCheck="1" w:checkStyle="1"/>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it-IT" w:vendorID="3" w:dllVersion="517" w:checkStyle="1"/>
  <w:activeWritingStyle w:appName="MSWord" w:lang="pt-BR" w:vendorID="1" w:dllVersion="513" w:checkStyle="1"/>
  <w:activeWritingStyle w:appName="MSWord" w:lang="nl-NL" w:vendorID="1" w:dllVersion="512" w:checkStyle="1"/>
  <w:activeWritingStyle w:appName="MSWord" w:lang="pl-PL" w:vendorID="12" w:dllVersion="512" w:checkStyle="1"/>
  <w:activeWritingStyle w:appName="MSWord" w:lang="pt-PT" w:vendorID="13" w:dllVersion="513" w:checkStyle="1"/>
  <w:activeWritingStyle w:appName="MSWord" w:lang="fi-FI" w:vendorID="666" w:dllVersion="513" w:checkStyle="1"/>
  <w:activeWritingStyle w:appName="MSWord" w:lang="sv-SE" w:vendorID="0" w:dllVersion="512"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67"/>
  <w:hyphenationZone w:val="283"/>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gistered" w:val="-1"/>
    <w:docVar w:name="Version" w:val="0"/>
  </w:docVar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5:chartTrackingRefBased/>
  <w15:docId w15:val="{F79ECA8D-B0A2-491F-BE8D-AFAA7F718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US" w:eastAsia="ja-JP"/>
    </w:rPr>
  </w:style>
  <w:style w:type="paragraph" w:styleId="Heading1">
    <w:name w:val="heading 1"/>
    <w:basedOn w:val="Normal"/>
    <w:next w:val="Normal"/>
    <w:link w:val="Heading1Char"/>
    <w:qFormat/>
    <w:pPr>
      <w:ind w:left="567" w:hanging="567"/>
      <w:outlineLvl w:val="0"/>
    </w:pPr>
    <w:rPr>
      <w:b/>
      <w:caps/>
    </w:rPr>
  </w:style>
  <w:style w:type="paragraph" w:styleId="Heading2">
    <w:name w:val="heading 2"/>
    <w:basedOn w:val="Heading1"/>
    <w:next w:val="Normal"/>
    <w:link w:val="Heading2Char"/>
    <w:qFormat/>
    <w:pPr>
      <w:outlineLvl w:val="1"/>
    </w:pPr>
    <w:rPr>
      <w:caps w:val="0"/>
    </w:rPr>
  </w:style>
  <w:style w:type="paragraph" w:styleId="Heading3">
    <w:name w:val="heading 3"/>
    <w:basedOn w:val="Normal"/>
    <w:next w:val="Normal"/>
    <w:link w:val="Heading3Char"/>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rPr>
      <w:rFonts w:ascii="Arial" w:hAnsi="Arial"/>
      <w:sz w:val="16"/>
    </w:rPr>
  </w:style>
  <w:style w:type="character" w:styleId="PageNumber">
    <w:name w:val="page number"/>
    <w:rPr>
      <w:rFonts w:ascii="Arial" w:hAnsi="Arial"/>
      <w:noProof/>
      <w:sz w:val="16"/>
    </w:rPr>
  </w:style>
  <w:style w:type="paragraph" w:styleId="EndnoteText">
    <w:name w:val="endnote text"/>
    <w:basedOn w:val="Normal"/>
    <w:next w:val="Normal"/>
    <w:link w:val="EndnoteTextChar"/>
    <w:semiHidden/>
  </w:style>
  <w:style w:type="character" w:styleId="EndnoteReference">
    <w:name w:val="endnote reference"/>
    <w:semiHidden/>
    <w:rPr>
      <w:vertAlign w:val="superscript"/>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rPr>
      <w:sz w:val="20"/>
      <w:lang w:val="it-IT" w:eastAsia="it-IT"/>
    </w:rPr>
  </w:style>
  <w:style w:type="character" w:customStyle="1" w:styleId="CommentTextChar">
    <w:name w:val="Comment Text Char"/>
    <w:link w:val="CommentText"/>
    <w:uiPriority w:val="99"/>
    <w:semiHidden/>
    <w:rPr>
      <w:lang w:val="it-IT" w:eastAsia="it-IT"/>
    </w:rPr>
  </w:style>
  <w:style w:type="paragraph" w:customStyle="1" w:styleId="BodyText22">
    <w:name w:val="Body Text 22"/>
    <w:basedOn w:val="Normal"/>
    <w:pPr>
      <w:tabs>
        <w:tab w:val="left" w:pos="4536"/>
      </w:tabs>
      <w:jc w:val="both"/>
    </w:pPr>
    <w:rPr>
      <w:b/>
    </w:rPr>
  </w:style>
  <w:style w:type="paragraph" w:styleId="BodyText">
    <w:name w:val="Body Text"/>
    <w:basedOn w:val="Normal"/>
    <w:link w:val="BodyTextChar"/>
    <w:rPr>
      <w:b/>
      <w:i/>
      <w:lang w:val="x-none" w:eastAsia="it-IT" w:bidi="it-IT"/>
    </w:rPr>
  </w:style>
  <w:style w:type="paragraph" w:styleId="BodyText3">
    <w:name w:val="Body Text 3"/>
    <w:basedOn w:val="Normal"/>
    <w:link w:val="BodyText3Char"/>
    <w:pPr>
      <w:jc w:val="both"/>
    </w:pPr>
    <w:rPr>
      <w:b/>
      <w:i/>
    </w:rPr>
  </w:style>
  <w:style w:type="paragraph" w:styleId="BodyTextIndent2">
    <w:name w:val="Body Text Indent 2"/>
    <w:basedOn w:val="Normal"/>
    <w:link w:val="BodyTextIndent2Char"/>
    <w:pPr>
      <w:ind w:left="567" w:hanging="567"/>
      <w:jc w:val="both"/>
    </w:pPr>
    <w:rPr>
      <w:b/>
    </w:rPr>
  </w:style>
  <w:style w:type="paragraph" w:customStyle="1" w:styleId="BodyText21">
    <w:name w:val="Body Text 21"/>
    <w:basedOn w:val="Normal"/>
    <w:pPr>
      <w:tabs>
        <w:tab w:val="left" w:pos="4536"/>
      </w:tabs>
      <w:jc w:val="both"/>
    </w:pPr>
    <w:rPr>
      <w:b/>
    </w:rPr>
  </w:style>
  <w:style w:type="paragraph" w:styleId="FootnoteText">
    <w:name w:val="footnote text"/>
    <w:basedOn w:val="Normal"/>
    <w:link w:val="FootnoteTextChar"/>
    <w:semiHidden/>
    <w:rPr>
      <w:sz w:val="20"/>
    </w:rPr>
  </w:style>
  <w:style w:type="character" w:styleId="FootnoteReference">
    <w:name w:val="footnote reference"/>
    <w:semiHidden/>
    <w:rPr>
      <w:vertAlign w:val="superscript"/>
    </w:rPr>
  </w:style>
  <w:style w:type="paragraph" w:styleId="BodyTextIndent3">
    <w:name w:val="Body Text Indent 3"/>
    <w:basedOn w:val="Normal"/>
    <w:link w:val="BodyTextIndent3Char"/>
    <w:pPr>
      <w:ind w:left="567" w:hanging="567"/>
    </w:pPr>
    <w:rPr>
      <w:i/>
      <w:color w:val="008000"/>
    </w:rPr>
  </w:style>
  <w:style w:type="paragraph" w:styleId="BodyText2">
    <w:name w:val="Body Text 2"/>
    <w:basedOn w:val="Normal"/>
    <w:link w:val="BodyText2Char"/>
    <w:pPr>
      <w:ind w:left="567" w:hanging="567"/>
    </w:pPr>
    <w:rPr>
      <w:b/>
    </w:rPr>
  </w:style>
  <w:style w:type="paragraph" w:styleId="BlockText">
    <w:name w:val="Block Text"/>
    <w:basedOn w:val="Normal"/>
    <w:pPr>
      <w:tabs>
        <w:tab w:val="left" w:pos="2657"/>
      </w:tabs>
      <w:spacing w:before="120"/>
      <w:ind w:left="-37" w:right="-28"/>
    </w:pPr>
  </w:style>
  <w:style w:type="paragraph" w:styleId="BodyTextIndent">
    <w:name w:val="Body Text Indent"/>
    <w:basedOn w:val="Normal"/>
    <w:link w:val="BodyTextIndentChar"/>
    <w:pPr>
      <w:ind w:left="567" w:hanging="567"/>
    </w:pPr>
    <w:rPr>
      <w:b/>
      <w:color w:val="808080"/>
      <w:lang w:val="x-none" w:eastAsia="it-IT" w:bidi="it-IT"/>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customStyle="1" w:styleId="Annex">
    <w:name w:val="Annex"/>
    <w:basedOn w:val="Normal"/>
    <w:next w:val="Normal"/>
    <w:pPr>
      <w:jc w:val="center"/>
    </w:pPr>
    <w:rPr>
      <w:b/>
    </w:rPr>
  </w:style>
  <w:style w:type="paragraph" w:customStyle="1" w:styleId="Description">
    <w:name w:val="Description"/>
    <w:basedOn w:val="Normal"/>
    <w:next w:val="Normal"/>
  </w:style>
  <w:style w:type="paragraph" w:customStyle="1" w:styleId="HangingIndent">
    <w:name w:val="HangingIndent"/>
    <w:basedOn w:val="Normal"/>
    <w:pPr>
      <w:ind w:left="567" w:hanging="567"/>
    </w:pPr>
  </w:style>
  <w:style w:type="paragraph" w:styleId="BalloonText">
    <w:name w:val="Balloon Text"/>
    <w:basedOn w:val="Normal"/>
    <w:link w:val="BalloonTextChar"/>
    <w:semiHidden/>
    <w:rPr>
      <w:rFonts w:ascii="Tahoma" w:hAnsi="Tahoma"/>
      <w:sz w:val="16"/>
      <w:szCs w:val="16"/>
    </w:rPr>
  </w:style>
  <w:style w:type="paragraph" w:customStyle="1" w:styleId="EMEAEnBodyText">
    <w:name w:val="EMEA En Body Text"/>
    <w:basedOn w:val="Normal"/>
    <w:pPr>
      <w:spacing w:before="120" w:after="120"/>
      <w:jc w:val="both"/>
    </w:pPr>
  </w:style>
  <w:style w:type="paragraph" w:customStyle="1" w:styleId="TextTi12">
    <w:name w:val="Text:Ti12"/>
    <w:basedOn w:val="Normal"/>
    <w:pPr>
      <w:spacing w:after="170" w:line="280" w:lineRule="atLeast"/>
      <w:jc w:val="both"/>
    </w:pPr>
    <w:rPr>
      <w:sz w:val="24"/>
      <w:szCs w:val="24"/>
    </w:rPr>
  </w:style>
  <w:style w:type="paragraph" w:styleId="CommentSubject">
    <w:name w:val="annotation subject"/>
    <w:basedOn w:val="CommentText"/>
    <w:next w:val="CommentText"/>
    <w:link w:val="CommentSubjectChar"/>
    <w:semiHidden/>
    <w:rPr>
      <w:b/>
      <w:bCs/>
      <w:lang w:val="en-US" w:eastAsia="ja-JP"/>
    </w:rPr>
  </w:style>
  <w:style w:type="paragraph" w:customStyle="1" w:styleId="Standard1">
    <w:name w:val="Standard1"/>
    <w:link w:val="Standard1Char"/>
    <w:qFormat/>
    <w:pPr>
      <w:autoSpaceDE w:val="0"/>
      <w:autoSpaceDN w:val="0"/>
      <w:adjustRightInd w:val="0"/>
    </w:pPr>
    <w:rPr>
      <w:rFonts w:ascii="Arial" w:hAnsi="Arial"/>
      <w:sz w:val="24"/>
      <w:szCs w:val="24"/>
      <w:lang w:bidi="it-IT"/>
    </w:rPr>
  </w:style>
  <w:style w:type="character" w:customStyle="1" w:styleId="TextTi12Char">
    <w:name w:val="Text:Ti12 Char"/>
    <w:rPr>
      <w:sz w:val="24"/>
      <w:szCs w:val="24"/>
      <w:lang w:val="it-IT" w:eastAsia="it-IT" w:bidi="it-IT"/>
    </w:rPr>
  </w:style>
  <w:style w:type="table" w:styleId="TableGrid">
    <w:name w:val="Table Grid"/>
    <w:basedOn w:val="TableNormal"/>
    <w:pPr>
      <w:spacing w:line="28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S8">
    <w:name w:val="SAS:8"/>
    <w:basedOn w:val="Normal"/>
    <w:pPr>
      <w:spacing w:line="150" w:lineRule="exact"/>
    </w:pPr>
    <w:rPr>
      <w:rFonts w:ascii="Courier New" w:hAnsi="Courier New"/>
      <w:spacing w:val="-10"/>
      <w:sz w:val="16"/>
      <w:szCs w:val="16"/>
    </w:rPr>
  </w:style>
  <w:style w:type="character" w:customStyle="1" w:styleId="SAS8Char">
    <w:name w:val="SAS:8 Char"/>
    <w:rPr>
      <w:rFonts w:ascii="Courier New" w:hAnsi="Courier New"/>
      <w:spacing w:val="-10"/>
      <w:sz w:val="16"/>
      <w:szCs w:val="16"/>
      <w:lang w:val="it-IT" w:eastAsia="it-IT" w:bidi="it-IT"/>
    </w:rPr>
  </w:style>
  <w:style w:type="paragraph" w:styleId="Caption">
    <w:name w:val="caption"/>
    <w:basedOn w:val="Normal"/>
    <w:next w:val="Normal"/>
    <w:qFormat/>
    <w:pPr>
      <w:spacing w:before="113" w:after="57" w:line="280" w:lineRule="atLeast"/>
      <w:ind w:left="1701" w:hanging="1701"/>
    </w:pPr>
    <w:rPr>
      <w:rFonts w:ascii="Arial" w:hAnsi="Arial"/>
      <w:b/>
      <w:bCs/>
      <w:sz w:val="24"/>
      <w:szCs w:val="24"/>
    </w:rPr>
  </w:style>
  <w:style w:type="paragraph" w:customStyle="1" w:styleId="HdTab1">
    <w:name w:val="Hd:Tab:1"/>
    <w:basedOn w:val="Caption"/>
    <w:next w:val="TextTi12"/>
    <w:link w:val="HdTab1Char"/>
    <w:pPr>
      <w:keepNext/>
      <w:outlineLvl w:val="4"/>
    </w:pPr>
    <w:rPr>
      <w:bCs w:val="0"/>
      <w:szCs w:val="20"/>
    </w:rPr>
  </w:style>
  <w:style w:type="character" w:styleId="Strong">
    <w:name w:val="Strong"/>
    <w:qFormat/>
    <w:rPr>
      <w:b/>
      <w:bCs/>
    </w:rPr>
  </w:style>
  <w:style w:type="paragraph" w:styleId="Date">
    <w:name w:val="Date"/>
    <w:basedOn w:val="Normal"/>
    <w:next w:val="Normal"/>
    <w:link w:val="DateChar"/>
  </w:style>
  <w:style w:type="paragraph" w:customStyle="1" w:styleId="AnnexHeading">
    <w:name w:val="Annex Heading"/>
    <w:basedOn w:val="Normal"/>
    <w:next w:val="Normal"/>
    <w:pPr>
      <w:ind w:left="567" w:hanging="567"/>
    </w:pPr>
    <w:rPr>
      <w:b/>
    </w:rPr>
  </w:style>
  <w:style w:type="character" w:styleId="Emphasis">
    <w:name w:val="Emphasis"/>
    <w:qFormat/>
    <w:rPr>
      <w:i/>
      <w:iCs/>
    </w:rPr>
  </w:style>
  <w:style w:type="paragraph" w:customStyle="1" w:styleId="ColorfulList-Accent11">
    <w:name w:val="Colorful List - Accent 11"/>
    <w:basedOn w:val="Normal"/>
    <w:qFormat/>
    <w:pPr>
      <w:ind w:left="720"/>
      <w:contextualSpacing/>
    </w:pPr>
    <w:rPr>
      <w:sz w:val="24"/>
      <w:szCs w:val="24"/>
    </w:rPr>
  </w:style>
  <w:style w:type="paragraph" w:customStyle="1" w:styleId="Paragraph">
    <w:name w:val="Paragraph"/>
    <w:basedOn w:val="Normal"/>
    <w:link w:val="ParagraphChar"/>
    <w:qFormat/>
    <w:pPr>
      <w:spacing w:after="170" w:line="280" w:lineRule="exact"/>
    </w:pPr>
    <w:rPr>
      <w:rFonts w:ascii="Arial" w:eastAsia="SimSun" w:hAnsi="Arial"/>
      <w:sz w:val="24"/>
      <w:szCs w:val="24"/>
      <w:lang w:val="it-IT" w:eastAsia="it-IT"/>
    </w:rPr>
  </w:style>
  <w:style w:type="character" w:customStyle="1" w:styleId="ParagraphChar">
    <w:name w:val="Paragraph Char"/>
    <w:link w:val="Paragraph"/>
    <w:rPr>
      <w:rFonts w:ascii="Arial" w:eastAsia="SimSun" w:hAnsi="Arial"/>
      <w:sz w:val="24"/>
      <w:szCs w:val="24"/>
      <w:lang w:val="it-IT" w:eastAsia="it-IT"/>
    </w:rPr>
  </w:style>
  <w:style w:type="paragraph" w:customStyle="1" w:styleId="TableTitle">
    <w:name w:val="Table Title"/>
    <w:basedOn w:val="Normal"/>
    <w:next w:val="Paragraph"/>
    <w:pPr>
      <w:keepNext/>
      <w:keepLines/>
      <w:tabs>
        <w:tab w:val="left" w:pos="1080"/>
      </w:tabs>
      <w:spacing w:before="40" w:after="160" w:line="280" w:lineRule="exact"/>
      <w:ind w:left="1080" w:hanging="1080"/>
    </w:pPr>
    <w:rPr>
      <w:rFonts w:ascii="Arial" w:eastAsia="SimSun" w:hAnsi="Arial"/>
      <w:b/>
      <w:sz w:val="24"/>
      <w:szCs w:val="24"/>
    </w:rPr>
  </w:style>
  <w:style w:type="paragraph" w:styleId="ListBullet">
    <w:name w:val="List Bullet"/>
    <w:basedOn w:val="Normal"/>
    <w:unhideWhenUsed/>
    <w:pPr>
      <w:numPr>
        <w:numId w:val="1"/>
      </w:numPr>
      <w:spacing w:after="100" w:line="280" w:lineRule="atLeast"/>
    </w:pPr>
    <w:rPr>
      <w:rFonts w:ascii="Arial" w:eastAsia="PMingLiU" w:hAnsi="Arial" w:cs="Arial"/>
      <w:szCs w:val="22"/>
    </w:rPr>
  </w:style>
  <w:style w:type="character" w:customStyle="1" w:styleId="TextBullChar">
    <w:name w:val="Text:Bull Char"/>
    <w:link w:val="TextBull"/>
    <w:locked/>
    <w:rPr>
      <w:lang w:val="x-none" w:eastAsia="ja-JP"/>
    </w:rPr>
  </w:style>
  <w:style w:type="paragraph" w:customStyle="1" w:styleId="TextBull">
    <w:name w:val="Text:Bull"/>
    <w:basedOn w:val="Normal"/>
    <w:link w:val="TextBullChar"/>
    <w:pPr>
      <w:numPr>
        <w:numId w:val="3"/>
      </w:numPr>
      <w:spacing w:line="280" w:lineRule="atLeast"/>
    </w:pPr>
    <w:rPr>
      <w:sz w:val="20"/>
      <w:lang w:val="x-none"/>
    </w:rPr>
  </w:style>
  <w:style w:type="character" w:customStyle="1" w:styleId="NormalAgencyChar">
    <w:name w:val="Normal (Agency) Char"/>
    <w:link w:val="NormalAgency"/>
    <w:locked/>
    <w:rPr>
      <w:rFonts w:ascii="Verdana" w:eastAsia="Verdana" w:hAnsi="Verdana"/>
      <w:sz w:val="18"/>
      <w:szCs w:val="18"/>
      <w:lang w:val="it-IT" w:eastAsia="it-IT" w:bidi="it-IT"/>
    </w:rPr>
  </w:style>
  <w:style w:type="paragraph" w:customStyle="1" w:styleId="NormalAgency">
    <w:name w:val="Normal (Agency)"/>
    <w:link w:val="NormalAgencyChar"/>
    <w:rPr>
      <w:rFonts w:ascii="Verdana" w:eastAsia="Verdana" w:hAnsi="Verdana"/>
      <w:sz w:val="18"/>
      <w:szCs w:val="18"/>
      <w:lang w:bidi="it-IT"/>
    </w:rPr>
  </w:style>
  <w:style w:type="paragraph" w:customStyle="1" w:styleId="Paragrafoelenco2">
    <w:name w:val="Paragrafo elenco2"/>
    <w:basedOn w:val="Normal"/>
    <w:uiPriority w:val="34"/>
    <w:qFormat/>
    <w:pPr>
      <w:ind w:left="720"/>
      <w:contextualSpacing/>
    </w:pPr>
    <w:rPr>
      <w:sz w:val="24"/>
      <w:szCs w:val="24"/>
    </w:rPr>
  </w:style>
  <w:style w:type="character" w:customStyle="1" w:styleId="apple-converted-space">
    <w:name w:val="apple-converted-space"/>
  </w:style>
  <w:style w:type="paragraph" w:styleId="NormalWeb">
    <w:name w:val="Normal (Web)"/>
    <w:basedOn w:val="Normal"/>
    <w:uiPriority w:val="99"/>
    <w:unhideWhenUsed/>
    <w:pPr>
      <w:spacing w:before="100" w:beforeAutospacing="1" w:after="100" w:afterAutospacing="1"/>
    </w:pPr>
    <w:rPr>
      <w:sz w:val="24"/>
      <w:szCs w:val="24"/>
    </w:rPr>
  </w:style>
  <w:style w:type="paragraph" w:customStyle="1" w:styleId="Revisione1">
    <w:name w:val="Revisione1"/>
    <w:hidden/>
    <w:uiPriority w:val="99"/>
    <w:semiHidden/>
    <w:rPr>
      <w:sz w:val="22"/>
      <w:lang w:bidi="it-IT"/>
    </w:rPr>
  </w:style>
  <w:style w:type="character" w:customStyle="1" w:styleId="hps">
    <w:name w:val="hps"/>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BodyTextFirstIndent">
    <w:name w:val="Body Text First Indent"/>
    <w:basedOn w:val="BodyText"/>
    <w:link w:val="BodyTextFirstIndentChar"/>
    <w:pPr>
      <w:spacing w:after="120"/>
      <w:ind w:firstLine="210"/>
    </w:pPr>
    <w:rPr>
      <w:b w:val="0"/>
      <w:i w:val="0"/>
      <w:lang w:val="en-US" w:eastAsia="ja-JP"/>
    </w:rPr>
  </w:style>
  <w:style w:type="character" w:customStyle="1" w:styleId="BodyTextChar">
    <w:name w:val="Body Text Char"/>
    <w:link w:val="BodyText"/>
    <w:rPr>
      <w:b/>
      <w:i/>
      <w:sz w:val="22"/>
      <w:lang w:eastAsia="it-IT" w:bidi="it-IT"/>
    </w:rPr>
  </w:style>
  <w:style w:type="character" w:customStyle="1" w:styleId="BodyTextFirstIndentChar">
    <w:name w:val="Body Text First Indent Char"/>
    <w:link w:val="BodyTextFirstIndent"/>
    <w:rPr>
      <w:b w:val="0"/>
      <w:i w:val="0"/>
      <w:sz w:val="22"/>
      <w:lang w:val="en-US" w:eastAsia="ja-JP" w:bidi="it-IT"/>
    </w:rPr>
  </w:style>
  <w:style w:type="paragraph" w:styleId="BodyTextFirstIndent2">
    <w:name w:val="Body Text First Indent 2"/>
    <w:basedOn w:val="BodyTextIndent"/>
    <w:link w:val="BodyTextFirstIndent2Char"/>
    <w:pPr>
      <w:spacing w:after="120"/>
      <w:ind w:left="283" w:firstLine="210"/>
    </w:pPr>
    <w:rPr>
      <w:b w:val="0"/>
      <w:lang w:val="en-US" w:eastAsia="ja-JP"/>
    </w:rPr>
  </w:style>
  <w:style w:type="character" w:customStyle="1" w:styleId="BodyTextIndentChar">
    <w:name w:val="Body Text Indent Char"/>
    <w:link w:val="BodyTextIndent"/>
    <w:rPr>
      <w:b/>
      <w:color w:val="808080"/>
      <w:sz w:val="22"/>
      <w:lang w:eastAsia="it-IT" w:bidi="it-IT"/>
    </w:rPr>
  </w:style>
  <w:style w:type="character" w:customStyle="1" w:styleId="BodyTextFirstIndent2Char">
    <w:name w:val="Body Text First Indent 2 Char"/>
    <w:link w:val="BodyTextFirstIndent2"/>
    <w:rPr>
      <w:b w:val="0"/>
      <w:color w:val="808080"/>
      <w:sz w:val="22"/>
      <w:lang w:val="en-US" w:eastAsia="ja-JP" w:bidi="it-IT"/>
    </w:rPr>
  </w:style>
  <w:style w:type="paragraph" w:styleId="Closing">
    <w:name w:val="Closing"/>
    <w:basedOn w:val="Normal"/>
    <w:link w:val="ClosingChar"/>
    <w:pPr>
      <w:ind w:left="4252"/>
    </w:pPr>
  </w:style>
  <w:style w:type="character" w:customStyle="1" w:styleId="ClosingChar">
    <w:name w:val="Closing Char"/>
    <w:link w:val="Closing"/>
    <w:rPr>
      <w:sz w:val="22"/>
      <w:lang w:val="en-US" w:eastAsia="ja-JP"/>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val="en-US" w:eastAsia="ja-JP"/>
    </w:rPr>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val="en-US" w:eastAsia="ja-JP"/>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val="en-US" w:eastAsia="ja-JP"/>
    </w:rPr>
  </w:style>
  <w:style w:type="paragraph" w:styleId="Index1">
    <w:name w:val="index 1"/>
    <w:basedOn w:val="Normal"/>
    <w:next w:val="Normal"/>
    <w:autoRedefine/>
    <w:pPr>
      <w:ind w:left="220" w:hanging="220"/>
    </w:pPr>
  </w:style>
  <w:style w:type="paragraph" w:styleId="Index2">
    <w:name w:val="index 2"/>
    <w:basedOn w:val="Normal"/>
    <w:next w:val="Normal"/>
    <w:autoRedefine/>
    <w:pPr>
      <w:ind w:left="440" w:hanging="220"/>
    </w:p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IndexHeading">
    <w:name w:val="index heading"/>
    <w:basedOn w:val="Normal"/>
    <w:next w:val="Index1"/>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2">
    <w:name w:val="List Bullet 2"/>
    <w:basedOn w:val="Normal"/>
    <w:pPr>
      <w:numPr>
        <w:numId w:val="4"/>
      </w:numPr>
    </w:pPr>
  </w:style>
  <w:style w:type="paragraph" w:styleId="ListBullet3">
    <w:name w:val="List Bullet 3"/>
    <w:basedOn w:val="Normal"/>
    <w:pPr>
      <w:numPr>
        <w:numId w:val="5"/>
      </w:numPr>
    </w:pPr>
  </w:style>
  <w:style w:type="paragraph" w:styleId="ListBullet4">
    <w:name w:val="List Bullet 4"/>
    <w:basedOn w:val="Normal"/>
    <w:pPr>
      <w:numPr>
        <w:numId w:val="6"/>
      </w:numPr>
    </w:pPr>
  </w:style>
  <w:style w:type="paragraph" w:styleId="ListBullet5">
    <w:name w:val="List Bullet 5"/>
    <w:basedOn w:val="Normal"/>
    <w:pPr>
      <w:numPr>
        <w:numId w:val="7"/>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pPr>
  </w:style>
  <w:style w:type="paragraph" w:styleId="ListNumber3">
    <w:name w:val="List Number 3"/>
    <w:basedOn w:val="Normal"/>
    <w:pPr>
      <w:numPr>
        <w:numId w:val="10"/>
      </w:numPr>
    </w:pPr>
  </w:style>
  <w:style w:type="paragraph" w:styleId="ListNumber4">
    <w:name w:val="List Number 4"/>
    <w:basedOn w:val="Normal"/>
    <w:pPr>
      <w:numPr>
        <w:numId w:val="2"/>
      </w:numPr>
    </w:pPr>
  </w:style>
  <w:style w:type="paragraph" w:styleId="ListNumber5">
    <w:name w:val="List Number 5"/>
    <w:basedOn w:val="Normal"/>
    <w:pPr>
      <w:numPr>
        <w:numId w:val="11"/>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ja-JP"/>
    </w:rPr>
  </w:style>
  <w:style w:type="character" w:customStyle="1" w:styleId="MacroTextChar">
    <w:name w:val="Macro Text Char"/>
    <w:link w:val="MacroText"/>
    <w:rPr>
      <w:rFonts w:ascii="Courier New" w:hAnsi="Courier New" w:cs="Courier New"/>
      <w:lang w:val="en-US" w:eastAsia="ja-JP"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MessageHeaderChar">
    <w:name w:val="Message Header Char"/>
    <w:link w:val="MessageHeader"/>
    <w:rPr>
      <w:rFonts w:ascii="Arial" w:hAnsi="Arial" w:cs="Arial"/>
      <w:sz w:val="24"/>
      <w:szCs w:val="24"/>
      <w:shd w:val="pct20" w:color="auto" w:fill="auto"/>
      <w:lang w:val="en-US" w:eastAsia="ja-JP"/>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val="en-US" w:eastAsia="ja-JP"/>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rPr>
      <w:rFonts w:ascii="Courier New" w:hAnsi="Courier New" w:cs="Courier New"/>
      <w:lang w:val="en-US" w:eastAsia="ja-JP"/>
    </w:rPr>
  </w:style>
  <w:style w:type="paragraph" w:styleId="Salutation">
    <w:name w:val="Salutation"/>
    <w:basedOn w:val="Normal"/>
    <w:next w:val="Normal"/>
    <w:link w:val="SalutationChar"/>
  </w:style>
  <w:style w:type="character" w:customStyle="1" w:styleId="SalutationChar">
    <w:name w:val="Salutation Char"/>
    <w:link w:val="Salutation"/>
    <w:rPr>
      <w:sz w:val="22"/>
      <w:lang w:val="en-US" w:eastAsia="ja-JP"/>
    </w:rPr>
  </w:style>
  <w:style w:type="paragraph" w:styleId="Signature">
    <w:name w:val="Signature"/>
    <w:basedOn w:val="Normal"/>
    <w:link w:val="SignatureChar"/>
    <w:pPr>
      <w:ind w:left="4252"/>
    </w:pPr>
  </w:style>
  <w:style w:type="character" w:customStyle="1" w:styleId="SignatureChar">
    <w:name w:val="Signature Char"/>
    <w:link w:val="Signature"/>
    <w:rPr>
      <w:sz w:val="22"/>
      <w:lang w:val="en-US" w:eastAsia="ja-JP"/>
    </w:rPr>
  </w:style>
  <w:style w:type="paragraph" w:styleId="Subtitle">
    <w:name w:val="Subtitle"/>
    <w:basedOn w:val="Normal"/>
    <w:link w:val="SubtitleChar"/>
    <w:qFormat/>
    <w:pPr>
      <w:spacing w:after="60"/>
      <w:jc w:val="center"/>
      <w:outlineLvl w:val="1"/>
    </w:pPr>
    <w:rPr>
      <w:rFonts w:ascii="Arial" w:hAnsi="Arial"/>
      <w:sz w:val="24"/>
      <w:szCs w:val="24"/>
    </w:rPr>
  </w:style>
  <w:style w:type="character" w:customStyle="1" w:styleId="SubtitleChar">
    <w:name w:val="Subtitle Char"/>
    <w:link w:val="Subtitle"/>
    <w:rPr>
      <w:rFonts w:ascii="Arial" w:hAnsi="Arial" w:cs="Arial"/>
      <w:sz w:val="24"/>
      <w:szCs w:val="24"/>
      <w:lang w:val="en-US" w:eastAsia="ja-JP"/>
    </w:rPr>
  </w:style>
  <w:style w:type="paragraph" w:styleId="TableofAuthorities">
    <w:name w:val="table of authorities"/>
    <w:basedOn w:val="Normal"/>
    <w:next w:val="Normal"/>
    <w:pPr>
      <w:ind w:left="220" w:hanging="220"/>
    </w:pPr>
  </w:style>
  <w:style w:type="paragraph" w:styleId="TableofFigures">
    <w:name w:val="table of figures"/>
    <w:basedOn w:val="Normal"/>
    <w:next w:val="Normal"/>
  </w:style>
  <w:style w:type="paragraph" w:styleId="Title">
    <w:name w:val="Title"/>
    <w:basedOn w:val="Normal"/>
    <w:link w:val="TitleChar"/>
    <w:qFormat/>
    <w:pPr>
      <w:spacing w:before="240" w:after="60"/>
      <w:jc w:val="center"/>
      <w:outlineLvl w:val="0"/>
    </w:pPr>
    <w:rPr>
      <w:rFonts w:ascii="Arial" w:hAnsi="Arial"/>
      <w:b/>
      <w:bCs/>
      <w:kern w:val="28"/>
      <w:sz w:val="32"/>
      <w:szCs w:val="32"/>
    </w:rPr>
  </w:style>
  <w:style w:type="character" w:customStyle="1" w:styleId="TitleChar">
    <w:name w:val="Title Char"/>
    <w:link w:val="Title"/>
    <w:rPr>
      <w:rFonts w:ascii="Arial" w:hAnsi="Arial" w:cs="Arial"/>
      <w:b/>
      <w:bCs/>
      <w:kern w:val="28"/>
      <w:sz w:val="32"/>
      <w:szCs w:val="32"/>
      <w:lang w:val="en-US" w:eastAsia="ja-JP"/>
    </w:rPr>
  </w:style>
  <w:style w:type="paragraph" w:styleId="TOAHeading">
    <w:name w:val="toa heading"/>
    <w:basedOn w:val="Normal"/>
    <w:next w:val="Normal"/>
    <w:pPr>
      <w:spacing w:before="120"/>
    </w:pPr>
    <w:rPr>
      <w:rFonts w:ascii="Arial" w:hAnsi="Arial" w:cs="Arial"/>
      <w:b/>
      <w:bCs/>
      <w:sz w:val="24"/>
      <w:szCs w:val="24"/>
    </w:rPr>
  </w:style>
  <w:style w:type="paragraph" w:styleId="TOC1">
    <w:name w:val="toc 1"/>
    <w:basedOn w:val="Normal"/>
    <w:next w:val="Normal"/>
    <w:autoRedefine/>
  </w:style>
  <w:style w:type="paragraph" w:styleId="TOC2">
    <w:name w:val="toc 2"/>
    <w:basedOn w:val="Normal"/>
    <w:next w:val="Normal"/>
    <w:autoRedefine/>
    <w:pPr>
      <w:ind w:left="220"/>
    </w:pPr>
  </w:style>
  <w:style w:type="paragraph" w:styleId="TOC3">
    <w:name w:val="toc 3"/>
    <w:basedOn w:val="Normal"/>
    <w:next w:val="Normal"/>
    <w:autoRedefine/>
    <w:pPr>
      <w:ind w:left="440"/>
    </w:pPr>
  </w:style>
  <w:style w:type="paragraph" w:styleId="TOC4">
    <w:name w:val="toc 4"/>
    <w:basedOn w:val="Normal"/>
    <w:next w:val="Normal"/>
    <w:autoRedefine/>
    <w:pPr>
      <w:ind w:left="660"/>
    </w:pPr>
  </w:style>
  <w:style w:type="paragraph" w:styleId="TOC5">
    <w:name w:val="toc 5"/>
    <w:basedOn w:val="Normal"/>
    <w:next w:val="Normal"/>
    <w:autoRedefine/>
    <w:pPr>
      <w:ind w:left="880"/>
    </w:pPr>
  </w:style>
  <w:style w:type="paragraph" w:styleId="TOC6">
    <w:name w:val="toc 6"/>
    <w:basedOn w:val="Normal"/>
    <w:next w:val="Normal"/>
    <w:autoRedefine/>
    <w:pPr>
      <w:ind w:left="1100"/>
    </w:pPr>
  </w:style>
  <w:style w:type="paragraph" w:styleId="TOC7">
    <w:name w:val="toc 7"/>
    <w:basedOn w:val="Normal"/>
    <w:next w:val="Normal"/>
    <w:autoRedefine/>
    <w:pPr>
      <w:ind w:left="1320"/>
    </w:pPr>
  </w:style>
  <w:style w:type="paragraph" w:styleId="TOC8">
    <w:name w:val="toc 8"/>
    <w:basedOn w:val="Normal"/>
    <w:next w:val="Normal"/>
    <w:autoRedefine/>
    <w:pPr>
      <w:ind w:left="1540"/>
    </w:pPr>
  </w:style>
  <w:style w:type="paragraph" w:styleId="TOC9">
    <w:name w:val="toc 9"/>
    <w:basedOn w:val="Normal"/>
    <w:next w:val="Normal"/>
    <w:autoRedefine/>
    <w:pPr>
      <w:ind w:left="1760"/>
    </w:pPr>
  </w:style>
  <w:style w:type="character" w:customStyle="1" w:styleId="mediumtext1">
    <w:name w:val="medium_text1"/>
    <w:rPr>
      <w:noProof/>
      <w:sz w:val="24"/>
      <w:szCs w:val="24"/>
    </w:rPr>
  </w:style>
  <w:style w:type="paragraph" w:customStyle="1" w:styleId="HangingIndent0">
    <w:name w:val="Hanging Indent"/>
    <w:basedOn w:val="Normal"/>
    <w:pPr>
      <w:ind w:left="567" w:hanging="567"/>
    </w:pPr>
  </w:style>
  <w:style w:type="paragraph" w:customStyle="1" w:styleId="Paragrafoelenco1">
    <w:name w:val="Paragrafo elenco1"/>
    <w:basedOn w:val="Normal"/>
    <w:uiPriority w:val="34"/>
    <w:qFormat/>
    <w:pPr>
      <w:ind w:left="720"/>
    </w:pPr>
  </w:style>
  <w:style w:type="paragraph" w:customStyle="1" w:styleId="EMEABodyText">
    <w:name w:val="EMEA Body Text"/>
    <w:basedOn w:val="Normal"/>
    <w:rPr>
      <w:rFonts w:eastAsia="SimSun"/>
      <w:snapToGrid w:val="0"/>
      <w:lang w:val="en-GB" w:eastAsia="zh-CN"/>
    </w:rPr>
  </w:style>
  <w:style w:type="paragraph" w:customStyle="1" w:styleId="EMEABodyTextIndent">
    <w:name w:val="EMEA Body Text Indent"/>
    <w:basedOn w:val="Normal"/>
    <w:next w:val="Normal"/>
    <w:pPr>
      <w:numPr>
        <w:numId w:val="12"/>
      </w:numPr>
      <w:tabs>
        <w:tab w:val="clear" w:pos="360"/>
      </w:tabs>
      <w:ind w:left="567" w:hanging="567"/>
    </w:pPr>
    <w:rPr>
      <w:rFonts w:eastAsia="SimSun"/>
      <w:snapToGrid w:val="0"/>
      <w:lang w:val="en-GB" w:eastAsia="zh-CN"/>
    </w:rPr>
  </w:style>
  <w:style w:type="character" w:customStyle="1" w:styleId="shorttext">
    <w:name w:val="short_text"/>
  </w:style>
  <w:style w:type="paragraph" w:customStyle="1" w:styleId="Revisione2">
    <w:name w:val="Revisione2"/>
    <w:hidden/>
    <w:uiPriority w:val="99"/>
    <w:semiHidden/>
    <w:rPr>
      <w:sz w:val="22"/>
      <w:lang w:val="en-US" w:eastAsia="ja-JP"/>
    </w:rPr>
  </w:style>
  <w:style w:type="paragraph" w:styleId="Revision">
    <w:name w:val="Revision"/>
    <w:hidden/>
    <w:semiHidden/>
    <w:rPr>
      <w:sz w:val="22"/>
      <w:lang w:val="en-US" w:eastAsia="ja-JP"/>
    </w:rPr>
  </w:style>
  <w:style w:type="character" w:customStyle="1" w:styleId="FooterChar">
    <w:name w:val="Footer Char"/>
    <w:link w:val="Footer"/>
    <w:rPr>
      <w:rFonts w:ascii="Arial" w:hAnsi="Arial"/>
      <w:sz w:val="16"/>
      <w:lang w:eastAsia="ja-JP"/>
    </w:rPr>
  </w:style>
  <w:style w:type="character" w:customStyle="1" w:styleId="HdTab1Char">
    <w:name w:val="Hd:Tab:1 Char"/>
    <w:link w:val="HdTab1"/>
    <w:rPr>
      <w:rFonts w:ascii="Arial" w:hAnsi="Arial"/>
      <w:b/>
      <w:sz w:val="24"/>
      <w:lang w:val="en-US" w:eastAsia="ja-JP"/>
    </w:rPr>
  </w:style>
  <w:style w:type="paragraph" w:customStyle="1" w:styleId="TextTi9">
    <w:name w:val="Text:Ti9"/>
    <w:basedOn w:val="Normal"/>
    <w:pPr>
      <w:spacing w:after="200"/>
    </w:pPr>
    <w:rPr>
      <w:rFonts w:ascii="Calibri" w:eastAsia="PMingLiU" w:hAnsi="Calibri"/>
      <w:sz w:val="18"/>
      <w:szCs w:val="22"/>
      <w:lang w:eastAsia="zh-TW"/>
    </w:rPr>
  </w:style>
  <w:style w:type="numbering" w:customStyle="1" w:styleId="Nessunelenco1">
    <w:name w:val="Nessun elenco1"/>
    <w:next w:val="NoList"/>
    <w:uiPriority w:val="99"/>
    <w:semiHidden/>
    <w:unhideWhenUsed/>
  </w:style>
  <w:style w:type="character" w:customStyle="1" w:styleId="Heading1Char">
    <w:name w:val="Heading 1 Char"/>
    <w:link w:val="Heading1"/>
    <w:rPr>
      <w:b/>
      <w:caps/>
      <w:sz w:val="22"/>
      <w:lang w:eastAsia="ja-JP"/>
    </w:rPr>
  </w:style>
  <w:style w:type="character" w:customStyle="1" w:styleId="Heading2Char">
    <w:name w:val="Heading 2 Char"/>
    <w:link w:val="Heading2"/>
    <w:rPr>
      <w:b/>
      <w:sz w:val="22"/>
      <w:lang w:eastAsia="ja-JP"/>
    </w:rPr>
  </w:style>
  <w:style w:type="character" w:customStyle="1" w:styleId="Heading3Char">
    <w:name w:val="Heading 3 Char"/>
    <w:link w:val="Heading3"/>
    <w:rPr>
      <w:rFonts w:ascii="Arial" w:hAnsi="Arial" w:cs="Arial"/>
      <w:b/>
      <w:bCs/>
      <w:sz w:val="26"/>
      <w:szCs w:val="26"/>
      <w:lang w:eastAsia="ja-JP"/>
    </w:rPr>
  </w:style>
  <w:style w:type="character" w:customStyle="1" w:styleId="Heading4Char">
    <w:name w:val="Heading 4 Char"/>
    <w:link w:val="Heading4"/>
    <w:rPr>
      <w:b/>
      <w:noProof/>
      <w:sz w:val="22"/>
      <w:lang w:val="en-US" w:eastAsia="ja-JP"/>
    </w:rPr>
  </w:style>
  <w:style w:type="character" w:customStyle="1" w:styleId="Heading5Char">
    <w:name w:val="Heading 5 Char"/>
    <w:link w:val="Heading5"/>
    <w:rPr>
      <w:noProof/>
      <w:sz w:val="22"/>
      <w:lang w:val="en-US" w:eastAsia="ja-JP"/>
    </w:rPr>
  </w:style>
  <w:style w:type="character" w:customStyle="1" w:styleId="Heading6Char">
    <w:name w:val="Heading 6 Char"/>
    <w:link w:val="Heading6"/>
    <w:rPr>
      <w:i/>
      <w:sz w:val="22"/>
      <w:lang w:val="en-US" w:eastAsia="ja-JP"/>
    </w:rPr>
  </w:style>
  <w:style w:type="character" w:customStyle="1" w:styleId="Heading7Char">
    <w:name w:val="Heading 7 Char"/>
    <w:link w:val="Heading7"/>
    <w:rPr>
      <w:i/>
      <w:sz w:val="22"/>
      <w:lang w:val="en-US" w:eastAsia="ja-JP"/>
    </w:rPr>
  </w:style>
  <w:style w:type="character" w:customStyle="1" w:styleId="Heading8Char">
    <w:name w:val="Heading 8 Char"/>
    <w:link w:val="Heading8"/>
    <w:rPr>
      <w:b/>
      <w:i/>
      <w:sz w:val="22"/>
      <w:lang w:val="en-US" w:eastAsia="ja-JP"/>
    </w:rPr>
  </w:style>
  <w:style w:type="character" w:customStyle="1" w:styleId="Heading9Char">
    <w:name w:val="Heading 9 Char"/>
    <w:link w:val="Heading9"/>
    <w:rPr>
      <w:b/>
      <w:i/>
      <w:sz w:val="22"/>
      <w:lang w:val="en-US" w:eastAsia="ja-JP"/>
    </w:rPr>
  </w:style>
  <w:style w:type="numbering" w:customStyle="1" w:styleId="Nessunelenco11">
    <w:name w:val="Nessun elenco11"/>
    <w:next w:val="NoList"/>
    <w:semiHidden/>
    <w:unhideWhenUsed/>
  </w:style>
  <w:style w:type="character" w:customStyle="1" w:styleId="HeaderChar">
    <w:name w:val="Header Char"/>
    <w:link w:val="Header"/>
    <w:rPr>
      <w:sz w:val="22"/>
      <w:lang w:eastAsia="ja-JP"/>
    </w:rPr>
  </w:style>
  <w:style w:type="character" w:customStyle="1" w:styleId="EndnoteTextChar">
    <w:name w:val="Endnote Text Char"/>
    <w:link w:val="EndnoteText"/>
    <w:semiHidden/>
    <w:rPr>
      <w:sz w:val="22"/>
      <w:lang w:val="en-US" w:eastAsia="ja-JP"/>
    </w:rPr>
  </w:style>
  <w:style w:type="character" w:customStyle="1" w:styleId="BodyText3Char">
    <w:name w:val="Body Text 3 Char"/>
    <w:link w:val="BodyText3"/>
    <w:rPr>
      <w:b/>
      <w:i/>
      <w:sz w:val="22"/>
      <w:lang w:val="en-US" w:eastAsia="ja-JP"/>
    </w:rPr>
  </w:style>
  <w:style w:type="character" w:customStyle="1" w:styleId="BodyTextIndent2Char">
    <w:name w:val="Body Text Indent 2 Char"/>
    <w:link w:val="BodyTextIndent2"/>
    <w:rPr>
      <w:b/>
      <w:sz w:val="22"/>
      <w:lang w:val="en-US" w:eastAsia="ja-JP"/>
    </w:rPr>
  </w:style>
  <w:style w:type="character" w:customStyle="1" w:styleId="FootnoteTextChar">
    <w:name w:val="Footnote Text Char"/>
    <w:link w:val="FootnoteText"/>
    <w:semiHidden/>
    <w:rPr>
      <w:lang w:val="en-US" w:eastAsia="ja-JP"/>
    </w:rPr>
  </w:style>
  <w:style w:type="character" w:customStyle="1" w:styleId="BodyTextIndent3Char">
    <w:name w:val="Body Text Indent 3 Char"/>
    <w:link w:val="BodyTextIndent3"/>
    <w:rPr>
      <w:i/>
      <w:color w:val="008000"/>
      <w:sz w:val="22"/>
      <w:lang w:val="en-US" w:eastAsia="ja-JP"/>
    </w:rPr>
  </w:style>
  <w:style w:type="character" w:customStyle="1" w:styleId="BodyText2Char">
    <w:name w:val="Body Text 2 Char"/>
    <w:link w:val="BodyText2"/>
    <w:rPr>
      <w:b/>
      <w:sz w:val="22"/>
      <w:lang w:val="en-US" w:eastAsia="ja-JP"/>
    </w:rPr>
  </w:style>
  <w:style w:type="character" w:customStyle="1" w:styleId="DocumentMapChar">
    <w:name w:val="Document Map Char"/>
    <w:link w:val="DocumentMap"/>
    <w:semiHidden/>
    <w:rPr>
      <w:rFonts w:ascii="Tahoma" w:hAnsi="Tahoma"/>
      <w:sz w:val="22"/>
      <w:shd w:val="clear" w:color="auto" w:fill="000080"/>
      <w:lang w:val="en-US" w:eastAsia="ja-JP"/>
    </w:rPr>
  </w:style>
  <w:style w:type="character" w:customStyle="1" w:styleId="BalloonTextChar">
    <w:name w:val="Balloon Text Char"/>
    <w:link w:val="BalloonText"/>
    <w:semiHidden/>
    <w:rPr>
      <w:rFonts w:ascii="Tahoma" w:hAnsi="Tahoma" w:cs="Tahoma"/>
      <w:sz w:val="16"/>
      <w:szCs w:val="16"/>
      <w:lang w:val="en-US" w:eastAsia="ja-JP"/>
    </w:rPr>
  </w:style>
  <w:style w:type="character" w:customStyle="1" w:styleId="CommentSubjectChar">
    <w:name w:val="Comment Subject Char"/>
    <w:link w:val="CommentSubject"/>
    <w:semiHidden/>
    <w:rPr>
      <w:b/>
      <w:bCs/>
      <w:lang w:val="en-US" w:eastAsia="ja-JP"/>
    </w:rPr>
  </w:style>
  <w:style w:type="table" w:customStyle="1" w:styleId="Grigliatabella1">
    <w:name w:val="Griglia tabella1"/>
    <w:basedOn w:val="TableNormal"/>
    <w:next w:val="TableGrid"/>
    <w:pPr>
      <w:spacing w:line="28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link w:val="Date"/>
    <w:rPr>
      <w:sz w:val="22"/>
      <w:lang w:val="en-US" w:eastAsia="ja-JP"/>
    </w:rPr>
  </w:style>
  <w:style w:type="paragraph" w:customStyle="1" w:styleId="ColorfulList-Accent12">
    <w:name w:val="Colorful List - Accent 12"/>
    <w:basedOn w:val="Normal"/>
    <w:uiPriority w:val="34"/>
    <w:qFormat/>
    <w:pPr>
      <w:ind w:left="720"/>
      <w:contextualSpacing/>
    </w:pPr>
    <w:rPr>
      <w:sz w:val="24"/>
      <w:szCs w:val="24"/>
      <w:lang w:val="it-IT" w:eastAsia="zh-TW"/>
    </w:rPr>
  </w:style>
  <w:style w:type="paragraph" w:customStyle="1" w:styleId="Bulletstyle">
    <w:name w:val="Bullet style"/>
    <w:basedOn w:val="Normal"/>
    <w:qFormat/>
    <w:pPr>
      <w:numPr>
        <w:numId w:val="18"/>
      </w:numPr>
    </w:pPr>
    <w:rPr>
      <w:lang w:val="it-IT"/>
    </w:rPr>
  </w:style>
  <w:style w:type="paragraph" w:customStyle="1" w:styleId="ColorfulShading-Accent11">
    <w:name w:val="Colorful Shading - Accent 11"/>
    <w:hidden/>
    <w:semiHidden/>
    <w:rPr>
      <w:sz w:val="22"/>
      <w:lang w:eastAsia="ja-JP"/>
    </w:rPr>
  </w:style>
  <w:style w:type="paragraph" w:customStyle="1" w:styleId="MediumGrid1-Accent21">
    <w:name w:val="Medium Grid 1 - Accent 21"/>
    <w:basedOn w:val="Normal"/>
    <w:uiPriority w:val="34"/>
    <w:qFormat/>
    <w:pPr>
      <w:ind w:left="720"/>
      <w:contextualSpacing/>
    </w:pPr>
    <w:rPr>
      <w:lang w:val="it-IT"/>
    </w:rPr>
  </w:style>
  <w:style w:type="paragraph" w:customStyle="1" w:styleId="ColorfulShading-Accent12">
    <w:name w:val="Colorful Shading - Accent 12"/>
    <w:hidden/>
    <w:uiPriority w:val="99"/>
    <w:semiHidden/>
    <w:rPr>
      <w:sz w:val="22"/>
      <w:lang w:eastAsia="ja-JP"/>
    </w:rPr>
  </w:style>
  <w:style w:type="paragraph" w:customStyle="1" w:styleId="Hd4">
    <w:name w:val="Hd:4"/>
    <w:basedOn w:val="Normal"/>
    <w:next w:val="TextTi12"/>
    <w:pPr>
      <w:keepNext/>
      <w:spacing w:before="113" w:after="57" w:line="280" w:lineRule="atLeast"/>
      <w:ind w:left="1134" w:hanging="1134"/>
    </w:pPr>
    <w:rPr>
      <w:rFonts w:ascii="Arial" w:hAnsi="Arial"/>
      <w:b/>
      <w:i/>
      <w:sz w:val="24"/>
      <w:szCs w:val="24"/>
      <w:lang w:val="it-IT" w:eastAsia="de-DE"/>
    </w:rPr>
  </w:style>
  <w:style w:type="paragraph" w:styleId="ListParagraph">
    <w:name w:val="List Paragraph"/>
    <w:basedOn w:val="Normal"/>
    <w:uiPriority w:val="34"/>
    <w:qFormat/>
    <w:pPr>
      <w:ind w:left="720"/>
      <w:contextualSpacing/>
    </w:pPr>
    <w:rPr>
      <w:sz w:val="24"/>
      <w:szCs w:val="24"/>
      <w:lang w:val="it-IT" w:eastAsia="zh-TW"/>
    </w:rPr>
  </w:style>
  <w:style w:type="paragraph" w:styleId="Bibliography">
    <w:name w:val="Bibliography"/>
    <w:basedOn w:val="Normal"/>
    <w:next w:val="Normal"/>
    <w:uiPriority w:val="37"/>
    <w:semiHidden/>
    <w:unhideWhenUsed/>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noProof/>
      <w:color w:val="4F81BD"/>
      <w:lang w:val="x-none"/>
    </w:rPr>
  </w:style>
  <w:style w:type="character" w:customStyle="1" w:styleId="IntenseQuoteChar">
    <w:name w:val="Intense Quote Char"/>
    <w:link w:val="IntenseQuote"/>
    <w:uiPriority w:val="30"/>
    <w:rPr>
      <w:b/>
      <w:bCs/>
      <w:i/>
      <w:iCs/>
      <w:noProof/>
      <w:color w:val="4F81BD"/>
      <w:sz w:val="22"/>
      <w:lang w:eastAsia="ja-JP"/>
    </w:rPr>
  </w:style>
  <w:style w:type="paragraph" w:styleId="NoSpacing">
    <w:name w:val="No Spacing"/>
    <w:uiPriority w:val="1"/>
    <w:qFormat/>
    <w:rPr>
      <w:sz w:val="22"/>
      <w:lang w:val="en-US" w:eastAsia="ja-JP"/>
    </w:rPr>
  </w:style>
  <w:style w:type="paragraph" w:styleId="Quote">
    <w:name w:val="Quote"/>
    <w:basedOn w:val="Normal"/>
    <w:next w:val="Normal"/>
    <w:link w:val="QuoteChar"/>
    <w:uiPriority w:val="29"/>
    <w:qFormat/>
    <w:rPr>
      <w:i/>
      <w:iCs/>
      <w:noProof/>
      <w:color w:val="000000"/>
      <w:lang w:val="x-none"/>
    </w:rPr>
  </w:style>
  <w:style w:type="character" w:customStyle="1" w:styleId="QuoteChar">
    <w:name w:val="Quote Char"/>
    <w:link w:val="Quote"/>
    <w:uiPriority w:val="29"/>
    <w:rPr>
      <w:i/>
      <w:iCs/>
      <w:noProof/>
      <w:color w:val="000000"/>
      <w:sz w:val="22"/>
      <w:lang w:eastAsia="ja-JP"/>
    </w:rPr>
  </w:style>
  <w:style w:type="paragraph" w:styleId="TOCHeading">
    <w:name w:val="TOC Heading"/>
    <w:basedOn w:val="Heading1"/>
    <w:next w:val="Normal"/>
    <w:uiPriority w:val="39"/>
    <w:semiHidden/>
    <w:unhideWhenUsed/>
    <w:qFormat/>
    <w:pPr>
      <w:keepNext/>
      <w:spacing w:before="240" w:after="60"/>
      <w:ind w:left="0" w:firstLine="0"/>
      <w:outlineLvl w:val="9"/>
    </w:pPr>
    <w:rPr>
      <w:rFonts w:ascii="Cambria" w:hAnsi="Cambria"/>
      <w:bCs/>
      <w:caps w:val="0"/>
      <w:kern w:val="32"/>
      <w:sz w:val="32"/>
      <w:szCs w:val="32"/>
    </w:rPr>
  </w:style>
  <w:style w:type="paragraph" w:customStyle="1" w:styleId="BodytextAgency">
    <w:name w:val="Body text (Agency)"/>
    <w:basedOn w:val="Normal"/>
    <w:pPr>
      <w:snapToGrid w:val="0"/>
      <w:spacing w:after="140" w:line="280" w:lineRule="atLeast"/>
    </w:pPr>
    <w:rPr>
      <w:rFonts w:ascii="Verdana" w:hAnsi="Verdana"/>
      <w:sz w:val="18"/>
      <w:lang w:val="en-GB" w:eastAsia="fr-LU"/>
    </w:rPr>
  </w:style>
  <w:style w:type="paragraph" w:customStyle="1" w:styleId="No-numheading3Agency">
    <w:name w:val="No-num heading 3 (Agency)"/>
    <w:pPr>
      <w:keepNext/>
      <w:snapToGrid w:val="0"/>
      <w:spacing w:before="280" w:after="220"/>
      <w:outlineLvl w:val="2"/>
    </w:pPr>
    <w:rPr>
      <w:rFonts w:ascii="Verdana" w:hAnsi="Verdana"/>
      <w:b/>
      <w:kern w:val="32"/>
      <w:sz w:val="22"/>
      <w:lang w:val="en-GB" w:eastAsia="fr-LU"/>
    </w:rPr>
  </w:style>
  <w:style w:type="paragraph" w:customStyle="1" w:styleId="Standard">
    <w:name w:val="Standard"/>
    <w:qFormat/>
    <w:rPr>
      <w:sz w:val="22"/>
      <w:lang w:val="en-US" w:eastAsia="ja-JP"/>
    </w:rPr>
  </w:style>
  <w:style w:type="paragraph" w:customStyle="1" w:styleId="TableCell10Left">
    <w:name w:val="Table Cell 10 Left"/>
    <w:basedOn w:val="Normal"/>
    <w:link w:val="TableCell10LeftChar"/>
    <w:pPr>
      <w:keepNext/>
      <w:keepLines/>
      <w:spacing w:before="50" w:after="50" w:line="240" w:lineRule="exact"/>
    </w:pPr>
    <w:rPr>
      <w:rFonts w:ascii="Arial" w:eastAsia="SimSun" w:hAnsi="Arial"/>
      <w:sz w:val="20"/>
      <w:szCs w:val="24"/>
      <w:lang w:eastAsia="zh-CN"/>
    </w:rPr>
  </w:style>
  <w:style w:type="paragraph" w:customStyle="1" w:styleId="TableCell10Center">
    <w:name w:val="Table Cell 10 Center"/>
    <w:basedOn w:val="TableCell10Left"/>
    <w:link w:val="TableCell10CenterChar"/>
    <w:pPr>
      <w:jc w:val="center"/>
    </w:pPr>
  </w:style>
  <w:style w:type="character" w:customStyle="1" w:styleId="TableCell10LeftChar">
    <w:name w:val="Table Cell 10 Left Char"/>
    <w:link w:val="TableCell10Left"/>
    <w:rPr>
      <w:rFonts w:ascii="Arial" w:eastAsia="SimSun" w:hAnsi="Arial"/>
      <w:szCs w:val="24"/>
      <w:lang w:val="en-US" w:eastAsia="zh-CN"/>
    </w:rPr>
  </w:style>
  <w:style w:type="character" w:customStyle="1" w:styleId="TableCell10CenterChar">
    <w:name w:val="Table Cell 10 Center Char"/>
    <w:link w:val="TableCell10Center"/>
    <w:rPr>
      <w:rFonts w:ascii="Arial" w:eastAsia="SimSun" w:hAnsi="Arial"/>
      <w:szCs w:val="24"/>
      <w:lang w:val="en-US" w:eastAsia="zh-CN"/>
    </w:rPr>
  </w:style>
  <w:style w:type="paragraph" w:customStyle="1" w:styleId="ParagraphList">
    <w:name w:val="Paragraph List"/>
    <w:basedOn w:val="Normal"/>
    <w:next w:val="Normal"/>
    <w:link w:val="ParagraphListChar"/>
    <w:pPr>
      <w:keepNext/>
      <w:spacing w:after="100" w:line="300" w:lineRule="atLeast"/>
    </w:pPr>
    <w:rPr>
      <w:rFonts w:ascii="Arial" w:eastAsia="SimSun" w:hAnsi="Arial"/>
      <w:szCs w:val="24"/>
      <w:lang w:eastAsia="zh-CN"/>
    </w:rPr>
  </w:style>
  <w:style w:type="character" w:customStyle="1" w:styleId="ParagraphListChar">
    <w:name w:val="Paragraph List Char"/>
    <w:link w:val="ParagraphList"/>
    <w:rPr>
      <w:rFonts w:ascii="Arial" w:eastAsia="SimSun" w:hAnsi="Arial"/>
      <w:sz w:val="22"/>
      <w:szCs w:val="24"/>
      <w:lang w:val="en-US" w:eastAsia="zh-CN"/>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Standard1Char">
    <w:name w:val="Standard1 Char"/>
    <w:basedOn w:val="DefaultParagraphFont"/>
    <w:link w:val="Standard1"/>
    <w:rPr>
      <w:rFonts w:ascii="Arial" w:hAnsi="Arial"/>
      <w:sz w:val="24"/>
      <w:szCs w:val="24"/>
      <w:lang w:bidi="it-IT"/>
    </w:rPr>
  </w:style>
  <w:style w:type="paragraph" w:customStyle="1" w:styleId="QRDHeading3">
    <w:name w:val="QRD Heading 3"/>
    <w:basedOn w:val="Normal"/>
    <w:next w:val="Normal"/>
    <w:pPr>
      <w:keepNext/>
      <w:tabs>
        <w:tab w:val="left" w:pos="567"/>
      </w:tabs>
    </w:pPr>
    <w:rPr>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9061">
      <w:bodyDiv w:val="1"/>
      <w:marLeft w:val="0"/>
      <w:marRight w:val="0"/>
      <w:marTop w:val="0"/>
      <w:marBottom w:val="0"/>
      <w:divBdr>
        <w:top w:val="none" w:sz="0" w:space="0" w:color="auto"/>
        <w:left w:val="none" w:sz="0" w:space="0" w:color="auto"/>
        <w:bottom w:val="none" w:sz="0" w:space="0" w:color="auto"/>
        <w:right w:val="none" w:sz="0" w:space="0" w:color="auto"/>
      </w:divBdr>
    </w:div>
    <w:div w:id="71703356">
      <w:bodyDiv w:val="1"/>
      <w:marLeft w:val="0"/>
      <w:marRight w:val="0"/>
      <w:marTop w:val="0"/>
      <w:marBottom w:val="0"/>
      <w:divBdr>
        <w:top w:val="none" w:sz="0" w:space="0" w:color="auto"/>
        <w:left w:val="none" w:sz="0" w:space="0" w:color="auto"/>
        <w:bottom w:val="none" w:sz="0" w:space="0" w:color="auto"/>
        <w:right w:val="none" w:sz="0" w:space="0" w:color="auto"/>
      </w:divBdr>
    </w:div>
    <w:div w:id="84154103">
      <w:bodyDiv w:val="1"/>
      <w:marLeft w:val="0"/>
      <w:marRight w:val="0"/>
      <w:marTop w:val="0"/>
      <w:marBottom w:val="0"/>
      <w:divBdr>
        <w:top w:val="none" w:sz="0" w:space="0" w:color="auto"/>
        <w:left w:val="none" w:sz="0" w:space="0" w:color="auto"/>
        <w:bottom w:val="none" w:sz="0" w:space="0" w:color="auto"/>
        <w:right w:val="none" w:sz="0" w:space="0" w:color="auto"/>
      </w:divBdr>
    </w:div>
    <w:div w:id="84349012">
      <w:bodyDiv w:val="1"/>
      <w:marLeft w:val="0"/>
      <w:marRight w:val="0"/>
      <w:marTop w:val="0"/>
      <w:marBottom w:val="0"/>
      <w:divBdr>
        <w:top w:val="none" w:sz="0" w:space="0" w:color="auto"/>
        <w:left w:val="none" w:sz="0" w:space="0" w:color="auto"/>
        <w:bottom w:val="none" w:sz="0" w:space="0" w:color="auto"/>
        <w:right w:val="none" w:sz="0" w:space="0" w:color="auto"/>
      </w:divBdr>
    </w:div>
    <w:div w:id="176434116">
      <w:bodyDiv w:val="1"/>
      <w:marLeft w:val="0"/>
      <w:marRight w:val="0"/>
      <w:marTop w:val="0"/>
      <w:marBottom w:val="0"/>
      <w:divBdr>
        <w:top w:val="none" w:sz="0" w:space="0" w:color="auto"/>
        <w:left w:val="none" w:sz="0" w:space="0" w:color="auto"/>
        <w:bottom w:val="none" w:sz="0" w:space="0" w:color="auto"/>
        <w:right w:val="none" w:sz="0" w:space="0" w:color="auto"/>
      </w:divBdr>
    </w:div>
    <w:div w:id="189615552">
      <w:bodyDiv w:val="1"/>
      <w:marLeft w:val="0"/>
      <w:marRight w:val="0"/>
      <w:marTop w:val="0"/>
      <w:marBottom w:val="0"/>
      <w:divBdr>
        <w:top w:val="none" w:sz="0" w:space="0" w:color="auto"/>
        <w:left w:val="none" w:sz="0" w:space="0" w:color="auto"/>
        <w:bottom w:val="none" w:sz="0" w:space="0" w:color="auto"/>
        <w:right w:val="none" w:sz="0" w:space="0" w:color="auto"/>
      </w:divBdr>
    </w:div>
    <w:div w:id="194930276">
      <w:bodyDiv w:val="1"/>
      <w:marLeft w:val="0"/>
      <w:marRight w:val="0"/>
      <w:marTop w:val="0"/>
      <w:marBottom w:val="0"/>
      <w:divBdr>
        <w:top w:val="none" w:sz="0" w:space="0" w:color="auto"/>
        <w:left w:val="none" w:sz="0" w:space="0" w:color="auto"/>
        <w:bottom w:val="none" w:sz="0" w:space="0" w:color="auto"/>
        <w:right w:val="none" w:sz="0" w:space="0" w:color="auto"/>
      </w:divBdr>
    </w:div>
    <w:div w:id="239677930">
      <w:bodyDiv w:val="1"/>
      <w:marLeft w:val="0"/>
      <w:marRight w:val="0"/>
      <w:marTop w:val="0"/>
      <w:marBottom w:val="0"/>
      <w:divBdr>
        <w:top w:val="none" w:sz="0" w:space="0" w:color="auto"/>
        <w:left w:val="none" w:sz="0" w:space="0" w:color="auto"/>
        <w:bottom w:val="none" w:sz="0" w:space="0" w:color="auto"/>
        <w:right w:val="none" w:sz="0" w:space="0" w:color="auto"/>
      </w:divBdr>
      <w:divsChild>
        <w:div w:id="169024568">
          <w:marLeft w:val="0"/>
          <w:marRight w:val="0"/>
          <w:marTop w:val="0"/>
          <w:marBottom w:val="0"/>
          <w:divBdr>
            <w:top w:val="none" w:sz="0" w:space="0" w:color="auto"/>
            <w:left w:val="none" w:sz="0" w:space="0" w:color="auto"/>
            <w:bottom w:val="none" w:sz="0" w:space="0" w:color="auto"/>
            <w:right w:val="none" w:sz="0" w:space="0" w:color="auto"/>
          </w:divBdr>
        </w:div>
        <w:div w:id="578442851">
          <w:marLeft w:val="0"/>
          <w:marRight w:val="0"/>
          <w:marTop w:val="0"/>
          <w:marBottom w:val="0"/>
          <w:divBdr>
            <w:top w:val="none" w:sz="0" w:space="0" w:color="auto"/>
            <w:left w:val="none" w:sz="0" w:space="0" w:color="auto"/>
            <w:bottom w:val="none" w:sz="0" w:space="0" w:color="auto"/>
            <w:right w:val="none" w:sz="0" w:space="0" w:color="auto"/>
          </w:divBdr>
        </w:div>
        <w:div w:id="787626065">
          <w:marLeft w:val="0"/>
          <w:marRight w:val="0"/>
          <w:marTop w:val="0"/>
          <w:marBottom w:val="0"/>
          <w:divBdr>
            <w:top w:val="none" w:sz="0" w:space="0" w:color="auto"/>
            <w:left w:val="none" w:sz="0" w:space="0" w:color="auto"/>
            <w:bottom w:val="none" w:sz="0" w:space="0" w:color="auto"/>
            <w:right w:val="none" w:sz="0" w:space="0" w:color="auto"/>
          </w:divBdr>
        </w:div>
        <w:div w:id="864098544">
          <w:marLeft w:val="0"/>
          <w:marRight w:val="0"/>
          <w:marTop w:val="0"/>
          <w:marBottom w:val="0"/>
          <w:divBdr>
            <w:top w:val="none" w:sz="0" w:space="0" w:color="auto"/>
            <w:left w:val="none" w:sz="0" w:space="0" w:color="auto"/>
            <w:bottom w:val="none" w:sz="0" w:space="0" w:color="auto"/>
            <w:right w:val="none" w:sz="0" w:space="0" w:color="auto"/>
          </w:divBdr>
        </w:div>
      </w:divsChild>
    </w:div>
    <w:div w:id="259610932">
      <w:bodyDiv w:val="1"/>
      <w:marLeft w:val="0"/>
      <w:marRight w:val="0"/>
      <w:marTop w:val="0"/>
      <w:marBottom w:val="0"/>
      <w:divBdr>
        <w:top w:val="none" w:sz="0" w:space="0" w:color="auto"/>
        <w:left w:val="none" w:sz="0" w:space="0" w:color="auto"/>
        <w:bottom w:val="none" w:sz="0" w:space="0" w:color="auto"/>
        <w:right w:val="none" w:sz="0" w:space="0" w:color="auto"/>
      </w:divBdr>
    </w:div>
    <w:div w:id="294528229">
      <w:bodyDiv w:val="1"/>
      <w:marLeft w:val="0"/>
      <w:marRight w:val="0"/>
      <w:marTop w:val="0"/>
      <w:marBottom w:val="0"/>
      <w:divBdr>
        <w:top w:val="none" w:sz="0" w:space="0" w:color="auto"/>
        <w:left w:val="none" w:sz="0" w:space="0" w:color="auto"/>
        <w:bottom w:val="none" w:sz="0" w:space="0" w:color="auto"/>
        <w:right w:val="none" w:sz="0" w:space="0" w:color="auto"/>
      </w:divBdr>
    </w:div>
    <w:div w:id="312566775">
      <w:bodyDiv w:val="1"/>
      <w:marLeft w:val="0"/>
      <w:marRight w:val="0"/>
      <w:marTop w:val="0"/>
      <w:marBottom w:val="0"/>
      <w:divBdr>
        <w:top w:val="none" w:sz="0" w:space="0" w:color="auto"/>
        <w:left w:val="none" w:sz="0" w:space="0" w:color="auto"/>
        <w:bottom w:val="none" w:sz="0" w:space="0" w:color="auto"/>
        <w:right w:val="none" w:sz="0" w:space="0" w:color="auto"/>
      </w:divBdr>
      <w:divsChild>
        <w:div w:id="182745170">
          <w:marLeft w:val="0"/>
          <w:marRight w:val="0"/>
          <w:marTop w:val="0"/>
          <w:marBottom w:val="0"/>
          <w:divBdr>
            <w:top w:val="none" w:sz="0" w:space="0" w:color="auto"/>
            <w:left w:val="none" w:sz="0" w:space="0" w:color="auto"/>
            <w:bottom w:val="none" w:sz="0" w:space="0" w:color="auto"/>
            <w:right w:val="none" w:sz="0" w:space="0" w:color="auto"/>
          </w:divBdr>
          <w:divsChild>
            <w:div w:id="1732195619">
              <w:marLeft w:val="0"/>
              <w:marRight w:val="0"/>
              <w:marTop w:val="0"/>
              <w:marBottom w:val="0"/>
              <w:divBdr>
                <w:top w:val="none" w:sz="0" w:space="0" w:color="auto"/>
                <w:left w:val="none" w:sz="0" w:space="0" w:color="auto"/>
                <w:bottom w:val="none" w:sz="0" w:space="0" w:color="auto"/>
                <w:right w:val="none" w:sz="0" w:space="0" w:color="auto"/>
              </w:divBdr>
              <w:divsChild>
                <w:div w:id="1048797534">
                  <w:marLeft w:val="0"/>
                  <w:marRight w:val="0"/>
                  <w:marTop w:val="0"/>
                  <w:marBottom w:val="0"/>
                  <w:divBdr>
                    <w:top w:val="none" w:sz="0" w:space="0" w:color="auto"/>
                    <w:left w:val="none" w:sz="0" w:space="0" w:color="auto"/>
                    <w:bottom w:val="none" w:sz="0" w:space="0" w:color="auto"/>
                    <w:right w:val="none" w:sz="0" w:space="0" w:color="auto"/>
                  </w:divBdr>
                  <w:divsChild>
                    <w:div w:id="1816027051">
                      <w:marLeft w:val="0"/>
                      <w:marRight w:val="0"/>
                      <w:marTop w:val="0"/>
                      <w:marBottom w:val="0"/>
                      <w:divBdr>
                        <w:top w:val="none" w:sz="0" w:space="0" w:color="auto"/>
                        <w:left w:val="none" w:sz="0" w:space="0" w:color="auto"/>
                        <w:bottom w:val="none" w:sz="0" w:space="0" w:color="auto"/>
                        <w:right w:val="none" w:sz="0" w:space="0" w:color="auto"/>
                      </w:divBdr>
                      <w:divsChild>
                        <w:div w:id="1600984001">
                          <w:marLeft w:val="0"/>
                          <w:marRight w:val="0"/>
                          <w:marTop w:val="0"/>
                          <w:marBottom w:val="0"/>
                          <w:divBdr>
                            <w:top w:val="none" w:sz="0" w:space="0" w:color="auto"/>
                            <w:left w:val="none" w:sz="0" w:space="0" w:color="auto"/>
                            <w:bottom w:val="none" w:sz="0" w:space="0" w:color="auto"/>
                            <w:right w:val="none" w:sz="0" w:space="0" w:color="auto"/>
                          </w:divBdr>
                          <w:divsChild>
                            <w:div w:id="308823798">
                              <w:marLeft w:val="0"/>
                              <w:marRight w:val="0"/>
                              <w:marTop w:val="0"/>
                              <w:marBottom w:val="0"/>
                              <w:divBdr>
                                <w:top w:val="none" w:sz="0" w:space="0" w:color="auto"/>
                                <w:left w:val="none" w:sz="0" w:space="0" w:color="auto"/>
                                <w:bottom w:val="none" w:sz="0" w:space="0" w:color="auto"/>
                                <w:right w:val="none" w:sz="0" w:space="0" w:color="auto"/>
                              </w:divBdr>
                              <w:divsChild>
                                <w:div w:id="255212528">
                                  <w:marLeft w:val="0"/>
                                  <w:marRight w:val="0"/>
                                  <w:marTop w:val="0"/>
                                  <w:marBottom w:val="0"/>
                                  <w:divBdr>
                                    <w:top w:val="none" w:sz="0" w:space="0" w:color="auto"/>
                                    <w:left w:val="none" w:sz="0" w:space="0" w:color="auto"/>
                                    <w:bottom w:val="none" w:sz="0" w:space="0" w:color="auto"/>
                                    <w:right w:val="none" w:sz="0" w:space="0" w:color="auto"/>
                                  </w:divBdr>
                                  <w:divsChild>
                                    <w:div w:id="47270567">
                                      <w:marLeft w:val="60"/>
                                      <w:marRight w:val="0"/>
                                      <w:marTop w:val="0"/>
                                      <w:marBottom w:val="0"/>
                                      <w:divBdr>
                                        <w:top w:val="none" w:sz="0" w:space="0" w:color="auto"/>
                                        <w:left w:val="none" w:sz="0" w:space="0" w:color="auto"/>
                                        <w:bottom w:val="none" w:sz="0" w:space="0" w:color="auto"/>
                                        <w:right w:val="none" w:sz="0" w:space="0" w:color="auto"/>
                                      </w:divBdr>
                                      <w:divsChild>
                                        <w:div w:id="1551570512">
                                          <w:marLeft w:val="0"/>
                                          <w:marRight w:val="0"/>
                                          <w:marTop w:val="0"/>
                                          <w:marBottom w:val="0"/>
                                          <w:divBdr>
                                            <w:top w:val="none" w:sz="0" w:space="0" w:color="auto"/>
                                            <w:left w:val="none" w:sz="0" w:space="0" w:color="auto"/>
                                            <w:bottom w:val="none" w:sz="0" w:space="0" w:color="auto"/>
                                            <w:right w:val="none" w:sz="0" w:space="0" w:color="auto"/>
                                          </w:divBdr>
                                          <w:divsChild>
                                            <w:div w:id="828980894">
                                              <w:marLeft w:val="0"/>
                                              <w:marRight w:val="0"/>
                                              <w:marTop w:val="0"/>
                                              <w:marBottom w:val="120"/>
                                              <w:divBdr>
                                                <w:top w:val="single" w:sz="6" w:space="0" w:color="F5F5F5"/>
                                                <w:left w:val="single" w:sz="6" w:space="0" w:color="F5F5F5"/>
                                                <w:bottom w:val="single" w:sz="6" w:space="0" w:color="F5F5F5"/>
                                                <w:right w:val="single" w:sz="6" w:space="0" w:color="F5F5F5"/>
                                              </w:divBdr>
                                              <w:divsChild>
                                                <w:div w:id="1647975894">
                                                  <w:marLeft w:val="0"/>
                                                  <w:marRight w:val="0"/>
                                                  <w:marTop w:val="0"/>
                                                  <w:marBottom w:val="0"/>
                                                  <w:divBdr>
                                                    <w:top w:val="none" w:sz="0" w:space="0" w:color="auto"/>
                                                    <w:left w:val="none" w:sz="0" w:space="0" w:color="auto"/>
                                                    <w:bottom w:val="none" w:sz="0" w:space="0" w:color="auto"/>
                                                    <w:right w:val="none" w:sz="0" w:space="0" w:color="auto"/>
                                                  </w:divBdr>
                                                  <w:divsChild>
                                                    <w:div w:id="1564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1545213">
      <w:bodyDiv w:val="1"/>
      <w:marLeft w:val="0"/>
      <w:marRight w:val="0"/>
      <w:marTop w:val="0"/>
      <w:marBottom w:val="0"/>
      <w:divBdr>
        <w:top w:val="none" w:sz="0" w:space="0" w:color="auto"/>
        <w:left w:val="none" w:sz="0" w:space="0" w:color="auto"/>
        <w:bottom w:val="none" w:sz="0" w:space="0" w:color="auto"/>
        <w:right w:val="none" w:sz="0" w:space="0" w:color="auto"/>
      </w:divBdr>
    </w:div>
    <w:div w:id="336159607">
      <w:bodyDiv w:val="1"/>
      <w:marLeft w:val="0"/>
      <w:marRight w:val="0"/>
      <w:marTop w:val="0"/>
      <w:marBottom w:val="0"/>
      <w:divBdr>
        <w:top w:val="none" w:sz="0" w:space="0" w:color="auto"/>
        <w:left w:val="none" w:sz="0" w:space="0" w:color="auto"/>
        <w:bottom w:val="none" w:sz="0" w:space="0" w:color="auto"/>
        <w:right w:val="none" w:sz="0" w:space="0" w:color="auto"/>
      </w:divBdr>
    </w:div>
    <w:div w:id="360134152">
      <w:bodyDiv w:val="1"/>
      <w:marLeft w:val="0"/>
      <w:marRight w:val="0"/>
      <w:marTop w:val="0"/>
      <w:marBottom w:val="0"/>
      <w:divBdr>
        <w:top w:val="none" w:sz="0" w:space="0" w:color="auto"/>
        <w:left w:val="none" w:sz="0" w:space="0" w:color="auto"/>
        <w:bottom w:val="none" w:sz="0" w:space="0" w:color="auto"/>
        <w:right w:val="none" w:sz="0" w:space="0" w:color="auto"/>
      </w:divBdr>
      <w:divsChild>
        <w:div w:id="90206659">
          <w:marLeft w:val="0"/>
          <w:marRight w:val="0"/>
          <w:marTop w:val="0"/>
          <w:marBottom w:val="0"/>
          <w:divBdr>
            <w:top w:val="none" w:sz="0" w:space="0" w:color="auto"/>
            <w:left w:val="none" w:sz="0" w:space="0" w:color="auto"/>
            <w:bottom w:val="none" w:sz="0" w:space="0" w:color="auto"/>
            <w:right w:val="none" w:sz="0" w:space="0" w:color="auto"/>
          </w:divBdr>
        </w:div>
        <w:div w:id="573053404">
          <w:marLeft w:val="0"/>
          <w:marRight w:val="0"/>
          <w:marTop w:val="0"/>
          <w:marBottom w:val="0"/>
          <w:divBdr>
            <w:top w:val="none" w:sz="0" w:space="0" w:color="auto"/>
            <w:left w:val="none" w:sz="0" w:space="0" w:color="auto"/>
            <w:bottom w:val="none" w:sz="0" w:space="0" w:color="auto"/>
            <w:right w:val="none" w:sz="0" w:space="0" w:color="auto"/>
          </w:divBdr>
        </w:div>
        <w:div w:id="738208596">
          <w:marLeft w:val="0"/>
          <w:marRight w:val="0"/>
          <w:marTop w:val="0"/>
          <w:marBottom w:val="0"/>
          <w:divBdr>
            <w:top w:val="none" w:sz="0" w:space="0" w:color="auto"/>
            <w:left w:val="none" w:sz="0" w:space="0" w:color="auto"/>
            <w:bottom w:val="none" w:sz="0" w:space="0" w:color="auto"/>
            <w:right w:val="none" w:sz="0" w:space="0" w:color="auto"/>
          </w:divBdr>
        </w:div>
        <w:div w:id="746346428">
          <w:marLeft w:val="0"/>
          <w:marRight w:val="0"/>
          <w:marTop w:val="0"/>
          <w:marBottom w:val="0"/>
          <w:divBdr>
            <w:top w:val="none" w:sz="0" w:space="0" w:color="auto"/>
            <w:left w:val="none" w:sz="0" w:space="0" w:color="auto"/>
            <w:bottom w:val="none" w:sz="0" w:space="0" w:color="auto"/>
            <w:right w:val="none" w:sz="0" w:space="0" w:color="auto"/>
          </w:divBdr>
        </w:div>
        <w:div w:id="779841984">
          <w:marLeft w:val="0"/>
          <w:marRight w:val="0"/>
          <w:marTop w:val="0"/>
          <w:marBottom w:val="0"/>
          <w:divBdr>
            <w:top w:val="none" w:sz="0" w:space="0" w:color="auto"/>
            <w:left w:val="none" w:sz="0" w:space="0" w:color="auto"/>
            <w:bottom w:val="none" w:sz="0" w:space="0" w:color="auto"/>
            <w:right w:val="none" w:sz="0" w:space="0" w:color="auto"/>
          </w:divBdr>
        </w:div>
        <w:div w:id="785272023">
          <w:marLeft w:val="0"/>
          <w:marRight w:val="0"/>
          <w:marTop w:val="0"/>
          <w:marBottom w:val="0"/>
          <w:divBdr>
            <w:top w:val="none" w:sz="0" w:space="0" w:color="auto"/>
            <w:left w:val="none" w:sz="0" w:space="0" w:color="auto"/>
            <w:bottom w:val="none" w:sz="0" w:space="0" w:color="auto"/>
            <w:right w:val="none" w:sz="0" w:space="0" w:color="auto"/>
          </w:divBdr>
        </w:div>
        <w:div w:id="997342724">
          <w:marLeft w:val="0"/>
          <w:marRight w:val="0"/>
          <w:marTop w:val="0"/>
          <w:marBottom w:val="0"/>
          <w:divBdr>
            <w:top w:val="none" w:sz="0" w:space="0" w:color="auto"/>
            <w:left w:val="none" w:sz="0" w:space="0" w:color="auto"/>
            <w:bottom w:val="none" w:sz="0" w:space="0" w:color="auto"/>
            <w:right w:val="none" w:sz="0" w:space="0" w:color="auto"/>
          </w:divBdr>
        </w:div>
        <w:div w:id="1621258286">
          <w:marLeft w:val="0"/>
          <w:marRight w:val="0"/>
          <w:marTop w:val="0"/>
          <w:marBottom w:val="0"/>
          <w:divBdr>
            <w:top w:val="none" w:sz="0" w:space="0" w:color="auto"/>
            <w:left w:val="none" w:sz="0" w:space="0" w:color="auto"/>
            <w:bottom w:val="none" w:sz="0" w:space="0" w:color="auto"/>
            <w:right w:val="none" w:sz="0" w:space="0" w:color="auto"/>
          </w:divBdr>
        </w:div>
        <w:div w:id="1782604015">
          <w:marLeft w:val="0"/>
          <w:marRight w:val="0"/>
          <w:marTop w:val="0"/>
          <w:marBottom w:val="0"/>
          <w:divBdr>
            <w:top w:val="none" w:sz="0" w:space="0" w:color="auto"/>
            <w:left w:val="none" w:sz="0" w:space="0" w:color="auto"/>
            <w:bottom w:val="none" w:sz="0" w:space="0" w:color="auto"/>
            <w:right w:val="none" w:sz="0" w:space="0" w:color="auto"/>
          </w:divBdr>
        </w:div>
        <w:div w:id="1811747202">
          <w:marLeft w:val="0"/>
          <w:marRight w:val="0"/>
          <w:marTop w:val="0"/>
          <w:marBottom w:val="0"/>
          <w:divBdr>
            <w:top w:val="none" w:sz="0" w:space="0" w:color="auto"/>
            <w:left w:val="none" w:sz="0" w:space="0" w:color="auto"/>
            <w:bottom w:val="none" w:sz="0" w:space="0" w:color="auto"/>
            <w:right w:val="none" w:sz="0" w:space="0" w:color="auto"/>
          </w:divBdr>
        </w:div>
        <w:div w:id="2132699824">
          <w:marLeft w:val="0"/>
          <w:marRight w:val="0"/>
          <w:marTop w:val="0"/>
          <w:marBottom w:val="0"/>
          <w:divBdr>
            <w:top w:val="none" w:sz="0" w:space="0" w:color="auto"/>
            <w:left w:val="none" w:sz="0" w:space="0" w:color="auto"/>
            <w:bottom w:val="none" w:sz="0" w:space="0" w:color="auto"/>
            <w:right w:val="none" w:sz="0" w:space="0" w:color="auto"/>
          </w:divBdr>
        </w:div>
      </w:divsChild>
    </w:div>
    <w:div w:id="374281670">
      <w:bodyDiv w:val="1"/>
      <w:marLeft w:val="0"/>
      <w:marRight w:val="0"/>
      <w:marTop w:val="0"/>
      <w:marBottom w:val="0"/>
      <w:divBdr>
        <w:top w:val="none" w:sz="0" w:space="0" w:color="auto"/>
        <w:left w:val="none" w:sz="0" w:space="0" w:color="auto"/>
        <w:bottom w:val="none" w:sz="0" w:space="0" w:color="auto"/>
        <w:right w:val="none" w:sz="0" w:space="0" w:color="auto"/>
      </w:divBdr>
      <w:divsChild>
        <w:div w:id="77486535">
          <w:marLeft w:val="0"/>
          <w:marRight w:val="0"/>
          <w:marTop w:val="0"/>
          <w:marBottom w:val="0"/>
          <w:divBdr>
            <w:top w:val="none" w:sz="0" w:space="0" w:color="auto"/>
            <w:left w:val="none" w:sz="0" w:space="0" w:color="auto"/>
            <w:bottom w:val="none" w:sz="0" w:space="0" w:color="auto"/>
            <w:right w:val="none" w:sz="0" w:space="0" w:color="auto"/>
          </w:divBdr>
        </w:div>
        <w:div w:id="160975148">
          <w:marLeft w:val="0"/>
          <w:marRight w:val="0"/>
          <w:marTop w:val="0"/>
          <w:marBottom w:val="0"/>
          <w:divBdr>
            <w:top w:val="none" w:sz="0" w:space="0" w:color="auto"/>
            <w:left w:val="none" w:sz="0" w:space="0" w:color="auto"/>
            <w:bottom w:val="none" w:sz="0" w:space="0" w:color="auto"/>
            <w:right w:val="none" w:sz="0" w:space="0" w:color="auto"/>
          </w:divBdr>
        </w:div>
        <w:div w:id="777261300">
          <w:marLeft w:val="0"/>
          <w:marRight w:val="0"/>
          <w:marTop w:val="0"/>
          <w:marBottom w:val="0"/>
          <w:divBdr>
            <w:top w:val="none" w:sz="0" w:space="0" w:color="auto"/>
            <w:left w:val="none" w:sz="0" w:space="0" w:color="auto"/>
            <w:bottom w:val="none" w:sz="0" w:space="0" w:color="auto"/>
            <w:right w:val="none" w:sz="0" w:space="0" w:color="auto"/>
          </w:divBdr>
        </w:div>
        <w:div w:id="1134715208">
          <w:marLeft w:val="0"/>
          <w:marRight w:val="0"/>
          <w:marTop w:val="0"/>
          <w:marBottom w:val="0"/>
          <w:divBdr>
            <w:top w:val="none" w:sz="0" w:space="0" w:color="auto"/>
            <w:left w:val="none" w:sz="0" w:space="0" w:color="auto"/>
            <w:bottom w:val="none" w:sz="0" w:space="0" w:color="auto"/>
            <w:right w:val="none" w:sz="0" w:space="0" w:color="auto"/>
          </w:divBdr>
        </w:div>
        <w:div w:id="1332102213">
          <w:marLeft w:val="0"/>
          <w:marRight w:val="0"/>
          <w:marTop w:val="0"/>
          <w:marBottom w:val="0"/>
          <w:divBdr>
            <w:top w:val="none" w:sz="0" w:space="0" w:color="auto"/>
            <w:left w:val="none" w:sz="0" w:space="0" w:color="auto"/>
            <w:bottom w:val="none" w:sz="0" w:space="0" w:color="auto"/>
            <w:right w:val="none" w:sz="0" w:space="0" w:color="auto"/>
          </w:divBdr>
        </w:div>
        <w:div w:id="1520316189">
          <w:marLeft w:val="0"/>
          <w:marRight w:val="0"/>
          <w:marTop w:val="0"/>
          <w:marBottom w:val="0"/>
          <w:divBdr>
            <w:top w:val="none" w:sz="0" w:space="0" w:color="auto"/>
            <w:left w:val="none" w:sz="0" w:space="0" w:color="auto"/>
            <w:bottom w:val="none" w:sz="0" w:space="0" w:color="auto"/>
            <w:right w:val="none" w:sz="0" w:space="0" w:color="auto"/>
          </w:divBdr>
        </w:div>
        <w:div w:id="1906141548">
          <w:marLeft w:val="0"/>
          <w:marRight w:val="0"/>
          <w:marTop w:val="0"/>
          <w:marBottom w:val="0"/>
          <w:divBdr>
            <w:top w:val="none" w:sz="0" w:space="0" w:color="auto"/>
            <w:left w:val="none" w:sz="0" w:space="0" w:color="auto"/>
            <w:bottom w:val="none" w:sz="0" w:space="0" w:color="auto"/>
            <w:right w:val="none" w:sz="0" w:space="0" w:color="auto"/>
          </w:divBdr>
        </w:div>
        <w:div w:id="2038195873">
          <w:marLeft w:val="0"/>
          <w:marRight w:val="0"/>
          <w:marTop w:val="0"/>
          <w:marBottom w:val="0"/>
          <w:divBdr>
            <w:top w:val="none" w:sz="0" w:space="0" w:color="auto"/>
            <w:left w:val="none" w:sz="0" w:space="0" w:color="auto"/>
            <w:bottom w:val="none" w:sz="0" w:space="0" w:color="auto"/>
            <w:right w:val="none" w:sz="0" w:space="0" w:color="auto"/>
          </w:divBdr>
        </w:div>
      </w:divsChild>
    </w:div>
    <w:div w:id="397483976">
      <w:bodyDiv w:val="1"/>
      <w:marLeft w:val="0"/>
      <w:marRight w:val="0"/>
      <w:marTop w:val="0"/>
      <w:marBottom w:val="0"/>
      <w:divBdr>
        <w:top w:val="none" w:sz="0" w:space="0" w:color="auto"/>
        <w:left w:val="none" w:sz="0" w:space="0" w:color="auto"/>
        <w:bottom w:val="none" w:sz="0" w:space="0" w:color="auto"/>
        <w:right w:val="none" w:sz="0" w:space="0" w:color="auto"/>
      </w:divBdr>
    </w:div>
    <w:div w:id="400566694">
      <w:bodyDiv w:val="1"/>
      <w:marLeft w:val="0"/>
      <w:marRight w:val="0"/>
      <w:marTop w:val="0"/>
      <w:marBottom w:val="0"/>
      <w:divBdr>
        <w:top w:val="none" w:sz="0" w:space="0" w:color="auto"/>
        <w:left w:val="none" w:sz="0" w:space="0" w:color="auto"/>
        <w:bottom w:val="none" w:sz="0" w:space="0" w:color="auto"/>
        <w:right w:val="none" w:sz="0" w:space="0" w:color="auto"/>
      </w:divBdr>
      <w:divsChild>
        <w:div w:id="964846964">
          <w:marLeft w:val="0"/>
          <w:marRight w:val="0"/>
          <w:marTop w:val="0"/>
          <w:marBottom w:val="0"/>
          <w:divBdr>
            <w:top w:val="none" w:sz="0" w:space="0" w:color="auto"/>
            <w:left w:val="none" w:sz="0" w:space="0" w:color="auto"/>
            <w:bottom w:val="none" w:sz="0" w:space="0" w:color="auto"/>
            <w:right w:val="none" w:sz="0" w:space="0" w:color="auto"/>
          </w:divBdr>
        </w:div>
      </w:divsChild>
    </w:div>
    <w:div w:id="447628981">
      <w:bodyDiv w:val="1"/>
      <w:marLeft w:val="0"/>
      <w:marRight w:val="0"/>
      <w:marTop w:val="0"/>
      <w:marBottom w:val="0"/>
      <w:divBdr>
        <w:top w:val="none" w:sz="0" w:space="0" w:color="auto"/>
        <w:left w:val="none" w:sz="0" w:space="0" w:color="auto"/>
        <w:bottom w:val="none" w:sz="0" w:space="0" w:color="auto"/>
        <w:right w:val="none" w:sz="0" w:space="0" w:color="auto"/>
      </w:divBdr>
      <w:divsChild>
        <w:div w:id="811941581">
          <w:marLeft w:val="0"/>
          <w:marRight w:val="0"/>
          <w:marTop w:val="0"/>
          <w:marBottom w:val="0"/>
          <w:divBdr>
            <w:top w:val="none" w:sz="0" w:space="0" w:color="auto"/>
            <w:left w:val="none" w:sz="0" w:space="0" w:color="auto"/>
            <w:bottom w:val="none" w:sz="0" w:space="0" w:color="auto"/>
            <w:right w:val="none" w:sz="0" w:space="0" w:color="auto"/>
          </w:divBdr>
        </w:div>
        <w:div w:id="1189563231">
          <w:marLeft w:val="0"/>
          <w:marRight w:val="0"/>
          <w:marTop w:val="0"/>
          <w:marBottom w:val="0"/>
          <w:divBdr>
            <w:top w:val="none" w:sz="0" w:space="0" w:color="auto"/>
            <w:left w:val="none" w:sz="0" w:space="0" w:color="auto"/>
            <w:bottom w:val="none" w:sz="0" w:space="0" w:color="auto"/>
            <w:right w:val="none" w:sz="0" w:space="0" w:color="auto"/>
          </w:divBdr>
        </w:div>
      </w:divsChild>
    </w:div>
    <w:div w:id="466435834">
      <w:bodyDiv w:val="1"/>
      <w:marLeft w:val="0"/>
      <w:marRight w:val="0"/>
      <w:marTop w:val="0"/>
      <w:marBottom w:val="0"/>
      <w:divBdr>
        <w:top w:val="none" w:sz="0" w:space="0" w:color="auto"/>
        <w:left w:val="none" w:sz="0" w:space="0" w:color="auto"/>
        <w:bottom w:val="none" w:sz="0" w:space="0" w:color="auto"/>
        <w:right w:val="none" w:sz="0" w:space="0" w:color="auto"/>
      </w:divBdr>
    </w:div>
    <w:div w:id="482048898">
      <w:bodyDiv w:val="1"/>
      <w:marLeft w:val="0"/>
      <w:marRight w:val="0"/>
      <w:marTop w:val="0"/>
      <w:marBottom w:val="0"/>
      <w:divBdr>
        <w:top w:val="none" w:sz="0" w:space="0" w:color="auto"/>
        <w:left w:val="none" w:sz="0" w:space="0" w:color="auto"/>
        <w:bottom w:val="none" w:sz="0" w:space="0" w:color="auto"/>
        <w:right w:val="none" w:sz="0" w:space="0" w:color="auto"/>
      </w:divBdr>
    </w:div>
    <w:div w:id="491871508">
      <w:bodyDiv w:val="1"/>
      <w:marLeft w:val="0"/>
      <w:marRight w:val="0"/>
      <w:marTop w:val="0"/>
      <w:marBottom w:val="0"/>
      <w:divBdr>
        <w:top w:val="none" w:sz="0" w:space="0" w:color="auto"/>
        <w:left w:val="none" w:sz="0" w:space="0" w:color="auto"/>
        <w:bottom w:val="none" w:sz="0" w:space="0" w:color="auto"/>
        <w:right w:val="none" w:sz="0" w:space="0" w:color="auto"/>
      </w:divBdr>
    </w:div>
    <w:div w:id="514458729">
      <w:bodyDiv w:val="1"/>
      <w:marLeft w:val="0"/>
      <w:marRight w:val="0"/>
      <w:marTop w:val="0"/>
      <w:marBottom w:val="0"/>
      <w:divBdr>
        <w:top w:val="none" w:sz="0" w:space="0" w:color="auto"/>
        <w:left w:val="none" w:sz="0" w:space="0" w:color="auto"/>
        <w:bottom w:val="none" w:sz="0" w:space="0" w:color="auto"/>
        <w:right w:val="none" w:sz="0" w:space="0" w:color="auto"/>
      </w:divBdr>
    </w:div>
    <w:div w:id="518399580">
      <w:bodyDiv w:val="1"/>
      <w:marLeft w:val="0"/>
      <w:marRight w:val="0"/>
      <w:marTop w:val="0"/>
      <w:marBottom w:val="0"/>
      <w:divBdr>
        <w:top w:val="none" w:sz="0" w:space="0" w:color="auto"/>
        <w:left w:val="none" w:sz="0" w:space="0" w:color="auto"/>
        <w:bottom w:val="none" w:sz="0" w:space="0" w:color="auto"/>
        <w:right w:val="none" w:sz="0" w:space="0" w:color="auto"/>
      </w:divBdr>
    </w:div>
    <w:div w:id="566915449">
      <w:bodyDiv w:val="1"/>
      <w:marLeft w:val="0"/>
      <w:marRight w:val="0"/>
      <w:marTop w:val="0"/>
      <w:marBottom w:val="0"/>
      <w:divBdr>
        <w:top w:val="none" w:sz="0" w:space="0" w:color="auto"/>
        <w:left w:val="none" w:sz="0" w:space="0" w:color="auto"/>
        <w:bottom w:val="none" w:sz="0" w:space="0" w:color="auto"/>
        <w:right w:val="none" w:sz="0" w:space="0" w:color="auto"/>
      </w:divBdr>
    </w:div>
    <w:div w:id="567572452">
      <w:bodyDiv w:val="1"/>
      <w:marLeft w:val="0"/>
      <w:marRight w:val="0"/>
      <w:marTop w:val="0"/>
      <w:marBottom w:val="0"/>
      <w:divBdr>
        <w:top w:val="none" w:sz="0" w:space="0" w:color="auto"/>
        <w:left w:val="none" w:sz="0" w:space="0" w:color="auto"/>
        <w:bottom w:val="none" w:sz="0" w:space="0" w:color="auto"/>
        <w:right w:val="none" w:sz="0" w:space="0" w:color="auto"/>
      </w:divBdr>
      <w:divsChild>
        <w:div w:id="1303777824">
          <w:marLeft w:val="0"/>
          <w:marRight w:val="0"/>
          <w:marTop w:val="0"/>
          <w:marBottom w:val="0"/>
          <w:divBdr>
            <w:top w:val="none" w:sz="0" w:space="0" w:color="auto"/>
            <w:left w:val="none" w:sz="0" w:space="0" w:color="auto"/>
            <w:bottom w:val="none" w:sz="0" w:space="0" w:color="auto"/>
            <w:right w:val="none" w:sz="0" w:space="0" w:color="auto"/>
          </w:divBdr>
        </w:div>
        <w:div w:id="1856535125">
          <w:marLeft w:val="0"/>
          <w:marRight w:val="0"/>
          <w:marTop w:val="0"/>
          <w:marBottom w:val="0"/>
          <w:divBdr>
            <w:top w:val="none" w:sz="0" w:space="0" w:color="auto"/>
            <w:left w:val="none" w:sz="0" w:space="0" w:color="auto"/>
            <w:bottom w:val="none" w:sz="0" w:space="0" w:color="auto"/>
            <w:right w:val="none" w:sz="0" w:space="0" w:color="auto"/>
          </w:divBdr>
        </w:div>
        <w:div w:id="1100299760">
          <w:marLeft w:val="0"/>
          <w:marRight w:val="0"/>
          <w:marTop w:val="0"/>
          <w:marBottom w:val="0"/>
          <w:divBdr>
            <w:top w:val="none" w:sz="0" w:space="0" w:color="auto"/>
            <w:left w:val="none" w:sz="0" w:space="0" w:color="auto"/>
            <w:bottom w:val="none" w:sz="0" w:space="0" w:color="auto"/>
            <w:right w:val="none" w:sz="0" w:space="0" w:color="auto"/>
          </w:divBdr>
        </w:div>
        <w:div w:id="1298074812">
          <w:marLeft w:val="0"/>
          <w:marRight w:val="0"/>
          <w:marTop w:val="0"/>
          <w:marBottom w:val="0"/>
          <w:divBdr>
            <w:top w:val="none" w:sz="0" w:space="0" w:color="auto"/>
            <w:left w:val="none" w:sz="0" w:space="0" w:color="auto"/>
            <w:bottom w:val="none" w:sz="0" w:space="0" w:color="auto"/>
            <w:right w:val="none" w:sz="0" w:space="0" w:color="auto"/>
          </w:divBdr>
        </w:div>
      </w:divsChild>
    </w:div>
    <w:div w:id="574315955">
      <w:bodyDiv w:val="1"/>
      <w:marLeft w:val="0"/>
      <w:marRight w:val="0"/>
      <w:marTop w:val="0"/>
      <w:marBottom w:val="0"/>
      <w:divBdr>
        <w:top w:val="none" w:sz="0" w:space="0" w:color="auto"/>
        <w:left w:val="none" w:sz="0" w:space="0" w:color="auto"/>
        <w:bottom w:val="none" w:sz="0" w:space="0" w:color="auto"/>
        <w:right w:val="none" w:sz="0" w:space="0" w:color="auto"/>
      </w:divBdr>
      <w:divsChild>
        <w:div w:id="713701242">
          <w:marLeft w:val="0"/>
          <w:marRight w:val="0"/>
          <w:marTop w:val="0"/>
          <w:marBottom w:val="0"/>
          <w:divBdr>
            <w:top w:val="none" w:sz="0" w:space="0" w:color="auto"/>
            <w:left w:val="none" w:sz="0" w:space="0" w:color="auto"/>
            <w:bottom w:val="none" w:sz="0" w:space="0" w:color="auto"/>
            <w:right w:val="none" w:sz="0" w:space="0" w:color="auto"/>
          </w:divBdr>
        </w:div>
      </w:divsChild>
    </w:div>
    <w:div w:id="583031027">
      <w:bodyDiv w:val="1"/>
      <w:marLeft w:val="0"/>
      <w:marRight w:val="0"/>
      <w:marTop w:val="0"/>
      <w:marBottom w:val="0"/>
      <w:divBdr>
        <w:top w:val="none" w:sz="0" w:space="0" w:color="auto"/>
        <w:left w:val="none" w:sz="0" w:space="0" w:color="auto"/>
        <w:bottom w:val="none" w:sz="0" w:space="0" w:color="auto"/>
        <w:right w:val="none" w:sz="0" w:space="0" w:color="auto"/>
      </w:divBdr>
      <w:divsChild>
        <w:div w:id="11542547">
          <w:marLeft w:val="0"/>
          <w:marRight w:val="0"/>
          <w:marTop w:val="0"/>
          <w:marBottom w:val="0"/>
          <w:divBdr>
            <w:top w:val="none" w:sz="0" w:space="0" w:color="auto"/>
            <w:left w:val="none" w:sz="0" w:space="0" w:color="auto"/>
            <w:bottom w:val="none" w:sz="0" w:space="0" w:color="auto"/>
            <w:right w:val="none" w:sz="0" w:space="0" w:color="auto"/>
          </w:divBdr>
        </w:div>
        <w:div w:id="205338658">
          <w:marLeft w:val="0"/>
          <w:marRight w:val="0"/>
          <w:marTop w:val="0"/>
          <w:marBottom w:val="0"/>
          <w:divBdr>
            <w:top w:val="none" w:sz="0" w:space="0" w:color="auto"/>
            <w:left w:val="none" w:sz="0" w:space="0" w:color="auto"/>
            <w:bottom w:val="none" w:sz="0" w:space="0" w:color="auto"/>
            <w:right w:val="none" w:sz="0" w:space="0" w:color="auto"/>
          </w:divBdr>
        </w:div>
        <w:div w:id="219219496">
          <w:marLeft w:val="0"/>
          <w:marRight w:val="0"/>
          <w:marTop w:val="0"/>
          <w:marBottom w:val="0"/>
          <w:divBdr>
            <w:top w:val="none" w:sz="0" w:space="0" w:color="auto"/>
            <w:left w:val="none" w:sz="0" w:space="0" w:color="auto"/>
            <w:bottom w:val="none" w:sz="0" w:space="0" w:color="auto"/>
            <w:right w:val="none" w:sz="0" w:space="0" w:color="auto"/>
          </w:divBdr>
        </w:div>
        <w:div w:id="356853437">
          <w:marLeft w:val="0"/>
          <w:marRight w:val="0"/>
          <w:marTop w:val="0"/>
          <w:marBottom w:val="0"/>
          <w:divBdr>
            <w:top w:val="none" w:sz="0" w:space="0" w:color="auto"/>
            <w:left w:val="none" w:sz="0" w:space="0" w:color="auto"/>
            <w:bottom w:val="none" w:sz="0" w:space="0" w:color="auto"/>
            <w:right w:val="none" w:sz="0" w:space="0" w:color="auto"/>
          </w:divBdr>
        </w:div>
        <w:div w:id="442501536">
          <w:marLeft w:val="0"/>
          <w:marRight w:val="0"/>
          <w:marTop w:val="0"/>
          <w:marBottom w:val="0"/>
          <w:divBdr>
            <w:top w:val="none" w:sz="0" w:space="0" w:color="auto"/>
            <w:left w:val="none" w:sz="0" w:space="0" w:color="auto"/>
            <w:bottom w:val="none" w:sz="0" w:space="0" w:color="auto"/>
            <w:right w:val="none" w:sz="0" w:space="0" w:color="auto"/>
          </w:divBdr>
        </w:div>
        <w:div w:id="477308064">
          <w:marLeft w:val="0"/>
          <w:marRight w:val="0"/>
          <w:marTop w:val="0"/>
          <w:marBottom w:val="0"/>
          <w:divBdr>
            <w:top w:val="none" w:sz="0" w:space="0" w:color="auto"/>
            <w:left w:val="none" w:sz="0" w:space="0" w:color="auto"/>
            <w:bottom w:val="none" w:sz="0" w:space="0" w:color="auto"/>
            <w:right w:val="none" w:sz="0" w:space="0" w:color="auto"/>
          </w:divBdr>
        </w:div>
        <w:div w:id="673069907">
          <w:marLeft w:val="0"/>
          <w:marRight w:val="0"/>
          <w:marTop w:val="0"/>
          <w:marBottom w:val="0"/>
          <w:divBdr>
            <w:top w:val="none" w:sz="0" w:space="0" w:color="auto"/>
            <w:left w:val="none" w:sz="0" w:space="0" w:color="auto"/>
            <w:bottom w:val="none" w:sz="0" w:space="0" w:color="auto"/>
            <w:right w:val="none" w:sz="0" w:space="0" w:color="auto"/>
          </w:divBdr>
        </w:div>
        <w:div w:id="689337019">
          <w:marLeft w:val="0"/>
          <w:marRight w:val="0"/>
          <w:marTop w:val="0"/>
          <w:marBottom w:val="0"/>
          <w:divBdr>
            <w:top w:val="none" w:sz="0" w:space="0" w:color="auto"/>
            <w:left w:val="none" w:sz="0" w:space="0" w:color="auto"/>
            <w:bottom w:val="none" w:sz="0" w:space="0" w:color="auto"/>
            <w:right w:val="none" w:sz="0" w:space="0" w:color="auto"/>
          </w:divBdr>
        </w:div>
        <w:div w:id="694042626">
          <w:marLeft w:val="0"/>
          <w:marRight w:val="0"/>
          <w:marTop w:val="0"/>
          <w:marBottom w:val="0"/>
          <w:divBdr>
            <w:top w:val="none" w:sz="0" w:space="0" w:color="auto"/>
            <w:left w:val="none" w:sz="0" w:space="0" w:color="auto"/>
            <w:bottom w:val="none" w:sz="0" w:space="0" w:color="auto"/>
            <w:right w:val="none" w:sz="0" w:space="0" w:color="auto"/>
          </w:divBdr>
        </w:div>
        <w:div w:id="704212594">
          <w:marLeft w:val="0"/>
          <w:marRight w:val="0"/>
          <w:marTop w:val="0"/>
          <w:marBottom w:val="0"/>
          <w:divBdr>
            <w:top w:val="none" w:sz="0" w:space="0" w:color="auto"/>
            <w:left w:val="none" w:sz="0" w:space="0" w:color="auto"/>
            <w:bottom w:val="none" w:sz="0" w:space="0" w:color="auto"/>
            <w:right w:val="none" w:sz="0" w:space="0" w:color="auto"/>
          </w:divBdr>
        </w:div>
        <w:div w:id="746532222">
          <w:marLeft w:val="0"/>
          <w:marRight w:val="0"/>
          <w:marTop w:val="0"/>
          <w:marBottom w:val="0"/>
          <w:divBdr>
            <w:top w:val="none" w:sz="0" w:space="0" w:color="auto"/>
            <w:left w:val="none" w:sz="0" w:space="0" w:color="auto"/>
            <w:bottom w:val="none" w:sz="0" w:space="0" w:color="auto"/>
            <w:right w:val="none" w:sz="0" w:space="0" w:color="auto"/>
          </w:divBdr>
        </w:div>
        <w:div w:id="755051910">
          <w:marLeft w:val="0"/>
          <w:marRight w:val="0"/>
          <w:marTop w:val="0"/>
          <w:marBottom w:val="0"/>
          <w:divBdr>
            <w:top w:val="none" w:sz="0" w:space="0" w:color="auto"/>
            <w:left w:val="none" w:sz="0" w:space="0" w:color="auto"/>
            <w:bottom w:val="none" w:sz="0" w:space="0" w:color="auto"/>
            <w:right w:val="none" w:sz="0" w:space="0" w:color="auto"/>
          </w:divBdr>
        </w:div>
        <w:div w:id="764619769">
          <w:marLeft w:val="0"/>
          <w:marRight w:val="0"/>
          <w:marTop w:val="0"/>
          <w:marBottom w:val="0"/>
          <w:divBdr>
            <w:top w:val="none" w:sz="0" w:space="0" w:color="auto"/>
            <w:left w:val="none" w:sz="0" w:space="0" w:color="auto"/>
            <w:bottom w:val="none" w:sz="0" w:space="0" w:color="auto"/>
            <w:right w:val="none" w:sz="0" w:space="0" w:color="auto"/>
          </w:divBdr>
        </w:div>
        <w:div w:id="864832966">
          <w:marLeft w:val="0"/>
          <w:marRight w:val="0"/>
          <w:marTop w:val="0"/>
          <w:marBottom w:val="0"/>
          <w:divBdr>
            <w:top w:val="none" w:sz="0" w:space="0" w:color="auto"/>
            <w:left w:val="none" w:sz="0" w:space="0" w:color="auto"/>
            <w:bottom w:val="none" w:sz="0" w:space="0" w:color="auto"/>
            <w:right w:val="none" w:sz="0" w:space="0" w:color="auto"/>
          </w:divBdr>
        </w:div>
        <w:div w:id="916013860">
          <w:marLeft w:val="0"/>
          <w:marRight w:val="0"/>
          <w:marTop w:val="0"/>
          <w:marBottom w:val="0"/>
          <w:divBdr>
            <w:top w:val="none" w:sz="0" w:space="0" w:color="auto"/>
            <w:left w:val="none" w:sz="0" w:space="0" w:color="auto"/>
            <w:bottom w:val="none" w:sz="0" w:space="0" w:color="auto"/>
            <w:right w:val="none" w:sz="0" w:space="0" w:color="auto"/>
          </w:divBdr>
        </w:div>
        <w:div w:id="956908789">
          <w:marLeft w:val="0"/>
          <w:marRight w:val="0"/>
          <w:marTop w:val="0"/>
          <w:marBottom w:val="0"/>
          <w:divBdr>
            <w:top w:val="none" w:sz="0" w:space="0" w:color="auto"/>
            <w:left w:val="none" w:sz="0" w:space="0" w:color="auto"/>
            <w:bottom w:val="none" w:sz="0" w:space="0" w:color="auto"/>
            <w:right w:val="none" w:sz="0" w:space="0" w:color="auto"/>
          </w:divBdr>
        </w:div>
        <w:div w:id="1089159048">
          <w:marLeft w:val="0"/>
          <w:marRight w:val="0"/>
          <w:marTop w:val="0"/>
          <w:marBottom w:val="0"/>
          <w:divBdr>
            <w:top w:val="none" w:sz="0" w:space="0" w:color="auto"/>
            <w:left w:val="none" w:sz="0" w:space="0" w:color="auto"/>
            <w:bottom w:val="none" w:sz="0" w:space="0" w:color="auto"/>
            <w:right w:val="none" w:sz="0" w:space="0" w:color="auto"/>
          </w:divBdr>
        </w:div>
        <w:div w:id="1322931346">
          <w:marLeft w:val="0"/>
          <w:marRight w:val="0"/>
          <w:marTop w:val="0"/>
          <w:marBottom w:val="0"/>
          <w:divBdr>
            <w:top w:val="none" w:sz="0" w:space="0" w:color="auto"/>
            <w:left w:val="none" w:sz="0" w:space="0" w:color="auto"/>
            <w:bottom w:val="none" w:sz="0" w:space="0" w:color="auto"/>
            <w:right w:val="none" w:sz="0" w:space="0" w:color="auto"/>
          </w:divBdr>
        </w:div>
        <w:div w:id="1435590636">
          <w:marLeft w:val="0"/>
          <w:marRight w:val="0"/>
          <w:marTop w:val="0"/>
          <w:marBottom w:val="0"/>
          <w:divBdr>
            <w:top w:val="none" w:sz="0" w:space="0" w:color="auto"/>
            <w:left w:val="none" w:sz="0" w:space="0" w:color="auto"/>
            <w:bottom w:val="none" w:sz="0" w:space="0" w:color="auto"/>
            <w:right w:val="none" w:sz="0" w:space="0" w:color="auto"/>
          </w:divBdr>
        </w:div>
        <w:div w:id="1471435494">
          <w:marLeft w:val="0"/>
          <w:marRight w:val="0"/>
          <w:marTop w:val="0"/>
          <w:marBottom w:val="0"/>
          <w:divBdr>
            <w:top w:val="none" w:sz="0" w:space="0" w:color="auto"/>
            <w:left w:val="none" w:sz="0" w:space="0" w:color="auto"/>
            <w:bottom w:val="none" w:sz="0" w:space="0" w:color="auto"/>
            <w:right w:val="none" w:sz="0" w:space="0" w:color="auto"/>
          </w:divBdr>
        </w:div>
        <w:div w:id="1501657290">
          <w:marLeft w:val="0"/>
          <w:marRight w:val="0"/>
          <w:marTop w:val="0"/>
          <w:marBottom w:val="0"/>
          <w:divBdr>
            <w:top w:val="none" w:sz="0" w:space="0" w:color="auto"/>
            <w:left w:val="none" w:sz="0" w:space="0" w:color="auto"/>
            <w:bottom w:val="none" w:sz="0" w:space="0" w:color="auto"/>
            <w:right w:val="none" w:sz="0" w:space="0" w:color="auto"/>
          </w:divBdr>
        </w:div>
        <w:div w:id="1548566944">
          <w:marLeft w:val="0"/>
          <w:marRight w:val="0"/>
          <w:marTop w:val="0"/>
          <w:marBottom w:val="0"/>
          <w:divBdr>
            <w:top w:val="none" w:sz="0" w:space="0" w:color="auto"/>
            <w:left w:val="none" w:sz="0" w:space="0" w:color="auto"/>
            <w:bottom w:val="none" w:sz="0" w:space="0" w:color="auto"/>
            <w:right w:val="none" w:sz="0" w:space="0" w:color="auto"/>
          </w:divBdr>
        </w:div>
        <w:div w:id="1560895529">
          <w:marLeft w:val="0"/>
          <w:marRight w:val="0"/>
          <w:marTop w:val="0"/>
          <w:marBottom w:val="0"/>
          <w:divBdr>
            <w:top w:val="none" w:sz="0" w:space="0" w:color="auto"/>
            <w:left w:val="none" w:sz="0" w:space="0" w:color="auto"/>
            <w:bottom w:val="none" w:sz="0" w:space="0" w:color="auto"/>
            <w:right w:val="none" w:sz="0" w:space="0" w:color="auto"/>
          </w:divBdr>
        </w:div>
        <w:div w:id="1758549867">
          <w:marLeft w:val="0"/>
          <w:marRight w:val="0"/>
          <w:marTop w:val="0"/>
          <w:marBottom w:val="0"/>
          <w:divBdr>
            <w:top w:val="none" w:sz="0" w:space="0" w:color="auto"/>
            <w:left w:val="none" w:sz="0" w:space="0" w:color="auto"/>
            <w:bottom w:val="none" w:sz="0" w:space="0" w:color="auto"/>
            <w:right w:val="none" w:sz="0" w:space="0" w:color="auto"/>
          </w:divBdr>
        </w:div>
        <w:div w:id="1972665070">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 w:id="2029022434">
          <w:marLeft w:val="0"/>
          <w:marRight w:val="0"/>
          <w:marTop w:val="0"/>
          <w:marBottom w:val="0"/>
          <w:divBdr>
            <w:top w:val="none" w:sz="0" w:space="0" w:color="auto"/>
            <w:left w:val="none" w:sz="0" w:space="0" w:color="auto"/>
            <w:bottom w:val="none" w:sz="0" w:space="0" w:color="auto"/>
            <w:right w:val="none" w:sz="0" w:space="0" w:color="auto"/>
          </w:divBdr>
        </w:div>
        <w:div w:id="2045713133">
          <w:marLeft w:val="0"/>
          <w:marRight w:val="0"/>
          <w:marTop w:val="0"/>
          <w:marBottom w:val="0"/>
          <w:divBdr>
            <w:top w:val="none" w:sz="0" w:space="0" w:color="auto"/>
            <w:left w:val="none" w:sz="0" w:space="0" w:color="auto"/>
            <w:bottom w:val="none" w:sz="0" w:space="0" w:color="auto"/>
            <w:right w:val="none" w:sz="0" w:space="0" w:color="auto"/>
          </w:divBdr>
        </w:div>
        <w:div w:id="2142116218">
          <w:marLeft w:val="0"/>
          <w:marRight w:val="0"/>
          <w:marTop w:val="0"/>
          <w:marBottom w:val="0"/>
          <w:divBdr>
            <w:top w:val="none" w:sz="0" w:space="0" w:color="auto"/>
            <w:left w:val="none" w:sz="0" w:space="0" w:color="auto"/>
            <w:bottom w:val="none" w:sz="0" w:space="0" w:color="auto"/>
            <w:right w:val="none" w:sz="0" w:space="0" w:color="auto"/>
          </w:divBdr>
        </w:div>
      </w:divsChild>
    </w:div>
    <w:div w:id="586812792">
      <w:bodyDiv w:val="1"/>
      <w:marLeft w:val="0"/>
      <w:marRight w:val="0"/>
      <w:marTop w:val="0"/>
      <w:marBottom w:val="0"/>
      <w:divBdr>
        <w:top w:val="none" w:sz="0" w:space="0" w:color="auto"/>
        <w:left w:val="none" w:sz="0" w:space="0" w:color="auto"/>
        <w:bottom w:val="none" w:sz="0" w:space="0" w:color="auto"/>
        <w:right w:val="none" w:sz="0" w:space="0" w:color="auto"/>
      </w:divBdr>
    </w:div>
    <w:div w:id="586815225">
      <w:bodyDiv w:val="1"/>
      <w:marLeft w:val="0"/>
      <w:marRight w:val="0"/>
      <w:marTop w:val="0"/>
      <w:marBottom w:val="0"/>
      <w:divBdr>
        <w:top w:val="none" w:sz="0" w:space="0" w:color="auto"/>
        <w:left w:val="none" w:sz="0" w:space="0" w:color="auto"/>
        <w:bottom w:val="none" w:sz="0" w:space="0" w:color="auto"/>
        <w:right w:val="none" w:sz="0" w:space="0" w:color="auto"/>
      </w:divBdr>
    </w:div>
    <w:div w:id="628047881">
      <w:bodyDiv w:val="1"/>
      <w:marLeft w:val="0"/>
      <w:marRight w:val="0"/>
      <w:marTop w:val="0"/>
      <w:marBottom w:val="0"/>
      <w:divBdr>
        <w:top w:val="none" w:sz="0" w:space="0" w:color="auto"/>
        <w:left w:val="none" w:sz="0" w:space="0" w:color="auto"/>
        <w:bottom w:val="none" w:sz="0" w:space="0" w:color="auto"/>
        <w:right w:val="none" w:sz="0" w:space="0" w:color="auto"/>
      </w:divBdr>
      <w:divsChild>
        <w:div w:id="1634092629">
          <w:marLeft w:val="0"/>
          <w:marRight w:val="0"/>
          <w:marTop w:val="0"/>
          <w:marBottom w:val="0"/>
          <w:divBdr>
            <w:top w:val="none" w:sz="0" w:space="0" w:color="auto"/>
            <w:left w:val="none" w:sz="0" w:space="0" w:color="auto"/>
            <w:bottom w:val="none" w:sz="0" w:space="0" w:color="auto"/>
            <w:right w:val="none" w:sz="0" w:space="0" w:color="auto"/>
          </w:divBdr>
        </w:div>
        <w:div w:id="1043411316">
          <w:marLeft w:val="0"/>
          <w:marRight w:val="0"/>
          <w:marTop w:val="0"/>
          <w:marBottom w:val="0"/>
          <w:divBdr>
            <w:top w:val="none" w:sz="0" w:space="0" w:color="auto"/>
            <w:left w:val="none" w:sz="0" w:space="0" w:color="auto"/>
            <w:bottom w:val="none" w:sz="0" w:space="0" w:color="auto"/>
            <w:right w:val="none" w:sz="0" w:space="0" w:color="auto"/>
          </w:divBdr>
        </w:div>
        <w:div w:id="1333558796">
          <w:marLeft w:val="0"/>
          <w:marRight w:val="0"/>
          <w:marTop w:val="0"/>
          <w:marBottom w:val="0"/>
          <w:divBdr>
            <w:top w:val="none" w:sz="0" w:space="0" w:color="auto"/>
            <w:left w:val="none" w:sz="0" w:space="0" w:color="auto"/>
            <w:bottom w:val="none" w:sz="0" w:space="0" w:color="auto"/>
            <w:right w:val="none" w:sz="0" w:space="0" w:color="auto"/>
          </w:divBdr>
        </w:div>
        <w:div w:id="955989578">
          <w:marLeft w:val="0"/>
          <w:marRight w:val="0"/>
          <w:marTop w:val="0"/>
          <w:marBottom w:val="0"/>
          <w:divBdr>
            <w:top w:val="none" w:sz="0" w:space="0" w:color="auto"/>
            <w:left w:val="none" w:sz="0" w:space="0" w:color="auto"/>
            <w:bottom w:val="none" w:sz="0" w:space="0" w:color="auto"/>
            <w:right w:val="none" w:sz="0" w:space="0" w:color="auto"/>
          </w:divBdr>
        </w:div>
      </w:divsChild>
    </w:div>
    <w:div w:id="633677410">
      <w:bodyDiv w:val="1"/>
      <w:marLeft w:val="0"/>
      <w:marRight w:val="0"/>
      <w:marTop w:val="0"/>
      <w:marBottom w:val="0"/>
      <w:divBdr>
        <w:top w:val="none" w:sz="0" w:space="0" w:color="auto"/>
        <w:left w:val="none" w:sz="0" w:space="0" w:color="auto"/>
        <w:bottom w:val="none" w:sz="0" w:space="0" w:color="auto"/>
        <w:right w:val="none" w:sz="0" w:space="0" w:color="auto"/>
      </w:divBdr>
    </w:div>
    <w:div w:id="654727715">
      <w:bodyDiv w:val="1"/>
      <w:marLeft w:val="0"/>
      <w:marRight w:val="0"/>
      <w:marTop w:val="0"/>
      <w:marBottom w:val="0"/>
      <w:divBdr>
        <w:top w:val="none" w:sz="0" w:space="0" w:color="auto"/>
        <w:left w:val="none" w:sz="0" w:space="0" w:color="auto"/>
        <w:bottom w:val="none" w:sz="0" w:space="0" w:color="auto"/>
        <w:right w:val="none" w:sz="0" w:space="0" w:color="auto"/>
      </w:divBdr>
    </w:div>
    <w:div w:id="658577127">
      <w:bodyDiv w:val="1"/>
      <w:marLeft w:val="0"/>
      <w:marRight w:val="0"/>
      <w:marTop w:val="0"/>
      <w:marBottom w:val="0"/>
      <w:divBdr>
        <w:top w:val="none" w:sz="0" w:space="0" w:color="auto"/>
        <w:left w:val="none" w:sz="0" w:space="0" w:color="auto"/>
        <w:bottom w:val="none" w:sz="0" w:space="0" w:color="auto"/>
        <w:right w:val="none" w:sz="0" w:space="0" w:color="auto"/>
      </w:divBdr>
    </w:div>
    <w:div w:id="747845553">
      <w:bodyDiv w:val="1"/>
      <w:marLeft w:val="0"/>
      <w:marRight w:val="0"/>
      <w:marTop w:val="0"/>
      <w:marBottom w:val="0"/>
      <w:divBdr>
        <w:top w:val="none" w:sz="0" w:space="0" w:color="auto"/>
        <w:left w:val="none" w:sz="0" w:space="0" w:color="auto"/>
        <w:bottom w:val="none" w:sz="0" w:space="0" w:color="auto"/>
        <w:right w:val="none" w:sz="0" w:space="0" w:color="auto"/>
      </w:divBdr>
    </w:div>
    <w:div w:id="748893643">
      <w:bodyDiv w:val="1"/>
      <w:marLeft w:val="0"/>
      <w:marRight w:val="0"/>
      <w:marTop w:val="0"/>
      <w:marBottom w:val="0"/>
      <w:divBdr>
        <w:top w:val="none" w:sz="0" w:space="0" w:color="auto"/>
        <w:left w:val="none" w:sz="0" w:space="0" w:color="auto"/>
        <w:bottom w:val="none" w:sz="0" w:space="0" w:color="auto"/>
        <w:right w:val="none" w:sz="0" w:space="0" w:color="auto"/>
      </w:divBdr>
    </w:div>
    <w:div w:id="765883690">
      <w:bodyDiv w:val="1"/>
      <w:marLeft w:val="0"/>
      <w:marRight w:val="0"/>
      <w:marTop w:val="0"/>
      <w:marBottom w:val="0"/>
      <w:divBdr>
        <w:top w:val="none" w:sz="0" w:space="0" w:color="auto"/>
        <w:left w:val="none" w:sz="0" w:space="0" w:color="auto"/>
        <w:bottom w:val="none" w:sz="0" w:space="0" w:color="auto"/>
        <w:right w:val="none" w:sz="0" w:space="0" w:color="auto"/>
      </w:divBdr>
    </w:div>
    <w:div w:id="795952392">
      <w:bodyDiv w:val="1"/>
      <w:marLeft w:val="0"/>
      <w:marRight w:val="0"/>
      <w:marTop w:val="0"/>
      <w:marBottom w:val="0"/>
      <w:divBdr>
        <w:top w:val="none" w:sz="0" w:space="0" w:color="auto"/>
        <w:left w:val="none" w:sz="0" w:space="0" w:color="auto"/>
        <w:bottom w:val="none" w:sz="0" w:space="0" w:color="auto"/>
        <w:right w:val="none" w:sz="0" w:space="0" w:color="auto"/>
      </w:divBdr>
      <w:divsChild>
        <w:div w:id="1379551273">
          <w:marLeft w:val="0"/>
          <w:marRight w:val="0"/>
          <w:marTop w:val="0"/>
          <w:marBottom w:val="0"/>
          <w:divBdr>
            <w:top w:val="none" w:sz="0" w:space="0" w:color="auto"/>
            <w:left w:val="none" w:sz="0" w:space="0" w:color="auto"/>
            <w:bottom w:val="none" w:sz="0" w:space="0" w:color="auto"/>
            <w:right w:val="none" w:sz="0" w:space="0" w:color="auto"/>
          </w:divBdr>
        </w:div>
        <w:div w:id="1729913033">
          <w:marLeft w:val="0"/>
          <w:marRight w:val="0"/>
          <w:marTop w:val="0"/>
          <w:marBottom w:val="0"/>
          <w:divBdr>
            <w:top w:val="none" w:sz="0" w:space="0" w:color="auto"/>
            <w:left w:val="none" w:sz="0" w:space="0" w:color="auto"/>
            <w:bottom w:val="none" w:sz="0" w:space="0" w:color="auto"/>
            <w:right w:val="none" w:sz="0" w:space="0" w:color="auto"/>
          </w:divBdr>
        </w:div>
        <w:div w:id="1903250987">
          <w:marLeft w:val="0"/>
          <w:marRight w:val="0"/>
          <w:marTop w:val="0"/>
          <w:marBottom w:val="0"/>
          <w:divBdr>
            <w:top w:val="none" w:sz="0" w:space="0" w:color="auto"/>
            <w:left w:val="none" w:sz="0" w:space="0" w:color="auto"/>
            <w:bottom w:val="none" w:sz="0" w:space="0" w:color="auto"/>
            <w:right w:val="none" w:sz="0" w:space="0" w:color="auto"/>
          </w:divBdr>
        </w:div>
      </w:divsChild>
    </w:div>
    <w:div w:id="799038490">
      <w:bodyDiv w:val="1"/>
      <w:marLeft w:val="0"/>
      <w:marRight w:val="0"/>
      <w:marTop w:val="0"/>
      <w:marBottom w:val="0"/>
      <w:divBdr>
        <w:top w:val="none" w:sz="0" w:space="0" w:color="auto"/>
        <w:left w:val="none" w:sz="0" w:space="0" w:color="auto"/>
        <w:bottom w:val="none" w:sz="0" w:space="0" w:color="auto"/>
        <w:right w:val="none" w:sz="0" w:space="0" w:color="auto"/>
      </w:divBdr>
      <w:divsChild>
        <w:div w:id="287472592">
          <w:marLeft w:val="0"/>
          <w:marRight w:val="0"/>
          <w:marTop w:val="0"/>
          <w:marBottom w:val="0"/>
          <w:divBdr>
            <w:top w:val="none" w:sz="0" w:space="0" w:color="auto"/>
            <w:left w:val="none" w:sz="0" w:space="0" w:color="auto"/>
            <w:bottom w:val="none" w:sz="0" w:space="0" w:color="auto"/>
            <w:right w:val="none" w:sz="0" w:space="0" w:color="auto"/>
          </w:divBdr>
        </w:div>
        <w:div w:id="361830387">
          <w:marLeft w:val="0"/>
          <w:marRight w:val="0"/>
          <w:marTop w:val="0"/>
          <w:marBottom w:val="0"/>
          <w:divBdr>
            <w:top w:val="none" w:sz="0" w:space="0" w:color="auto"/>
            <w:left w:val="none" w:sz="0" w:space="0" w:color="auto"/>
            <w:bottom w:val="none" w:sz="0" w:space="0" w:color="auto"/>
            <w:right w:val="none" w:sz="0" w:space="0" w:color="auto"/>
          </w:divBdr>
        </w:div>
        <w:div w:id="589897616">
          <w:marLeft w:val="0"/>
          <w:marRight w:val="0"/>
          <w:marTop w:val="0"/>
          <w:marBottom w:val="0"/>
          <w:divBdr>
            <w:top w:val="none" w:sz="0" w:space="0" w:color="auto"/>
            <w:left w:val="none" w:sz="0" w:space="0" w:color="auto"/>
            <w:bottom w:val="none" w:sz="0" w:space="0" w:color="auto"/>
            <w:right w:val="none" w:sz="0" w:space="0" w:color="auto"/>
          </w:divBdr>
        </w:div>
        <w:div w:id="677579204">
          <w:marLeft w:val="0"/>
          <w:marRight w:val="0"/>
          <w:marTop w:val="0"/>
          <w:marBottom w:val="0"/>
          <w:divBdr>
            <w:top w:val="none" w:sz="0" w:space="0" w:color="auto"/>
            <w:left w:val="none" w:sz="0" w:space="0" w:color="auto"/>
            <w:bottom w:val="none" w:sz="0" w:space="0" w:color="auto"/>
            <w:right w:val="none" w:sz="0" w:space="0" w:color="auto"/>
          </w:divBdr>
        </w:div>
        <w:div w:id="828786088">
          <w:marLeft w:val="0"/>
          <w:marRight w:val="0"/>
          <w:marTop w:val="0"/>
          <w:marBottom w:val="0"/>
          <w:divBdr>
            <w:top w:val="none" w:sz="0" w:space="0" w:color="auto"/>
            <w:left w:val="none" w:sz="0" w:space="0" w:color="auto"/>
            <w:bottom w:val="none" w:sz="0" w:space="0" w:color="auto"/>
            <w:right w:val="none" w:sz="0" w:space="0" w:color="auto"/>
          </w:divBdr>
        </w:div>
        <w:div w:id="1376928227">
          <w:marLeft w:val="0"/>
          <w:marRight w:val="0"/>
          <w:marTop w:val="0"/>
          <w:marBottom w:val="0"/>
          <w:divBdr>
            <w:top w:val="none" w:sz="0" w:space="0" w:color="auto"/>
            <w:left w:val="none" w:sz="0" w:space="0" w:color="auto"/>
            <w:bottom w:val="none" w:sz="0" w:space="0" w:color="auto"/>
            <w:right w:val="none" w:sz="0" w:space="0" w:color="auto"/>
          </w:divBdr>
        </w:div>
        <w:div w:id="1491871442">
          <w:marLeft w:val="0"/>
          <w:marRight w:val="0"/>
          <w:marTop w:val="0"/>
          <w:marBottom w:val="0"/>
          <w:divBdr>
            <w:top w:val="none" w:sz="0" w:space="0" w:color="auto"/>
            <w:left w:val="none" w:sz="0" w:space="0" w:color="auto"/>
            <w:bottom w:val="none" w:sz="0" w:space="0" w:color="auto"/>
            <w:right w:val="none" w:sz="0" w:space="0" w:color="auto"/>
          </w:divBdr>
        </w:div>
        <w:div w:id="1518886267">
          <w:marLeft w:val="0"/>
          <w:marRight w:val="0"/>
          <w:marTop w:val="0"/>
          <w:marBottom w:val="0"/>
          <w:divBdr>
            <w:top w:val="none" w:sz="0" w:space="0" w:color="auto"/>
            <w:left w:val="none" w:sz="0" w:space="0" w:color="auto"/>
            <w:bottom w:val="none" w:sz="0" w:space="0" w:color="auto"/>
            <w:right w:val="none" w:sz="0" w:space="0" w:color="auto"/>
          </w:divBdr>
        </w:div>
        <w:div w:id="1681737439">
          <w:marLeft w:val="0"/>
          <w:marRight w:val="0"/>
          <w:marTop w:val="0"/>
          <w:marBottom w:val="0"/>
          <w:divBdr>
            <w:top w:val="none" w:sz="0" w:space="0" w:color="auto"/>
            <w:left w:val="none" w:sz="0" w:space="0" w:color="auto"/>
            <w:bottom w:val="none" w:sz="0" w:space="0" w:color="auto"/>
            <w:right w:val="none" w:sz="0" w:space="0" w:color="auto"/>
          </w:divBdr>
        </w:div>
        <w:div w:id="1730416168">
          <w:marLeft w:val="0"/>
          <w:marRight w:val="0"/>
          <w:marTop w:val="0"/>
          <w:marBottom w:val="0"/>
          <w:divBdr>
            <w:top w:val="none" w:sz="0" w:space="0" w:color="auto"/>
            <w:left w:val="none" w:sz="0" w:space="0" w:color="auto"/>
            <w:bottom w:val="none" w:sz="0" w:space="0" w:color="auto"/>
            <w:right w:val="none" w:sz="0" w:space="0" w:color="auto"/>
          </w:divBdr>
        </w:div>
        <w:div w:id="1749184882">
          <w:marLeft w:val="0"/>
          <w:marRight w:val="0"/>
          <w:marTop w:val="0"/>
          <w:marBottom w:val="0"/>
          <w:divBdr>
            <w:top w:val="none" w:sz="0" w:space="0" w:color="auto"/>
            <w:left w:val="none" w:sz="0" w:space="0" w:color="auto"/>
            <w:bottom w:val="none" w:sz="0" w:space="0" w:color="auto"/>
            <w:right w:val="none" w:sz="0" w:space="0" w:color="auto"/>
          </w:divBdr>
        </w:div>
        <w:div w:id="1930699216">
          <w:marLeft w:val="0"/>
          <w:marRight w:val="0"/>
          <w:marTop w:val="0"/>
          <w:marBottom w:val="0"/>
          <w:divBdr>
            <w:top w:val="none" w:sz="0" w:space="0" w:color="auto"/>
            <w:left w:val="none" w:sz="0" w:space="0" w:color="auto"/>
            <w:bottom w:val="none" w:sz="0" w:space="0" w:color="auto"/>
            <w:right w:val="none" w:sz="0" w:space="0" w:color="auto"/>
          </w:divBdr>
        </w:div>
      </w:divsChild>
    </w:div>
    <w:div w:id="817648760">
      <w:bodyDiv w:val="1"/>
      <w:marLeft w:val="0"/>
      <w:marRight w:val="0"/>
      <w:marTop w:val="0"/>
      <w:marBottom w:val="0"/>
      <w:divBdr>
        <w:top w:val="none" w:sz="0" w:space="0" w:color="auto"/>
        <w:left w:val="none" w:sz="0" w:space="0" w:color="auto"/>
        <w:bottom w:val="none" w:sz="0" w:space="0" w:color="auto"/>
        <w:right w:val="none" w:sz="0" w:space="0" w:color="auto"/>
      </w:divBdr>
    </w:div>
    <w:div w:id="819882447">
      <w:bodyDiv w:val="1"/>
      <w:marLeft w:val="0"/>
      <w:marRight w:val="0"/>
      <w:marTop w:val="0"/>
      <w:marBottom w:val="0"/>
      <w:divBdr>
        <w:top w:val="none" w:sz="0" w:space="0" w:color="auto"/>
        <w:left w:val="none" w:sz="0" w:space="0" w:color="auto"/>
        <w:bottom w:val="none" w:sz="0" w:space="0" w:color="auto"/>
        <w:right w:val="none" w:sz="0" w:space="0" w:color="auto"/>
      </w:divBdr>
      <w:divsChild>
        <w:div w:id="1600093267">
          <w:marLeft w:val="0"/>
          <w:marRight w:val="0"/>
          <w:marTop w:val="0"/>
          <w:marBottom w:val="0"/>
          <w:divBdr>
            <w:top w:val="none" w:sz="0" w:space="0" w:color="auto"/>
            <w:left w:val="none" w:sz="0" w:space="0" w:color="auto"/>
            <w:bottom w:val="none" w:sz="0" w:space="0" w:color="auto"/>
            <w:right w:val="none" w:sz="0" w:space="0" w:color="auto"/>
          </w:divBdr>
          <w:divsChild>
            <w:div w:id="363671868">
              <w:marLeft w:val="0"/>
              <w:marRight w:val="0"/>
              <w:marTop w:val="0"/>
              <w:marBottom w:val="0"/>
              <w:divBdr>
                <w:top w:val="none" w:sz="0" w:space="0" w:color="auto"/>
                <w:left w:val="none" w:sz="0" w:space="0" w:color="auto"/>
                <w:bottom w:val="none" w:sz="0" w:space="0" w:color="auto"/>
                <w:right w:val="none" w:sz="0" w:space="0" w:color="auto"/>
              </w:divBdr>
              <w:divsChild>
                <w:div w:id="2036298130">
                  <w:marLeft w:val="0"/>
                  <w:marRight w:val="0"/>
                  <w:marTop w:val="0"/>
                  <w:marBottom w:val="0"/>
                  <w:divBdr>
                    <w:top w:val="none" w:sz="0" w:space="0" w:color="auto"/>
                    <w:left w:val="none" w:sz="0" w:space="0" w:color="auto"/>
                    <w:bottom w:val="none" w:sz="0" w:space="0" w:color="auto"/>
                    <w:right w:val="none" w:sz="0" w:space="0" w:color="auto"/>
                  </w:divBdr>
                  <w:divsChild>
                    <w:div w:id="1293172500">
                      <w:marLeft w:val="0"/>
                      <w:marRight w:val="0"/>
                      <w:marTop w:val="0"/>
                      <w:marBottom w:val="0"/>
                      <w:divBdr>
                        <w:top w:val="none" w:sz="0" w:space="0" w:color="auto"/>
                        <w:left w:val="none" w:sz="0" w:space="0" w:color="auto"/>
                        <w:bottom w:val="none" w:sz="0" w:space="0" w:color="auto"/>
                        <w:right w:val="none" w:sz="0" w:space="0" w:color="auto"/>
                      </w:divBdr>
                      <w:divsChild>
                        <w:div w:id="214392270">
                          <w:marLeft w:val="0"/>
                          <w:marRight w:val="0"/>
                          <w:marTop w:val="0"/>
                          <w:marBottom w:val="0"/>
                          <w:divBdr>
                            <w:top w:val="none" w:sz="0" w:space="0" w:color="auto"/>
                            <w:left w:val="none" w:sz="0" w:space="0" w:color="auto"/>
                            <w:bottom w:val="none" w:sz="0" w:space="0" w:color="auto"/>
                            <w:right w:val="none" w:sz="0" w:space="0" w:color="auto"/>
                          </w:divBdr>
                          <w:divsChild>
                            <w:div w:id="1454713722">
                              <w:marLeft w:val="0"/>
                              <w:marRight w:val="0"/>
                              <w:marTop w:val="0"/>
                              <w:marBottom w:val="0"/>
                              <w:divBdr>
                                <w:top w:val="none" w:sz="0" w:space="0" w:color="auto"/>
                                <w:left w:val="none" w:sz="0" w:space="0" w:color="auto"/>
                                <w:bottom w:val="none" w:sz="0" w:space="0" w:color="auto"/>
                                <w:right w:val="none" w:sz="0" w:space="0" w:color="auto"/>
                              </w:divBdr>
                              <w:divsChild>
                                <w:div w:id="1952934601">
                                  <w:marLeft w:val="0"/>
                                  <w:marRight w:val="0"/>
                                  <w:marTop w:val="0"/>
                                  <w:marBottom w:val="0"/>
                                  <w:divBdr>
                                    <w:top w:val="none" w:sz="0" w:space="0" w:color="auto"/>
                                    <w:left w:val="none" w:sz="0" w:space="0" w:color="auto"/>
                                    <w:bottom w:val="none" w:sz="0" w:space="0" w:color="auto"/>
                                    <w:right w:val="none" w:sz="0" w:space="0" w:color="auto"/>
                                  </w:divBdr>
                                  <w:divsChild>
                                    <w:div w:id="1530073145">
                                      <w:marLeft w:val="60"/>
                                      <w:marRight w:val="0"/>
                                      <w:marTop w:val="0"/>
                                      <w:marBottom w:val="0"/>
                                      <w:divBdr>
                                        <w:top w:val="none" w:sz="0" w:space="0" w:color="auto"/>
                                        <w:left w:val="none" w:sz="0" w:space="0" w:color="auto"/>
                                        <w:bottom w:val="none" w:sz="0" w:space="0" w:color="auto"/>
                                        <w:right w:val="none" w:sz="0" w:space="0" w:color="auto"/>
                                      </w:divBdr>
                                      <w:divsChild>
                                        <w:div w:id="1449885594">
                                          <w:marLeft w:val="0"/>
                                          <w:marRight w:val="0"/>
                                          <w:marTop w:val="0"/>
                                          <w:marBottom w:val="0"/>
                                          <w:divBdr>
                                            <w:top w:val="none" w:sz="0" w:space="0" w:color="auto"/>
                                            <w:left w:val="none" w:sz="0" w:space="0" w:color="auto"/>
                                            <w:bottom w:val="none" w:sz="0" w:space="0" w:color="auto"/>
                                            <w:right w:val="none" w:sz="0" w:space="0" w:color="auto"/>
                                          </w:divBdr>
                                          <w:divsChild>
                                            <w:div w:id="761680203">
                                              <w:marLeft w:val="0"/>
                                              <w:marRight w:val="0"/>
                                              <w:marTop w:val="0"/>
                                              <w:marBottom w:val="120"/>
                                              <w:divBdr>
                                                <w:top w:val="single" w:sz="6" w:space="0" w:color="F5F5F5"/>
                                                <w:left w:val="single" w:sz="6" w:space="0" w:color="F5F5F5"/>
                                                <w:bottom w:val="single" w:sz="6" w:space="0" w:color="F5F5F5"/>
                                                <w:right w:val="single" w:sz="6" w:space="0" w:color="F5F5F5"/>
                                              </w:divBdr>
                                              <w:divsChild>
                                                <w:div w:id="1629579826">
                                                  <w:marLeft w:val="0"/>
                                                  <w:marRight w:val="0"/>
                                                  <w:marTop w:val="0"/>
                                                  <w:marBottom w:val="0"/>
                                                  <w:divBdr>
                                                    <w:top w:val="none" w:sz="0" w:space="0" w:color="auto"/>
                                                    <w:left w:val="none" w:sz="0" w:space="0" w:color="auto"/>
                                                    <w:bottom w:val="none" w:sz="0" w:space="0" w:color="auto"/>
                                                    <w:right w:val="none" w:sz="0" w:space="0" w:color="auto"/>
                                                  </w:divBdr>
                                                  <w:divsChild>
                                                    <w:div w:id="13580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054385">
      <w:bodyDiv w:val="1"/>
      <w:marLeft w:val="0"/>
      <w:marRight w:val="0"/>
      <w:marTop w:val="0"/>
      <w:marBottom w:val="0"/>
      <w:divBdr>
        <w:top w:val="none" w:sz="0" w:space="0" w:color="auto"/>
        <w:left w:val="none" w:sz="0" w:space="0" w:color="auto"/>
        <w:bottom w:val="none" w:sz="0" w:space="0" w:color="auto"/>
        <w:right w:val="none" w:sz="0" w:space="0" w:color="auto"/>
      </w:divBdr>
    </w:div>
    <w:div w:id="864712281">
      <w:bodyDiv w:val="1"/>
      <w:marLeft w:val="0"/>
      <w:marRight w:val="0"/>
      <w:marTop w:val="0"/>
      <w:marBottom w:val="0"/>
      <w:divBdr>
        <w:top w:val="none" w:sz="0" w:space="0" w:color="auto"/>
        <w:left w:val="none" w:sz="0" w:space="0" w:color="auto"/>
        <w:bottom w:val="none" w:sz="0" w:space="0" w:color="auto"/>
        <w:right w:val="none" w:sz="0" w:space="0" w:color="auto"/>
      </w:divBdr>
      <w:divsChild>
        <w:div w:id="28991697">
          <w:marLeft w:val="0"/>
          <w:marRight w:val="0"/>
          <w:marTop w:val="0"/>
          <w:marBottom w:val="0"/>
          <w:divBdr>
            <w:top w:val="none" w:sz="0" w:space="0" w:color="auto"/>
            <w:left w:val="none" w:sz="0" w:space="0" w:color="auto"/>
            <w:bottom w:val="none" w:sz="0" w:space="0" w:color="auto"/>
            <w:right w:val="none" w:sz="0" w:space="0" w:color="auto"/>
          </w:divBdr>
        </w:div>
        <w:div w:id="419260880">
          <w:marLeft w:val="0"/>
          <w:marRight w:val="0"/>
          <w:marTop w:val="0"/>
          <w:marBottom w:val="0"/>
          <w:divBdr>
            <w:top w:val="none" w:sz="0" w:space="0" w:color="auto"/>
            <w:left w:val="none" w:sz="0" w:space="0" w:color="auto"/>
            <w:bottom w:val="none" w:sz="0" w:space="0" w:color="auto"/>
            <w:right w:val="none" w:sz="0" w:space="0" w:color="auto"/>
          </w:divBdr>
        </w:div>
        <w:div w:id="602962128">
          <w:marLeft w:val="0"/>
          <w:marRight w:val="0"/>
          <w:marTop w:val="0"/>
          <w:marBottom w:val="0"/>
          <w:divBdr>
            <w:top w:val="none" w:sz="0" w:space="0" w:color="auto"/>
            <w:left w:val="none" w:sz="0" w:space="0" w:color="auto"/>
            <w:bottom w:val="none" w:sz="0" w:space="0" w:color="auto"/>
            <w:right w:val="none" w:sz="0" w:space="0" w:color="auto"/>
          </w:divBdr>
        </w:div>
        <w:div w:id="704408627">
          <w:marLeft w:val="0"/>
          <w:marRight w:val="0"/>
          <w:marTop w:val="0"/>
          <w:marBottom w:val="0"/>
          <w:divBdr>
            <w:top w:val="none" w:sz="0" w:space="0" w:color="auto"/>
            <w:left w:val="none" w:sz="0" w:space="0" w:color="auto"/>
            <w:bottom w:val="none" w:sz="0" w:space="0" w:color="auto"/>
            <w:right w:val="none" w:sz="0" w:space="0" w:color="auto"/>
          </w:divBdr>
        </w:div>
        <w:div w:id="898783367">
          <w:marLeft w:val="0"/>
          <w:marRight w:val="0"/>
          <w:marTop w:val="0"/>
          <w:marBottom w:val="0"/>
          <w:divBdr>
            <w:top w:val="none" w:sz="0" w:space="0" w:color="auto"/>
            <w:left w:val="none" w:sz="0" w:space="0" w:color="auto"/>
            <w:bottom w:val="none" w:sz="0" w:space="0" w:color="auto"/>
            <w:right w:val="none" w:sz="0" w:space="0" w:color="auto"/>
          </w:divBdr>
        </w:div>
        <w:div w:id="990602953">
          <w:marLeft w:val="0"/>
          <w:marRight w:val="0"/>
          <w:marTop w:val="0"/>
          <w:marBottom w:val="0"/>
          <w:divBdr>
            <w:top w:val="none" w:sz="0" w:space="0" w:color="auto"/>
            <w:left w:val="none" w:sz="0" w:space="0" w:color="auto"/>
            <w:bottom w:val="none" w:sz="0" w:space="0" w:color="auto"/>
            <w:right w:val="none" w:sz="0" w:space="0" w:color="auto"/>
          </w:divBdr>
        </w:div>
        <w:div w:id="1510213927">
          <w:marLeft w:val="0"/>
          <w:marRight w:val="0"/>
          <w:marTop w:val="0"/>
          <w:marBottom w:val="0"/>
          <w:divBdr>
            <w:top w:val="none" w:sz="0" w:space="0" w:color="auto"/>
            <w:left w:val="none" w:sz="0" w:space="0" w:color="auto"/>
            <w:bottom w:val="none" w:sz="0" w:space="0" w:color="auto"/>
            <w:right w:val="none" w:sz="0" w:space="0" w:color="auto"/>
          </w:divBdr>
        </w:div>
        <w:div w:id="1542546304">
          <w:marLeft w:val="0"/>
          <w:marRight w:val="0"/>
          <w:marTop w:val="0"/>
          <w:marBottom w:val="0"/>
          <w:divBdr>
            <w:top w:val="none" w:sz="0" w:space="0" w:color="auto"/>
            <w:left w:val="none" w:sz="0" w:space="0" w:color="auto"/>
            <w:bottom w:val="none" w:sz="0" w:space="0" w:color="auto"/>
            <w:right w:val="none" w:sz="0" w:space="0" w:color="auto"/>
          </w:divBdr>
        </w:div>
        <w:div w:id="1565263707">
          <w:marLeft w:val="0"/>
          <w:marRight w:val="0"/>
          <w:marTop w:val="0"/>
          <w:marBottom w:val="0"/>
          <w:divBdr>
            <w:top w:val="none" w:sz="0" w:space="0" w:color="auto"/>
            <w:left w:val="none" w:sz="0" w:space="0" w:color="auto"/>
            <w:bottom w:val="none" w:sz="0" w:space="0" w:color="auto"/>
            <w:right w:val="none" w:sz="0" w:space="0" w:color="auto"/>
          </w:divBdr>
        </w:div>
        <w:div w:id="1590459425">
          <w:marLeft w:val="0"/>
          <w:marRight w:val="0"/>
          <w:marTop w:val="0"/>
          <w:marBottom w:val="0"/>
          <w:divBdr>
            <w:top w:val="none" w:sz="0" w:space="0" w:color="auto"/>
            <w:left w:val="none" w:sz="0" w:space="0" w:color="auto"/>
            <w:bottom w:val="none" w:sz="0" w:space="0" w:color="auto"/>
            <w:right w:val="none" w:sz="0" w:space="0" w:color="auto"/>
          </w:divBdr>
        </w:div>
        <w:div w:id="1605461195">
          <w:marLeft w:val="0"/>
          <w:marRight w:val="0"/>
          <w:marTop w:val="0"/>
          <w:marBottom w:val="0"/>
          <w:divBdr>
            <w:top w:val="none" w:sz="0" w:space="0" w:color="auto"/>
            <w:left w:val="none" w:sz="0" w:space="0" w:color="auto"/>
            <w:bottom w:val="none" w:sz="0" w:space="0" w:color="auto"/>
            <w:right w:val="none" w:sz="0" w:space="0" w:color="auto"/>
          </w:divBdr>
        </w:div>
        <w:div w:id="1792283555">
          <w:marLeft w:val="0"/>
          <w:marRight w:val="0"/>
          <w:marTop w:val="0"/>
          <w:marBottom w:val="0"/>
          <w:divBdr>
            <w:top w:val="none" w:sz="0" w:space="0" w:color="auto"/>
            <w:left w:val="none" w:sz="0" w:space="0" w:color="auto"/>
            <w:bottom w:val="none" w:sz="0" w:space="0" w:color="auto"/>
            <w:right w:val="none" w:sz="0" w:space="0" w:color="auto"/>
          </w:divBdr>
        </w:div>
        <w:div w:id="1909609521">
          <w:marLeft w:val="0"/>
          <w:marRight w:val="0"/>
          <w:marTop w:val="0"/>
          <w:marBottom w:val="0"/>
          <w:divBdr>
            <w:top w:val="none" w:sz="0" w:space="0" w:color="auto"/>
            <w:left w:val="none" w:sz="0" w:space="0" w:color="auto"/>
            <w:bottom w:val="none" w:sz="0" w:space="0" w:color="auto"/>
            <w:right w:val="none" w:sz="0" w:space="0" w:color="auto"/>
          </w:divBdr>
        </w:div>
      </w:divsChild>
    </w:div>
    <w:div w:id="884222780">
      <w:bodyDiv w:val="1"/>
      <w:marLeft w:val="0"/>
      <w:marRight w:val="0"/>
      <w:marTop w:val="0"/>
      <w:marBottom w:val="0"/>
      <w:divBdr>
        <w:top w:val="none" w:sz="0" w:space="0" w:color="auto"/>
        <w:left w:val="none" w:sz="0" w:space="0" w:color="auto"/>
        <w:bottom w:val="none" w:sz="0" w:space="0" w:color="auto"/>
        <w:right w:val="none" w:sz="0" w:space="0" w:color="auto"/>
      </w:divBdr>
      <w:divsChild>
        <w:div w:id="59259433">
          <w:marLeft w:val="0"/>
          <w:marRight w:val="0"/>
          <w:marTop w:val="0"/>
          <w:marBottom w:val="0"/>
          <w:divBdr>
            <w:top w:val="none" w:sz="0" w:space="0" w:color="auto"/>
            <w:left w:val="none" w:sz="0" w:space="0" w:color="auto"/>
            <w:bottom w:val="none" w:sz="0" w:space="0" w:color="auto"/>
            <w:right w:val="none" w:sz="0" w:space="0" w:color="auto"/>
          </w:divBdr>
        </w:div>
        <w:div w:id="722094350">
          <w:marLeft w:val="0"/>
          <w:marRight w:val="0"/>
          <w:marTop w:val="0"/>
          <w:marBottom w:val="0"/>
          <w:divBdr>
            <w:top w:val="none" w:sz="0" w:space="0" w:color="auto"/>
            <w:left w:val="none" w:sz="0" w:space="0" w:color="auto"/>
            <w:bottom w:val="none" w:sz="0" w:space="0" w:color="auto"/>
            <w:right w:val="none" w:sz="0" w:space="0" w:color="auto"/>
          </w:divBdr>
        </w:div>
        <w:div w:id="1101493835">
          <w:marLeft w:val="0"/>
          <w:marRight w:val="0"/>
          <w:marTop w:val="0"/>
          <w:marBottom w:val="0"/>
          <w:divBdr>
            <w:top w:val="none" w:sz="0" w:space="0" w:color="auto"/>
            <w:left w:val="none" w:sz="0" w:space="0" w:color="auto"/>
            <w:bottom w:val="none" w:sz="0" w:space="0" w:color="auto"/>
            <w:right w:val="none" w:sz="0" w:space="0" w:color="auto"/>
          </w:divBdr>
        </w:div>
        <w:div w:id="1293293726">
          <w:marLeft w:val="0"/>
          <w:marRight w:val="0"/>
          <w:marTop w:val="0"/>
          <w:marBottom w:val="0"/>
          <w:divBdr>
            <w:top w:val="none" w:sz="0" w:space="0" w:color="auto"/>
            <w:left w:val="none" w:sz="0" w:space="0" w:color="auto"/>
            <w:bottom w:val="none" w:sz="0" w:space="0" w:color="auto"/>
            <w:right w:val="none" w:sz="0" w:space="0" w:color="auto"/>
          </w:divBdr>
        </w:div>
        <w:div w:id="1319311103">
          <w:marLeft w:val="0"/>
          <w:marRight w:val="0"/>
          <w:marTop w:val="0"/>
          <w:marBottom w:val="0"/>
          <w:divBdr>
            <w:top w:val="none" w:sz="0" w:space="0" w:color="auto"/>
            <w:left w:val="none" w:sz="0" w:space="0" w:color="auto"/>
            <w:bottom w:val="none" w:sz="0" w:space="0" w:color="auto"/>
            <w:right w:val="none" w:sz="0" w:space="0" w:color="auto"/>
          </w:divBdr>
        </w:div>
        <w:div w:id="1383090490">
          <w:marLeft w:val="0"/>
          <w:marRight w:val="0"/>
          <w:marTop w:val="0"/>
          <w:marBottom w:val="0"/>
          <w:divBdr>
            <w:top w:val="none" w:sz="0" w:space="0" w:color="auto"/>
            <w:left w:val="none" w:sz="0" w:space="0" w:color="auto"/>
            <w:bottom w:val="none" w:sz="0" w:space="0" w:color="auto"/>
            <w:right w:val="none" w:sz="0" w:space="0" w:color="auto"/>
          </w:divBdr>
        </w:div>
        <w:div w:id="1422142977">
          <w:marLeft w:val="0"/>
          <w:marRight w:val="0"/>
          <w:marTop w:val="0"/>
          <w:marBottom w:val="0"/>
          <w:divBdr>
            <w:top w:val="none" w:sz="0" w:space="0" w:color="auto"/>
            <w:left w:val="none" w:sz="0" w:space="0" w:color="auto"/>
            <w:bottom w:val="none" w:sz="0" w:space="0" w:color="auto"/>
            <w:right w:val="none" w:sz="0" w:space="0" w:color="auto"/>
          </w:divBdr>
        </w:div>
        <w:div w:id="1575116908">
          <w:marLeft w:val="0"/>
          <w:marRight w:val="0"/>
          <w:marTop w:val="0"/>
          <w:marBottom w:val="0"/>
          <w:divBdr>
            <w:top w:val="none" w:sz="0" w:space="0" w:color="auto"/>
            <w:left w:val="none" w:sz="0" w:space="0" w:color="auto"/>
            <w:bottom w:val="none" w:sz="0" w:space="0" w:color="auto"/>
            <w:right w:val="none" w:sz="0" w:space="0" w:color="auto"/>
          </w:divBdr>
        </w:div>
        <w:div w:id="1913855406">
          <w:marLeft w:val="0"/>
          <w:marRight w:val="0"/>
          <w:marTop w:val="0"/>
          <w:marBottom w:val="0"/>
          <w:divBdr>
            <w:top w:val="none" w:sz="0" w:space="0" w:color="auto"/>
            <w:left w:val="none" w:sz="0" w:space="0" w:color="auto"/>
            <w:bottom w:val="none" w:sz="0" w:space="0" w:color="auto"/>
            <w:right w:val="none" w:sz="0" w:space="0" w:color="auto"/>
          </w:divBdr>
        </w:div>
      </w:divsChild>
    </w:div>
    <w:div w:id="891381168">
      <w:bodyDiv w:val="1"/>
      <w:marLeft w:val="0"/>
      <w:marRight w:val="0"/>
      <w:marTop w:val="0"/>
      <w:marBottom w:val="0"/>
      <w:divBdr>
        <w:top w:val="none" w:sz="0" w:space="0" w:color="auto"/>
        <w:left w:val="none" w:sz="0" w:space="0" w:color="auto"/>
        <w:bottom w:val="none" w:sz="0" w:space="0" w:color="auto"/>
        <w:right w:val="none" w:sz="0" w:space="0" w:color="auto"/>
      </w:divBdr>
      <w:divsChild>
        <w:div w:id="1992058511">
          <w:marLeft w:val="0"/>
          <w:marRight w:val="0"/>
          <w:marTop w:val="0"/>
          <w:marBottom w:val="0"/>
          <w:divBdr>
            <w:top w:val="none" w:sz="0" w:space="0" w:color="auto"/>
            <w:left w:val="none" w:sz="0" w:space="0" w:color="auto"/>
            <w:bottom w:val="none" w:sz="0" w:space="0" w:color="auto"/>
            <w:right w:val="none" w:sz="0" w:space="0" w:color="auto"/>
          </w:divBdr>
          <w:divsChild>
            <w:div w:id="1107039206">
              <w:marLeft w:val="0"/>
              <w:marRight w:val="0"/>
              <w:marTop w:val="0"/>
              <w:marBottom w:val="0"/>
              <w:divBdr>
                <w:top w:val="none" w:sz="0" w:space="0" w:color="auto"/>
                <w:left w:val="none" w:sz="0" w:space="0" w:color="auto"/>
                <w:bottom w:val="none" w:sz="0" w:space="0" w:color="auto"/>
                <w:right w:val="none" w:sz="0" w:space="0" w:color="auto"/>
              </w:divBdr>
              <w:divsChild>
                <w:div w:id="1608275305">
                  <w:marLeft w:val="0"/>
                  <w:marRight w:val="0"/>
                  <w:marTop w:val="0"/>
                  <w:marBottom w:val="0"/>
                  <w:divBdr>
                    <w:top w:val="none" w:sz="0" w:space="0" w:color="auto"/>
                    <w:left w:val="none" w:sz="0" w:space="0" w:color="auto"/>
                    <w:bottom w:val="none" w:sz="0" w:space="0" w:color="auto"/>
                    <w:right w:val="none" w:sz="0" w:space="0" w:color="auto"/>
                  </w:divBdr>
                  <w:divsChild>
                    <w:div w:id="266886146">
                      <w:marLeft w:val="0"/>
                      <w:marRight w:val="0"/>
                      <w:marTop w:val="0"/>
                      <w:marBottom w:val="0"/>
                      <w:divBdr>
                        <w:top w:val="none" w:sz="0" w:space="0" w:color="auto"/>
                        <w:left w:val="none" w:sz="0" w:space="0" w:color="auto"/>
                        <w:bottom w:val="none" w:sz="0" w:space="0" w:color="auto"/>
                        <w:right w:val="none" w:sz="0" w:space="0" w:color="auto"/>
                      </w:divBdr>
                      <w:divsChild>
                        <w:div w:id="1902864502">
                          <w:marLeft w:val="0"/>
                          <w:marRight w:val="0"/>
                          <w:marTop w:val="0"/>
                          <w:marBottom w:val="0"/>
                          <w:divBdr>
                            <w:top w:val="none" w:sz="0" w:space="0" w:color="auto"/>
                            <w:left w:val="none" w:sz="0" w:space="0" w:color="auto"/>
                            <w:bottom w:val="none" w:sz="0" w:space="0" w:color="auto"/>
                            <w:right w:val="none" w:sz="0" w:space="0" w:color="auto"/>
                          </w:divBdr>
                          <w:divsChild>
                            <w:div w:id="355036694">
                              <w:marLeft w:val="0"/>
                              <w:marRight w:val="0"/>
                              <w:marTop w:val="0"/>
                              <w:marBottom w:val="0"/>
                              <w:divBdr>
                                <w:top w:val="none" w:sz="0" w:space="0" w:color="auto"/>
                                <w:left w:val="none" w:sz="0" w:space="0" w:color="auto"/>
                                <w:bottom w:val="none" w:sz="0" w:space="0" w:color="auto"/>
                                <w:right w:val="none" w:sz="0" w:space="0" w:color="auto"/>
                              </w:divBdr>
                              <w:divsChild>
                                <w:div w:id="161707360">
                                  <w:marLeft w:val="0"/>
                                  <w:marRight w:val="0"/>
                                  <w:marTop w:val="0"/>
                                  <w:marBottom w:val="0"/>
                                  <w:divBdr>
                                    <w:top w:val="none" w:sz="0" w:space="0" w:color="auto"/>
                                    <w:left w:val="none" w:sz="0" w:space="0" w:color="auto"/>
                                    <w:bottom w:val="none" w:sz="0" w:space="0" w:color="auto"/>
                                    <w:right w:val="none" w:sz="0" w:space="0" w:color="auto"/>
                                  </w:divBdr>
                                  <w:divsChild>
                                    <w:div w:id="372122333">
                                      <w:marLeft w:val="60"/>
                                      <w:marRight w:val="0"/>
                                      <w:marTop w:val="0"/>
                                      <w:marBottom w:val="0"/>
                                      <w:divBdr>
                                        <w:top w:val="none" w:sz="0" w:space="0" w:color="auto"/>
                                        <w:left w:val="none" w:sz="0" w:space="0" w:color="auto"/>
                                        <w:bottom w:val="none" w:sz="0" w:space="0" w:color="auto"/>
                                        <w:right w:val="none" w:sz="0" w:space="0" w:color="auto"/>
                                      </w:divBdr>
                                      <w:divsChild>
                                        <w:div w:id="445391638">
                                          <w:marLeft w:val="0"/>
                                          <w:marRight w:val="0"/>
                                          <w:marTop w:val="0"/>
                                          <w:marBottom w:val="0"/>
                                          <w:divBdr>
                                            <w:top w:val="none" w:sz="0" w:space="0" w:color="auto"/>
                                            <w:left w:val="none" w:sz="0" w:space="0" w:color="auto"/>
                                            <w:bottom w:val="none" w:sz="0" w:space="0" w:color="auto"/>
                                            <w:right w:val="none" w:sz="0" w:space="0" w:color="auto"/>
                                          </w:divBdr>
                                          <w:divsChild>
                                            <w:div w:id="1555267003">
                                              <w:marLeft w:val="0"/>
                                              <w:marRight w:val="0"/>
                                              <w:marTop w:val="0"/>
                                              <w:marBottom w:val="120"/>
                                              <w:divBdr>
                                                <w:top w:val="single" w:sz="6" w:space="0" w:color="F5F5F5"/>
                                                <w:left w:val="single" w:sz="6" w:space="0" w:color="F5F5F5"/>
                                                <w:bottom w:val="single" w:sz="6" w:space="0" w:color="F5F5F5"/>
                                                <w:right w:val="single" w:sz="6" w:space="0" w:color="F5F5F5"/>
                                              </w:divBdr>
                                              <w:divsChild>
                                                <w:div w:id="1008169237">
                                                  <w:marLeft w:val="0"/>
                                                  <w:marRight w:val="0"/>
                                                  <w:marTop w:val="0"/>
                                                  <w:marBottom w:val="0"/>
                                                  <w:divBdr>
                                                    <w:top w:val="none" w:sz="0" w:space="0" w:color="auto"/>
                                                    <w:left w:val="none" w:sz="0" w:space="0" w:color="auto"/>
                                                    <w:bottom w:val="none" w:sz="0" w:space="0" w:color="auto"/>
                                                    <w:right w:val="none" w:sz="0" w:space="0" w:color="auto"/>
                                                  </w:divBdr>
                                                  <w:divsChild>
                                                    <w:div w:id="14764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2620646">
      <w:bodyDiv w:val="1"/>
      <w:marLeft w:val="0"/>
      <w:marRight w:val="0"/>
      <w:marTop w:val="0"/>
      <w:marBottom w:val="0"/>
      <w:divBdr>
        <w:top w:val="none" w:sz="0" w:space="0" w:color="auto"/>
        <w:left w:val="none" w:sz="0" w:space="0" w:color="auto"/>
        <w:bottom w:val="none" w:sz="0" w:space="0" w:color="auto"/>
        <w:right w:val="none" w:sz="0" w:space="0" w:color="auto"/>
      </w:divBdr>
    </w:div>
    <w:div w:id="903026696">
      <w:bodyDiv w:val="1"/>
      <w:marLeft w:val="0"/>
      <w:marRight w:val="0"/>
      <w:marTop w:val="0"/>
      <w:marBottom w:val="0"/>
      <w:divBdr>
        <w:top w:val="none" w:sz="0" w:space="0" w:color="auto"/>
        <w:left w:val="none" w:sz="0" w:space="0" w:color="auto"/>
        <w:bottom w:val="none" w:sz="0" w:space="0" w:color="auto"/>
        <w:right w:val="none" w:sz="0" w:space="0" w:color="auto"/>
      </w:divBdr>
    </w:div>
    <w:div w:id="996685798">
      <w:bodyDiv w:val="1"/>
      <w:marLeft w:val="0"/>
      <w:marRight w:val="0"/>
      <w:marTop w:val="0"/>
      <w:marBottom w:val="0"/>
      <w:divBdr>
        <w:top w:val="none" w:sz="0" w:space="0" w:color="auto"/>
        <w:left w:val="none" w:sz="0" w:space="0" w:color="auto"/>
        <w:bottom w:val="none" w:sz="0" w:space="0" w:color="auto"/>
        <w:right w:val="none" w:sz="0" w:space="0" w:color="auto"/>
      </w:divBdr>
    </w:div>
    <w:div w:id="999582063">
      <w:bodyDiv w:val="1"/>
      <w:marLeft w:val="0"/>
      <w:marRight w:val="0"/>
      <w:marTop w:val="0"/>
      <w:marBottom w:val="0"/>
      <w:divBdr>
        <w:top w:val="none" w:sz="0" w:space="0" w:color="auto"/>
        <w:left w:val="none" w:sz="0" w:space="0" w:color="auto"/>
        <w:bottom w:val="none" w:sz="0" w:space="0" w:color="auto"/>
        <w:right w:val="none" w:sz="0" w:space="0" w:color="auto"/>
      </w:divBdr>
      <w:divsChild>
        <w:div w:id="325591977">
          <w:marLeft w:val="0"/>
          <w:marRight w:val="0"/>
          <w:marTop w:val="0"/>
          <w:marBottom w:val="0"/>
          <w:divBdr>
            <w:top w:val="none" w:sz="0" w:space="0" w:color="auto"/>
            <w:left w:val="none" w:sz="0" w:space="0" w:color="auto"/>
            <w:bottom w:val="none" w:sz="0" w:space="0" w:color="auto"/>
            <w:right w:val="none" w:sz="0" w:space="0" w:color="auto"/>
          </w:divBdr>
        </w:div>
        <w:div w:id="466355483">
          <w:marLeft w:val="0"/>
          <w:marRight w:val="0"/>
          <w:marTop w:val="0"/>
          <w:marBottom w:val="0"/>
          <w:divBdr>
            <w:top w:val="none" w:sz="0" w:space="0" w:color="auto"/>
            <w:left w:val="none" w:sz="0" w:space="0" w:color="auto"/>
            <w:bottom w:val="none" w:sz="0" w:space="0" w:color="auto"/>
            <w:right w:val="none" w:sz="0" w:space="0" w:color="auto"/>
          </w:divBdr>
        </w:div>
        <w:div w:id="482359081">
          <w:marLeft w:val="0"/>
          <w:marRight w:val="0"/>
          <w:marTop w:val="0"/>
          <w:marBottom w:val="0"/>
          <w:divBdr>
            <w:top w:val="none" w:sz="0" w:space="0" w:color="auto"/>
            <w:left w:val="none" w:sz="0" w:space="0" w:color="auto"/>
            <w:bottom w:val="none" w:sz="0" w:space="0" w:color="auto"/>
            <w:right w:val="none" w:sz="0" w:space="0" w:color="auto"/>
          </w:divBdr>
        </w:div>
        <w:div w:id="538932692">
          <w:marLeft w:val="0"/>
          <w:marRight w:val="0"/>
          <w:marTop w:val="0"/>
          <w:marBottom w:val="0"/>
          <w:divBdr>
            <w:top w:val="none" w:sz="0" w:space="0" w:color="auto"/>
            <w:left w:val="none" w:sz="0" w:space="0" w:color="auto"/>
            <w:bottom w:val="none" w:sz="0" w:space="0" w:color="auto"/>
            <w:right w:val="none" w:sz="0" w:space="0" w:color="auto"/>
          </w:divBdr>
        </w:div>
        <w:div w:id="1123882076">
          <w:marLeft w:val="0"/>
          <w:marRight w:val="0"/>
          <w:marTop w:val="0"/>
          <w:marBottom w:val="0"/>
          <w:divBdr>
            <w:top w:val="none" w:sz="0" w:space="0" w:color="auto"/>
            <w:left w:val="none" w:sz="0" w:space="0" w:color="auto"/>
            <w:bottom w:val="none" w:sz="0" w:space="0" w:color="auto"/>
            <w:right w:val="none" w:sz="0" w:space="0" w:color="auto"/>
          </w:divBdr>
        </w:div>
        <w:div w:id="1717312888">
          <w:marLeft w:val="0"/>
          <w:marRight w:val="0"/>
          <w:marTop w:val="0"/>
          <w:marBottom w:val="0"/>
          <w:divBdr>
            <w:top w:val="none" w:sz="0" w:space="0" w:color="auto"/>
            <w:left w:val="none" w:sz="0" w:space="0" w:color="auto"/>
            <w:bottom w:val="none" w:sz="0" w:space="0" w:color="auto"/>
            <w:right w:val="none" w:sz="0" w:space="0" w:color="auto"/>
          </w:divBdr>
        </w:div>
        <w:div w:id="2077895171">
          <w:marLeft w:val="0"/>
          <w:marRight w:val="0"/>
          <w:marTop w:val="0"/>
          <w:marBottom w:val="0"/>
          <w:divBdr>
            <w:top w:val="none" w:sz="0" w:space="0" w:color="auto"/>
            <w:left w:val="none" w:sz="0" w:space="0" w:color="auto"/>
            <w:bottom w:val="none" w:sz="0" w:space="0" w:color="auto"/>
            <w:right w:val="none" w:sz="0" w:space="0" w:color="auto"/>
          </w:divBdr>
        </w:div>
      </w:divsChild>
    </w:div>
    <w:div w:id="1023551269">
      <w:bodyDiv w:val="1"/>
      <w:marLeft w:val="0"/>
      <w:marRight w:val="0"/>
      <w:marTop w:val="0"/>
      <w:marBottom w:val="0"/>
      <w:divBdr>
        <w:top w:val="none" w:sz="0" w:space="0" w:color="auto"/>
        <w:left w:val="none" w:sz="0" w:space="0" w:color="auto"/>
        <w:bottom w:val="none" w:sz="0" w:space="0" w:color="auto"/>
        <w:right w:val="none" w:sz="0" w:space="0" w:color="auto"/>
      </w:divBdr>
    </w:div>
    <w:div w:id="1028526506">
      <w:bodyDiv w:val="1"/>
      <w:marLeft w:val="0"/>
      <w:marRight w:val="0"/>
      <w:marTop w:val="0"/>
      <w:marBottom w:val="0"/>
      <w:divBdr>
        <w:top w:val="none" w:sz="0" w:space="0" w:color="auto"/>
        <w:left w:val="none" w:sz="0" w:space="0" w:color="auto"/>
        <w:bottom w:val="none" w:sz="0" w:space="0" w:color="auto"/>
        <w:right w:val="none" w:sz="0" w:space="0" w:color="auto"/>
      </w:divBdr>
    </w:div>
    <w:div w:id="1040131860">
      <w:bodyDiv w:val="1"/>
      <w:marLeft w:val="0"/>
      <w:marRight w:val="0"/>
      <w:marTop w:val="0"/>
      <w:marBottom w:val="0"/>
      <w:divBdr>
        <w:top w:val="none" w:sz="0" w:space="0" w:color="auto"/>
        <w:left w:val="none" w:sz="0" w:space="0" w:color="auto"/>
        <w:bottom w:val="none" w:sz="0" w:space="0" w:color="auto"/>
        <w:right w:val="none" w:sz="0" w:space="0" w:color="auto"/>
      </w:divBdr>
      <w:divsChild>
        <w:div w:id="63989338">
          <w:marLeft w:val="0"/>
          <w:marRight w:val="0"/>
          <w:marTop w:val="0"/>
          <w:marBottom w:val="0"/>
          <w:divBdr>
            <w:top w:val="none" w:sz="0" w:space="0" w:color="auto"/>
            <w:left w:val="none" w:sz="0" w:space="0" w:color="auto"/>
            <w:bottom w:val="none" w:sz="0" w:space="0" w:color="auto"/>
            <w:right w:val="none" w:sz="0" w:space="0" w:color="auto"/>
          </w:divBdr>
        </w:div>
        <w:div w:id="276521509">
          <w:marLeft w:val="0"/>
          <w:marRight w:val="0"/>
          <w:marTop w:val="0"/>
          <w:marBottom w:val="0"/>
          <w:divBdr>
            <w:top w:val="none" w:sz="0" w:space="0" w:color="auto"/>
            <w:left w:val="none" w:sz="0" w:space="0" w:color="auto"/>
            <w:bottom w:val="none" w:sz="0" w:space="0" w:color="auto"/>
            <w:right w:val="none" w:sz="0" w:space="0" w:color="auto"/>
          </w:divBdr>
        </w:div>
        <w:div w:id="427190287">
          <w:marLeft w:val="0"/>
          <w:marRight w:val="0"/>
          <w:marTop w:val="0"/>
          <w:marBottom w:val="0"/>
          <w:divBdr>
            <w:top w:val="none" w:sz="0" w:space="0" w:color="auto"/>
            <w:left w:val="none" w:sz="0" w:space="0" w:color="auto"/>
            <w:bottom w:val="none" w:sz="0" w:space="0" w:color="auto"/>
            <w:right w:val="none" w:sz="0" w:space="0" w:color="auto"/>
          </w:divBdr>
        </w:div>
        <w:div w:id="722676688">
          <w:marLeft w:val="0"/>
          <w:marRight w:val="0"/>
          <w:marTop w:val="0"/>
          <w:marBottom w:val="0"/>
          <w:divBdr>
            <w:top w:val="none" w:sz="0" w:space="0" w:color="auto"/>
            <w:left w:val="none" w:sz="0" w:space="0" w:color="auto"/>
            <w:bottom w:val="none" w:sz="0" w:space="0" w:color="auto"/>
            <w:right w:val="none" w:sz="0" w:space="0" w:color="auto"/>
          </w:divBdr>
        </w:div>
        <w:div w:id="822698019">
          <w:marLeft w:val="0"/>
          <w:marRight w:val="0"/>
          <w:marTop w:val="0"/>
          <w:marBottom w:val="0"/>
          <w:divBdr>
            <w:top w:val="none" w:sz="0" w:space="0" w:color="auto"/>
            <w:left w:val="none" w:sz="0" w:space="0" w:color="auto"/>
            <w:bottom w:val="none" w:sz="0" w:space="0" w:color="auto"/>
            <w:right w:val="none" w:sz="0" w:space="0" w:color="auto"/>
          </w:divBdr>
        </w:div>
        <w:div w:id="914820188">
          <w:marLeft w:val="0"/>
          <w:marRight w:val="0"/>
          <w:marTop w:val="0"/>
          <w:marBottom w:val="0"/>
          <w:divBdr>
            <w:top w:val="none" w:sz="0" w:space="0" w:color="auto"/>
            <w:left w:val="none" w:sz="0" w:space="0" w:color="auto"/>
            <w:bottom w:val="none" w:sz="0" w:space="0" w:color="auto"/>
            <w:right w:val="none" w:sz="0" w:space="0" w:color="auto"/>
          </w:divBdr>
        </w:div>
        <w:div w:id="917131086">
          <w:marLeft w:val="0"/>
          <w:marRight w:val="0"/>
          <w:marTop w:val="0"/>
          <w:marBottom w:val="0"/>
          <w:divBdr>
            <w:top w:val="none" w:sz="0" w:space="0" w:color="auto"/>
            <w:left w:val="none" w:sz="0" w:space="0" w:color="auto"/>
            <w:bottom w:val="none" w:sz="0" w:space="0" w:color="auto"/>
            <w:right w:val="none" w:sz="0" w:space="0" w:color="auto"/>
          </w:divBdr>
        </w:div>
        <w:div w:id="925116220">
          <w:marLeft w:val="0"/>
          <w:marRight w:val="0"/>
          <w:marTop w:val="0"/>
          <w:marBottom w:val="0"/>
          <w:divBdr>
            <w:top w:val="none" w:sz="0" w:space="0" w:color="auto"/>
            <w:left w:val="none" w:sz="0" w:space="0" w:color="auto"/>
            <w:bottom w:val="none" w:sz="0" w:space="0" w:color="auto"/>
            <w:right w:val="none" w:sz="0" w:space="0" w:color="auto"/>
          </w:divBdr>
        </w:div>
        <w:div w:id="1137409936">
          <w:marLeft w:val="0"/>
          <w:marRight w:val="0"/>
          <w:marTop w:val="0"/>
          <w:marBottom w:val="0"/>
          <w:divBdr>
            <w:top w:val="none" w:sz="0" w:space="0" w:color="auto"/>
            <w:left w:val="none" w:sz="0" w:space="0" w:color="auto"/>
            <w:bottom w:val="none" w:sz="0" w:space="0" w:color="auto"/>
            <w:right w:val="none" w:sz="0" w:space="0" w:color="auto"/>
          </w:divBdr>
        </w:div>
        <w:div w:id="1274747490">
          <w:marLeft w:val="0"/>
          <w:marRight w:val="0"/>
          <w:marTop w:val="0"/>
          <w:marBottom w:val="0"/>
          <w:divBdr>
            <w:top w:val="none" w:sz="0" w:space="0" w:color="auto"/>
            <w:left w:val="none" w:sz="0" w:space="0" w:color="auto"/>
            <w:bottom w:val="none" w:sz="0" w:space="0" w:color="auto"/>
            <w:right w:val="none" w:sz="0" w:space="0" w:color="auto"/>
          </w:divBdr>
        </w:div>
        <w:div w:id="1582258493">
          <w:marLeft w:val="0"/>
          <w:marRight w:val="0"/>
          <w:marTop w:val="0"/>
          <w:marBottom w:val="0"/>
          <w:divBdr>
            <w:top w:val="none" w:sz="0" w:space="0" w:color="auto"/>
            <w:left w:val="none" w:sz="0" w:space="0" w:color="auto"/>
            <w:bottom w:val="none" w:sz="0" w:space="0" w:color="auto"/>
            <w:right w:val="none" w:sz="0" w:space="0" w:color="auto"/>
          </w:divBdr>
        </w:div>
        <w:div w:id="1618634943">
          <w:marLeft w:val="0"/>
          <w:marRight w:val="0"/>
          <w:marTop w:val="0"/>
          <w:marBottom w:val="0"/>
          <w:divBdr>
            <w:top w:val="none" w:sz="0" w:space="0" w:color="auto"/>
            <w:left w:val="none" w:sz="0" w:space="0" w:color="auto"/>
            <w:bottom w:val="none" w:sz="0" w:space="0" w:color="auto"/>
            <w:right w:val="none" w:sz="0" w:space="0" w:color="auto"/>
          </w:divBdr>
        </w:div>
        <w:div w:id="2081781282">
          <w:marLeft w:val="0"/>
          <w:marRight w:val="0"/>
          <w:marTop w:val="0"/>
          <w:marBottom w:val="0"/>
          <w:divBdr>
            <w:top w:val="none" w:sz="0" w:space="0" w:color="auto"/>
            <w:left w:val="none" w:sz="0" w:space="0" w:color="auto"/>
            <w:bottom w:val="none" w:sz="0" w:space="0" w:color="auto"/>
            <w:right w:val="none" w:sz="0" w:space="0" w:color="auto"/>
          </w:divBdr>
        </w:div>
      </w:divsChild>
    </w:div>
    <w:div w:id="1041636514">
      <w:bodyDiv w:val="1"/>
      <w:marLeft w:val="0"/>
      <w:marRight w:val="0"/>
      <w:marTop w:val="0"/>
      <w:marBottom w:val="0"/>
      <w:divBdr>
        <w:top w:val="none" w:sz="0" w:space="0" w:color="auto"/>
        <w:left w:val="none" w:sz="0" w:space="0" w:color="auto"/>
        <w:bottom w:val="none" w:sz="0" w:space="0" w:color="auto"/>
        <w:right w:val="none" w:sz="0" w:space="0" w:color="auto"/>
      </w:divBdr>
      <w:divsChild>
        <w:div w:id="160509029">
          <w:marLeft w:val="0"/>
          <w:marRight w:val="0"/>
          <w:marTop w:val="0"/>
          <w:marBottom w:val="0"/>
          <w:divBdr>
            <w:top w:val="none" w:sz="0" w:space="0" w:color="auto"/>
            <w:left w:val="none" w:sz="0" w:space="0" w:color="auto"/>
            <w:bottom w:val="none" w:sz="0" w:space="0" w:color="auto"/>
            <w:right w:val="none" w:sz="0" w:space="0" w:color="auto"/>
          </w:divBdr>
          <w:divsChild>
            <w:div w:id="391122395">
              <w:marLeft w:val="0"/>
              <w:marRight w:val="0"/>
              <w:marTop w:val="0"/>
              <w:marBottom w:val="0"/>
              <w:divBdr>
                <w:top w:val="none" w:sz="0" w:space="0" w:color="auto"/>
                <w:left w:val="none" w:sz="0" w:space="0" w:color="auto"/>
                <w:bottom w:val="none" w:sz="0" w:space="0" w:color="auto"/>
                <w:right w:val="none" w:sz="0" w:space="0" w:color="auto"/>
              </w:divBdr>
              <w:divsChild>
                <w:div w:id="864710281">
                  <w:marLeft w:val="0"/>
                  <w:marRight w:val="0"/>
                  <w:marTop w:val="0"/>
                  <w:marBottom w:val="0"/>
                  <w:divBdr>
                    <w:top w:val="none" w:sz="0" w:space="0" w:color="auto"/>
                    <w:left w:val="none" w:sz="0" w:space="0" w:color="auto"/>
                    <w:bottom w:val="none" w:sz="0" w:space="0" w:color="auto"/>
                    <w:right w:val="none" w:sz="0" w:space="0" w:color="auto"/>
                  </w:divBdr>
                  <w:divsChild>
                    <w:div w:id="935211703">
                      <w:marLeft w:val="0"/>
                      <w:marRight w:val="0"/>
                      <w:marTop w:val="0"/>
                      <w:marBottom w:val="0"/>
                      <w:divBdr>
                        <w:top w:val="none" w:sz="0" w:space="0" w:color="auto"/>
                        <w:left w:val="none" w:sz="0" w:space="0" w:color="auto"/>
                        <w:bottom w:val="none" w:sz="0" w:space="0" w:color="auto"/>
                        <w:right w:val="none" w:sz="0" w:space="0" w:color="auto"/>
                      </w:divBdr>
                      <w:divsChild>
                        <w:div w:id="1441561813">
                          <w:marLeft w:val="0"/>
                          <w:marRight w:val="0"/>
                          <w:marTop w:val="0"/>
                          <w:marBottom w:val="0"/>
                          <w:divBdr>
                            <w:top w:val="none" w:sz="0" w:space="0" w:color="auto"/>
                            <w:left w:val="none" w:sz="0" w:space="0" w:color="auto"/>
                            <w:bottom w:val="none" w:sz="0" w:space="0" w:color="auto"/>
                            <w:right w:val="none" w:sz="0" w:space="0" w:color="auto"/>
                          </w:divBdr>
                          <w:divsChild>
                            <w:div w:id="935594003">
                              <w:marLeft w:val="0"/>
                              <w:marRight w:val="0"/>
                              <w:marTop w:val="0"/>
                              <w:marBottom w:val="0"/>
                              <w:divBdr>
                                <w:top w:val="none" w:sz="0" w:space="0" w:color="auto"/>
                                <w:left w:val="none" w:sz="0" w:space="0" w:color="auto"/>
                                <w:bottom w:val="none" w:sz="0" w:space="0" w:color="auto"/>
                                <w:right w:val="none" w:sz="0" w:space="0" w:color="auto"/>
                              </w:divBdr>
                              <w:divsChild>
                                <w:div w:id="1314410923">
                                  <w:marLeft w:val="0"/>
                                  <w:marRight w:val="0"/>
                                  <w:marTop w:val="0"/>
                                  <w:marBottom w:val="0"/>
                                  <w:divBdr>
                                    <w:top w:val="none" w:sz="0" w:space="0" w:color="auto"/>
                                    <w:left w:val="none" w:sz="0" w:space="0" w:color="auto"/>
                                    <w:bottom w:val="none" w:sz="0" w:space="0" w:color="auto"/>
                                    <w:right w:val="none" w:sz="0" w:space="0" w:color="auto"/>
                                  </w:divBdr>
                                  <w:divsChild>
                                    <w:div w:id="1896310236">
                                      <w:marLeft w:val="60"/>
                                      <w:marRight w:val="0"/>
                                      <w:marTop w:val="0"/>
                                      <w:marBottom w:val="0"/>
                                      <w:divBdr>
                                        <w:top w:val="none" w:sz="0" w:space="0" w:color="auto"/>
                                        <w:left w:val="none" w:sz="0" w:space="0" w:color="auto"/>
                                        <w:bottom w:val="none" w:sz="0" w:space="0" w:color="auto"/>
                                        <w:right w:val="none" w:sz="0" w:space="0" w:color="auto"/>
                                      </w:divBdr>
                                      <w:divsChild>
                                        <w:div w:id="1238511812">
                                          <w:marLeft w:val="0"/>
                                          <w:marRight w:val="0"/>
                                          <w:marTop w:val="0"/>
                                          <w:marBottom w:val="0"/>
                                          <w:divBdr>
                                            <w:top w:val="none" w:sz="0" w:space="0" w:color="auto"/>
                                            <w:left w:val="none" w:sz="0" w:space="0" w:color="auto"/>
                                            <w:bottom w:val="none" w:sz="0" w:space="0" w:color="auto"/>
                                            <w:right w:val="none" w:sz="0" w:space="0" w:color="auto"/>
                                          </w:divBdr>
                                          <w:divsChild>
                                            <w:div w:id="1799102958">
                                              <w:marLeft w:val="0"/>
                                              <w:marRight w:val="0"/>
                                              <w:marTop w:val="0"/>
                                              <w:marBottom w:val="120"/>
                                              <w:divBdr>
                                                <w:top w:val="single" w:sz="6" w:space="0" w:color="F5F5F5"/>
                                                <w:left w:val="single" w:sz="6" w:space="0" w:color="F5F5F5"/>
                                                <w:bottom w:val="single" w:sz="6" w:space="0" w:color="F5F5F5"/>
                                                <w:right w:val="single" w:sz="6" w:space="0" w:color="F5F5F5"/>
                                              </w:divBdr>
                                              <w:divsChild>
                                                <w:div w:id="1089501579">
                                                  <w:marLeft w:val="0"/>
                                                  <w:marRight w:val="0"/>
                                                  <w:marTop w:val="0"/>
                                                  <w:marBottom w:val="0"/>
                                                  <w:divBdr>
                                                    <w:top w:val="none" w:sz="0" w:space="0" w:color="auto"/>
                                                    <w:left w:val="none" w:sz="0" w:space="0" w:color="auto"/>
                                                    <w:bottom w:val="none" w:sz="0" w:space="0" w:color="auto"/>
                                                    <w:right w:val="none" w:sz="0" w:space="0" w:color="auto"/>
                                                  </w:divBdr>
                                                  <w:divsChild>
                                                    <w:div w:id="213683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7610595">
      <w:bodyDiv w:val="1"/>
      <w:marLeft w:val="0"/>
      <w:marRight w:val="0"/>
      <w:marTop w:val="0"/>
      <w:marBottom w:val="0"/>
      <w:divBdr>
        <w:top w:val="none" w:sz="0" w:space="0" w:color="auto"/>
        <w:left w:val="none" w:sz="0" w:space="0" w:color="auto"/>
        <w:bottom w:val="none" w:sz="0" w:space="0" w:color="auto"/>
        <w:right w:val="none" w:sz="0" w:space="0" w:color="auto"/>
      </w:divBdr>
    </w:div>
    <w:div w:id="1050885681">
      <w:bodyDiv w:val="1"/>
      <w:marLeft w:val="0"/>
      <w:marRight w:val="0"/>
      <w:marTop w:val="0"/>
      <w:marBottom w:val="0"/>
      <w:divBdr>
        <w:top w:val="none" w:sz="0" w:space="0" w:color="auto"/>
        <w:left w:val="none" w:sz="0" w:space="0" w:color="auto"/>
        <w:bottom w:val="none" w:sz="0" w:space="0" w:color="auto"/>
        <w:right w:val="none" w:sz="0" w:space="0" w:color="auto"/>
      </w:divBdr>
      <w:divsChild>
        <w:div w:id="310602814">
          <w:marLeft w:val="446"/>
          <w:marRight w:val="0"/>
          <w:marTop w:val="252"/>
          <w:marBottom w:val="0"/>
          <w:divBdr>
            <w:top w:val="none" w:sz="0" w:space="0" w:color="auto"/>
            <w:left w:val="none" w:sz="0" w:space="0" w:color="auto"/>
            <w:bottom w:val="none" w:sz="0" w:space="0" w:color="auto"/>
            <w:right w:val="none" w:sz="0" w:space="0" w:color="auto"/>
          </w:divBdr>
        </w:div>
      </w:divsChild>
    </w:div>
    <w:div w:id="1051736080">
      <w:bodyDiv w:val="1"/>
      <w:marLeft w:val="0"/>
      <w:marRight w:val="0"/>
      <w:marTop w:val="0"/>
      <w:marBottom w:val="0"/>
      <w:divBdr>
        <w:top w:val="none" w:sz="0" w:space="0" w:color="auto"/>
        <w:left w:val="none" w:sz="0" w:space="0" w:color="auto"/>
        <w:bottom w:val="none" w:sz="0" w:space="0" w:color="auto"/>
        <w:right w:val="none" w:sz="0" w:space="0" w:color="auto"/>
      </w:divBdr>
    </w:div>
    <w:div w:id="1089278661">
      <w:bodyDiv w:val="1"/>
      <w:marLeft w:val="0"/>
      <w:marRight w:val="0"/>
      <w:marTop w:val="0"/>
      <w:marBottom w:val="0"/>
      <w:divBdr>
        <w:top w:val="none" w:sz="0" w:space="0" w:color="auto"/>
        <w:left w:val="none" w:sz="0" w:space="0" w:color="auto"/>
        <w:bottom w:val="none" w:sz="0" w:space="0" w:color="auto"/>
        <w:right w:val="none" w:sz="0" w:space="0" w:color="auto"/>
      </w:divBdr>
    </w:div>
    <w:div w:id="1137987993">
      <w:bodyDiv w:val="1"/>
      <w:marLeft w:val="0"/>
      <w:marRight w:val="0"/>
      <w:marTop w:val="0"/>
      <w:marBottom w:val="0"/>
      <w:divBdr>
        <w:top w:val="none" w:sz="0" w:space="0" w:color="auto"/>
        <w:left w:val="none" w:sz="0" w:space="0" w:color="auto"/>
        <w:bottom w:val="none" w:sz="0" w:space="0" w:color="auto"/>
        <w:right w:val="none" w:sz="0" w:space="0" w:color="auto"/>
      </w:divBdr>
      <w:divsChild>
        <w:div w:id="1184245187">
          <w:marLeft w:val="0"/>
          <w:marRight w:val="0"/>
          <w:marTop w:val="0"/>
          <w:marBottom w:val="0"/>
          <w:divBdr>
            <w:top w:val="none" w:sz="0" w:space="0" w:color="auto"/>
            <w:left w:val="none" w:sz="0" w:space="0" w:color="auto"/>
            <w:bottom w:val="none" w:sz="0" w:space="0" w:color="auto"/>
            <w:right w:val="none" w:sz="0" w:space="0" w:color="auto"/>
          </w:divBdr>
        </w:div>
      </w:divsChild>
    </w:div>
    <w:div w:id="1139492666">
      <w:bodyDiv w:val="1"/>
      <w:marLeft w:val="0"/>
      <w:marRight w:val="0"/>
      <w:marTop w:val="0"/>
      <w:marBottom w:val="0"/>
      <w:divBdr>
        <w:top w:val="none" w:sz="0" w:space="0" w:color="auto"/>
        <w:left w:val="none" w:sz="0" w:space="0" w:color="auto"/>
        <w:bottom w:val="none" w:sz="0" w:space="0" w:color="auto"/>
        <w:right w:val="none" w:sz="0" w:space="0" w:color="auto"/>
      </w:divBdr>
    </w:div>
    <w:div w:id="1142697698">
      <w:bodyDiv w:val="1"/>
      <w:marLeft w:val="0"/>
      <w:marRight w:val="0"/>
      <w:marTop w:val="0"/>
      <w:marBottom w:val="0"/>
      <w:divBdr>
        <w:top w:val="none" w:sz="0" w:space="0" w:color="auto"/>
        <w:left w:val="none" w:sz="0" w:space="0" w:color="auto"/>
        <w:bottom w:val="none" w:sz="0" w:space="0" w:color="auto"/>
        <w:right w:val="none" w:sz="0" w:space="0" w:color="auto"/>
      </w:divBdr>
    </w:div>
    <w:div w:id="1171531014">
      <w:bodyDiv w:val="1"/>
      <w:marLeft w:val="0"/>
      <w:marRight w:val="0"/>
      <w:marTop w:val="0"/>
      <w:marBottom w:val="0"/>
      <w:divBdr>
        <w:top w:val="none" w:sz="0" w:space="0" w:color="auto"/>
        <w:left w:val="none" w:sz="0" w:space="0" w:color="auto"/>
        <w:bottom w:val="none" w:sz="0" w:space="0" w:color="auto"/>
        <w:right w:val="none" w:sz="0" w:space="0" w:color="auto"/>
      </w:divBdr>
    </w:div>
    <w:div w:id="1196045156">
      <w:bodyDiv w:val="1"/>
      <w:marLeft w:val="0"/>
      <w:marRight w:val="0"/>
      <w:marTop w:val="0"/>
      <w:marBottom w:val="0"/>
      <w:divBdr>
        <w:top w:val="none" w:sz="0" w:space="0" w:color="auto"/>
        <w:left w:val="none" w:sz="0" w:space="0" w:color="auto"/>
        <w:bottom w:val="none" w:sz="0" w:space="0" w:color="auto"/>
        <w:right w:val="none" w:sz="0" w:space="0" w:color="auto"/>
      </w:divBdr>
    </w:div>
    <w:div w:id="1206406402">
      <w:bodyDiv w:val="1"/>
      <w:marLeft w:val="0"/>
      <w:marRight w:val="0"/>
      <w:marTop w:val="0"/>
      <w:marBottom w:val="0"/>
      <w:divBdr>
        <w:top w:val="none" w:sz="0" w:space="0" w:color="auto"/>
        <w:left w:val="none" w:sz="0" w:space="0" w:color="auto"/>
        <w:bottom w:val="none" w:sz="0" w:space="0" w:color="auto"/>
        <w:right w:val="none" w:sz="0" w:space="0" w:color="auto"/>
      </w:divBdr>
    </w:div>
    <w:div w:id="1225143180">
      <w:bodyDiv w:val="1"/>
      <w:marLeft w:val="0"/>
      <w:marRight w:val="0"/>
      <w:marTop w:val="0"/>
      <w:marBottom w:val="0"/>
      <w:divBdr>
        <w:top w:val="none" w:sz="0" w:space="0" w:color="auto"/>
        <w:left w:val="none" w:sz="0" w:space="0" w:color="auto"/>
        <w:bottom w:val="none" w:sz="0" w:space="0" w:color="auto"/>
        <w:right w:val="none" w:sz="0" w:space="0" w:color="auto"/>
      </w:divBdr>
      <w:divsChild>
        <w:div w:id="1388801504">
          <w:marLeft w:val="0"/>
          <w:marRight w:val="0"/>
          <w:marTop w:val="0"/>
          <w:marBottom w:val="0"/>
          <w:divBdr>
            <w:top w:val="none" w:sz="0" w:space="0" w:color="auto"/>
            <w:left w:val="none" w:sz="0" w:space="0" w:color="auto"/>
            <w:bottom w:val="none" w:sz="0" w:space="0" w:color="auto"/>
            <w:right w:val="none" w:sz="0" w:space="0" w:color="auto"/>
          </w:divBdr>
          <w:divsChild>
            <w:div w:id="2136822885">
              <w:marLeft w:val="0"/>
              <w:marRight w:val="0"/>
              <w:marTop w:val="0"/>
              <w:marBottom w:val="0"/>
              <w:divBdr>
                <w:top w:val="none" w:sz="0" w:space="0" w:color="auto"/>
                <w:left w:val="none" w:sz="0" w:space="0" w:color="auto"/>
                <w:bottom w:val="none" w:sz="0" w:space="0" w:color="auto"/>
                <w:right w:val="none" w:sz="0" w:space="0" w:color="auto"/>
              </w:divBdr>
              <w:divsChild>
                <w:div w:id="1990019100">
                  <w:marLeft w:val="0"/>
                  <w:marRight w:val="0"/>
                  <w:marTop w:val="0"/>
                  <w:marBottom w:val="0"/>
                  <w:divBdr>
                    <w:top w:val="none" w:sz="0" w:space="0" w:color="auto"/>
                    <w:left w:val="none" w:sz="0" w:space="0" w:color="auto"/>
                    <w:bottom w:val="none" w:sz="0" w:space="0" w:color="auto"/>
                    <w:right w:val="none" w:sz="0" w:space="0" w:color="auto"/>
                  </w:divBdr>
                  <w:divsChild>
                    <w:div w:id="205989256">
                      <w:marLeft w:val="0"/>
                      <w:marRight w:val="0"/>
                      <w:marTop w:val="0"/>
                      <w:marBottom w:val="0"/>
                      <w:divBdr>
                        <w:top w:val="none" w:sz="0" w:space="0" w:color="auto"/>
                        <w:left w:val="none" w:sz="0" w:space="0" w:color="auto"/>
                        <w:bottom w:val="none" w:sz="0" w:space="0" w:color="auto"/>
                        <w:right w:val="none" w:sz="0" w:space="0" w:color="auto"/>
                      </w:divBdr>
                      <w:divsChild>
                        <w:div w:id="696275991">
                          <w:marLeft w:val="0"/>
                          <w:marRight w:val="0"/>
                          <w:marTop w:val="0"/>
                          <w:marBottom w:val="0"/>
                          <w:divBdr>
                            <w:top w:val="none" w:sz="0" w:space="0" w:color="auto"/>
                            <w:left w:val="none" w:sz="0" w:space="0" w:color="auto"/>
                            <w:bottom w:val="none" w:sz="0" w:space="0" w:color="auto"/>
                            <w:right w:val="none" w:sz="0" w:space="0" w:color="auto"/>
                          </w:divBdr>
                          <w:divsChild>
                            <w:div w:id="704208707">
                              <w:marLeft w:val="0"/>
                              <w:marRight w:val="0"/>
                              <w:marTop w:val="0"/>
                              <w:marBottom w:val="0"/>
                              <w:divBdr>
                                <w:top w:val="none" w:sz="0" w:space="0" w:color="auto"/>
                                <w:left w:val="none" w:sz="0" w:space="0" w:color="auto"/>
                                <w:bottom w:val="none" w:sz="0" w:space="0" w:color="auto"/>
                                <w:right w:val="none" w:sz="0" w:space="0" w:color="auto"/>
                              </w:divBdr>
                              <w:divsChild>
                                <w:div w:id="474223688">
                                  <w:marLeft w:val="0"/>
                                  <w:marRight w:val="0"/>
                                  <w:marTop w:val="0"/>
                                  <w:marBottom w:val="0"/>
                                  <w:divBdr>
                                    <w:top w:val="none" w:sz="0" w:space="0" w:color="auto"/>
                                    <w:left w:val="none" w:sz="0" w:space="0" w:color="auto"/>
                                    <w:bottom w:val="none" w:sz="0" w:space="0" w:color="auto"/>
                                    <w:right w:val="none" w:sz="0" w:space="0" w:color="auto"/>
                                  </w:divBdr>
                                  <w:divsChild>
                                    <w:div w:id="877085281">
                                      <w:marLeft w:val="60"/>
                                      <w:marRight w:val="0"/>
                                      <w:marTop w:val="0"/>
                                      <w:marBottom w:val="0"/>
                                      <w:divBdr>
                                        <w:top w:val="none" w:sz="0" w:space="0" w:color="auto"/>
                                        <w:left w:val="none" w:sz="0" w:space="0" w:color="auto"/>
                                        <w:bottom w:val="none" w:sz="0" w:space="0" w:color="auto"/>
                                        <w:right w:val="none" w:sz="0" w:space="0" w:color="auto"/>
                                      </w:divBdr>
                                      <w:divsChild>
                                        <w:div w:id="1843886673">
                                          <w:marLeft w:val="0"/>
                                          <w:marRight w:val="0"/>
                                          <w:marTop w:val="0"/>
                                          <w:marBottom w:val="0"/>
                                          <w:divBdr>
                                            <w:top w:val="none" w:sz="0" w:space="0" w:color="auto"/>
                                            <w:left w:val="none" w:sz="0" w:space="0" w:color="auto"/>
                                            <w:bottom w:val="none" w:sz="0" w:space="0" w:color="auto"/>
                                            <w:right w:val="none" w:sz="0" w:space="0" w:color="auto"/>
                                          </w:divBdr>
                                          <w:divsChild>
                                            <w:div w:id="1811943858">
                                              <w:marLeft w:val="0"/>
                                              <w:marRight w:val="0"/>
                                              <w:marTop w:val="0"/>
                                              <w:marBottom w:val="120"/>
                                              <w:divBdr>
                                                <w:top w:val="single" w:sz="6" w:space="0" w:color="F5F5F5"/>
                                                <w:left w:val="single" w:sz="6" w:space="0" w:color="F5F5F5"/>
                                                <w:bottom w:val="single" w:sz="6" w:space="0" w:color="F5F5F5"/>
                                                <w:right w:val="single" w:sz="6" w:space="0" w:color="F5F5F5"/>
                                              </w:divBdr>
                                              <w:divsChild>
                                                <w:div w:id="920260955">
                                                  <w:marLeft w:val="0"/>
                                                  <w:marRight w:val="0"/>
                                                  <w:marTop w:val="0"/>
                                                  <w:marBottom w:val="0"/>
                                                  <w:divBdr>
                                                    <w:top w:val="none" w:sz="0" w:space="0" w:color="auto"/>
                                                    <w:left w:val="none" w:sz="0" w:space="0" w:color="auto"/>
                                                    <w:bottom w:val="none" w:sz="0" w:space="0" w:color="auto"/>
                                                    <w:right w:val="none" w:sz="0" w:space="0" w:color="auto"/>
                                                  </w:divBdr>
                                                  <w:divsChild>
                                                    <w:div w:id="14617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5914241">
      <w:bodyDiv w:val="1"/>
      <w:marLeft w:val="0"/>
      <w:marRight w:val="0"/>
      <w:marTop w:val="0"/>
      <w:marBottom w:val="0"/>
      <w:divBdr>
        <w:top w:val="none" w:sz="0" w:space="0" w:color="auto"/>
        <w:left w:val="none" w:sz="0" w:space="0" w:color="auto"/>
        <w:bottom w:val="none" w:sz="0" w:space="0" w:color="auto"/>
        <w:right w:val="none" w:sz="0" w:space="0" w:color="auto"/>
      </w:divBdr>
    </w:div>
    <w:div w:id="1286698562">
      <w:bodyDiv w:val="1"/>
      <w:marLeft w:val="0"/>
      <w:marRight w:val="0"/>
      <w:marTop w:val="0"/>
      <w:marBottom w:val="0"/>
      <w:divBdr>
        <w:top w:val="none" w:sz="0" w:space="0" w:color="auto"/>
        <w:left w:val="none" w:sz="0" w:space="0" w:color="auto"/>
        <w:bottom w:val="none" w:sz="0" w:space="0" w:color="auto"/>
        <w:right w:val="none" w:sz="0" w:space="0" w:color="auto"/>
      </w:divBdr>
      <w:divsChild>
        <w:div w:id="1450782939">
          <w:marLeft w:val="0"/>
          <w:marRight w:val="0"/>
          <w:marTop w:val="0"/>
          <w:marBottom w:val="0"/>
          <w:divBdr>
            <w:top w:val="none" w:sz="0" w:space="0" w:color="auto"/>
            <w:left w:val="none" w:sz="0" w:space="0" w:color="auto"/>
            <w:bottom w:val="none" w:sz="0" w:space="0" w:color="auto"/>
            <w:right w:val="none" w:sz="0" w:space="0" w:color="auto"/>
          </w:divBdr>
          <w:divsChild>
            <w:div w:id="10679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361">
      <w:bodyDiv w:val="1"/>
      <w:marLeft w:val="0"/>
      <w:marRight w:val="0"/>
      <w:marTop w:val="0"/>
      <w:marBottom w:val="0"/>
      <w:divBdr>
        <w:top w:val="none" w:sz="0" w:space="0" w:color="auto"/>
        <w:left w:val="none" w:sz="0" w:space="0" w:color="auto"/>
        <w:bottom w:val="none" w:sz="0" w:space="0" w:color="auto"/>
        <w:right w:val="none" w:sz="0" w:space="0" w:color="auto"/>
      </w:divBdr>
      <w:divsChild>
        <w:div w:id="27533880">
          <w:marLeft w:val="0"/>
          <w:marRight w:val="0"/>
          <w:marTop w:val="0"/>
          <w:marBottom w:val="0"/>
          <w:divBdr>
            <w:top w:val="none" w:sz="0" w:space="0" w:color="auto"/>
            <w:left w:val="none" w:sz="0" w:space="0" w:color="auto"/>
            <w:bottom w:val="none" w:sz="0" w:space="0" w:color="auto"/>
            <w:right w:val="none" w:sz="0" w:space="0" w:color="auto"/>
          </w:divBdr>
        </w:div>
      </w:divsChild>
    </w:div>
    <w:div w:id="1370495991">
      <w:bodyDiv w:val="1"/>
      <w:marLeft w:val="0"/>
      <w:marRight w:val="0"/>
      <w:marTop w:val="0"/>
      <w:marBottom w:val="0"/>
      <w:divBdr>
        <w:top w:val="none" w:sz="0" w:space="0" w:color="auto"/>
        <w:left w:val="none" w:sz="0" w:space="0" w:color="auto"/>
        <w:bottom w:val="none" w:sz="0" w:space="0" w:color="auto"/>
        <w:right w:val="none" w:sz="0" w:space="0" w:color="auto"/>
      </w:divBdr>
    </w:div>
    <w:div w:id="1383601043">
      <w:bodyDiv w:val="1"/>
      <w:marLeft w:val="0"/>
      <w:marRight w:val="0"/>
      <w:marTop w:val="0"/>
      <w:marBottom w:val="0"/>
      <w:divBdr>
        <w:top w:val="none" w:sz="0" w:space="0" w:color="auto"/>
        <w:left w:val="none" w:sz="0" w:space="0" w:color="auto"/>
        <w:bottom w:val="none" w:sz="0" w:space="0" w:color="auto"/>
        <w:right w:val="none" w:sz="0" w:space="0" w:color="auto"/>
      </w:divBdr>
      <w:divsChild>
        <w:div w:id="196699214">
          <w:marLeft w:val="0"/>
          <w:marRight w:val="0"/>
          <w:marTop w:val="0"/>
          <w:marBottom w:val="0"/>
          <w:divBdr>
            <w:top w:val="none" w:sz="0" w:space="0" w:color="auto"/>
            <w:left w:val="none" w:sz="0" w:space="0" w:color="auto"/>
            <w:bottom w:val="none" w:sz="0" w:space="0" w:color="auto"/>
            <w:right w:val="none" w:sz="0" w:space="0" w:color="auto"/>
          </w:divBdr>
        </w:div>
        <w:div w:id="493229322">
          <w:marLeft w:val="0"/>
          <w:marRight w:val="0"/>
          <w:marTop w:val="0"/>
          <w:marBottom w:val="0"/>
          <w:divBdr>
            <w:top w:val="none" w:sz="0" w:space="0" w:color="auto"/>
            <w:left w:val="none" w:sz="0" w:space="0" w:color="auto"/>
            <w:bottom w:val="none" w:sz="0" w:space="0" w:color="auto"/>
            <w:right w:val="none" w:sz="0" w:space="0" w:color="auto"/>
          </w:divBdr>
        </w:div>
        <w:div w:id="704522485">
          <w:marLeft w:val="0"/>
          <w:marRight w:val="0"/>
          <w:marTop w:val="0"/>
          <w:marBottom w:val="0"/>
          <w:divBdr>
            <w:top w:val="none" w:sz="0" w:space="0" w:color="auto"/>
            <w:left w:val="none" w:sz="0" w:space="0" w:color="auto"/>
            <w:bottom w:val="none" w:sz="0" w:space="0" w:color="auto"/>
            <w:right w:val="none" w:sz="0" w:space="0" w:color="auto"/>
          </w:divBdr>
        </w:div>
        <w:div w:id="726144122">
          <w:marLeft w:val="0"/>
          <w:marRight w:val="0"/>
          <w:marTop w:val="0"/>
          <w:marBottom w:val="0"/>
          <w:divBdr>
            <w:top w:val="none" w:sz="0" w:space="0" w:color="auto"/>
            <w:left w:val="none" w:sz="0" w:space="0" w:color="auto"/>
            <w:bottom w:val="none" w:sz="0" w:space="0" w:color="auto"/>
            <w:right w:val="none" w:sz="0" w:space="0" w:color="auto"/>
          </w:divBdr>
        </w:div>
        <w:div w:id="780761495">
          <w:marLeft w:val="0"/>
          <w:marRight w:val="0"/>
          <w:marTop w:val="0"/>
          <w:marBottom w:val="0"/>
          <w:divBdr>
            <w:top w:val="none" w:sz="0" w:space="0" w:color="auto"/>
            <w:left w:val="none" w:sz="0" w:space="0" w:color="auto"/>
            <w:bottom w:val="none" w:sz="0" w:space="0" w:color="auto"/>
            <w:right w:val="none" w:sz="0" w:space="0" w:color="auto"/>
          </w:divBdr>
        </w:div>
        <w:div w:id="797182753">
          <w:marLeft w:val="0"/>
          <w:marRight w:val="0"/>
          <w:marTop w:val="0"/>
          <w:marBottom w:val="0"/>
          <w:divBdr>
            <w:top w:val="none" w:sz="0" w:space="0" w:color="auto"/>
            <w:left w:val="none" w:sz="0" w:space="0" w:color="auto"/>
            <w:bottom w:val="none" w:sz="0" w:space="0" w:color="auto"/>
            <w:right w:val="none" w:sz="0" w:space="0" w:color="auto"/>
          </w:divBdr>
        </w:div>
      </w:divsChild>
    </w:div>
    <w:div w:id="1387101932">
      <w:bodyDiv w:val="1"/>
      <w:marLeft w:val="0"/>
      <w:marRight w:val="0"/>
      <w:marTop w:val="0"/>
      <w:marBottom w:val="0"/>
      <w:divBdr>
        <w:top w:val="none" w:sz="0" w:space="0" w:color="auto"/>
        <w:left w:val="none" w:sz="0" w:space="0" w:color="auto"/>
        <w:bottom w:val="none" w:sz="0" w:space="0" w:color="auto"/>
        <w:right w:val="none" w:sz="0" w:space="0" w:color="auto"/>
      </w:divBdr>
      <w:divsChild>
        <w:div w:id="1195925296">
          <w:marLeft w:val="0"/>
          <w:marRight w:val="0"/>
          <w:marTop w:val="0"/>
          <w:marBottom w:val="0"/>
          <w:divBdr>
            <w:top w:val="none" w:sz="0" w:space="0" w:color="auto"/>
            <w:left w:val="none" w:sz="0" w:space="0" w:color="auto"/>
            <w:bottom w:val="none" w:sz="0" w:space="0" w:color="auto"/>
            <w:right w:val="none" w:sz="0" w:space="0" w:color="auto"/>
          </w:divBdr>
        </w:div>
      </w:divsChild>
    </w:div>
    <w:div w:id="1412461480">
      <w:bodyDiv w:val="1"/>
      <w:marLeft w:val="0"/>
      <w:marRight w:val="0"/>
      <w:marTop w:val="0"/>
      <w:marBottom w:val="0"/>
      <w:divBdr>
        <w:top w:val="none" w:sz="0" w:space="0" w:color="auto"/>
        <w:left w:val="none" w:sz="0" w:space="0" w:color="auto"/>
        <w:bottom w:val="none" w:sz="0" w:space="0" w:color="auto"/>
        <w:right w:val="none" w:sz="0" w:space="0" w:color="auto"/>
      </w:divBdr>
    </w:div>
    <w:div w:id="1412508515">
      <w:bodyDiv w:val="1"/>
      <w:marLeft w:val="0"/>
      <w:marRight w:val="0"/>
      <w:marTop w:val="0"/>
      <w:marBottom w:val="0"/>
      <w:divBdr>
        <w:top w:val="none" w:sz="0" w:space="0" w:color="auto"/>
        <w:left w:val="none" w:sz="0" w:space="0" w:color="auto"/>
        <w:bottom w:val="none" w:sz="0" w:space="0" w:color="auto"/>
        <w:right w:val="none" w:sz="0" w:space="0" w:color="auto"/>
      </w:divBdr>
    </w:div>
    <w:div w:id="1426730585">
      <w:bodyDiv w:val="1"/>
      <w:marLeft w:val="0"/>
      <w:marRight w:val="0"/>
      <w:marTop w:val="0"/>
      <w:marBottom w:val="0"/>
      <w:divBdr>
        <w:top w:val="none" w:sz="0" w:space="0" w:color="auto"/>
        <w:left w:val="none" w:sz="0" w:space="0" w:color="auto"/>
        <w:bottom w:val="none" w:sz="0" w:space="0" w:color="auto"/>
        <w:right w:val="none" w:sz="0" w:space="0" w:color="auto"/>
      </w:divBdr>
    </w:div>
    <w:div w:id="1432167495">
      <w:bodyDiv w:val="1"/>
      <w:marLeft w:val="0"/>
      <w:marRight w:val="0"/>
      <w:marTop w:val="0"/>
      <w:marBottom w:val="0"/>
      <w:divBdr>
        <w:top w:val="none" w:sz="0" w:space="0" w:color="auto"/>
        <w:left w:val="none" w:sz="0" w:space="0" w:color="auto"/>
        <w:bottom w:val="none" w:sz="0" w:space="0" w:color="auto"/>
        <w:right w:val="none" w:sz="0" w:space="0" w:color="auto"/>
      </w:divBdr>
      <w:divsChild>
        <w:div w:id="669453573">
          <w:marLeft w:val="0"/>
          <w:marRight w:val="0"/>
          <w:marTop w:val="0"/>
          <w:marBottom w:val="0"/>
          <w:divBdr>
            <w:top w:val="none" w:sz="0" w:space="0" w:color="auto"/>
            <w:left w:val="none" w:sz="0" w:space="0" w:color="auto"/>
            <w:bottom w:val="none" w:sz="0" w:space="0" w:color="auto"/>
            <w:right w:val="none" w:sz="0" w:space="0" w:color="auto"/>
          </w:divBdr>
        </w:div>
        <w:div w:id="715198286">
          <w:marLeft w:val="0"/>
          <w:marRight w:val="0"/>
          <w:marTop w:val="0"/>
          <w:marBottom w:val="0"/>
          <w:divBdr>
            <w:top w:val="none" w:sz="0" w:space="0" w:color="auto"/>
            <w:left w:val="none" w:sz="0" w:space="0" w:color="auto"/>
            <w:bottom w:val="none" w:sz="0" w:space="0" w:color="auto"/>
            <w:right w:val="none" w:sz="0" w:space="0" w:color="auto"/>
          </w:divBdr>
        </w:div>
        <w:div w:id="858472549">
          <w:marLeft w:val="0"/>
          <w:marRight w:val="0"/>
          <w:marTop w:val="0"/>
          <w:marBottom w:val="0"/>
          <w:divBdr>
            <w:top w:val="none" w:sz="0" w:space="0" w:color="auto"/>
            <w:left w:val="none" w:sz="0" w:space="0" w:color="auto"/>
            <w:bottom w:val="none" w:sz="0" w:space="0" w:color="auto"/>
            <w:right w:val="none" w:sz="0" w:space="0" w:color="auto"/>
          </w:divBdr>
        </w:div>
        <w:div w:id="897400250">
          <w:marLeft w:val="0"/>
          <w:marRight w:val="0"/>
          <w:marTop w:val="0"/>
          <w:marBottom w:val="0"/>
          <w:divBdr>
            <w:top w:val="none" w:sz="0" w:space="0" w:color="auto"/>
            <w:left w:val="none" w:sz="0" w:space="0" w:color="auto"/>
            <w:bottom w:val="none" w:sz="0" w:space="0" w:color="auto"/>
            <w:right w:val="none" w:sz="0" w:space="0" w:color="auto"/>
          </w:divBdr>
        </w:div>
        <w:div w:id="983437184">
          <w:marLeft w:val="0"/>
          <w:marRight w:val="0"/>
          <w:marTop w:val="0"/>
          <w:marBottom w:val="0"/>
          <w:divBdr>
            <w:top w:val="none" w:sz="0" w:space="0" w:color="auto"/>
            <w:left w:val="none" w:sz="0" w:space="0" w:color="auto"/>
            <w:bottom w:val="none" w:sz="0" w:space="0" w:color="auto"/>
            <w:right w:val="none" w:sz="0" w:space="0" w:color="auto"/>
          </w:divBdr>
        </w:div>
        <w:div w:id="1028140630">
          <w:marLeft w:val="0"/>
          <w:marRight w:val="0"/>
          <w:marTop w:val="0"/>
          <w:marBottom w:val="0"/>
          <w:divBdr>
            <w:top w:val="none" w:sz="0" w:space="0" w:color="auto"/>
            <w:left w:val="none" w:sz="0" w:space="0" w:color="auto"/>
            <w:bottom w:val="none" w:sz="0" w:space="0" w:color="auto"/>
            <w:right w:val="none" w:sz="0" w:space="0" w:color="auto"/>
          </w:divBdr>
        </w:div>
        <w:div w:id="1423450075">
          <w:marLeft w:val="0"/>
          <w:marRight w:val="0"/>
          <w:marTop w:val="0"/>
          <w:marBottom w:val="0"/>
          <w:divBdr>
            <w:top w:val="none" w:sz="0" w:space="0" w:color="auto"/>
            <w:left w:val="none" w:sz="0" w:space="0" w:color="auto"/>
            <w:bottom w:val="none" w:sz="0" w:space="0" w:color="auto"/>
            <w:right w:val="none" w:sz="0" w:space="0" w:color="auto"/>
          </w:divBdr>
        </w:div>
        <w:div w:id="1890333765">
          <w:marLeft w:val="0"/>
          <w:marRight w:val="0"/>
          <w:marTop w:val="0"/>
          <w:marBottom w:val="0"/>
          <w:divBdr>
            <w:top w:val="none" w:sz="0" w:space="0" w:color="auto"/>
            <w:left w:val="none" w:sz="0" w:space="0" w:color="auto"/>
            <w:bottom w:val="none" w:sz="0" w:space="0" w:color="auto"/>
            <w:right w:val="none" w:sz="0" w:space="0" w:color="auto"/>
          </w:divBdr>
        </w:div>
        <w:div w:id="1965966393">
          <w:marLeft w:val="0"/>
          <w:marRight w:val="0"/>
          <w:marTop w:val="0"/>
          <w:marBottom w:val="0"/>
          <w:divBdr>
            <w:top w:val="none" w:sz="0" w:space="0" w:color="auto"/>
            <w:left w:val="none" w:sz="0" w:space="0" w:color="auto"/>
            <w:bottom w:val="none" w:sz="0" w:space="0" w:color="auto"/>
            <w:right w:val="none" w:sz="0" w:space="0" w:color="auto"/>
          </w:divBdr>
        </w:div>
      </w:divsChild>
    </w:div>
    <w:div w:id="1494838337">
      <w:bodyDiv w:val="1"/>
      <w:marLeft w:val="0"/>
      <w:marRight w:val="0"/>
      <w:marTop w:val="0"/>
      <w:marBottom w:val="0"/>
      <w:divBdr>
        <w:top w:val="none" w:sz="0" w:space="0" w:color="auto"/>
        <w:left w:val="none" w:sz="0" w:space="0" w:color="auto"/>
        <w:bottom w:val="none" w:sz="0" w:space="0" w:color="auto"/>
        <w:right w:val="none" w:sz="0" w:space="0" w:color="auto"/>
      </w:divBdr>
      <w:divsChild>
        <w:div w:id="195965929">
          <w:marLeft w:val="0"/>
          <w:marRight w:val="0"/>
          <w:marTop w:val="0"/>
          <w:marBottom w:val="0"/>
          <w:divBdr>
            <w:top w:val="none" w:sz="0" w:space="0" w:color="auto"/>
            <w:left w:val="none" w:sz="0" w:space="0" w:color="auto"/>
            <w:bottom w:val="none" w:sz="0" w:space="0" w:color="auto"/>
            <w:right w:val="none" w:sz="0" w:space="0" w:color="auto"/>
          </w:divBdr>
        </w:div>
        <w:div w:id="225603728">
          <w:marLeft w:val="0"/>
          <w:marRight w:val="0"/>
          <w:marTop w:val="0"/>
          <w:marBottom w:val="0"/>
          <w:divBdr>
            <w:top w:val="none" w:sz="0" w:space="0" w:color="auto"/>
            <w:left w:val="none" w:sz="0" w:space="0" w:color="auto"/>
            <w:bottom w:val="none" w:sz="0" w:space="0" w:color="auto"/>
            <w:right w:val="none" w:sz="0" w:space="0" w:color="auto"/>
          </w:divBdr>
        </w:div>
        <w:div w:id="296953187">
          <w:marLeft w:val="0"/>
          <w:marRight w:val="0"/>
          <w:marTop w:val="0"/>
          <w:marBottom w:val="0"/>
          <w:divBdr>
            <w:top w:val="none" w:sz="0" w:space="0" w:color="auto"/>
            <w:left w:val="none" w:sz="0" w:space="0" w:color="auto"/>
            <w:bottom w:val="none" w:sz="0" w:space="0" w:color="auto"/>
            <w:right w:val="none" w:sz="0" w:space="0" w:color="auto"/>
          </w:divBdr>
        </w:div>
        <w:div w:id="700980211">
          <w:marLeft w:val="0"/>
          <w:marRight w:val="0"/>
          <w:marTop w:val="0"/>
          <w:marBottom w:val="0"/>
          <w:divBdr>
            <w:top w:val="none" w:sz="0" w:space="0" w:color="auto"/>
            <w:left w:val="none" w:sz="0" w:space="0" w:color="auto"/>
            <w:bottom w:val="none" w:sz="0" w:space="0" w:color="auto"/>
            <w:right w:val="none" w:sz="0" w:space="0" w:color="auto"/>
          </w:divBdr>
        </w:div>
        <w:div w:id="937257450">
          <w:marLeft w:val="0"/>
          <w:marRight w:val="0"/>
          <w:marTop w:val="0"/>
          <w:marBottom w:val="0"/>
          <w:divBdr>
            <w:top w:val="none" w:sz="0" w:space="0" w:color="auto"/>
            <w:left w:val="none" w:sz="0" w:space="0" w:color="auto"/>
            <w:bottom w:val="none" w:sz="0" w:space="0" w:color="auto"/>
            <w:right w:val="none" w:sz="0" w:space="0" w:color="auto"/>
          </w:divBdr>
        </w:div>
        <w:div w:id="1306080734">
          <w:marLeft w:val="0"/>
          <w:marRight w:val="0"/>
          <w:marTop w:val="0"/>
          <w:marBottom w:val="0"/>
          <w:divBdr>
            <w:top w:val="none" w:sz="0" w:space="0" w:color="auto"/>
            <w:left w:val="none" w:sz="0" w:space="0" w:color="auto"/>
            <w:bottom w:val="none" w:sz="0" w:space="0" w:color="auto"/>
            <w:right w:val="none" w:sz="0" w:space="0" w:color="auto"/>
          </w:divBdr>
        </w:div>
        <w:div w:id="1672487516">
          <w:marLeft w:val="0"/>
          <w:marRight w:val="0"/>
          <w:marTop w:val="0"/>
          <w:marBottom w:val="0"/>
          <w:divBdr>
            <w:top w:val="none" w:sz="0" w:space="0" w:color="auto"/>
            <w:left w:val="none" w:sz="0" w:space="0" w:color="auto"/>
            <w:bottom w:val="none" w:sz="0" w:space="0" w:color="auto"/>
            <w:right w:val="none" w:sz="0" w:space="0" w:color="auto"/>
          </w:divBdr>
        </w:div>
        <w:div w:id="2100171881">
          <w:marLeft w:val="0"/>
          <w:marRight w:val="0"/>
          <w:marTop w:val="0"/>
          <w:marBottom w:val="0"/>
          <w:divBdr>
            <w:top w:val="none" w:sz="0" w:space="0" w:color="auto"/>
            <w:left w:val="none" w:sz="0" w:space="0" w:color="auto"/>
            <w:bottom w:val="none" w:sz="0" w:space="0" w:color="auto"/>
            <w:right w:val="none" w:sz="0" w:space="0" w:color="auto"/>
          </w:divBdr>
        </w:div>
      </w:divsChild>
    </w:div>
    <w:div w:id="1536384115">
      <w:bodyDiv w:val="1"/>
      <w:marLeft w:val="0"/>
      <w:marRight w:val="0"/>
      <w:marTop w:val="0"/>
      <w:marBottom w:val="0"/>
      <w:divBdr>
        <w:top w:val="none" w:sz="0" w:space="0" w:color="auto"/>
        <w:left w:val="none" w:sz="0" w:space="0" w:color="auto"/>
        <w:bottom w:val="none" w:sz="0" w:space="0" w:color="auto"/>
        <w:right w:val="none" w:sz="0" w:space="0" w:color="auto"/>
      </w:divBdr>
    </w:div>
    <w:div w:id="1550799860">
      <w:bodyDiv w:val="1"/>
      <w:marLeft w:val="0"/>
      <w:marRight w:val="0"/>
      <w:marTop w:val="0"/>
      <w:marBottom w:val="0"/>
      <w:divBdr>
        <w:top w:val="none" w:sz="0" w:space="0" w:color="auto"/>
        <w:left w:val="none" w:sz="0" w:space="0" w:color="auto"/>
        <w:bottom w:val="none" w:sz="0" w:space="0" w:color="auto"/>
        <w:right w:val="none" w:sz="0" w:space="0" w:color="auto"/>
      </w:divBdr>
      <w:divsChild>
        <w:div w:id="2053379119">
          <w:marLeft w:val="0"/>
          <w:marRight w:val="0"/>
          <w:marTop w:val="0"/>
          <w:marBottom w:val="0"/>
          <w:divBdr>
            <w:top w:val="none" w:sz="0" w:space="0" w:color="auto"/>
            <w:left w:val="none" w:sz="0" w:space="0" w:color="auto"/>
            <w:bottom w:val="none" w:sz="0" w:space="0" w:color="auto"/>
            <w:right w:val="none" w:sz="0" w:space="0" w:color="auto"/>
          </w:divBdr>
        </w:div>
      </w:divsChild>
    </w:div>
    <w:div w:id="1601181612">
      <w:bodyDiv w:val="1"/>
      <w:marLeft w:val="0"/>
      <w:marRight w:val="0"/>
      <w:marTop w:val="0"/>
      <w:marBottom w:val="0"/>
      <w:divBdr>
        <w:top w:val="none" w:sz="0" w:space="0" w:color="auto"/>
        <w:left w:val="none" w:sz="0" w:space="0" w:color="auto"/>
        <w:bottom w:val="none" w:sz="0" w:space="0" w:color="auto"/>
        <w:right w:val="none" w:sz="0" w:space="0" w:color="auto"/>
      </w:divBdr>
    </w:div>
    <w:div w:id="1638755978">
      <w:bodyDiv w:val="1"/>
      <w:marLeft w:val="0"/>
      <w:marRight w:val="0"/>
      <w:marTop w:val="0"/>
      <w:marBottom w:val="0"/>
      <w:divBdr>
        <w:top w:val="none" w:sz="0" w:space="0" w:color="auto"/>
        <w:left w:val="none" w:sz="0" w:space="0" w:color="auto"/>
        <w:bottom w:val="none" w:sz="0" w:space="0" w:color="auto"/>
        <w:right w:val="none" w:sz="0" w:space="0" w:color="auto"/>
      </w:divBdr>
      <w:divsChild>
        <w:div w:id="1617633759">
          <w:marLeft w:val="0"/>
          <w:marRight w:val="0"/>
          <w:marTop w:val="0"/>
          <w:marBottom w:val="0"/>
          <w:divBdr>
            <w:top w:val="none" w:sz="0" w:space="0" w:color="auto"/>
            <w:left w:val="none" w:sz="0" w:space="0" w:color="auto"/>
            <w:bottom w:val="none" w:sz="0" w:space="0" w:color="auto"/>
            <w:right w:val="none" w:sz="0" w:space="0" w:color="auto"/>
          </w:divBdr>
        </w:div>
        <w:div w:id="42292200">
          <w:marLeft w:val="0"/>
          <w:marRight w:val="0"/>
          <w:marTop w:val="0"/>
          <w:marBottom w:val="0"/>
          <w:divBdr>
            <w:top w:val="none" w:sz="0" w:space="0" w:color="auto"/>
            <w:left w:val="none" w:sz="0" w:space="0" w:color="auto"/>
            <w:bottom w:val="none" w:sz="0" w:space="0" w:color="auto"/>
            <w:right w:val="none" w:sz="0" w:space="0" w:color="auto"/>
          </w:divBdr>
        </w:div>
        <w:div w:id="368189058">
          <w:marLeft w:val="0"/>
          <w:marRight w:val="0"/>
          <w:marTop w:val="0"/>
          <w:marBottom w:val="0"/>
          <w:divBdr>
            <w:top w:val="none" w:sz="0" w:space="0" w:color="auto"/>
            <w:left w:val="none" w:sz="0" w:space="0" w:color="auto"/>
            <w:bottom w:val="none" w:sz="0" w:space="0" w:color="auto"/>
            <w:right w:val="none" w:sz="0" w:space="0" w:color="auto"/>
          </w:divBdr>
        </w:div>
        <w:div w:id="2020811447">
          <w:marLeft w:val="0"/>
          <w:marRight w:val="0"/>
          <w:marTop w:val="0"/>
          <w:marBottom w:val="0"/>
          <w:divBdr>
            <w:top w:val="none" w:sz="0" w:space="0" w:color="auto"/>
            <w:left w:val="none" w:sz="0" w:space="0" w:color="auto"/>
            <w:bottom w:val="none" w:sz="0" w:space="0" w:color="auto"/>
            <w:right w:val="none" w:sz="0" w:space="0" w:color="auto"/>
          </w:divBdr>
        </w:div>
      </w:divsChild>
    </w:div>
    <w:div w:id="1645742555">
      <w:bodyDiv w:val="1"/>
      <w:marLeft w:val="0"/>
      <w:marRight w:val="0"/>
      <w:marTop w:val="0"/>
      <w:marBottom w:val="0"/>
      <w:divBdr>
        <w:top w:val="none" w:sz="0" w:space="0" w:color="auto"/>
        <w:left w:val="none" w:sz="0" w:space="0" w:color="auto"/>
        <w:bottom w:val="none" w:sz="0" w:space="0" w:color="auto"/>
        <w:right w:val="none" w:sz="0" w:space="0" w:color="auto"/>
      </w:divBdr>
    </w:div>
    <w:div w:id="1662155894">
      <w:bodyDiv w:val="1"/>
      <w:marLeft w:val="0"/>
      <w:marRight w:val="0"/>
      <w:marTop w:val="0"/>
      <w:marBottom w:val="0"/>
      <w:divBdr>
        <w:top w:val="none" w:sz="0" w:space="0" w:color="auto"/>
        <w:left w:val="none" w:sz="0" w:space="0" w:color="auto"/>
        <w:bottom w:val="none" w:sz="0" w:space="0" w:color="auto"/>
        <w:right w:val="none" w:sz="0" w:space="0" w:color="auto"/>
      </w:divBdr>
    </w:div>
    <w:div w:id="1732465803">
      <w:bodyDiv w:val="1"/>
      <w:marLeft w:val="0"/>
      <w:marRight w:val="0"/>
      <w:marTop w:val="0"/>
      <w:marBottom w:val="0"/>
      <w:divBdr>
        <w:top w:val="none" w:sz="0" w:space="0" w:color="auto"/>
        <w:left w:val="none" w:sz="0" w:space="0" w:color="auto"/>
        <w:bottom w:val="none" w:sz="0" w:space="0" w:color="auto"/>
        <w:right w:val="none" w:sz="0" w:space="0" w:color="auto"/>
      </w:divBdr>
    </w:div>
    <w:div w:id="1750230601">
      <w:bodyDiv w:val="1"/>
      <w:marLeft w:val="0"/>
      <w:marRight w:val="0"/>
      <w:marTop w:val="0"/>
      <w:marBottom w:val="0"/>
      <w:divBdr>
        <w:top w:val="none" w:sz="0" w:space="0" w:color="auto"/>
        <w:left w:val="none" w:sz="0" w:space="0" w:color="auto"/>
        <w:bottom w:val="none" w:sz="0" w:space="0" w:color="auto"/>
        <w:right w:val="none" w:sz="0" w:space="0" w:color="auto"/>
      </w:divBdr>
    </w:div>
    <w:div w:id="1766342872">
      <w:bodyDiv w:val="1"/>
      <w:marLeft w:val="0"/>
      <w:marRight w:val="0"/>
      <w:marTop w:val="0"/>
      <w:marBottom w:val="0"/>
      <w:divBdr>
        <w:top w:val="none" w:sz="0" w:space="0" w:color="auto"/>
        <w:left w:val="none" w:sz="0" w:space="0" w:color="auto"/>
        <w:bottom w:val="none" w:sz="0" w:space="0" w:color="auto"/>
        <w:right w:val="none" w:sz="0" w:space="0" w:color="auto"/>
      </w:divBdr>
    </w:div>
    <w:div w:id="1788500617">
      <w:bodyDiv w:val="1"/>
      <w:marLeft w:val="0"/>
      <w:marRight w:val="0"/>
      <w:marTop w:val="0"/>
      <w:marBottom w:val="0"/>
      <w:divBdr>
        <w:top w:val="none" w:sz="0" w:space="0" w:color="auto"/>
        <w:left w:val="none" w:sz="0" w:space="0" w:color="auto"/>
        <w:bottom w:val="none" w:sz="0" w:space="0" w:color="auto"/>
        <w:right w:val="none" w:sz="0" w:space="0" w:color="auto"/>
      </w:divBdr>
      <w:divsChild>
        <w:div w:id="2072073858">
          <w:marLeft w:val="0"/>
          <w:marRight w:val="0"/>
          <w:marTop w:val="0"/>
          <w:marBottom w:val="0"/>
          <w:divBdr>
            <w:top w:val="none" w:sz="0" w:space="0" w:color="auto"/>
            <w:left w:val="none" w:sz="0" w:space="0" w:color="auto"/>
            <w:bottom w:val="none" w:sz="0" w:space="0" w:color="auto"/>
            <w:right w:val="none" w:sz="0" w:space="0" w:color="auto"/>
          </w:divBdr>
          <w:divsChild>
            <w:div w:id="359400134">
              <w:marLeft w:val="0"/>
              <w:marRight w:val="0"/>
              <w:marTop w:val="0"/>
              <w:marBottom w:val="0"/>
              <w:divBdr>
                <w:top w:val="none" w:sz="0" w:space="0" w:color="auto"/>
                <w:left w:val="none" w:sz="0" w:space="0" w:color="auto"/>
                <w:bottom w:val="none" w:sz="0" w:space="0" w:color="auto"/>
                <w:right w:val="none" w:sz="0" w:space="0" w:color="auto"/>
              </w:divBdr>
              <w:divsChild>
                <w:div w:id="952442486">
                  <w:marLeft w:val="0"/>
                  <w:marRight w:val="0"/>
                  <w:marTop w:val="0"/>
                  <w:marBottom w:val="0"/>
                  <w:divBdr>
                    <w:top w:val="none" w:sz="0" w:space="0" w:color="auto"/>
                    <w:left w:val="none" w:sz="0" w:space="0" w:color="auto"/>
                    <w:bottom w:val="none" w:sz="0" w:space="0" w:color="auto"/>
                    <w:right w:val="none" w:sz="0" w:space="0" w:color="auto"/>
                  </w:divBdr>
                  <w:divsChild>
                    <w:div w:id="1392733934">
                      <w:marLeft w:val="0"/>
                      <w:marRight w:val="0"/>
                      <w:marTop w:val="0"/>
                      <w:marBottom w:val="0"/>
                      <w:divBdr>
                        <w:top w:val="none" w:sz="0" w:space="0" w:color="auto"/>
                        <w:left w:val="none" w:sz="0" w:space="0" w:color="auto"/>
                        <w:bottom w:val="none" w:sz="0" w:space="0" w:color="auto"/>
                        <w:right w:val="none" w:sz="0" w:space="0" w:color="auto"/>
                      </w:divBdr>
                      <w:divsChild>
                        <w:div w:id="74669375">
                          <w:marLeft w:val="0"/>
                          <w:marRight w:val="0"/>
                          <w:marTop w:val="0"/>
                          <w:marBottom w:val="0"/>
                          <w:divBdr>
                            <w:top w:val="none" w:sz="0" w:space="0" w:color="auto"/>
                            <w:left w:val="none" w:sz="0" w:space="0" w:color="auto"/>
                            <w:bottom w:val="none" w:sz="0" w:space="0" w:color="auto"/>
                            <w:right w:val="none" w:sz="0" w:space="0" w:color="auto"/>
                          </w:divBdr>
                          <w:divsChild>
                            <w:div w:id="2053842376">
                              <w:marLeft w:val="0"/>
                              <w:marRight w:val="0"/>
                              <w:marTop w:val="0"/>
                              <w:marBottom w:val="0"/>
                              <w:divBdr>
                                <w:top w:val="none" w:sz="0" w:space="0" w:color="auto"/>
                                <w:left w:val="none" w:sz="0" w:space="0" w:color="auto"/>
                                <w:bottom w:val="none" w:sz="0" w:space="0" w:color="auto"/>
                                <w:right w:val="none" w:sz="0" w:space="0" w:color="auto"/>
                              </w:divBdr>
                              <w:divsChild>
                                <w:div w:id="202866470">
                                  <w:marLeft w:val="0"/>
                                  <w:marRight w:val="0"/>
                                  <w:marTop w:val="0"/>
                                  <w:marBottom w:val="0"/>
                                  <w:divBdr>
                                    <w:top w:val="none" w:sz="0" w:space="0" w:color="auto"/>
                                    <w:left w:val="none" w:sz="0" w:space="0" w:color="auto"/>
                                    <w:bottom w:val="none" w:sz="0" w:space="0" w:color="auto"/>
                                    <w:right w:val="none" w:sz="0" w:space="0" w:color="auto"/>
                                  </w:divBdr>
                                  <w:divsChild>
                                    <w:div w:id="834566306">
                                      <w:marLeft w:val="60"/>
                                      <w:marRight w:val="0"/>
                                      <w:marTop w:val="0"/>
                                      <w:marBottom w:val="0"/>
                                      <w:divBdr>
                                        <w:top w:val="none" w:sz="0" w:space="0" w:color="auto"/>
                                        <w:left w:val="none" w:sz="0" w:space="0" w:color="auto"/>
                                        <w:bottom w:val="none" w:sz="0" w:space="0" w:color="auto"/>
                                        <w:right w:val="none" w:sz="0" w:space="0" w:color="auto"/>
                                      </w:divBdr>
                                      <w:divsChild>
                                        <w:div w:id="1651792300">
                                          <w:marLeft w:val="0"/>
                                          <w:marRight w:val="0"/>
                                          <w:marTop w:val="0"/>
                                          <w:marBottom w:val="0"/>
                                          <w:divBdr>
                                            <w:top w:val="none" w:sz="0" w:space="0" w:color="auto"/>
                                            <w:left w:val="none" w:sz="0" w:space="0" w:color="auto"/>
                                            <w:bottom w:val="none" w:sz="0" w:space="0" w:color="auto"/>
                                            <w:right w:val="none" w:sz="0" w:space="0" w:color="auto"/>
                                          </w:divBdr>
                                          <w:divsChild>
                                            <w:div w:id="1240482656">
                                              <w:marLeft w:val="0"/>
                                              <w:marRight w:val="0"/>
                                              <w:marTop w:val="0"/>
                                              <w:marBottom w:val="120"/>
                                              <w:divBdr>
                                                <w:top w:val="single" w:sz="6" w:space="0" w:color="F5F5F5"/>
                                                <w:left w:val="single" w:sz="6" w:space="0" w:color="F5F5F5"/>
                                                <w:bottom w:val="single" w:sz="6" w:space="0" w:color="F5F5F5"/>
                                                <w:right w:val="single" w:sz="6" w:space="0" w:color="F5F5F5"/>
                                              </w:divBdr>
                                              <w:divsChild>
                                                <w:div w:id="1262836067">
                                                  <w:marLeft w:val="0"/>
                                                  <w:marRight w:val="0"/>
                                                  <w:marTop w:val="0"/>
                                                  <w:marBottom w:val="0"/>
                                                  <w:divBdr>
                                                    <w:top w:val="none" w:sz="0" w:space="0" w:color="auto"/>
                                                    <w:left w:val="none" w:sz="0" w:space="0" w:color="auto"/>
                                                    <w:bottom w:val="none" w:sz="0" w:space="0" w:color="auto"/>
                                                    <w:right w:val="none" w:sz="0" w:space="0" w:color="auto"/>
                                                  </w:divBdr>
                                                  <w:divsChild>
                                                    <w:div w:id="153383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5784236">
      <w:bodyDiv w:val="1"/>
      <w:marLeft w:val="0"/>
      <w:marRight w:val="0"/>
      <w:marTop w:val="0"/>
      <w:marBottom w:val="0"/>
      <w:divBdr>
        <w:top w:val="none" w:sz="0" w:space="0" w:color="auto"/>
        <w:left w:val="none" w:sz="0" w:space="0" w:color="auto"/>
        <w:bottom w:val="none" w:sz="0" w:space="0" w:color="auto"/>
        <w:right w:val="none" w:sz="0" w:space="0" w:color="auto"/>
      </w:divBdr>
    </w:div>
    <w:div w:id="1811744381">
      <w:bodyDiv w:val="1"/>
      <w:marLeft w:val="0"/>
      <w:marRight w:val="0"/>
      <w:marTop w:val="0"/>
      <w:marBottom w:val="0"/>
      <w:divBdr>
        <w:top w:val="none" w:sz="0" w:space="0" w:color="auto"/>
        <w:left w:val="none" w:sz="0" w:space="0" w:color="auto"/>
        <w:bottom w:val="none" w:sz="0" w:space="0" w:color="auto"/>
        <w:right w:val="none" w:sz="0" w:space="0" w:color="auto"/>
      </w:divBdr>
    </w:div>
    <w:div w:id="1816945285">
      <w:bodyDiv w:val="1"/>
      <w:marLeft w:val="0"/>
      <w:marRight w:val="0"/>
      <w:marTop w:val="0"/>
      <w:marBottom w:val="0"/>
      <w:divBdr>
        <w:top w:val="none" w:sz="0" w:space="0" w:color="auto"/>
        <w:left w:val="none" w:sz="0" w:space="0" w:color="auto"/>
        <w:bottom w:val="none" w:sz="0" w:space="0" w:color="auto"/>
        <w:right w:val="none" w:sz="0" w:space="0" w:color="auto"/>
      </w:divBdr>
    </w:div>
    <w:div w:id="1832137163">
      <w:bodyDiv w:val="1"/>
      <w:marLeft w:val="0"/>
      <w:marRight w:val="0"/>
      <w:marTop w:val="0"/>
      <w:marBottom w:val="0"/>
      <w:divBdr>
        <w:top w:val="none" w:sz="0" w:space="0" w:color="auto"/>
        <w:left w:val="none" w:sz="0" w:space="0" w:color="auto"/>
        <w:bottom w:val="none" w:sz="0" w:space="0" w:color="auto"/>
        <w:right w:val="none" w:sz="0" w:space="0" w:color="auto"/>
      </w:divBdr>
      <w:divsChild>
        <w:div w:id="872302486">
          <w:marLeft w:val="446"/>
          <w:marRight w:val="0"/>
          <w:marTop w:val="252"/>
          <w:marBottom w:val="0"/>
          <w:divBdr>
            <w:top w:val="none" w:sz="0" w:space="0" w:color="auto"/>
            <w:left w:val="none" w:sz="0" w:space="0" w:color="auto"/>
            <w:bottom w:val="none" w:sz="0" w:space="0" w:color="auto"/>
            <w:right w:val="none" w:sz="0" w:space="0" w:color="auto"/>
          </w:divBdr>
        </w:div>
      </w:divsChild>
    </w:div>
    <w:div w:id="1857958222">
      <w:bodyDiv w:val="1"/>
      <w:marLeft w:val="0"/>
      <w:marRight w:val="0"/>
      <w:marTop w:val="0"/>
      <w:marBottom w:val="0"/>
      <w:divBdr>
        <w:top w:val="none" w:sz="0" w:space="0" w:color="auto"/>
        <w:left w:val="none" w:sz="0" w:space="0" w:color="auto"/>
        <w:bottom w:val="none" w:sz="0" w:space="0" w:color="auto"/>
        <w:right w:val="none" w:sz="0" w:space="0" w:color="auto"/>
      </w:divBdr>
    </w:div>
    <w:div w:id="1859198970">
      <w:bodyDiv w:val="1"/>
      <w:marLeft w:val="0"/>
      <w:marRight w:val="0"/>
      <w:marTop w:val="0"/>
      <w:marBottom w:val="0"/>
      <w:divBdr>
        <w:top w:val="none" w:sz="0" w:space="0" w:color="auto"/>
        <w:left w:val="none" w:sz="0" w:space="0" w:color="auto"/>
        <w:bottom w:val="none" w:sz="0" w:space="0" w:color="auto"/>
        <w:right w:val="none" w:sz="0" w:space="0" w:color="auto"/>
      </w:divBdr>
    </w:div>
    <w:div w:id="1888907019">
      <w:bodyDiv w:val="1"/>
      <w:marLeft w:val="0"/>
      <w:marRight w:val="0"/>
      <w:marTop w:val="0"/>
      <w:marBottom w:val="0"/>
      <w:divBdr>
        <w:top w:val="none" w:sz="0" w:space="0" w:color="auto"/>
        <w:left w:val="none" w:sz="0" w:space="0" w:color="auto"/>
        <w:bottom w:val="none" w:sz="0" w:space="0" w:color="auto"/>
        <w:right w:val="none" w:sz="0" w:space="0" w:color="auto"/>
      </w:divBdr>
      <w:divsChild>
        <w:div w:id="1163011781">
          <w:marLeft w:val="446"/>
          <w:marRight w:val="0"/>
          <w:marTop w:val="288"/>
          <w:marBottom w:val="0"/>
          <w:divBdr>
            <w:top w:val="none" w:sz="0" w:space="0" w:color="auto"/>
            <w:left w:val="none" w:sz="0" w:space="0" w:color="auto"/>
            <w:bottom w:val="none" w:sz="0" w:space="0" w:color="auto"/>
            <w:right w:val="none" w:sz="0" w:space="0" w:color="auto"/>
          </w:divBdr>
        </w:div>
      </w:divsChild>
    </w:div>
    <w:div w:id="1893425566">
      <w:bodyDiv w:val="1"/>
      <w:marLeft w:val="0"/>
      <w:marRight w:val="0"/>
      <w:marTop w:val="0"/>
      <w:marBottom w:val="0"/>
      <w:divBdr>
        <w:top w:val="none" w:sz="0" w:space="0" w:color="auto"/>
        <w:left w:val="none" w:sz="0" w:space="0" w:color="auto"/>
        <w:bottom w:val="none" w:sz="0" w:space="0" w:color="auto"/>
        <w:right w:val="none" w:sz="0" w:space="0" w:color="auto"/>
      </w:divBdr>
    </w:div>
    <w:div w:id="1922984446">
      <w:bodyDiv w:val="1"/>
      <w:marLeft w:val="0"/>
      <w:marRight w:val="0"/>
      <w:marTop w:val="0"/>
      <w:marBottom w:val="0"/>
      <w:divBdr>
        <w:top w:val="none" w:sz="0" w:space="0" w:color="auto"/>
        <w:left w:val="none" w:sz="0" w:space="0" w:color="auto"/>
        <w:bottom w:val="none" w:sz="0" w:space="0" w:color="auto"/>
        <w:right w:val="none" w:sz="0" w:space="0" w:color="auto"/>
      </w:divBdr>
      <w:divsChild>
        <w:div w:id="10228695">
          <w:marLeft w:val="0"/>
          <w:marRight w:val="0"/>
          <w:marTop w:val="0"/>
          <w:marBottom w:val="0"/>
          <w:divBdr>
            <w:top w:val="none" w:sz="0" w:space="0" w:color="auto"/>
            <w:left w:val="none" w:sz="0" w:space="0" w:color="auto"/>
            <w:bottom w:val="none" w:sz="0" w:space="0" w:color="auto"/>
            <w:right w:val="none" w:sz="0" w:space="0" w:color="auto"/>
          </w:divBdr>
        </w:div>
        <w:div w:id="19741249">
          <w:marLeft w:val="0"/>
          <w:marRight w:val="0"/>
          <w:marTop w:val="0"/>
          <w:marBottom w:val="0"/>
          <w:divBdr>
            <w:top w:val="none" w:sz="0" w:space="0" w:color="auto"/>
            <w:left w:val="none" w:sz="0" w:space="0" w:color="auto"/>
            <w:bottom w:val="none" w:sz="0" w:space="0" w:color="auto"/>
            <w:right w:val="none" w:sz="0" w:space="0" w:color="auto"/>
          </w:divBdr>
        </w:div>
        <w:div w:id="28844812">
          <w:marLeft w:val="0"/>
          <w:marRight w:val="0"/>
          <w:marTop w:val="0"/>
          <w:marBottom w:val="0"/>
          <w:divBdr>
            <w:top w:val="none" w:sz="0" w:space="0" w:color="auto"/>
            <w:left w:val="none" w:sz="0" w:space="0" w:color="auto"/>
            <w:bottom w:val="none" w:sz="0" w:space="0" w:color="auto"/>
            <w:right w:val="none" w:sz="0" w:space="0" w:color="auto"/>
          </w:divBdr>
        </w:div>
        <w:div w:id="95946409">
          <w:marLeft w:val="0"/>
          <w:marRight w:val="0"/>
          <w:marTop w:val="0"/>
          <w:marBottom w:val="0"/>
          <w:divBdr>
            <w:top w:val="none" w:sz="0" w:space="0" w:color="auto"/>
            <w:left w:val="none" w:sz="0" w:space="0" w:color="auto"/>
            <w:bottom w:val="none" w:sz="0" w:space="0" w:color="auto"/>
            <w:right w:val="none" w:sz="0" w:space="0" w:color="auto"/>
          </w:divBdr>
        </w:div>
        <w:div w:id="137692221">
          <w:marLeft w:val="0"/>
          <w:marRight w:val="0"/>
          <w:marTop w:val="0"/>
          <w:marBottom w:val="0"/>
          <w:divBdr>
            <w:top w:val="none" w:sz="0" w:space="0" w:color="auto"/>
            <w:left w:val="none" w:sz="0" w:space="0" w:color="auto"/>
            <w:bottom w:val="none" w:sz="0" w:space="0" w:color="auto"/>
            <w:right w:val="none" w:sz="0" w:space="0" w:color="auto"/>
          </w:divBdr>
        </w:div>
        <w:div w:id="148136847">
          <w:marLeft w:val="0"/>
          <w:marRight w:val="0"/>
          <w:marTop w:val="0"/>
          <w:marBottom w:val="0"/>
          <w:divBdr>
            <w:top w:val="none" w:sz="0" w:space="0" w:color="auto"/>
            <w:left w:val="none" w:sz="0" w:space="0" w:color="auto"/>
            <w:bottom w:val="none" w:sz="0" w:space="0" w:color="auto"/>
            <w:right w:val="none" w:sz="0" w:space="0" w:color="auto"/>
          </w:divBdr>
        </w:div>
        <w:div w:id="173688240">
          <w:marLeft w:val="0"/>
          <w:marRight w:val="0"/>
          <w:marTop w:val="0"/>
          <w:marBottom w:val="0"/>
          <w:divBdr>
            <w:top w:val="none" w:sz="0" w:space="0" w:color="auto"/>
            <w:left w:val="none" w:sz="0" w:space="0" w:color="auto"/>
            <w:bottom w:val="none" w:sz="0" w:space="0" w:color="auto"/>
            <w:right w:val="none" w:sz="0" w:space="0" w:color="auto"/>
          </w:divBdr>
        </w:div>
        <w:div w:id="289210529">
          <w:marLeft w:val="0"/>
          <w:marRight w:val="0"/>
          <w:marTop w:val="0"/>
          <w:marBottom w:val="0"/>
          <w:divBdr>
            <w:top w:val="none" w:sz="0" w:space="0" w:color="auto"/>
            <w:left w:val="none" w:sz="0" w:space="0" w:color="auto"/>
            <w:bottom w:val="none" w:sz="0" w:space="0" w:color="auto"/>
            <w:right w:val="none" w:sz="0" w:space="0" w:color="auto"/>
          </w:divBdr>
        </w:div>
        <w:div w:id="308485041">
          <w:marLeft w:val="0"/>
          <w:marRight w:val="0"/>
          <w:marTop w:val="0"/>
          <w:marBottom w:val="0"/>
          <w:divBdr>
            <w:top w:val="none" w:sz="0" w:space="0" w:color="auto"/>
            <w:left w:val="none" w:sz="0" w:space="0" w:color="auto"/>
            <w:bottom w:val="none" w:sz="0" w:space="0" w:color="auto"/>
            <w:right w:val="none" w:sz="0" w:space="0" w:color="auto"/>
          </w:divBdr>
        </w:div>
        <w:div w:id="325477907">
          <w:marLeft w:val="0"/>
          <w:marRight w:val="0"/>
          <w:marTop w:val="0"/>
          <w:marBottom w:val="0"/>
          <w:divBdr>
            <w:top w:val="none" w:sz="0" w:space="0" w:color="auto"/>
            <w:left w:val="none" w:sz="0" w:space="0" w:color="auto"/>
            <w:bottom w:val="none" w:sz="0" w:space="0" w:color="auto"/>
            <w:right w:val="none" w:sz="0" w:space="0" w:color="auto"/>
          </w:divBdr>
        </w:div>
        <w:div w:id="398745429">
          <w:marLeft w:val="0"/>
          <w:marRight w:val="0"/>
          <w:marTop w:val="0"/>
          <w:marBottom w:val="0"/>
          <w:divBdr>
            <w:top w:val="none" w:sz="0" w:space="0" w:color="auto"/>
            <w:left w:val="none" w:sz="0" w:space="0" w:color="auto"/>
            <w:bottom w:val="none" w:sz="0" w:space="0" w:color="auto"/>
            <w:right w:val="none" w:sz="0" w:space="0" w:color="auto"/>
          </w:divBdr>
        </w:div>
        <w:div w:id="544100260">
          <w:marLeft w:val="0"/>
          <w:marRight w:val="0"/>
          <w:marTop w:val="0"/>
          <w:marBottom w:val="0"/>
          <w:divBdr>
            <w:top w:val="none" w:sz="0" w:space="0" w:color="auto"/>
            <w:left w:val="none" w:sz="0" w:space="0" w:color="auto"/>
            <w:bottom w:val="none" w:sz="0" w:space="0" w:color="auto"/>
            <w:right w:val="none" w:sz="0" w:space="0" w:color="auto"/>
          </w:divBdr>
        </w:div>
        <w:div w:id="588513418">
          <w:marLeft w:val="0"/>
          <w:marRight w:val="0"/>
          <w:marTop w:val="0"/>
          <w:marBottom w:val="0"/>
          <w:divBdr>
            <w:top w:val="none" w:sz="0" w:space="0" w:color="auto"/>
            <w:left w:val="none" w:sz="0" w:space="0" w:color="auto"/>
            <w:bottom w:val="none" w:sz="0" w:space="0" w:color="auto"/>
            <w:right w:val="none" w:sz="0" w:space="0" w:color="auto"/>
          </w:divBdr>
        </w:div>
        <w:div w:id="688488093">
          <w:marLeft w:val="0"/>
          <w:marRight w:val="0"/>
          <w:marTop w:val="0"/>
          <w:marBottom w:val="0"/>
          <w:divBdr>
            <w:top w:val="none" w:sz="0" w:space="0" w:color="auto"/>
            <w:left w:val="none" w:sz="0" w:space="0" w:color="auto"/>
            <w:bottom w:val="none" w:sz="0" w:space="0" w:color="auto"/>
            <w:right w:val="none" w:sz="0" w:space="0" w:color="auto"/>
          </w:divBdr>
        </w:div>
        <w:div w:id="766461576">
          <w:marLeft w:val="0"/>
          <w:marRight w:val="0"/>
          <w:marTop w:val="0"/>
          <w:marBottom w:val="0"/>
          <w:divBdr>
            <w:top w:val="none" w:sz="0" w:space="0" w:color="auto"/>
            <w:left w:val="none" w:sz="0" w:space="0" w:color="auto"/>
            <w:bottom w:val="none" w:sz="0" w:space="0" w:color="auto"/>
            <w:right w:val="none" w:sz="0" w:space="0" w:color="auto"/>
          </w:divBdr>
        </w:div>
        <w:div w:id="798496102">
          <w:marLeft w:val="0"/>
          <w:marRight w:val="0"/>
          <w:marTop w:val="0"/>
          <w:marBottom w:val="0"/>
          <w:divBdr>
            <w:top w:val="none" w:sz="0" w:space="0" w:color="auto"/>
            <w:left w:val="none" w:sz="0" w:space="0" w:color="auto"/>
            <w:bottom w:val="none" w:sz="0" w:space="0" w:color="auto"/>
            <w:right w:val="none" w:sz="0" w:space="0" w:color="auto"/>
          </w:divBdr>
        </w:div>
        <w:div w:id="839202134">
          <w:marLeft w:val="0"/>
          <w:marRight w:val="0"/>
          <w:marTop w:val="0"/>
          <w:marBottom w:val="0"/>
          <w:divBdr>
            <w:top w:val="none" w:sz="0" w:space="0" w:color="auto"/>
            <w:left w:val="none" w:sz="0" w:space="0" w:color="auto"/>
            <w:bottom w:val="none" w:sz="0" w:space="0" w:color="auto"/>
            <w:right w:val="none" w:sz="0" w:space="0" w:color="auto"/>
          </w:divBdr>
        </w:div>
        <w:div w:id="888302481">
          <w:marLeft w:val="0"/>
          <w:marRight w:val="0"/>
          <w:marTop w:val="0"/>
          <w:marBottom w:val="0"/>
          <w:divBdr>
            <w:top w:val="none" w:sz="0" w:space="0" w:color="auto"/>
            <w:left w:val="none" w:sz="0" w:space="0" w:color="auto"/>
            <w:bottom w:val="none" w:sz="0" w:space="0" w:color="auto"/>
            <w:right w:val="none" w:sz="0" w:space="0" w:color="auto"/>
          </w:divBdr>
        </w:div>
        <w:div w:id="924728628">
          <w:marLeft w:val="0"/>
          <w:marRight w:val="0"/>
          <w:marTop w:val="0"/>
          <w:marBottom w:val="0"/>
          <w:divBdr>
            <w:top w:val="none" w:sz="0" w:space="0" w:color="auto"/>
            <w:left w:val="none" w:sz="0" w:space="0" w:color="auto"/>
            <w:bottom w:val="none" w:sz="0" w:space="0" w:color="auto"/>
            <w:right w:val="none" w:sz="0" w:space="0" w:color="auto"/>
          </w:divBdr>
        </w:div>
        <w:div w:id="1043476969">
          <w:marLeft w:val="0"/>
          <w:marRight w:val="0"/>
          <w:marTop w:val="0"/>
          <w:marBottom w:val="0"/>
          <w:divBdr>
            <w:top w:val="none" w:sz="0" w:space="0" w:color="auto"/>
            <w:left w:val="none" w:sz="0" w:space="0" w:color="auto"/>
            <w:bottom w:val="none" w:sz="0" w:space="0" w:color="auto"/>
            <w:right w:val="none" w:sz="0" w:space="0" w:color="auto"/>
          </w:divBdr>
        </w:div>
        <w:div w:id="1226719311">
          <w:marLeft w:val="0"/>
          <w:marRight w:val="0"/>
          <w:marTop w:val="0"/>
          <w:marBottom w:val="0"/>
          <w:divBdr>
            <w:top w:val="none" w:sz="0" w:space="0" w:color="auto"/>
            <w:left w:val="none" w:sz="0" w:space="0" w:color="auto"/>
            <w:bottom w:val="none" w:sz="0" w:space="0" w:color="auto"/>
            <w:right w:val="none" w:sz="0" w:space="0" w:color="auto"/>
          </w:divBdr>
        </w:div>
        <w:div w:id="1259560348">
          <w:marLeft w:val="0"/>
          <w:marRight w:val="0"/>
          <w:marTop w:val="0"/>
          <w:marBottom w:val="0"/>
          <w:divBdr>
            <w:top w:val="none" w:sz="0" w:space="0" w:color="auto"/>
            <w:left w:val="none" w:sz="0" w:space="0" w:color="auto"/>
            <w:bottom w:val="none" w:sz="0" w:space="0" w:color="auto"/>
            <w:right w:val="none" w:sz="0" w:space="0" w:color="auto"/>
          </w:divBdr>
        </w:div>
        <w:div w:id="1259943171">
          <w:marLeft w:val="0"/>
          <w:marRight w:val="0"/>
          <w:marTop w:val="0"/>
          <w:marBottom w:val="0"/>
          <w:divBdr>
            <w:top w:val="none" w:sz="0" w:space="0" w:color="auto"/>
            <w:left w:val="none" w:sz="0" w:space="0" w:color="auto"/>
            <w:bottom w:val="none" w:sz="0" w:space="0" w:color="auto"/>
            <w:right w:val="none" w:sz="0" w:space="0" w:color="auto"/>
          </w:divBdr>
        </w:div>
        <w:div w:id="1264462871">
          <w:marLeft w:val="0"/>
          <w:marRight w:val="0"/>
          <w:marTop w:val="0"/>
          <w:marBottom w:val="0"/>
          <w:divBdr>
            <w:top w:val="none" w:sz="0" w:space="0" w:color="auto"/>
            <w:left w:val="none" w:sz="0" w:space="0" w:color="auto"/>
            <w:bottom w:val="none" w:sz="0" w:space="0" w:color="auto"/>
            <w:right w:val="none" w:sz="0" w:space="0" w:color="auto"/>
          </w:divBdr>
        </w:div>
        <w:div w:id="1384452236">
          <w:marLeft w:val="0"/>
          <w:marRight w:val="0"/>
          <w:marTop w:val="0"/>
          <w:marBottom w:val="0"/>
          <w:divBdr>
            <w:top w:val="none" w:sz="0" w:space="0" w:color="auto"/>
            <w:left w:val="none" w:sz="0" w:space="0" w:color="auto"/>
            <w:bottom w:val="none" w:sz="0" w:space="0" w:color="auto"/>
            <w:right w:val="none" w:sz="0" w:space="0" w:color="auto"/>
          </w:divBdr>
        </w:div>
        <w:div w:id="1410421669">
          <w:marLeft w:val="0"/>
          <w:marRight w:val="0"/>
          <w:marTop w:val="0"/>
          <w:marBottom w:val="0"/>
          <w:divBdr>
            <w:top w:val="none" w:sz="0" w:space="0" w:color="auto"/>
            <w:left w:val="none" w:sz="0" w:space="0" w:color="auto"/>
            <w:bottom w:val="none" w:sz="0" w:space="0" w:color="auto"/>
            <w:right w:val="none" w:sz="0" w:space="0" w:color="auto"/>
          </w:divBdr>
        </w:div>
        <w:div w:id="1558080306">
          <w:marLeft w:val="0"/>
          <w:marRight w:val="0"/>
          <w:marTop w:val="0"/>
          <w:marBottom w:val="0"/>
          <w:divBdr>
            <w:top w:val="none" w:sz="0" w:space="0" w:color="auto"/>
            <w:left w:val="none" w:sz="0" w:space="0" w:color="auto"/>
            <w:bottom w:val="none" w:sz="0" w:space="0" w:color="auto"/>
            <w:right w:val="none" w:sz="0" w:space="0" w:color="auto"/>
          </w:divBdr>
        </w:div>
        <w:div w:id="1610508602">
          <w:marLeft w:val="0"/>
          <w:marRight w:val="0"/>
          <w:marTop w:val="0"/>
          <w:marBottom w:val="0"/>
          <w:divBdr>
            <w:top w:val="none" w:sz="0" w:space="0" w:color="auto"/>
            <w:left w:val="none" w:sz="0" w:space="0" w:color="auto"/>
            <w:bottom w:val="none" w:sz="0" w:space="0" w:color="auto"/>
            <w:right w:val="none" w:sz="0" w:space="0" w:color="auto"/>
          </w:divBdr>
        </w:div>
        <w:div w:id="1646004753">
          <w:marLeft w:val="0"/>
          <w:marRight w:val="0"/>
          <w:marTop w:val="0"/>
          <w:marBottom w:val="0"/>
          <w:divBdr>
            <w:top w:val="none" w:sz="0" w:space="0" w:color="auto"/>
            <w:left w:val="none" w:sz="0" w:space="0" w:color="auto"/>
            <w:bottom w:val="none" w:sz="0" w:space="0" w:color="auto"/>
            <w:right w:val="none" w:sz="0" w:space="0" w:color="auto"/>
          </w:divBdr>
        </w:div>
        <w:div w:id="1727560891">
          <w:marLeft w:val="0"/>
          <w:marRight w:val="0"/>
          <w:marTop w:val="0"/>
          <w:marBottom w:val="0"/>
          <w:divBdr>
            <w:top w:val="none" w:sz="0" w:space="0" w:color="auto"/>
            <w:left w:val="none" w:sz="0" w:space="0" w:color="auto"/>
            <w:bottom w:val="none" w:sz="0" w:space="0" w:color="auto"/>
            <w:right w:val="none" w:sz="0" w:space="0" w:color="auto"/>
          </w:divBdr>
        </w:div>
        <w:div w:id="1750538024">
          <w:marLeft w:val="0"/>
          <w:marRight w:val="0"/>
          <w:marTop w:val="0"/>
          <w:marBottom w:val="0"/>
          <w:divBdr>
            <w:top w:val="none" w:sz="0" w:space="0" w:color="auto"/>
            <w:left w:val="none" w:sz="0" w:space="0" w:color="auto"/>
            <w:bottom w:val="none" w:sz="0" w:space="0" w:color="auto"/>
            <w:right w:val="none" w:sz="0" w:space="0" w:color="auto"/>
          </w:divBdr>
        </w:div>
        <w:div w:id="1768426314">
          <w:marLeft w:val="0"/>
          <w:marRight w:val="0"/>
          <w:marTop w:val="0"/>
          <w:marBottom w:val="0"/>
          <w:divBdr>
            <w:top w:val="none" w:sz="0" w:space="0" w:color="auto"/>
            <w:left w:val="none" w:sz="0" w:space="0" w:color="auto"/>
            <w:bottom w:val="none" w:sz="0" w:space="0" w:color="auto"/>
            <w:right w:val="none" w:sz="0" w:space="0" w:color="auto"/>
          </w:divBdr>
        </w:div>
        <w:div w:id="1861313024">
          <w:marLeft w:val="0"/>
          <w:marRight w:val="0"/>
          <w:marTop w:val="0"/>
          <w:marBottom w:val="0"/>
          <w:divBdr>
            <w:top w:val="none" w:sz="0" w:space="0" w:color="auto"/>
            <w:left w:val="none" w:sz="0" w:space="0" w:color="auto"/>
            <w:bottom w:val="none" w:sz="0" w:space="0" w:color="auto"/>
            <w:right w:val="none" w:sz="0" w:space="0" w:color="auto"/>
          </w:divBdr>
        </w:div>
        <w:div w:id="1893492980">
          <w:marLeft w:val="0"/>
          <w:marRight w:val="0"/>
          <w:marTop w:val="0"/>
          <w:marBottom w:val="0"/>
          <w:divBdr>
            <w:top w:val="none" w:sz="0" w:space="0" w:color="auto"/>
            <w:left w:val="none" w:sz="0" w:space="0" w:color="auto"/>
            <w:bottom w:val="none" w:sz="0" w:space="0" w:color="auto"/>
            <w:right w:val="none" w:sz="0" w:space="0" w:color="auto"/>
          </w:divBdr>
        </w:div>
        <w:div w:id="1931087628">
          <w:marLeft w:val="0"/>
          <w:marRight w:val="0"/>
          <w:marTop w:val="0"/>
          <w:marBottom w:val="0"/>
          <w:divBdr>
            <w:top w:val="none" w:sz="0" w:space="0" w:color="auto"/>
            <w:left w:val="none" w:sz="0" w:space="0" w:color="auto"/>
            <w:bottom w:val="none" w:sz="0" w:space="0" w:color="auto"/>
            <w:right w:val="none" w:sz="0" w:space="0" w:color="auto"/>
          </w:divBdr>
        </w:div>
        <w:div w:id="1984654893">
          <w:marLeft w:val="0"/>
          <w:marRight w:val="0"/>
          <w:marTop w:val="0"/>
          <w:marBottom w:val="0"/>
          <w:divBdr>
            <w:top w:val="none" w:sz="0" w:space="0" w:color="auto"/>
            <w:left w:val="none" w:sz="0" w:space="0" w:color="auto"/>
            <w:bottom w:val="none" w:sz="0" w:space="0" w:color="auto"/>
            <w:right w:val="none" w:sz="0" w:space="0" w:color="auto"/>
          </w:divBdr>
        </w:div>
        <w:div w:id="2045665114">
          <w:marLeft w:val="0"/>
          <w:marRight w:val="0"/>
          <w:marTop w:val="0"/>
          <w:marBottom w:val="0"/>
          <w:divBdr>
            <w:top w:val="none" w:sz="0" w:space="0" w:color="auto"/>
            <w:left w:val="none" w:sz="0" w:space="0" w:color="auto"/>
            <w:bottom w:val="none" w:sz="0" w:space="0" w:color="auto"/>
            <w:right w:val="none" w:sz="0" w:space="0" w:color="auto"/>
          </w:divBdr>
        </w:div>
      </w:divsChild>
    </w:div>
    <w:div w:id="1929657957">
      <w:bodyDiv w:val="1"/>
      <w:marLeft w:val="0"/>
      <w:marRight w:val="0"/>
      <w:marTop w:val="0"/>
      <w:marBottom w:val="0"/>
      <w:divBdr>
        <w:top w:val="none" w:sz="0" w:space="0" w:color="auto"/>
        <w:left w:val="none" w:sz="0" w:space="0" w:color="auto"/>
        <w:bottom w:val="none" w:sz="0" w:space="0" w:color="auto"/>
        <w:right w:val="none" w:sz="0" w:space="0" w:color="auto"/>
      </w:divBdr>
    </w:div>
    <w:div w:id="1936279167">
      <w:bodyDiv w:val="1"/>
      <w:marLeft w:val="0"/>
      <w:marRight w:val="0"/>
      <w:marTop w:val="0"/>
      <w:marBottom w:val="0"/>
      <w:divBdr>
        <w:top w:val="none" w:sz="0" w:space="0" w:color="auto"/>
        <w:left w:val="none" w:sz="0" w:space="0" w:color="auto"/>
        <w:bottom w:val="none" w:sz="0" w:space="0" w:color="auto"/>
        <w:right w:val="none" w:sz="0" w:space="0" w:color="auto"/>
      </w:divBdr>
      <w:divsChild>
        <w:div w:id="929774572">
          <w:marLeft w:val="0"/>
          <w:marRight w:val="0"/>
          <w:marTop w:val="0"/>
          <w:marBottom w:val="0"/>
          <w:divBdr>
            <w:top w:val="none" w:sz="0" w:space="0" w:color="auto"/>
            <w:left w:val="none" w:sz="0" w:space="0" w:color="auto"/>
            <w:bottom w:val="none" w:sz="0" w:space="0" w:color="auto"/>
            <w:right w:val="none" w:sz="0" w:space="0" w:color="auto"/>
          </w:divBdr>
          <w:divsChild>
            <w:div w:id="857739777">
              <w:marLeft w:val="0"/>
              <w:marRight w:val="0"/>
              <w:marTop w:val="0"/>
              <w:marBottom w:val="0"/>
              <w:divBdr>
                <w:top w:val="none" w:sz="0" w:space="0" w:color="auto"/>
                <w:left w:val="none" w:sz="0" w:space="0" w:color="auto"/>
                <w:bottom w:val="none" w:sz="0" w:space="0" w:color="auto"/>
                <w:right w:val="none" w:sz="0" w:space="0" w:color="auto"/>
              </w:divBdr>
              <w:divsChild>
                <w:div w:id="1038510035">
                  <w:marLeft w:val="0"/>
                  <w:marRight w:val="0"/>
                  <w:marTop w:val="0"/>
                  <w:marBottom w:val="0"/>
                  <w:divBdr>
                    <w:top w:val="none" w:sz="0" w:space="0" w:color="auto"/>
                    <w:left w:val="none" w:sz="0" w:space="0" w:color="auto"/>
                    <w:bottom w:val="none" w:sz="0" w:space="0" w:color="auto"/>
                    <w:right w:val="none" w:sz="0" w:space="0" w:color="auto"/>
                  </w:divBdr>
                  <w:divsChild>
                    <w:div w:id="1590846869">
                      <w:marLeft w:val="0"/>
                      <w:marRight w:val="0"/>
                      <w:marTop w:val="0"/>
                      <w:marBottom w:val="0"/>
                      <w:divBdr>
                        <w:top w:val="none" w:sz="0" w:space="0" w:color="auto"/>
                        <w:left w:val="none" w:sz="0" w:space="0" w:color="auto"/>
                        <w:bottom w:val="none" w:sz="0" w:space="0" w:color="auto"/>
                        <w:right w:val="none" w:sz="0" w:space="0" w:color="auto"/>
                      </w:divBdr>
                      <w:divsChild>
                        <w:div w:id="1140921127">
                          <w:marLeft w:val="0"/>
                          <w:marRight w:val="0"/>
                          <w:marTop w:val="0"/>
                          <w:marBottom w:val="0"/>
                          <w:divBdr>
                            <w:top w:val="none" w:sz="0" w:space="0" w:color="auto"/>
                            <w:left w:val="none" w:sz="0" w:space="0" w:color="auto"/>
                            <w:bottom w:val="none" w:sz="0" w:space="0" w:color="auto"/>
                            <w:right w:val="none" w:sz="0" w:space="0" w:color="auto"/>
                          </w:divBdr>
                          <w:divsChild>
                            <w:div w:id="594435567">
                              <w:marLeft w:val="0"/>
                              <w:marRight w:val="0"/>
                              <w:marTop w:val="0"/>
                              <w:marBottom w:val="0"/>
                              <w:divBdr>
                                <w:top w:val="none" w:sz="0" w:space="0" w:color="auto"/>
                                <w:left w:val="none" w:sz="0" w:space="0" w:color="auto"/>
                                <w:bottom w:val="none" w:sz="0" w:space="0" w:color="auto"/>
                                <w:right w:val="none" w:sz="0" w:space="0" w:color="auto"/>
                              </w:divBdr>
                              <w:divsChild>
                                <w:div w:id="887912501">
                                  <w:marLeft w:val="0"/>
                                  <w:marRight w:val="0"/>
                                  <w:marTop w:val="0"/>
                                  <w:marBottom w:val="0"/>
                                  <w:divBdr>
                                    <w:top w:val="none" w:sz="0" w:space="0" w:color="auto"/>
                                    <w:left w:val="none" w:sz="0" w:space="0" w:color="auto"/>
                                    <w:bottom w:val="none" w:sz="0" w:space="0" w:color="auto"/>
                                    <w:right w:val="none" w:sz="0" w:space="0" w:color="auto"/>
                                  </w:divBdr>
                                  <w:divsChild>
                                    <w:div w:id="1581020626">
                                      <w:marLeft w:val="60"/>
                                      <w:marRight w:val="0"/>
                                      <w:marTop w:val="0"/>
                                      <w:marBottom w:val="0"/>
                                      <w:divBdr>
                                        <w:top w:val="none" w:sz="0" w:space="0" w:color="auto"/>
                                        <w:left w:val="none" w:sz="0" w:space="0" w:color="auto"/>
                                        <w:bottom w:val="none" w:sz="0" w:space="0" w:color="auto"/>
                                        <w:right w:val="none" w:sz="0" w:space="0" w:color="auto"/>
                                      </w:divBdr>
                                      <w:divsChild>
                                        <w:div w:id="1099643407">
                                          <w:marLeft w:val="0"/>
                                          <w:marRight w:val="0"/>
                                          <w:marTop w:val="0"/>
                                          <w:marBottom w:val="0"/>
                                          <w:divBdr>
                                            <w:top w:val="none" w:sz="0" w:space="0" w:color="auto"/>
                                            <w:left w:val="none" w:sz="0" w:space="0" w:color="auto"/>
                                            <w:bottom w:val="none" w:sz="0" w:space="0" w:color="auto"/>
                                            <w:right w:val="none" w:sz="0" w:space="0" w:color="auto"/>
                                          </w:divBdr>
                                          <w:divsChild>
                                            <w:div w:id="362556000">
                                              <w:marLeft w:val="0"/>
                                              <w:marRight w:val="0"/>
                                              <w:marTop w:val="0"/>
                                              <w:marBottom w:val="120"/>
                                              <w:divBdr>
                                                <w:top w:val="single" w:sz="6" w:space="0" w:color="F5F5F5"/>
                                                <w:left w:val="single" w:sz="6" w:space="0" w:color="F5F5F5"/>
                                                <w:bottom w:val="single" w:sz="6" w:space="0" w:color="F5F5F5"/>
                                                <w:right w:val="single" w:sz="6" w:space="0" w:color="F5F5F5"/>
                                              </w:divBdr>
                                              <w:divsChild>
                                                <w:div w:id="502167564">
                                                  <w:marLeft w:val="0"/>
                                                  <w:marRight w:val="0"/>
                                                  <w:marTop w:val="0"/>
                                                  <w:marBottom w:val="0"/>
                                                  <w:divBdr>
                                                    <w:top w:val="none" w:sz="0" w:space="0" w:color="auto"/>
                                                    <w:left w:val="none" w:sz="0" w:space="0" w:color="auto"/>
                                                    <w:bottom w:val="none" w:sz="0" w:space="0" w:color="auto"/>
                                                    <w:right w:val="none" w:sz="0" w:space="0" w:color="auto"/>
                                                  </w:divBdr>
                                                  <w:divsChild>
                                                    <w:div w:id="6943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1597452">
      <w:bodyDiv w:val="1"/>
      <w:marLeft w:val="0"/>
      <w:marRight w:val="0"/>
      <w:marTop w:val="0"/>
      <w:marBottom w:val="0"/>
      <w:divBdr>
        <w:top w:val="none" w:sz="0" w:space="0" w:color="auto"/>
        <w:left w:val="none" w:sz="0" w:space="0" w:color="auto"/>
        <w:bottom w:val="none" w:sz="0" w:space="0" w:color="auto"/>
        <w:right w:val="none" w:sz="0" w:space="0" w:color="auto"/>
      </w:divBdr>
    </w:div>
    <w:div w:id="1964379348">
      <w:bodyDiv w:val="1"/>
      <w:marLeft w:val="0"/>
      <w:marRight w:val="0"/>
      <w:marTop w:val="0"/>
      <w:marBottom w:val="0"/>
      <w:divBdr>
        <w:top w:val="none" w:sz="0" w:space="0" w:color="auto"/>
        <w:left w:val="none" w:sz="0" w:space="0" w:color="auto"/>
        <w:bottom w:val="none" w:sz="0" w:space="0" w:color="auto"/>
        <w:right w:val="none" w:sz="0" w:space="0" w:color="auto"/>
      </w:divBdr>
    </w:div>
    <w:div w:id="1974601561">
      <w:bodyDiv w:val="1"/>
      <w:marLeft w:val="0"/>
      <w:marRight w:val="0"/>
      <w:marTop w:val="0"/>
      <w:marBottom w:val="0"/>
      <w:divBdr>
        <w:top w:val="none" w:sz="0" w:space="0" w:color="auto"/>
        <w:left w:val="none" w:sz="0" w:space="0" w:color="auto"/>
        <w:bottom w:val="none" w:sz="0" w:space="0" w:color="auto"/>
        <w:right w:val="none" w:sz="0" w:space="0" w:color="auto"/>
      </w:divBdr>
    </w:div>
    <w:div w:id="1977837816">
      <w:bodyDiv w:val="1"/>
      <w:marLeft w:val="0"/>
      <w:marRight w:val="0"/>
      <w:marTop w:val="0"/>
      <w:marBottom w:val="0"/>
      <w:divBdr>
        <w:top w:val="none" w:sz="0" w:space="0" w:color="auto"/>
        <w:left w:val="none" w:sz="0" w:space="0" w:color="auto"/>
        <w:bottom w:val="none" w:sz="0" w:space="0" w:color="auto"/>
        <w:right w:val="none" w:sz="0" w:space="0" w:color="auto"/>
      </w:divBdr>
      <w:divsChild>
        <w:div w:id="202520328">
          <w:marLeft w:val="0"/>
          <w:marRight w:val="0"/>
          <w:marTop w:val="0"/>
          <w:marBottom w:val="0"/>
          <w:divBdr>
            <w:top w:val="none" w:sz="0" w:space="0" w:color="auto"/>
            <w:left w:val="none" w:sz="0" w:space="0" w:color="auto"/>
            <w:bottom w:val="none" w:sz="0" w:space="0" w:color="auto"/>
            <w:right w:val="none" w:sz="0" w:space="0" w:color="auto"/>
          </w:divBdr>
        </w:div>
        <w:div w:id="571236942">
          <w:marLeft w:val="0"/>
          <w:marRight w:val="0"/>
          <w:marTop w:val="0"/>
          <w:marBottom w:val="0"/>
          <w:divBdr>
            <w:top w:val="none" w:sz="0" w:space="0" w:color="auto"/>
            <w:left w:val="none" w:sz="0" w:space="0" w:color="auto"/>
            <w:bottom w:val="none" w:sz="0" w:space="0" w:color="auto"/>
            <w:right w:val="none" w:sz="0" w:space="0" w:color="auto"/>
          </w:divBdr>
        </w:div>
        <w:div w:id="847789194">
          <w:marLeft w:val="0"/>
          <w:marRight w:val="0"/>
          <w:marTop w:val="0"/>
          <w:marBottom w:val="0"/>
          <w:divBdr>
            <w:top w:val="none" w:sz="0" w:space="0" w:color="auto"/>
            <w:left w:val="none" w:sz="0" w:space="0" w:color="auto"/>
            <w:bottom w:val="none" w:sz="0" w:space="0" w:color="auto"/>
            <w:right w:val="none" w:sz="0" w:space="0" w:color="auto"/>
          </w:divBdr>
        </w:div>
        <w:div w:id="944768672">
          <w:marLeft w:val="0"/>
          <w:marRight w:val="0"/>
          <w:marTop w:val="0"/>
          <w:marBottom w:val="0"/>
          <w:divBdr>
            <w:top w:val="none" w:sz="0" w:space="0" w:color="auto"/>
            <w:left w:val="none" w:sz="0" w:space="0" w:color="auto"/>
            <w:bottom w:val="none" w:sz="0" w:space="0" w:color="auto"/>
            <w:right w:val="none" w:sz="0" w:space="0" w:color="auto"/>
          </w:divBdr>
        </w:div>
      </w:divsChild>
    </w:div>
    <w:div w:id="2000962809">
      <w:bodyDiv w:val="1"/>
      <w:marLeft w:val="0"/>
      <w:marRight w:val="0"/>
      <w:marTop w:val="0"/>
      <w:marBottom w:val="0"/>
      <w:divBdr>
        <w:top w:val="none" w:sz="0" w:space="0" w:color="auto"/>
        <w:left w:val="none" w:sz="0" w:space="0" w:color="auto"/>
        <w:bottom w:val="none" w:sz="0" w:space="0" w:color="auto"/>
        <w:right w:val="none" w:sz="0" w:space="0" w:color="auto"/>
      </w:divBdr>
    </w:div>
    <w:div w:id="2013334071">
      <w:bodyDiv w:val="1"/>
      <w:marLeft w:val="0"/>
      <w:marRight w:val="0"/>
      <w:marTop w:val="0"/>
      <w:marBottom w:val="0"/>
      <w:divBdr>
        <w:top w:val="none" w:sz="0" w:space="0" w:color="auto"/>
        <w:left w:val="none" w:sz="0" w:space="0" w:color="auto"/>
        <w:bottom w:val="none" w:sz="0" w:space="0" w:color="auto"/>
        <w:right w:val="none" w:sz="0" w:space="0" w:color="auto"/>
      </w:divBdr>
      <w:divsChild>
        <w:div w:id="195509037">
          <w:marLeft w:val="0"/>
          <w:marRight w:val="0"/>
          <w:marTop w:val="0"/>
          <w:marBottom w:val="0"/>
          <w:divBdr>
            <w:top w:val="none" w:sz="0" w:space="0" w:color="auto"/>
            <w:left w:val="none" w:sz="0" w:space="0" w:color="auto"/>
            <w:bottom w:val="none" w:sz="0" w:space="0" w:color="auto"/>
            <w:right w:val="none" w:sz="0" w:space="0" w:color="auto"/>
          </w:divBdr>
        </w:div>
        <w:div w:id="911743311">
          <w:marLeft w:val="0"/>
          <w:marRight w:val="0"/>
          <w:marTop w:val="0"/>
          <w:marBottom w:val="0"/>
          <w:divBdr>
            <w:top w:val="none" w:sz="0" w:space="0" w:color="auto"/>
            <w:left w:val="none" w:sz="0" w:space="0" w:color="auto"/>
            <w:bottom w:val="none" w:sz="0" w:space="0" w:color="auto"/>
            <w:right w:val="none" w:sz="0" w:space="0" w:color="auto"/>
          </w:divBdr>
        </w:div>
        <w:div w:id="1062367350">
          <w:marLeft w:val="0"/>
          <w:marRight w:val="0"/>
          <w:marTop w:val="0"/>
          <w:marBottom w:val="0"/>
          <w:divBdr>
            <w:top w:val="none" w:sz="0" w:space="0" w:color="auto"/>
            <w:left w:val="none" w:sz="0" w:space="0" w:color="auto"/>
            <w:bottom w:val="none" w:sz="0" w:space="0" w:color="auto"/>
            <w:right w:val="none" w:sz="0" w:space="0" w:color="auto"/>
          </w:divBdr>
        </w:div>
      </w:divsChild>
    </w:div>
    <w:div w:id="2013676691">
      <w:bodyDiv w:val="1"/>
      <w:marLeft w:val="0"/>
      <w:marRight w:val="0"/>
      <w:marTop w:val="0"/>
      <w:marBottom w:val="0"/>
      <w:divBdr>
        <w:top w:val="none" w:sz="0" w:space="0" w:color="auto"/>
        <w:left w:val="none" w:sz="0" w:space="0" w:color="auto"/>
        <w:bottom w:val="none" w:sz="0" w:space="0" w:color="auto"/>
        <w:right w:val="none" w:sz="0" w:space="0" w:color="auto"/>
      </w:divBdr>
    </w:div>
    <w:div w:id="2019115644">
      <w:bodyDiv w:val="1"/>
      <w:marLeft w:val="0"/>
      <w:marRight w:val="0"/>
      <w:marTop w:val="0"/>
      <w:marBottom w:val="0"/>
      <w:divBdr>
        <w:top w:val="none" w:sz="0" w:space="0" w:color="auto"/>
        <w:left w:val="none" w:sz="0" w:space="0" w:color="auto"/>
        <w:bottom w:val="none" w:sz="0" w:space="0" w:color="auto"/>
        <w:right w:val="none" w:sz="0" w:space="0" w:color="auto"/>
      </w:divBdr>
      <w:divsChild>
        <w:div w:id="512769380">
          <w:marLeft w:val="0"/>
          <w:marRight w:val="0"/>
          <w:marTop w:val="0"/>
          <w:marBottom w:val="0"/>
          <w:divBdr>
            <w:top w:val="none" w:sz="0" w:space="0" w:color="auto"/>
            <w:left w:val="none" w:sz="0" w:space="0" w:color="auto"/>
            <w:bottom w:val="none" w:sz="0" w:space="0" w:color="auto"/>
            <w:right w:val="none" w:sz="0" w:space="0" w:color="auto"/>
          </w:divBdr>
        </w:div>
        <w:div w:id="724110020">
          <w:marLeft w:val="0"/>
          <w:marRight w:val="0"/>
          <w:marTop w:val="0"/>
          <w:marBottom w:val="0"/>
          <w:divBdr>
            <w:top w:val="none" w:sz="0" w:space="0" w:color="auto"/>
            <w:left w:val="none" w:sz="0" w:space="0" w:color="auto"/>
            <w:bottom w:val="none" w:sz="0" w:space="0" w:color="auto"/>
            <w:right w:val="none" w:sz="0" w:space="0" w:color="auto"/>
          </w:divBdr>
        </w:div>
        <w:div w:id="1159729066">
          <w:marLeft w:val="0"/>
          <w:marRight w:val="0"/>
          <w:marTop w:val="0"/>
          <w:marBottom w:val="0"/>
          <w:divBdr>
            <w:top w:val="none" w:sz="0" w:space="0" w:color="auto"/>
            <w:left w:val="none" w:sz="0" w:space="0" w:color="auto"/>
            <w:bottom w:val="none" w:sz="0" w:space="0" w:color="auto"/>
            <w:right w:val="none" w:sz="0" w:space="0" w:color="auto"/>
          </w:divBdr>
        </w:div>
        <w:div w:id="2004504248">
          <w:marLeft w:val="0"/>
          <w:marRight w:val="0"/>
          <w:marTop w:val="0"/>
          <w:marBottom w:val="0"/>
          <w:divBdr>
            <w:top w:val="none" w:sz="0" w:space="0" w:color="auto"/>
            <w:left w:val="none" w:sz="0" w:space="0" w:color="auto"/>
            <w:bottom w:val="none" w:sz="0" w:space="0" w:color="auto"/>
            <w:right w:val="none" w:sz="0" w:space="0" w:color="auto"/>
          </w:divBdr>
        </w:div>
      </w:divsChild>
    </w:div>
    <w:div w:id="2019652095">
      <w:bodyDiv w:val="1"/>
      <w:marLeft w:val="0"/>
      <w:marRight w:val="0"/>
      <w:marTop w:val="0"/>
      <w:marBottom w:val="0"/>
      <w:divBdr>
        <w:top w:val="none" w:sz="0" w:space="0" w:color="auto"/>
        <w:left w:val="none" w:sz="0" w:space="0" w:color="auto"/>
        <w:bottom w:val="none" w:sz="0" w:space="0" w:color="auto"/>
        <w:right w:val="none" w:sz="0" w:space="0" w:color="auto"/>
      </w:divBdr>
    </w:div>
    <w:div w:id="2028171049">
      <w:bodyDiv w:val="1"/>
      <w:marLeft w:val="0"/>
      <w:marRight w:val="0"/>
      <w:marTop w:val="0"/>
      <w:marBottom w:val="0"/>
      <w:divBdr>
        <w:top w:val="none" w:sz="0" w:space="0" w:color="auto"/>
        <w:left w:val="none" w:sz="0" w:space="0" w:color="auto"/>
        <w:bottom w:val="none" w:sz="0" w:space="0" w:color="auto"/>
        <w:right w:val="none" w:sz="0" w:space="0" w:color="auto"/>
      </w:divBdr>
      <w:divsChild>
        <w:div w:id="672534838">
          <w:marLeft w:val="0"/>
          <w:marRight w:val="0"/>
          <w:marTop w:val="0"/>
          <w:marBottom w:val="0"/>
          <w:divBdr>
            <w:top w:val="none" w:sz="0" w:space="0" w:color="auto"/>
            <w:left w:val="none" w:sz="0" w:space="0" w:color="auto"/>
            <w:bottom w:val="none" w:sz="0" w:space="0" w:color="auto"/>
            <w:right w:val="none" w:sz="0" w:space="0" w:color="auto"/>
          </w:divBdr>
        </w:div>
        <w:div w:id="1051997416">
          <w:marLeft w:val="0"/>
          <w:marRight w:val="0"/>
          <w:marTop w:val="0"/>
          <w:marBottom w:val="0"/>
          <w:divBdr>
            <w:top w:val="none" w:sz="0" w:space="0" w:color="auto"/>
            <w:left w:val="none" w:sz="0" w:space="0" w:color="auto"/>
            <w:bottom w:val="none" w:sz="0" w:space="0" w:color="auto"/>
            <w:right w:val="none" w:sz="0" w:space="0" w:color="auto"/>
          </w:divBdr>
        </w:div>
        <w:div w:id="1191802637">
          <w:marLeft w:val="0"/>
          <w:marRight w:val="0"/>
          <w:marTop w:val="0"/>
          <w:marBottom w:val="0"/>
          <w:divBdr>
            <w:top w:val="none" w:sz="0" w:space="0" w:color="auto"/>
            <w:left w:val="none" w:sz="0" w:space="0" w:color="auto"/>
            <w:bottom w:val="none" w:sz="0" w:space="0" w:color="auto"/>
            <w:right w:val="none" w:sz="0" w:space="0" w:color="auto"/>
          </w:divBdr>
        </w:div>
        <w:div w:id="1614705138">
          <w:marLeft w:val="0"/>
          <w:marRight w:val="0"/>
          <w:marTop w:val="0"/>
          <w:marBottom w:val="0"/>
          <w:divBdr>
            <w:top w:val="none" w:sz="0" w:space="0" w:color="auto"/>
            <w:left w:val="none" w:sz="0" w:space="0" w:color="auto"/>
            <w:bottom w:val="none" w:sz="0" w:space="0" w:color="auto"/>
            <w:right w:val="none" w:sz="0" w:space="0" w:color="auto"/>
          </w:divBdr>
        </w:div>
      </w:divsChild>
    </w:div>
    <w:div w:id="2054689432">
      <w:bodyDiv w:val="1"/>
      <w:marLeft w:val="0"/>
      <w:marRight w:val="0"/>
      <w:marTop w:val="0"/>
      <w:marBottom w:val="0"/>
      <w:divBdr>
        <w:top w:val="none" w:sz="0" w:space="0" w:color="auto"/>
        <w:left w:val="none" w:sz="0" w:space="0" w:color="auto"/>
        <w:bottom w:val="none" w:sz="0" w:space="0" w:color="auto"/>
        <w:right w:val="none" w:sz="0" w:space="0" w:color="auto"/>
      </w:divBdr>
      <w:divsChild>
        <w:div w:id="2139568315">
          <w:marLeft w:val="0"/>
          <w:marRight w:val="0"/>
          <w:marTop w:val="0"/>
          <w:marBottom w:val="0"/>
          <w:divBdr>
            <w:top w:val="none" w:sz="0" w:space="0" w:color="auto"/>
            <w:left w:val="none" w:sz="0" w:space="0" w:color="auto"/>
            <w:bottom w:val="none" w:sz="0" w:space="0" w:color="auto"/>
            <w:right w:val="none" w:sz="0" w:space="0" w:color="auto"/>
          </w:divBdr>
        </w:div>
      </w:divsChild>
    </w:div>
    <w:div w:id="2079401522">
      <w:bodyDiv w:val="1"/>
      <w:marLeft w:val="0"/>
      <w:marRight w:val="0"/>
      <w:marTop w:val="0"/>
      <w:marBottom w:val="0"/>
      <w:divBdr>
        <w:top w:val="none" w:sz="0" w:space="0" w:color="auto"/>
        <w:left w:val="none" w:sz="0" w:space="0" w:color="auto"/>
        <w:bottom w:val="none" w:sz="0" w:space="0" w:color="auto"/>
        <w:right w:val="none" w:sz="0" w:space="0" w:color="auto"/>
      </w:divBdr>
    </w:div>
    <w:div w:id="2084717063">
      <w:bodyDiv w:val="1"/>
      <w:marLeft w:val="0"/>
      <w:marRight w:val="0"/>
      <w:marTop w:val="0"/>
      <w:marBottom w:val="0"/>
      <w:divBdr>
        <w:top w:val="none" w:sz="0" w:space="0" w:color="auto"/>
        <w:left w:val="none" w:sz="0" w:space="0" w:color="auto"/>
        <w:bottom w:val="none" w:sz="0" w:space="0" w:color="auto"/>
        <w:right w:val="none" w:sz="0" w:space="0" w:color="auto"/>
      </w:divBdr>
    </w:div>
    <w:div w:id="214441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customXml" Target="../customXml/item4.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40"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EMADOC-1700519818-3047618</_dlc_DocId>
    <_dlc_DocIdUrl xmlns="a034c160-bfb7-45f5-8632-2eb7e0508071">
      <Url>https://euema.sharepoint.com/sites/CRM/_layouts/15/DocIdRedir.aspx?ID=EMADOC-1700519818-3047618</Url>
      <Description>EMADOC-1700519818-3047618</Description>
    </_dlc_DocIdUrl>
  </documentManagement>
</p:properties>
</file>

<file path=customXml/itemProps1.xml><?xml version="1.0" encoding="utf-8"?>
<ds:datastoreItem xmlns:ds="http://schemas.openxmlformats.org/officeDocument/2006/customXml" ds:itemID="{83863ED4-7288-468C-B6FB-910947E06FD2}">
  <ds:schemaRefs>
    <ds:schemaRef ds:uri="http://schemas.microsoft.com/office/2006/metadata/longProperties"/>
  </ds:schemaRefs>
</ds:datastoreItem>
</file>

<file path=customXml/itemProps2.xml><?xml version="1.0" encoding="utf-8"?>
<ds:datastoreItem xmlns:ds="http://schemas.openxmlformats.org/officeDocument/2006/customXml" ds:itemID="{18FFA5A0-90EB-461D-8DCA-2C7B2B065236}">
  <ds:schemaRefs>
    <ds:schemaRef ds:uri="http://schemas.openxmlformats.org/officeDocument/2006/bibliography"/>
  </ds:schemaRefs>
</ds:datastoreItem>
</file>

<file path=customXml/itemProps3.xml><?xml version="1.0" encoding="utf-8"?>
<ds:datastoreItem xmlns:ds="http://schemas.openxmlformats.org/officeDocument/2006/customXml" ds:itemID="{A7A95368-2B2B-4B45-9ABD-E22A0BB08F7B}"/>
</file>

<file path=customXml/itemProps4.xml><?xml version="1.0" encoding="utf-8"?>
<ds:datastoreItem xmlns:ds="http://schemas.openxmlformats.org/officeDocument/2006/customXml" ds:itemID="{91AEC499-865A-4177-8675-EDBE8464A6CB}"/>
</file>

<file path=customXml/itemProps5.xml><?xml version="1.0" encoding="utf-8"?>
<ds:datastoreItem xmlns:ds="http://schemas.openxmlformats.org/officeDocument/2006/customXml" ds:itemID="{384B0541-56A4-400D-880D-16E18FC906D0}"/>
</file>

<file path=customXml/itemProps6.xml><?xml version="1.0" encoding="utf-8"?>
<ds:datastoreItem xmlns:ds="http://schemas.openxmlformats.org/officeDocument/2006/customXml" ds:itemID="{D317EDD3-2D2E-4BBB-9987-015BEFF6014C}"/>
</file>

<file path=docProps/app.xml><?xml version="1.0" encoding="utf-8"?>
<Properties xmlns="http://schemas.openxmlformats.org/officeDocument/2006/extended-properties" xmlns:vt="http://schemas.openxmlformats.org/officeDocument/2006/docPropsVTypes">
  <Template>SPC_10H</Template>
  <TotalTime>73</TotalTime>
  <Pages>176</Pages>
  <Words>73127</Words>
  <Characters>411705</Characters>
  <Application>Microsoft Office Word</Application>
  <DocSecurity>0</DocSecurity>
  <Lines>11127</Lines>
  <Paragraphs>5387</Paragraphs>
  <ScaleCrop>false</ScaleCrop>
  <HeadingPairs>
    <vt:vector size="2" baseType="variant">
      <vt:variant>
        <vt:lpstr>Title</vt:lpstr>
      </vt:variant>
      <vt:variant>
        <vt:i4>1</vt:i4>
      </vt:variant>
    </vt:vector>
  </HeadingPairs>
  <TitlesOfParts>
    <vt:vector size="1" baseType="lpstr">
      <vt:lpstr>RoActemra: EPAR – Product information - tracked changes</vt:lpstr>
    </vt:vector>
  </TitlesOfParts>
  <Manager/>
  <Company>EMEA</Company>
  <LinksUpToDate>false</LinksUpToDate>
  <CharactersWithSpaces>479445</CharactersWithSpaces>
  <SharedDoc>false</SharedDoc>
  <HLinks>
    <vt:vector size="60" baseType="variant">
      <vt:variant>
        <vt:i4>1245197</vt:i4>
      </vt:variant>
      <vt:variant>
        <vt:i4>27</vt:i4>
      </vt:variant>
      <vt:variant>
        <vt:i4>0</vt:i4>
      </vt:variant>
      <vt:variant>
        <vt:i4>5</vt:i4>
      </vt:variant>
      <vt:variant>
        <vt:lpwstr>http://www.ema.europa.eu/</vt:lpwstr>
      </vt:variant>
      <vt:variant>
        <vt:lpwstr/>
      </vt:variant>
      <vt:variant>
        <vt:i4>2490456</vt:i4>
      </vt:variant>
      <vt:variant>
        <vt:i4>24</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21</vt:i4>
      </vt:variant>
      <vt:variant>
        <vt:i4>0</vt:i4>
      </vt:variant>
      <vt:variant>
        <vt:i4>5</vt:i4>
      </vt:variant>
      <vt:variant>
        <vt:lpwstr>http://www.ema.europa.eu/</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15</vt:i4>
      </vt:variant>
      <vt:variant>
        <vt:i4>0</vt:i4>
      </vt:variant>
      <vt:variant>
        <vt:i4>5</vt:i4>
      </vt:variant>
      <vt:variant>
        <vt:lpwstr>http://www.ema.europa.eu/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2490456</vt:i4>
      </vt:variant>
      <vt:variant>
        <vt:i4>9</vt:i4>
      </vt:variant>
      <vt:variant>
        <vt:i4>0</vt:i4>
      </vt:variant>
      <vt:variant>
        <vt:i4>5</vt:i4>
      </vt:variant>
      <vt:variant>
        <vt:lpwstr>https://www.ema.europa.eu/documents/template-form/appendix-v-adverse-drug-reaction-reporting-details_en.doc</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10.1 04/2016_x000d_
Downloaded 110516 (it)</dc:description>
  <cp:lastModifiedBy>TCS</cp:lastModifiedBy>
  <cp:revision>7</cp:revision>
  <dcterms:created xsi:type="dcterms:W3CDTF">2026-03-18T13:44:00Z</dcterms:created>
  <dcterms:modified xsi:type="dcterms:W3CDTF">2026-03-20T08:32:00Z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797e93cc-ef96-488e-949d-05422ba4e164</vt:lpwstr>
  </property>
</Properties>
</file>