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886676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86676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86676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86676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86676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6676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6676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6676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6676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6676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6676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6676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6676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6676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Liite I</w:t>
      </w:r>
    </w:p>
    <w:p w:rsidR="009E375D" w:rsidRPr="00886676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886676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Tieteelliset päätelmät ja perusteet myyntiluvan (-lupien) ehtojen muuttamiselle</w:t>
      </w:r>
    </w:p>
    <w:p w:rsidR="00C15B44" w:rsidRPr="00886676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886676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886676">
        <w:br w:type="page"/>
      </w:r>
      <w:r w:rsidRPr="00886676">
        <w:rPr>
          <w:rFonts w:ascii="Times New Roman" w:hAnsi="Times New Roman"/>
          <w:b/>
          <w:sz w:val="22"/>
        </w:rPr>
        <w:t>Tieteelliset päätelmät</w:t>
      </w:r>
    </w:p>
    <w:p w:rsidR="00767C46" w:rsidRPr="00886676" w:rsidP="00EB1210" w14:paraId="02B61949" w14:textId="58626C70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886676">
        <w:rPr>
          <w:rFonts w:ascii="Times New Roman" w:hAnsi="Times New Roman"/>
          <w:sz w:val="22"/>
        </w:rPr>
        <w:t>Ottaen huomioon arviointiraportin, jonka lääketurvallisuuden riskinarviointikomitea (PRAC) on tehnyt {EURD-luettelon mukainen vaikuttava aine</w:t>
      </w:r>
      <w:r w:rsidR="001668A5">
        <w:rPr>
          <w:rFonts w:ascii="Times New Roman" w:hAnsi="Times New Roman"/>
          <w:sz w:val="22"/>
        </w:rPr>
        <w:t>/aineet</w:t>
      </w:r>
      <w:r w:rsidRPr="00886676">
        <w:rPr>
          <w:rFonts w:ascii="Times New Roman" w:hAnsi="Times New Roman"/>
          <w:sz w:val="22"/>
        </w:rPr>
        <w:t>} koskevista määräaikaisista turvallisuuskatsauksista (PSUR), tieteelliset päätelmät ovat seuraavat:</w:t>
      </w:r>
    </w:p>
    <w:p w:rsidR="002E245C" w:rsidRPr="00886676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886676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{teksti}</w:t>
      </w:r>
    </w:p>
    <w:p w:rsidR="00F735C1" w:rsidRPr="00886676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6676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886676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886676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Arvioituaan PRAC:n suosituksen tunnustamis- ja hajautetun menettelyn koordinointiryhmä (CMDh) on samaa mieltä PRAC:n yleisistä johtopäätöksistä ja suosituksen perusteista.</w:t>
      </w:r>
    </w:p>
    <w:p w:rsidR="00EB1210" w:rsidRPr="00886676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886676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886676">
        <w:rPr>
          <w:rFonts w:ascii="Times New Roman" w:hAnsi="Times New Roman"/>
          <w:b/>
          <w:sz w:val="22"/>
        </w:rPr>
        <w:t>Myyntilupien ehtojen muuttamista puoltavat perusteet</w:t>
      </w:r>
    </w:p>
    <w:p w:rsidR="00EB1210" w:rsidRPr="00886676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6676" w:rsidP="00EB1210" w14:paraId="44E75321" w14:textId="7591ED2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{EURD-luettelon mukainen vaikuttava aine</w:t>
      </w:r>
      <w:r w:rsidR="00602D10">
        <w:rPr>
          <w:rFonts w:ascii="Times New Roman" w:hAnsi="Times New Roman"/>
          <w:sz w:val="22"/>
        </w:rPr>
        <w:t>/aineet</w:t>
      </w:r>
      <w:r w:rsidRPr="00886676">
        <w:rPr>
          <w:rFonts w:ascii="Times New Roman" w:hAnsi="Times New Roman"/>
          <w:sz w:val="22"/>
        </w:rPr>
        <w:t>} koskevien tieteellisten päätelmien perusteella CMDh katsoo, että {EURD-luettelon mukainen vaikuttava aine</w:t>
      </w:r>
      <w:r w:rsidR="00177769">
        <w:rPr>
          <w:rFonts w:ascii="Times New Roman" w:hAnsi="Times New Roman"/>
          <w:sz w:val="22"/>
        </w:rPr>
        <w:t>/aineet</w:t>
      </w:r>
      <w:r w:rsidRPr="00886676">
        <w:rPr>
          <w:rFonts w:ascii="Times New Roman" w:hAnsi="Times New Roman"/>
          <w:sz w:val="22"/>
        </w:rPr>
        <w:t>} sisältävien lääkevalmisteiden hyöty-haittatasapaino säilyy muuttumattomana, mikäli valmistetietoja muutetaan ehdotetulla tavalla.</w:t>
      </w:r>
    </w:p>
    <w:p w:rsidR="0048373D" w:rsidRPr="00886676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CMDh suosittelee myyntiluvan/myyntilupien ehtojen muuttamista.</w:t>
      </w:r>
    </w:p>
    <w:p w:rsidR="0048373D" w:rsidRPr="00886676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6676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886676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886676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Arvioituaan PRAC:n suosituksen CMDh ei ole samaa mieltä PRAC:n yleisistä johtopäätöksistä ja suosituksen perusteista.</w:t>
      </w:r>
    </w:p>
    <w:p w:rsidR="0048373D" w:rsidRPr="00886676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886676" w:rsidP="00EB1210" w14:paraId="73F69B9C" w14:textId="56D7895B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886676">
        <w:rPr>
          <w:rFonts w:ascii="Times New Roman" w:hAnsi="Times New Roman"/>
          <w:sz w:val="22"/>
          <w:u w:val="single"/>
        </w:rPr>
        <w:t xml:space="preserve">Yksityiskohtainen selvitys tieteellisistä perusteista, jotka koskevat </w:t>
      </w:r>
      <w:r w:rsidR="00177769">
        <w:rPr>
          <w:rFonts w:ascii="Times New Roman" w:hAnsi="Times New Roman"/>
          <w:sz w:val="22"/>
          <w:u w:val="single"/>
        </w:rPr>
        <w:t xml:space="preserve">eroavaisuuksia </w:t>
      </w:r>
      <w:r w:rsidRPr="00886676">
        <w:rPr>
          <w:rFonts w:ascii="Times New Roman" w:hAnsi="Times New Roman"/>
          <w:sz w:val="22"/>
          <w:u w:val="single"/>
        </w:rPr>
        <w:t xml:space="preserve">PRAC:n suositukseen </w:t>
      </w:r>
      <w:r w:rsidR="00177769">
        <w:rPr>
          <w:rFonts w:ascii="Times New Roman" w:hAnsi="Times New Roman"/>
          <w:sz w:val="22"/>
          <w:u w:val="single"/>
        </w:rPr>
        <w:t>nähden</w:t>
      </w:r>
    </w:p>
    <w:p w:rsidR="00362122" w:rsidRPr="00886676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886676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{teksti}</w:t>
      </w:r>
    </w:p>
    <w:p w:rsidR="00362122" w:rsidRPr="00886676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6676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PRAC:n suosituksen &lt;ja CMDh:ssa käydyt keskustelut&gt; huomioon ottaen CMDh katsoo,</w:t>
      </w:r>
    </w:p>
    <w:p w:rsidR="0048373D" w:rsidRPr="00886676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1668A5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1668A5">
        <w:rPr>
          <w:rFonts w:ascii="Times New Roman" w:hAnsi="Times New Roman"/>
          <w:i w:val="0"/>
          <w:lang w:val="en-US"/>
        </w:rPr>
        <w:t>[In case of recommendation to maintain the marketing authorisation]</w:t>
      </w:r>
    </w:p>
    <w:p w:rsidR="0048373D" w:rsidRPr="00886676" w:rsidP="00EB1210" w14:paraId="5E6441A8" w14:textId="5F70EBA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86676">
        <w:rPr>
          <w:rFonts w:ascii="Times New Roman" w:hAnsi="Times New Roman"/>
          <w:snapToGrid w:val="0"/>
          <w:sz w:val="22"/>
        </w:rPr>
        <w:t>&lt;että {EURD-luettelon mukainen vaikuttava aine</w:t>
      </w:r>
      <w:r w:rsidR="00177769">
        <w:rPr>
          <w:rFonts w:ascii="Times New Roman" w:hAnsi="Times New Roman"/>
          <w:snapToGrid w:val="0"/>
          <w:sz w:val="22"/>
        </w:rPr>
        <w:t>/aineet</w:t>
      </w:r>
      <w:r w:rsidRPr="00886676">
        <w:rPr>
          <w:rFonts w:ascii="Times New Roman" w:hAnsi="Times New Roman"/>
          <w:snapToGrid w:val="0"/>
          <w:sz w:val="22"/>
        </w:rPr>
        <w:t xml:space="preserve">} sisältävien lääkevalmisteiden hyöty-haittatasapaino säilyy muuttumattomana ja </w:t>
      </w:r>
      <w:r w:rsidR="00177769">
        <w:rPr>
          <w:rFonts w:ascii="Times New Roman" w:hAnsi="Times New Roman"/>
          <w:snapToGrid w:val="0"/>
          <w:sz w:val="22"/>
        </w:rPr>
        <w:t xml:space="preserve">se </w:t>
      </w:r>
      <w:r w:rsidRPr="00886676">
        <w:rPr>
          <w:rFonts w:ascii="Times New Roman" w:hAnsi="Times New Roman"/>
          <w:snapToGrid w:val="0"/>
          <w:sz w:val="22"/>
        </w:rPr>
        <w:t>suosittelee &lt;yksimielisellä päätöksellä&gt;&lt;enemmistöpäätöksellä&gt; myyntiluvan (-lupien) säilyttämistä.&gt;</w:t>
      </w:r>
    </w:p>
    <w:p w:rsidR="00F735C1" w:rsidRPr="00886676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1668A5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1668A5">
        <w:rPr>
          <w:rFonts w:ascii="Times New Roman" w:hAnsi="Times New Roman"/>
          <w:i w:val="0"/>
          <w:lang w:val="en-US"/>
        </w:rPr>
        <w:t>[In case of recommendation to vary the marketing authorisation]</w:t>
      </w:r>
    </w:p>
    <w:p w:rsidR="0048373D" w:rsidRPr="00886676" w:rsidP="00EB1210" w14:paraId="3F4E1463" w14:textId="2C9C5D8F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86676">
        <w:rPr>
          <w:rFonts w:ascii="Times New Roman" w:hAnsi="Times New Roman"/>
          <w:snapToGrid w:val="0"/>
          <w:sz w:val="22"/>
        </w:rPr>
        <w:t xml:space="preserve">&lt;että {EURD-luettelon mukainen vaikuttava aine} sisältävien lääkevalmisteiden hyöty-haittatasapaino säilyy muuttumattomana, mutta </w:t>
      </w:r>
      <w:r w:rsidR="00177769">
        <w:rPr>
          <w:rFonts w:ascii="Times New Roman" w:hAnsi="Times New Roman"/>
          <w:snapToGrid w:val="0"/>
          <w:sz w:val="22"/>
        </w:rPr>
        <w:t xml:space="preserve">se </w:t>
      </w:r>
      <w:r w:rsidRPr="00886676">
        <w:rPr>
          <w:rFonts w:ascii="Times New Roman" w:hAnsi="Times New Roman"/>
          <w:snapToGrid w:val="0"/>
          <w:sz w:val="22"/>
        </w:rPr>
        <w:t>suosittelee &lt;yksimielisellä päätöksellä&gt;&lt;enemmistöpäätöksellä&gt; myyntiluvan (-lupien) muuttamista seuraavasti:&gt;</w:t>
      </w:r>
    </w:p>
    <w:p w:rsidR="00362122" w:rsidRPr="00886676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886676" w:rsidP="00752D41" w14:paraId="61B58B66" w14:textId="7EB651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 xml:space="preserve">&lt;Valmisteyhteenvedon kohtaa </w:t>
      </w:r>
      <w:r w:rsidR="00F22EA5">
        <w:rPr>
          <w:rFonts w:ascii="Times New Roman" w:hAnsi="Times New Roman"/>
          <w:sz w:val="22"/>
        </w:rPr>
        <w:t xml:space="preserve">(kohtia) </w:t>
      </w:r>
      <w:r w:rsidRPr="00886676">
        <w:rPr>
          <w:rFonts w:ascii="Times New Roman" w:hAnsi="Times New Roman"/>
          <w:sz w:val="22"/>
        </w:rPr>
        <w:t xml:space="preserve">{n} &lt;ja {n}&gt; ajantasaistetaan lisäämällä siihen </w:t>
      </w:r>
      <w:r w:rsidR="00F22EA5">
        <w:rPr>
          <w:rFonts w:ascii="Times New Roman" w:hAnsi="Times New Roman"/>
          <w:sz w:val="22"/>
        </w:rPr>
        <w:t xml:space="preserve">(niihin) </w:t>
      </w:r>
      <w:r w:rsidRPr="00886676">
        <w:rPr>
          <w:rFonts w:ascii="Times New Roman" w:hAnsi="Times New Roman"/>
          <w:sz w:val="22"/>
        </w:rPr>
        <w:t>&lt;haittavaikutus {x}, jonka esiintyvyys on {y}&gt; &lt;varoitus {z}&gt;&lt;…&gt;. &lt;Pakkausseloste on päivitettävä vastaavasti.&gt;&gt;</w:t>
      </w:r>
    </w:p>
    <w:p w:rsidR="00362122" w:rsidRPr="00886676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6676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&lt;Myyntiluvalle asetetut ehdot ovat seuraavat:&gt;</w:t>
      </w:r>
    </w:p>
    <w:p w:rsidR="0048373D" w:rsidRPr="00886676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886676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886676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886676" w:rsidP="00EB1210" w14:paraId="2BA536BF" w14:textId="3E74951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 xml:space="preserve">&lt;Myyntiluvan </w:t>
      </w:r>
      <w:r w:rsidR="00F22EA5">
        <w:rPr>
          <w:rFonts w:ascii="Times New Roman" w:hAnsi="Times New Roman"/>
          <w:sz w:val="22"/>
        </w:rPr>
        <w:t>haltijan (</w:t>
      </w:r>
      <w:r w:rsidRPr="00886676">
        <w:rPr>
          <w:rFonts w:ascii="Times New Roman" w:hAnsi="Times New Roman"/>
          <w:sz w:val="22"/>
        </w:rPr>
        <w:t>haltijoiden</w:t>
      </w:r>
      <w:r w:rsidR="00F22EA5">
        <w:rPr>
          <w:rFonts w:ascii="Times New Roman" w:hAnsi="Times New Roman"/>
          <w:sz w:val="22"/>
        </w:rPr>
        <w:t>)</w:t>
      </w:r>
      <w:r w:rsidRPr="00886676">
        <w:rPr>
          <w:rFonts w:ascii="Times New Roman" w:hAnsi="Times New Roman"/>
          <w:sz w:val="22"/>
        </w:rPr>
        <w:t xml:space="preserve"> on lisäksi käsiteltävä seuraavassa määräaikaisessa turvallisuuskatsauksessa seuraavia kysymyksiä:</w:t>
      </w:r>
    </w:p>
    <w:p w:rsidR="0048373D" w:rsidRPr="00886676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color w:val="339966"/>
          <w:sz w:val="22"/>
        </w:rPr>
        <w:t>[list]</w:t>
      </w:r>
      <w:r w:rsidRPr="00886676">
        <w:rPr>
          <w:rFonts w:ascii="Times New Roman" w:hAnsi="Times New Roman"/>
          <w:sz w:val="22"/>
        </w:rPr>
        <w:t>&gt;</w:t>
      </w:r>
    </w:p>
    <w:p w:rsidR="003021A0" w:rsidRPr="00886676" w:rsidP="003021A0" w14:paraId="54B3FB1E" w14:textId="74108FFC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 xml:space="preserve">&lt;Myyntiluvan </w:t>
      </w:r>
      <w:r w:rsidR="00F22EA5">
        <w:rPr>
          <w:rFonts w:ascii="Times New Roman" w:hAnsi="Times New Roman"/>
          <w:sz w:val="22"/>
        </w:rPr>
        <w:t>haltijan (</w:t>
      </w:r>
      <w:r w:rsidRPr="00886676">
        <w:rPr>
          <w:rFonts w:ascii="Times New Roman" w:hAnsi="Times New Roman"/>
          <w:sz w:val="22"/>
        </w:rPr>
        <w:t>haltijoiden</w:t>
      </w:r>
      <w:r w:rsidR="00F22EA5">
        <w:rPr>
          <w:rFonts w:ascii="Times New Roman" w:hAnsi="Times New Roman"/>
          <w:sz w:val="22"/>
        </w:rPr>
        <w:t>)</w:t>
      </w:r>
      <w:r w:rsidRPr="00886676">
        <w:rPr>
          <w:rFonts w:ascii="Times New Roman" w:hAnsi="Times New Roman"/>
          <w:sz w:val="22"/>
        </w:rPr>
        <w:t xml:space="preserve"> on lisäksi toimitettava ajantasaistettu riskienhallintasuunnitelma </w:t>
      </w:r>
      <w:r w:rsidRPr="00886676" w:rsidR="00592EF2">
        <w:rPr>
          <w:rFonts w:ascii="Times New Roman" w:hAnsi="Times New Roman"/>
          <w:sz w:val="22"/>
        </w:rPr>
        <w:t>{x}</w:t>
      </w:r>
      <w:r w:rsidRPr="00886676">
        <w:rPr>
          <w:rFonts w:ascii="Times New Roman" w:hAnsi="Times New Roman"/>
          <w:sz w:val="22"/>
        </w:rPr>
        <w:t xml:space="preserve"> kuukauden kuluessa seuraavien kysymysten käsittelemiseksi:</w:t>
      </w:r>
    </w:p>
    <w:p w:rsidR="003021A0" w:rsidRPr="00886676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color w:val="339966"/>
          <w:sz w:val="22"/>
        </w:rPr>
        <w:t>[list]</w:t>
      </w:r>
      <w:r w:rsidRPr="00886676">
        <w:rPr>
          <w:rFonts w:ascii="Times New Roman" w:hAnsi="Times New Roman"/>
          <w:sz w:val="22"/>
        </w:rPr>
        <w:t>&gt;</w:t>
      </w:r>
    </w:p>
    <w:p w:rsidR="00965742" w:rsidRPr="00886676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886676">
        <w:br w:type="page"/>
      </w:r>
    </w:p>
    <w:p w:rsidR="00965742" w:rsidRPr="00886676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6676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6676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6676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886676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Liite II</w:t>
      </w:r>
    </w:p>
    <w:p w:rsidR="000D12C1" w:rsidRPr="00886676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86676" w:rsidP="000D12C1" w14:paraId="22729BE5" w14:textId="25BD5EE6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86676">
        <w:rPr>
          <w:rFonts w:ascii="Times New Roman" w:hAnsi="Times New Roman"/>
          <w:b/>
          <w:sz w:val="22"/>
        </w:rPr>
        <w:t>Kansallisesti hyväksyttyjen lääk</w:t>
      </w:r>
      <w:r w:rsidR="00F22EA5">
        <w:rPr>
          <w:rFonts w:ascii="Times New Roman" w:hAnsi="Times New Roman"/>
          <w:b/>
          <w:sz w:val="22"/>
        </w:rPr>
        <w:t>evalmist</w:t>
      </w:r>
      <w:r w:rsidRPr="00886676">
        <w:rPr>
          <w:rFonts w:ascii="Times New Roman" w:hAnsi="Times New Roman"/>
          <w:b/>
          <w:sz w:val="22"/>
        </w:rPr>
        <w:t>eiden valmistetietoja koskevat muutokset</w:t>
      </w:r>
    </w:p>
    <w:p w:rsidR="00C15B44" w:rsidRPr="00886676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1668A5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886676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886676">
        <w:br w:type="page"/>
      </w:r>
    </w:p>
    <w:p w:rsidR="004B1FB9" w:rsidRPr="00886676" w:rsidP="00B86D3D" w14:paraId="0B294764" w14:textId="77777777">
      <w:pPr>
        <w:pStyle w:val="Style1"/>
      </w:pPr>
      <w:r w:rsidRPr="00886676">
        <w:t>&lt;</w:t>
      </w:r>
      <w:r w:rsidRPr="00886676">
        <w:rPr>
          <w:b/>
        </w:rPr>
        <w:t>Valmistetietojen asianmukaisiin kohtiin tehtävät muutokset</w:t>
      </w:r>
      <w:r w:rsidRPr="00886676">
        <w:t xml:space="preserve"> (uusi teksti on </w:t>
      </w:r>
      <w:r w:rsidRPr="00886676">
        <w:rPr>
          <w:b/>
          <w:u w:val="single"/>
        </w:rPr>
        <w:t>alleviivattu ja lihavoitu</w:t>
      </w:r>
      <w:r w:rsidRPr="00886676">
        <w:t xml:space="preserve">, poistettu teksti on </w:t>
      </w:r>
      <w:r w:rsidRPr="00886676">
        <w:rPr>
          <w:strike/>
        </w:rPr>
        <w:t>yliviivattu</w:t>
      </w:r>
      <w:r w:rsidRPr="00886676">
        <w:t>)&gt;</w:t>
      </w:r>
    </w:p>
    <w:p w:rsidR="004B1FB9" w:rsidRPr="00886676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86676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86676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b/>
          <w:sz w:val="22"/>
        </w:rPr>
        <w:t>&lt;Valmisteyhteenveto&gt;</w:t>
      </w:r>
    </w:p>
    <w:p w:rsidR="004B1FB9" w:rsidRPr="00886676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86676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886676">
        <w:rPr>
          <w:rFonts w:ascii="Times New Roman" w:hAnsi="Times New Roman"/>
          <w:b/>
          <w:sz w:val="22"/>
        </w:rPr>
        <w:t>&lt;Pakkausseloste&gt;</w:t>
      </w:r>
    </w:p>
    <w:p w:rsidR="004B1FB9" w:rsidRPr="00886676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1668A5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1668A5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886676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886676">
        <w:br w:type="page"/>
      </w:r>
    </w:p>
    <w:p w:rsidR="00965742" w:rsidRPr="00886676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6676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6676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886676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6676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86676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86676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&lt;Liite III&gt;</w:t>
      </w:r>
    </w:p>
    <w:p w:rsidR="0056494F" w:rsidRPr="00886676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86676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86676">
        <w:rPr>
          <w:rFonts w:ascii="Times New Roman" w:hAnsi="Times New Roman"/>
          <w:b/>
          <w:sz w:val="22"/>
        </w:rPr>
        <w:t>&lt;Myyntiluvan ehdot&gt;</w:t>
      </w:r>
    </w:p>
    <w:p w:rsidR="00965742" w:rsidRPr="00886676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6676">
        <w:br w:type="page"/>
      </w:r>
    </w:p>
    <w:p w:rsidR="00965742" w:rsidRPr="00886676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86676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86676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6676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6676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86676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886676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886676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6676">
        <w:rPr>
          <w:rFonts w:ascii="Times New Roman" w:hAnsi="Times New Roman"/>
          <w:sz w:val="22"/>
        </w:rPr>
        <w:t>Liite &lt;III&gt; &lt;IV&gt;</w:t>
      </w:r>
    </w:p>
    <w:p w:rsidR="000D12C1" w:rsidRPr="00886676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886676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86676">
        <w:rPr>
          <w:rFonts w:ascii="Times New Roman" w:hAnsi="Times New Roman"/>
          <w:b/>
          <w:sz w:val="22"/>
        </w:rPr>
        <w:t>Tämän lausunnon toteuttamisaikataulu</w:t>
      </w:r>
    </w:p>
    <w:p w:rsidR="00F62CF6" w:rsidRPr="00886676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886676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886676">
        <w:br w:type="page"/>
      </w:r>
      <w:r w:rsidRPr="00886676">
        <w:rPr>
          <w:rFonts w:ascii="Times New Roman" w:hAnsi="Times New Roman"/>
          <w:b/>
          <w:sz w:val="22"/>
        </w:rPr>
        <w:t>Tämän lausunnon toteuttamisaikataulu</w:t>
      </w:r>
    </w:p>
    <w:p w:rsidR="00CA32DE" w:rsidRPr="00886676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886676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9"/>
        <w:gridCol w:w="4524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886676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6676">
              <w:rPr>
                <w:rFonts w:ascii="Times New Roman" w:hAnsi="Times New Roman"/>
                <w:sz w:val="22"/>
              </w:rPr>
              <w:t>CMDh:n lausunnon hyväksyminen:</w:t>
            </w:r>
          </w:p>
          <w:p w:rsidR="00CA32DE" w:rsidRPr="00886676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86676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6676">
              <w:rPr>
                <w:rFonts w:ascii="Times New Roman" w:hAnsi="Times New Roman"/>
                <w:sz w:val="22"/>
              </w:rPr>
              <w:t>CMDh:n kokous {kuukausi vuosi}</w:t>
            </w:r>
          </w:p>
          <w:p w:rsidR="00CA32DE" w:rsidRPr="00886676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86676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886676">
              <w:rPr>
                <w:rFonts w:ascii="Times New Roman" w:hAnsi="Times New Roman"/>
                <w:sz w:val="22"/>
              </w:rPr>
              <w:t>Lausunnon liitteiden käännösten toimittaminen kansallisille toimivaltaisille viranomaisille:</w:t>
            </w:r>
          </w:p>
          <w:p w:rsidR="001254AC" w:rsidRPr="00886676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86676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6676">
              <w:rPr>
                <w:rFonts w:ascii="Times New Roman" w:hAnsi="Times New Roman"/>
                <w:sz w:val="22"/>
              </w:rPr>
              <w:t>{PP.KK.VVVV}</w:t>
            </w:r>
          </w:p>
          <w:p w:rsidR="00CA32DE" w:rsidRPr="00886676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86676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6676">
              <w:rPr>
                <w:rFonts w:ascii="Times New Roman" w:hAnsi="Times New Roman"/>
                <w:sz w:val="22"/>
              </w:rPr>
              <w:t>Lausunnon täytäntöönpano jäsenvaltioissa (myyntiluvan haltijan on toimitettava muutoshakemus):</w:t>
            </w:r>
          </w:p>
          <w:p w:rsidR="001254AC" w:rsidRPr="00886676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886676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6676">
              <w:rPr>
                <w:rFonts w:ascii="Times New Roman" w:hAnsi="Times New Roman"/>
                <w:sz w:val="22"/>
              </w:rPr>
              <w:t>{PP.KK.VVVV}</w:t>
            </w:r>
          </w:p>
          <w:p w:rsidR="00CA32DE" w:rsidRPr="00886676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886676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886676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86676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886676" w:rsidP="00A91ECC" w14:paraId="03ECD86A" w14:textId="29826E9B">
    <w:pPr>
      <w:pStyle w:val="Footer"/>
      <w:jc w:val="center"/>
    </w:pPr>
    <w:r w:rsidRPr="00886676">
      <w:fldChar w:fldCharType="begin"/>
    </w:r>
    <w:r w:rsidRPr="00886676">
      <w:instrText xml:space="preserve"> PAGE   \* MERGEFORMAT </w:instrText>
    </w:r>
    <w:r w:rsidRPr="00886676">
      <w:fldChar w:fldCharType="separate"/>
    </w:r>
    <w:r w:rsidRPr="00886676" w:rsidR="00B965C6">
      <w:t>7</w:t>
    </w:r>
    <w:r w:rsidRPr="0088667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86676" w:rsidP="00C82F72" w14:paraId="0FC3989B" w14:textId="77777777">
    <w:pPr>
      <w:pStyle w:val="FooterAgency"/>
      <w:jc w:val="center"/>
    </w:pPr>
    <w:r w:rsidRPr="00886676">
      <w:fldChar w:fldCharType="begin"/>
    </w:r>
    <w:r w:rsidRPr="00886676">
      <w:instrText xml:space="preserve"> PAGE  \* Arabic  \* MERGEFORMAT </w:instrText>
    </w:r>
    <w:r w:rsidRPr="00886676">
      <w:fldChar w:fldCharType="separate"/>
    </w:r>
    <w:r w:rsidRPr="00886676" w:rsidR="00AF10F5">
      <w:t>3</w:t>
    </w:r>
    <w:r w:rsidRPr="00886676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86676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86676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86676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96D3E"/>
    <w:rsid w:val="000A08A4"/>
    <w:rsid w:val="000A5AD0"/>
    <w:rsid w:val="000D12C1"/>
    <w:rsid w:val="000E7524"/>
    <w:rsid w:val="001254AC"/>
    <w:rsid w:val="00141D66"/>
    <w:rsid w:val="00144B88"/>
    <w:rsid w:val="0014751D"/>
    <w:rsid w:val="001526F7"/>
    <w:rsid w:val="00164398"/>
    <w:rsid w:val="001668A5"/>
    <w:rsid w:val="00177769"/>
    <w:rsid w:val="00262215"/>
    <w:rsid w:val="002E245C"/>
    <w:rsid w:val="003002E2"/>
    <w:rsid w:val="003021A0"/>
    <w:rsid w:val="00334EA3"/>
    <w:rsid w:val="00341636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92EF2"/>
    <w:rsid w:val="005C1E61"/>
    <w:rsid w:val="005E16A2"/>
    <w:rsid w:val="005E4F6E"/>
    <w:rsid w:val="00602D10"/>
    <w:rsid w:val="00603F36"/>
    <w:rsid w:val="00611CD3"/>
    <w:rsid w:val="00646014"/>
    <w:rsid w:val="006648A3"/>
    <w:rsid w:val="006B42D1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60675"/>
    <w:rsid w:val="00882274"/>
    <w:rsid w:val="00886676"/>
    <w:rsid w:val="008C1AAA"/>
    <w:rsid w:val="008F4258"/>
    <w:rsid w:val="009316E2"/>
    <w:rsid w:val="00965742"/>
    <w:rsid w:val="009806DF"/>
    <w:rsid w:val="00985F2E"/>
    <w:rsid w:val="009A0639"/>
    <w:rsid w:val="009A6CAD"/>
    <w:rsid w:val="009E375D"/>
    <w:rsid w:val="00A46A98"/>
    <w:rsid w:val="00A91ECC"/>
    <w:rsid w:val="00AB1D85"/>
    <w:rsid w:val="00AC7E11"/>
    <w:rsid w:val="00AF10F5"/>
    <w:rsid w:val="00B242A9"/>
    <w:rsid w:val="00B5167E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435F7"/>
    <w:rsid w:val="00C53BB6"/>
    <w:rsid w:val="00C73035"/>
    <w:rsid w:val="00C82F72"/>
    <w:rsid w:val="00C94968"/>
    <w:rsid w:val="00CA32DE"/>
    <w:rsid w:val="00D516BB"/>
    <w:rsid w:val="00D84DFF"/>
    <w:rsid w:val="00DA484F"/>
    <w:rsid w:val="00DD3A2B"/>
    <w:rsid w:val="00E256EE"/>
    <w:rsid w:val="00E80957"/>
    <w:rsid w:val="00EA78B7"/>
    <w:rsid w:val="00EB1210"/>
    <w:rsid w:val="00ED1456"/>
    <w:rsid w:val="00F13072"/>
    <w:rsid w:val="00F22EA5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fi-F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psusa-nationally-authorised-products-template_en</vt:lpstr>
      <vt:lpstr>psusa-nationally-authorised-products-template_en</vt:lpstr>
    </vt:vector>
  </TitlesOfParts>
  <Company>CDT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H_psusa_nap_FI</dc:title>
  <dc:creator>CDT</dc:creator>
  <dc:description>Template version: 8 August 2014</dc:description>
  <cp:lastModifiedBy>Akhtar Tia</cp:lastModifiedBy>
  <cp:revision>5</cp:revision>
  <cp:lastPrinted>2015-08-07T11:17:00Z</cp:lastPrinted>
  <dcterms:created xsi:type="dcterms:W3CDTF">2023-12-22T10:52:00Z</dcterms:created>
  <dcterms:modified xsi:type="dcterms:W3CDTF">2024-01-10T08:11:00Z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09:11:36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EMA/6544/2024</vt:lpwstr>
  </property>
  <property fmtid="{D5CDD505-2E9C-101B-9397-08002B2CF9AE}" pid="7" name="DM_emea_doc_ref_id">
    <vt:lpwstr>EMA/6544/2024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09:11:36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09:11:36</vt:lpwstr>
  </property>
  <property fmtid="{D5CDD505-2E9C-101B-9397-08002B2CF9AE}" pid="15" name="DM_Name">
    <vt:lpwstr>H_psusa_nap_FI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fe155853-9f55-4d9d-959b-86a21f00a532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2024-01-10T08:11:23Z</vt:lpwstr>
  </property>
  <property fmtid="{D5CDD505-2E9C-101B-9397-08002B2CF9AE}" pid="28" name="MSIP_Label_0eea11ca-d417-4147-80ed-01a58412c458_SiteId">
    <vt:lpwstr>bc9dc15c-61bc-4f03-b60b-e5b6d8922839</vt:lpwstr>
  </property>
</Properties>
</file>