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p w:rsidR="00433B68" w:rsidRPr="0025797E" w:rsidP="00433B68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433B68" w:rsidRPr="0025797E" w:rsidP="00433B68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433B68" w:rsidRPr="0025797E" w:rsidP="00433B68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433B68" w:rsidRPr="0025797E" w:rsidP="00433B68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433B68" w:rsidRPr="0025797E" w:rsidP="00433B68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433B68" w:rsidRPr="0025797E" w:rsidP="00433B68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433B68" w:rsidRPr="0025797E" w:rsidP="00433B68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433B68" w:rsidRPr="0025797E" w:rsidP="00433B68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433B68" w:rsidRPr="0025797E" w:rsidP="00433B68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433B68" w:rsidRPr="0025797E" w:rsidP="00433B68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433B68" w:rsidRPr="0025797E" w:rsidP="00433B68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433B68" w:rsidRPr="0025797E" w:rsidP="00433B68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433B68" w:rsidRPr="0025797E" w:rsidP="00433B68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433B68" w:rsidRPr="0025797E" w:rsidP="00433B68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433B68" w:rsidRPr="0025797E" w:rsidP="00433B68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433B68" w:rsidRPr="0025797E" w:rsidP="00433B68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433B68" w:rsidRPr="0025797E" w:rsidP="00433B68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433B68" w:rsidRPr="0025797E" w:rsidP="00433B68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433B68" w:rsidRPr="0025797E" w:rsidP="00433B68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433B68" w:rsidRPr="0025797E" w:rsidP="00433B68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433B68" w:rsidRPr="0025797E" w:rsidP="00433B68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433B68" w:rsidRPr="0025797E" w:rsidP="00433B68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433B68" w:rsidRPr="0025797E" w:rsidP="00433B68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433B68" w:rsidRPr="0025797E" w:rsidP="00433B68">
      <w:pPr>
        <w:pStyle w:val="No-numheading3Agency"/>
        <w:jc w:val="center"/>
        <w:rPr>
          <w:rFonts w:ascii="Times New Roman" w:hAnsi="Times New Roman" w:cs="Times New Roman"/>
        </w:rPr>
      </w:pPr>
      <w:r w:rsidRPr="0025797E" w:rsidR="0025797E">
        <w:rPr>
          <w:rFonts w:ascii="Times New Roman" w:hAnsi="Times New Roman" w:cs="Times New Roman"/>
        </w:rPr>
        <w:t>ANNEX IV</w:t>
      </w:r>
    </w:p>
    <w:p w:rsidR="00433B68" w:rsidRPr="0025797E" w:rsidP="00433B68">
      <w:pPr>
        <w:pStyle w:val="No-numheading3Agency"/>
        <w:jc w:val="center"/>
        <w:rPr>
          <w:rFonts w:ascii="Times New Roman" w:hAnsi="Times New Roman" w:cs="Times New Roman"/>
        </w:rPr>
      </w:pPr>
      <w:r w:rsidRPr="0025797E" w:rsidR="0025797E">
        <w:rPr>
          <w:rFonts w:ascii="Times New Roman" w:hAnsi="Times New Roman" w:cs="Times New Roman"/>
        </w:rPr>
        <w:t>CONCLUSIONS ON THE GRANTING OF THE CONDITIONAL MARKETING AUTHORISATION AND &lt;SIMILARITY AND DEROGATION&gt; &lt;AND&gt; &lt; THE REQUEST FOR ONE-YEAR &lt;MARKETING PROTECTION&gt; &lt;DATA EXCLUSIVITY&gt;&gt; PRESENTED BY THE EUROPEAN MEDICINES AGENCY</w:t>
      </w:r>
    </w:p>
    <w:p w:rsidR="00433B68" w:rsidRPr="0025797E" w:rsidP="00433B68">
      <w:pPr>
        <w:pStyle w:val="No-numheading3Agency"/>
        <w:rPr>
          <w:rFonts w:ascii="Times New Roman" w:hAnsi="Times New Roman" w:cs="Times New Roman"/>
        </w:rPr>
      </w:pPr>
      <w:r w:rsidRPr="0025797E">
        <w:rPr>
          <w:rFonts w:ascii="Times New Roman" w:hAnsi="Times New Roman" w:cs="Times New Roman"/>
          <w:b w:val="0"/>
          <w:bCs w:val="0"/>
        </w:rPr>
        <w:br w:type="page"/>
      </w:r>
      <w:r w:rsidRPr="0025797E">
        <w:rPr>
          <w:rFonts w:ascii="Times New Roman" w:hAnsi="Times New Roman" w:cs="Times New Roman"/>
        </w:rPr>
        <w:t>Conclusions presented by the European Medicines Agency on:</w:t>
      </w:r>
    </w:p>
    <w:p w:rsidR="00433B68" w:rsidRPr="0025797E" w:rsidP="00433B68">
      <w:pPr>
        <w:pStyle w:val="DraftingNotesAgency"/>
        <w:rPr>
          <w:rFonts w:ascii="Times New Roman" w:hAnsi="Times New Roman" w:cs="Times New Roman"/>
          <w:szCs w:val="22"/>
        </w:rPr>
      </w:pPr>
      <w:r w:rsidRPr="0025797E">
        <w:rPr>
          <w:rFonts w:ascii="Times New Roman" w:hAnsi="Times New Roman" w:cs="Times New Roman"/>
          <w:szCs w:val="22"/>
        </w:rPr>
        <w:t xml:space="preserve">[For the conditional marketing authorisation status and, </w:t>
      </w:r>
      <w:r w:rsidRPr="0025797E" w:rsidR="004B6B7D">
        <w:rPr>
          <w:rFonts w:ascii="Times New Roman" w:hAnsi="Times New Roman" w:cs="Times New Roman"/>
          <w:szCs w:val="22"/>
        </w:rPr>
        <w:t>in case of</w:t>
      </w:r>
      <w:r w:rsidRPr="0025797E">
        <w:rPr>
          <w:rFonts w:ascii="Times New Roman" w:hAnsi="Times New Roman" w:cs="Times New Roman"/>
          <w:szCs w:val="22"/>
        </w:rPr>
        <w:t xml:space="preserve"> similarity and </w:t>
      </w:r>
      <w:r w:rsidRPr="0025797E" w:rsidR="004B6B7D">
        <w:rPr>
          <w:rFonts w:ascii="Times New Roman" w:hAnsi="Times New Roman" w:cs="Times New Roman"/>
          <w:szCs w:val="22"/>
        </w:rPr>
        <w:t xml:space="preserve">an accepted </w:t>
      </w:r>
      <w:r w:rsidRPr="0025797E">
        <w:rPr>
          <w:rFonts w:ascii="Times New Roman" w:hAnsi="Times New Roman" w:cs="Times New Roman"/>
          <w:szCs w:val="22"/>
        </w:rPr>
        <w:t>derogation, please select the statement(s) as provided below.]</w:t>
      </w:r>
    </w:p>
    <w:p w:rsidR="00433B68" w:rsidRPr="0025797E" w:rsidP="00433B68">
      <w:pPr>
        <w:pStyle w:val="BodytextAgency"/>
        <w:numPr>
          <w:ilvl w:val="0"/>
          <w:numId w:val="4"/>
        </w:numPr>
        <w:rPr>
          <w:rFonts w:ascii="Times New Roman" w:hAnsi="Times New Roman" w:cs="Times New Roman"/>
          <w:b/>
          <w:sz w:val="22"/>
          <w:szCs w:val="22"/>
        </w:rPr>
      </w:pPr>
      <w:r w:rsidRPr="0025797E">
        <w:rPr>
          <w:rFonts w:ascii="Times New Roman" w:hAnsi="Times New Roman" w:cs="Times New Roman"/>
          <w:b/>
          <w:sz w:val="22"/>
          <w:szCs w:val="22"/>
        </w:rPr>
        <w:t>Conditional marketing authorisation</w:t>
      </w:r>
    </w:p>
    <w:p w:rsidR="00433B68" w:rsidRPr="0025797E" w:rsidP="00433B68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25797E">
        <w:rPr>
          <w:rFonts w:ascii="Times New Roman" w:hAnsi="Times New Roman" w:cs="Times New Roman"/>
          <w:sz w:val="22"/>
          <w:szCs w:val="22"/>
        </w:rPr>
        <w:t xml:space="preserve">The CHMP having considered the application is of the opinion that the risk-benefit balance is favourable to recommend </w:t>
      </w:r>
      <w:r w:rsidRPr="0025797E">
        <w:rPr>
          <w:rFonts w:ascii="Times New Roman" w:hAnsi="Times New Roman" w:cs="Times New Roman"/>
          <w:snapToGrid w:val="0"/>
          <w:sz w:val="22"/>
          <w:szCs w:val="22"/>
        </w:rPr>
        <w:t xml:space="preserve">the granting of the conditional marketing authorisation </w:t>
      </w:r>
      <w:r w:rsidRPr="0025797E">
        <w:rPr>
          <w:rFonts w:ascii="Times New Roman" w:hAnsi="Times New Roman" w:cs="Times New Roman"/>
          <w:sz w:val="22"/>
          <w:szCs w:val="22"/>
        </w:rPr>
        <w:t>as further explained in the European Public Assessment Report.</w:t>
      </w:r>
    </w:p>
    <w:p w:rsidR="00433B68" w:rsidRPr="0025797E" w:rsidP="00433B68">
      <w:pPr>
        <w:pStyle w:val="BodytextAgency"/>
        <w:numPr>
          <w:ilvl w:val="0"/>
          <w:numId w:val="4"/>
        </w:numPr>
        <w:rPr>
          <w:rFonts w:ascii="Times New Roman" w:hAnsi="Times New Roman" w:cs="Times New Roman"/>
          <w:b/>
          <w:sz w:val="22"/>
          <w:szCs w:val="22"/>
        </w:rPr>
      </w:pPr>
      <w:r w:rsidRPr="0025797E">
        <w:rPr>
          <w:rFonts w:ascii="Times New Roman" w:hAnsi="Times New Roman" w:cs="Times New Roman"/>
          <w:b/>
          <w:sz w:val="22"/>
          <w:szCs w:val="22"/>
        </w:rPr>
        <w:t xml:space="preserve">&lt;Similarity&gt; </w:t>
      </w:r>
    </w:p>
    <w:p w:rsidR="00433B68" w:rsidRPr="0025797E" w:rsidP="00433B68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25797E">
        <w:rPr>
          <w:rFonts w:ascii="Times New Roman" w:hAnsi="Times New Roman" w:cs="Times New Roman"/>
          <w:sz w:val="22"/>
          <w:szCs w:val="22"/>
        </w:rPr>
        <w:t xml:space="preserve">&lt;The CHMP is of the opinion that </w:t>
      </w:r>
      <w:r w:rsidRPr="0025797E" w:rsidR="004B6B7D">
        <w:rPr>
          <w:rFonts w:ascii="Times New Roman" w:hAnsi="Times New Roman" w:cs="Times New Roman"/>
          <w:sz w:val="22"/>
          <w:szCs w:val="22"/>
        </w:rPr>
        <w:t>&lt;name of product&gt;</w:t>
      </w:r>
      <w:r w:rsidRPr="0025797E">
        <w:rPr>
          <w:rFonts w:ascii="Times New Roman" w:hAnsi="Times New Roman" w:cs="Times New Roman"/>
          <w:sz w:val="22"/>
          <w:szCs w:val="22"/>
        </w:rPr>
        <w:t xml:space="preserve"> is similar to authorised orphan medicinal products within the meaning of Article 3 of Commission Regulation (EC) No. 847/2000 as further explained in the European Public Assessment Report. &gt;</w:t>
      </w:r>
    </w:p>
    <w:p w:rsidR="00433B68" w:rsidRPr="0025797E" w:rsidP="00433B68">
      <w:pPr>
        <w:pStyle w:val="BodytextAgency"/>
        <w:numPr>
          <w:ilvl w:val="0"/>
          <w:numId w:val="4"/>
        </w:numPr>
        <w:rPr>
          <w:rFonts w:ascii="Times New Roman" w:hAnsi="Times New Roman" w:cs="Times New Roman"/>
          <w:b/>
          <w:sz w:val="22"/>
          <w:szCs w:val="22"/>
        </w:rPr>
      </w:pPr>
      <w:r w:rsidRPr="0025797E">
        <w:rPr>
          <w:rFonts w:ascii="Times New Roman" w:hAnsi="Times New Roman" w:cs="Times New Roman"/>
          <w:b/>
          <w:sz w:val="22"/>
          <w:szCs w:val="22"/>
        </w:rPr>
        <w:t>&lt;Derogation&gt;</w:t>
      </w:r>
    </w:p>
    <w:p w:rsidR="00433B68" w:rsidRPr="0025797E" w:rsidP="00433B68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25797E">
        <w:rPr>
          <w:rFonts w:ascii="Times New Roman" w:hAnsi="Times New Roman" w:cs="Times New Roman"/>
          <w:sz w:val="22"/>
          <w:szCs w:val="22"/>
        </w:rPr>
        <w:t xml:space="preserve">&lt;The CHMP is of the opinion that pursuant to Article 8 of Regulation (EC) No. 141/2000 and &lt;Article 3 of Commission Regulation (EC) No 847/2000&gt; </w:t>
      </w:r>
      <w:r w:rsidRPr="0025797E">
        <w:rPr>
          <w:rStyle w:val="DraftingNotesAgencyChar"/>
          <w:rFonts w:ascii="Times New Roman" w:hAnsi="Times New Roman" w:cs="Times New Roman"/>
          <w:szCs w:val="22"/>
        </w:rPr>
        <w:t>[only for the superiority derogation]</w:t>
      </w:r>
      <w:r w:rsidRPr="0025797E">
        <w:rPr>
          <w:rFonts w:ascii="Times New Roman" w:hAnsi="Times New Roman" w:cs="Times New Roman"/>
          <w:i/>
          <w:color w:val="008000"/>
          <w:sz w:val="22"/>
          <w:szCs w:val="22"/>
        </w:rPr>
        <w:t xml:space="preserve"> </w:t>
      </w:r>
      <w:r w:rsidRPr="0025797E">
        <w:rPr>
          <w:rFonts w:ascii="Times New Roman" w:hAnsi="Times New Roman" w:cs="Times New Roman"/>
          <w:sz w:val="22"/>
          <w:szCs w:val="22"/>
        </w:rPr>
        <w:t>the following derogation&lt;s&gt; laid down in Article 8.3 of the same Regulation apply(ies) as further explained in European Public Assessment Report :</w:t>
      </w:r>
    </w:p>
    <w:p w:rsidR="00433B68" w:rsidRPr="0025797E" w:rsidP="00433B68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25797E">
        <w:rPr>
          <w:rFonts w:ascii="Times New Roman" w:hAnsi="Times New Roman" w:cs="Times New Roman"/>
          <w:sz w:val="22"/>
          <w:szCs w:val="22"/>
        </w:rPr>
        <w:t xml:space="preserve">&lt;the holder of the marketing authorisation for &lt;authorised orphan medicinal product&gt; is unable to supply sufficient quantities of the medicinal product&gt; &lt;and&gt; </w:t>
      </w:r>
    </w:p>
    <w:p w:rsidR="00433B68" w:rsidRPr="0025797E" w:rsidP="00433B68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25797E">
        <w:rPr>
          <w:rFonts w:ascii="Times New Roman" w:hAnsi="Times New Roman" w:cs="Times New Roman"/>
          <w:sz w:val="22"/>
          <w:szCs w:val="22"/>
        </w:rPr>
        <w:t>&lt;the applicant could establish in the application that the medicinal product, although similar to &lt;authorised orphan medicinal product&gt;, is safer, more effective or otherwise clinically superior (as defined in Article 3 of Commission Regulation (EC) No. 847/2000) for the same therapeutic indication&gt; &lt;and&gt;</w:t>
      </w:r>
    </w:p>
    <w:p w:rsidR="00433B68" w:rsidRPr="0025797E" w:rsidP="00433B68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25797E">
        <w:rPr>
          <w:rFonts w:ascii="Times New Roman" w:hAnsi="Times New Roman" w:cs="Times New Roman"/>
          <w:sz w:val="22"/>
          <w:szCs w:val="22"/>
        </w:rPr>
        <w:t>&lt;the holder of the marketing authorisation for &lt;authorised orphan medicinal product&gt; has given his consent to the applicant.&gt;</w:t>
      </w:r>
    </w:p>
    <w:p w:rsidR="00433B68" w:rsidRPr="0025797E" w:rsidP="00433B68">
      <w:pPr>
        <w:pStyle w:val="BodytextAgency"/>
        <w:numPr>
          <w:ilvl w:val="0"/>
          <w:numId w:val="4"/>
        </w:numPr>
        <w:rPr>
          <w:rFonts w:ascii="Times New Roman" w:hAnsi="Times New Roman" w:cs="Times New Roman"/>
          <w:b/>
          <w:sz w:val="22"/>
          <w:szCs w:val="22"/>
        </w:rPr>
      </w:pPr>
      <w:r w:rsidRPr="0025797E">
        <w:rPr>
          <w:rFonts w:ascii="Times New Roman" w:hAnsi="Times New Roman" w:cs="Times New Roman"/>
          <w:b/>
          <w:sz w:val="22"/>
          <w:szCs w:val="22"/>
        </w:rPr>
        <w:t>&lt;one-year &lt;marketing protection&gt;&lt;data exclusivity&gt;&gt;</w:t>
      </w:r>
    </w:p>
    <w:p w:rsidR="00433B68" w:rsidRPr="0025797E" w:rsidP="00433B68">
      <w:pPr>
        <w:pStyle w:val="DraftingNotesAgency"/>
        <w:rPr>
          <w:rFonts w:ascii="Times New Roman" w:hAnsi="Times New Roman" w:cs="Times New Roman"/>
          <w:szCs w:val="22"/>
        </w:rPr>
      </w:pPr>
      <w:r w:rsidRPr="0025797E">
        <w:rPr>
          <w:rFonts w:ascii="Times New Roman" w:hAnsi="Times New Roman" w:cs="Times New Roman"/>
          <w:szCs w:val="22"/>
        </w:rPr>
        <w:t>[where one-year marketing protection/data exclusivity is accepted, otherwise provide scientific conclusions and grounds]</w:t>
      </w:r>
    </w:p>
    <w:p w:rsidR="00433B68" w:rsidRPr="0025797E" w:rsidP="00433B68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25797E">
        <w:rPr>
          <w:rStyle w:val="DraftingNotesAgencyChar"/>
          <w:rFonts w:ascii="Times New Roman" w:hAnsi="Times New Roman" w:cs="Times New Roman"/>
          <w:szCs w:val="22"/>
        </w:rPr>
        <w:t>[For Art 14(11)]</w:t>
      </w:r>
      <w:r w:rsidRPr="0025797E">
        <w:rPr>
          <w:rFonts w:ascii="Times New Roman" w:hAnsi="Times New Roman" w:cs="Times New Roman"/>
          <w:sz w:val="22"/>
          <w:szCs w:val="22"/>
        </w:rPr>
        <w:t xml:space="preserve"> &lt;The CHMP reviewed the data submitted by the Marketing Authorisation Holder, taking into account the provisions of Article 14(11) of Regulation (EC) No 726/2004, and considers that the new therapeutic indication brings significant clinical benefit in comparison with existing </w:t>
      </w:r>
      <w:r w:rsidR="003B51B7">
        <w:rPr>
          <w:rFonts w:ascii="Times New Roman" w:hAnsi="Times New Roman" w:cs="Times New Roman"/>
          <w:sz w:val="22"/>
          <w:szCs w:val="22"/>
        </w:rPr>
        <w:t xml:space="preserve">therapies </w:t>
      </w:r>
      <w:r w:rsidRPr="0025797E">
        <w:rPr>
          <w:rFonts w:ascii="Times New Roman" w:hAnsi="Times New Roman" w:cs="Times New Roman"/>
          <w:sz w:val="22"/>
          <w:szCs w:val="22"/>
        </w:rPr>
        <w:t>as further explained in the European Public Assessment Report. &gt;</w:t>
      </w:r>
    </w:p>
    <w:p w:rsidR="00433B68" w:rsidRPr="0025797E" w:rsidP="00433B68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25797E">
        <w:rPr>
          <w:rStyle w:val="DraftingNotesAgencyChar"/>
          <w:rFonts w:ascii="Times New Roman" w:hAnsi="Times New Roman" w:cs="Times New Roman"/>
          <w:szCs w:val="22"/>
        </w:rPr>
        <w:t>[Art 10(5)]</w:t>
      </w:r>
      <w:r w:rsidRPr="0025797E">
        <w:rPr>
          <w:rFonts w:ascii="Times New Roman" w:hAnsi="Times New Roman" w:cs="Times New Roman"/>
          <w:bCs/>
          <w:i/>
          <w:color w:val="339966"/>
          <w:kern w:val="32"/>
          <w:sz w:val="22"/>
          <w:szCs w:val="22"/>
        </w:rPr>
        <w:t xml:space="preserve"> </w:t>
      </w:r>
      <w:r w:rsidRPr="0025797E">
        <w:rPr>
          <w:rFonts w:ascii="Times New Roman" w:hAnsi="Times New Roman" w:cs="Times New Roman"/>
          <w:bCs/>
          <w:kern w:val="32"/>
          <w:sz w:val="22"/>
          <w:szCs w:val="22"/>
        </w:rPr>
        <w:t>&lt;The CHMP reviewed the data submitted by the Marketing Authorisation Holder, taking into</w:t>
      </w:r>
      <w:r w:rsidRPr="0025797E">
        <w:rPr>
          <w:rFonts w:ascii="Times New Roman" w:hAnsi="Times New Roman" w:cs="Times New Roman"/>
          <w:sz w:val="22"/>
          <w:szCs w:val="22"/>
        </w:rPr>
        <w:t xml:space="preserve"> account the provisions of Article 10(5) of Directive 2001/83/EC, and considers that &lt;the &lt;pre-clinical tests&gt; &lt;and&gt; &lt;clinical studies&gt; carried out in relation to the new indication were significant as further explained in the European Public Assessment Report. &gt;</w:t>
      </w:r>
    </w:p>
    <w:p w:rsidR="00433B68" w:rsidRPr="0025797E" w:rsidP="00433B68">
      <w:pPr>
        <w:pStyle w:val="BodytextAgency"/>
        <w:rPr>
          <w:rFonts w:ascii="Times New Roman" w:hAnsi="Times New Roman" w:cs="Times New Roman"/>
          <w:sz w:val="22"/>
          <w:szCs w:val="22"/>
        </w:rPr>
      </w:pPr>
    </w:p>
    <w:p w:rsidR="00433B68" w:rsidRPr="0025797E" w:rsidP="00433B68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552427" w:rsidRPr="0025797E" w:rsidP="00433B68">
      <w:pPr>
        <w:rPr>
          <w:szCs w:val="22"/>
        </w:rPr>
      </w:pPr>
    </w:p>
    <w:sectPr w:rsidSect="002A3C9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417" w:right="1247" w:bottom="1417" w:left="1247" w:header="284" w:footer="68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B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97E">
    <w:pPr>
      <w:pStyle w:val="Footer"/>
      <w:jc w:val="center"/>
    </w:pPr>
    <w:r>
      <w:rPr>
        <w:noProof w:val="0"/>
        <w:lang w:val="en-GB" w:eastAsia="zh-CN"/>
      </w:rPr>
      <w:fldChar w:fldCharType="begin"/>
    </w:r>
    <w:r>
      <w:instrText xml:space="preserve"> PAGE   \* MERGEFORMAT </w:instrText>
    </w:r>
    <w:r>
      <w:rPr>
        <w:noProof w:val="0"/>
        <w:lang w:val="en-GB" w:eastAsia="zh-CN"/>
      </w:rPr>
      <w:fldChar w:fldCharType="separate"/>
    </w:r>
    <w:r w:rsidR="00C27D6C">
      <w:t>2</w:t>
    </w:r>
    <w:r>
      <w:fldChar w:fldCharType="end"/>
    </w:r>
  </w:p>
  <w:p w:rsidR="002A3C92" w:rsidP="002A3C92">
    <w:pPr>
      <w:pStyle w:val="FooterAgency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C92">
    <w:pPr>
      <w:pStyle w:val="Footer"/>
      <w:jc w:val="center"/>
      <w:rPr>
        <w:lang w:val="pt-PT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B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B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B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">
    <w:nsid w:val="69E95A54"/>
    <w:multiLevelType w:val="hybridMultilevel"/>
    <w:tmpl w:val="93BE8EF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drawingGridHorizontalOrigin w:val="1701"/>
  <w:drawingGridVerticalOrigin w:val="1984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6C7"/>
    <w:rsid w:val="00103181"/>
    <w:rsid w:val="00176DCA"/>
    <w:rsid w:val="001B5247"/>
    <w:rsid w:val="00203CED"/>
    <w:rsid w:val="002061C5"/>
    <w:rsid w:val="002100BE"/>
    <w:rsid w:val="002274D6"/>
    <w:rsid w:val="00235E58"/>
    <w:rsid w:val="0025797E"/>
    <w:rsid w:val="002958FB"/>
    <w:rsid w:val="002A3C92"/>
    <w:rsid w:val="002C118B"/>
    <w:rsid w:val="00355381"/>
    <w:rsid w:val="003B51B7"/>
    <w:rsid w:val="003F1882"/>
    <w:rsid w:val="00433B68"/>
    <w:rsid w:val="004B39B8"/>
    <w:rsid w:val="004B6B7D"/>
    <w:rsid w:val="00516B40"/>
    <w:rsid w:val="00552427"/>
    <w:rsid w:val="005C2BD8"/>
    <w:rsid w:val="005F40CE"/>
    <w:rsid w:val="00613230"/>
    <w:rsid w:val="006427B3"/>
    <w:rsid w:val="00810750"/>
    <w:rsid w:val="00854270"/>
    <w:rsid w:val="008546F0"/>
    <w:rsid w:val="008D3CE8"/>
    <w:rsid w:val="00923FE3"/>
    <w:rsid w:val="00A36CBA"/>
    <w:rsid w:val="00A43DD5"/>
    <w:rsid w:val="00A6353C"/>
    <w:rsid w:val="00B36F8D"/>
    <w:rsid w:val="00B629C3"/>
    <w:rsid w:val="00BA06C7"/>
    <w:rsid w:val="00C27D6C"/>
    <w:rsid w:val="00C414D4"/>
    <w:rsid w:val="00C64B4F"/>
    <w:rsid w:val="00C776B9"/>
    <w:rsid w:val="00D5373A"/>
    <w:rsid w:val="00D61EDE"/>
    <w:rsid w:val="00DC58A7"/>
    <w:rsid w:val="00E0191A"/>
    <w:rsid w:val="00E1144C"/>
    <w:rsid w:val="00F341AF"/>
    <w:rsid w:val="00F55673"/>
    <w:rsid w:val="00FD0528"/>
    <w:rsid w:val="00FD2929"/>
  </w:rsids>
  <w:docVars>
    <w:docVar w:name="Registered" w:val="-1"/>
    <w:docVar w:name="Version" w:val="0"/>
  </w:docVars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lang w:val="en-GB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FooterAgency">
    <w:name w:val="Footer (Agency)"/>
    <w:basedOn w:val="Normal"/>
    <w:link w:val="FooterAgencyCharChar"/>
    <w:rsid w:val="00BA06C7"/>
    <w:rPr>
      <w:rFonts w:ascii="Verdana" w:eastAsia="Verdana" w:hAnsi="Verdana" w:cs="Verdana"/>
      <w:color w:val="6D6F71"/>
      <w:sz w:val="14"/>
      <w:szCs w:val="14"/>
      <w:lang w:eastAsia="en-GB"/>
    </w:rPr>
  </w:style>
  <w:style w:type="table" w:customStyle="1" w:styleId="FootertableAgency">
    <w:name w:val="Footer table (Agency)"/>
    <w:basedOn w:val="TableNormal"/>
    <w:rsid w:val="00BA06C7"/>
    <w:rPr>
      <w:rFonts w:ascii="Verdana" w:eastAsia="SimSun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BA06C7"/>
    <w:rPr>
      <w:rFonts w:ascii="Verdana" w:eastAsia="Verdana" w:hAnsi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rsid w:val="00BA06C7"/>
    <w:pPr>
      <w:tabs>
        <w:tab w:val="right" w:pos="9781"/>
      </w:tabs>
      <w:jc w:val="right"/>
    </w:pPr>
    <w:rPr>
      <w:rFonts w:ascii="Verdana" w:eastAsia="Verdana" w:hAnsi="Verdana" w:cs="Verdana"/>
      <w:noProof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rsid w:val="00BA06C7"/>
    <w:rPr>
      <w:rFonts w:ascii="Verdana" w:eastAsia="Verdana" w:hAnsi="Verdana" w:cs="Verdana"/>
      <w:noProof/>
      <w:color w:val="6D6F71"/>
      <w:sz w:val="14"/>
      <w:szCs w:val="14"/>
    </w:rPr>
  </w:style>
  <w:style w:type="character" w:customStyle="1" w:styleId="BodytextAgencyChar">
    <w:name w:val="Body text (Agency) Char"/>
    <w:link w:val="BodytextAgency"/>
    <w:locked/>
    <w:rsid w:val="00433B68"/>
    <w:rPr>
      <w:rFonts w:ascii="Verdana" w:eastAsia="Verdana" w:hAnsi="Verdana" w:cs="Verdana"/>
      <w:sz w:val="18"/>
      <w:szCs w:val="18"/>
    </w:rPr>
  </w:style>
  <w:style w:type="paragraph" w:customStyle="1" w:styleId="BodytextAgency">
    <w:name w:val="Body text (Agency)"/>
    <w:basedOn w:val="Normal"/>
    <w:link w:val="BodytextAgencyChar"/>
    <w:rsid w:val="00433B68"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DraftingNotesAgencyChar">
    <w:name w:val="Drafting Notes (Agency) Char"/>
    <w:link w:val="DraftingNotesAgency"/>
    <w:locked/>
    <w:rsid w:val="00433B68"/>
    <w:rPr>
      <w:rFonts w:ascii="Courier New" w:eastAsia="Verdana" w:hAnsi="Courier New" w:cs="Courier New"/>
      <w:i/>
      <w:color w:val="339966"/>
      <w:sz w:val="22"/>
      <w:szCs w:val="18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433B68"/>
    <w:pPr>
      <w:spacing w:after="140" w:line="280" w:lineRule="atLeast"/>
    </w:pPr>
    <w:rPr>
      <w:rFonts w:ascii="Courier New" w:eastAsia="Verdana" w:hAnsi="Courier New" w:cs="Courier New"/>
      <w:i/>
      <w:color w:val="339966"/>
      <w:szCs w:val="18"/>
      <w:lang w:eastAsia="en-GB"/>
    </w:rPr>
  </w:style>
  <w:style w:type="character" w:customStyle="1" w:styleId="No-numheading3AgencyChar">
    <w:name w:val="No-num heading 3 (Agency) Char"/>
    <w:link w:val="No-numheading3Agency"/>
    <w:locked/>
    <w:rsid w:val="00433B68"/>
    <w:rPr>
      <w:rFonts w:ascii="Verdana" w:eastAsia="Verdana" w:hAnsi="Verdana" w:cs="Arial"/>
      <w:b/>
      <w:bCs/>
      <w:kern w:val="32"/>
      <w:sz w:val="22"/>
      <w:szCs w:val="22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433B68"/>
    <w:pPr>
      <w:keepNext/>
      <w:spacing w:before="280" w:after="220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character" w:customStyle="1" w:styleId="NormalAgencyChar">
    <w:name w:val="Normal (Agency) Char"/>
    <w:link w:val="NormalAgency"/>
    <w:locked/>
    <w:rsid w:val="00433B68"/>
    <w:rPr>
      <w:rFonts w:ascii="Verdana" w:eastAsia="Verdana" w:hAnsi="Verdana" w:cs="Verdana"/>
      <w:sz w:val="18"/>
      <w:szCs w:val="18"/>
    </w:rPr>
  </w:style>
  <w:style w:type="paragraph" w:customStyle="1" w:styleId="NormalAgency">
    <w:name w:val="Normal (Agency)"/>
    <w:link w:val="NormalAgencyChar"/>
    <w:rsid w:val="00433B68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FooterChar">
    <w:name w:val="Footer Char"/>
    <w:link w:val="Footer"/>
    <w:uiPriority w:val="99"/>
    <w:rsid w:val="0025797E"/>
    <w:rPr>
      <w:rFonts w:ascii="Arial" w:hAnsi="Arial"/>
      <w:noProof/>
      <w:sz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HannexIVconditionalen</vt:lpstr>
    </vt:vector>
  </TitlesOfParts>
  <Company>European Medicines Agency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HannexIVconditional_en</dc:title>
  <dc:creator>European Medicines Agency</dc:creator>
  <cp:lastModifiedBy>Akhtar Tia</cp:lastModifiedBy>
  <cp:revision>3</cp:revision>
  <dcterms:created xsi:type="dcterms:W3CDTF">2016-12-08T10:42:00Z</dcterms:created>
  <dcterms:modified xsi:type="dcterms:W3CDTF">2018-10-12T13:25:00Z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12/10/2018 14:26:06</vt:lpwstr>
  </property>
  <property fmtid="{D5CDD505-2E9C-101B-9397-08002B2CF9AE}" pid="5" name="DM_Creator_Name">
    <vt:lpwstr>Akhtar Timea</vt:lpwstr>
  </property>
  <property fmtid="{D5CDD505-2E9C-101B-9397-08002B2CF9AE}" pid="6" name="DM_DocRefId">
    <vt:lpwstr>EMA/713506/2018</vt:lpwstr>
  </property>
  <property fmtid="{D5CDD505-2E9C-101B-9397-08002B2CF9AE}" pid="7" name="DM_emea_doc_ref_id">
    <vt:lpwstr>EMA/713506/2018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12/10/2018 14:26:06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12/10/2018 14:26:06</vt:lpwstr>
  </property>
  <property fmtid="{D5CDD505-2E9C-101B-9397-08002B2CF9AE}" pid="14" name="DM_Name">
    <vt:lpwstr>HannexIVconditional_en</vt:lpwstr>
  </property>
  <property fmtid="{D5CDD505-2E9C-101B-9397-08002B2CF9AE}" pid="15" name="DM_Path">
    <vt:lpwstr>/02b. Administration of Scientific Meeting/WPs SAGs DGs and other WGs/CxMP - QRD/3. Other activities/01. Product Reviews/05. AD HOC linguistic reviews/17 Annex IV revision 10-2016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2.0,CURRENT</vt:lpwstr>
  </property>
</Properties>
</file>