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476C3E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7461A8">
      <w:pPr>
        <w:pStyle w:val="No-numheading3Agency"/>
        <w:jc w:val="center"/>
        <w:rPr>
          <w:rFonts w:ascii="Times New Roman" w:hAnsi="Times New Roman" w:cs="Times New Roman"/>
          <w:lang w:val="lt-LT"/>
        </w:rPr>
      </w:pPr>
      <w:r w:rsidRPr="00C324CF" w:rsidR="00C324CF">
        <w:rPr>
          <w:rFonts w:ascii="Times New Roman" w:hAnsi="Times New Roman" w:cs="Times New Roman"/>
          <w:lang w:val="lt-LT"/>
        </w:rPr>
        <w:t>IV PRIEDAS</w:t>
      </w:r>
    </w:p>
    <w:p w:rsidR="00733187" w:rsidRPr="00C324CF" w:rsidP="00196100">
      <w:pPr>
        <w:pStyle w:val="No-numheading3Agency"/>
        <w:jc w:val="center"/>
        <w:rPr>
          <w:rFonts w:ascii="Times New Roman" w:hAnsi="Times New Roman" w:cs="Times New Roman"/>
          <w:lang w:val="lt-LT"/>
        </w:rPr>
      </w:pPr>
      <w:r w:rsidRPr="00C324CF" w:rsidR="00C324CF">
        <w:rPr>
          <w:rFonts w:ascii="Times New Roman" w:hAnsi="Times New Roman" w:cs="Times New Roman"/>
          <w:lang w:val="lt-LT"/>
        </w:rPr>
        <w:t xml:space="preserve">EUROPOS VAISTŲ AGENTŪROS IŠVADOS DĖL SĄLYGINĖS </w:t>
      </w:r>
      <w:r w:rsidR="0032449B">
        <w:rPr>
          <w:rFonts w:ascii="Times New Roman" w:hAnsi="Times New Roman" w:cs="Times New Roman"/>
          <w:lang w:val="lt-LT"/>
        </w:rPr>
        <w:t>REGISTRACIJOS</w:t>
      </w:r>
      <w:r w:rsidRPr="00C324CF" w:rsidR="00C324CF">
        <w:rPr>
          <w:rFonts w:ascii="Times New Roman" w:hAnsi="Times New Roman" w:cs="Times New Roman"/>
          <w:lang w:val="lt-LT"/>
        </w:rPr>
        <w:t xml:space="preserve"> IR &lt;PANAŠUMO IR NUKRYPIMO&gt; &lt;IR&gt; &lt;VIENERIŲ METŲ &lt;RINKOS APSAUGOS&gt; &lt;DUOMENŲ IŠIMTINUMO&gt; PRAŠYMO&gt;</w:t>
      </w:r>
    </w:p>
    <w:p w:rsidR="00733187" w:rsidRPr="00C324CF" w:rsidP="00196100">
      <w:pPr>
        <w:pStyle w:val="No-numheading3Agency"/>
        <w:rPr>
          <w:rFonts w:ascii="Times New Roman" w:hAnsi="Times New Roman" w:cs="Times New Roman"/>
          <w:lang w:val="lt-LT"/>
        </w:rPr>
      </w:pPr>
      <w:r w:rsidRPr="00C324CF">
        <w:rPr>
          <w:rFonts w:ascii="Times New Roman" w:hAnsi="Times New Roman" w:cs="Times New Roman"/>
          <w:lang w:val="lt-LT"/>
        </w:rPr>
        <w:br w:type="page"/>
        <w:t>Europos vaistų agentūros išvados dėl</w:t>
      </w:r>
    </w:p>
    <w:p w:rsidR="00733187" w:rsidRPr="00C324CF" w:rsidP="00DD7B33">
      <w:pPr>
        <w:pStyle w:val="DraftingNotesAgency"/>
        <w:rPr>
          <w:rFonts w:ascii="Times New Roman" w:hAnsi="Times New Roman"/>
          <w:szCs w:val="22"/>
          <w:lang w:val="lt-LT"/>
        </w:rPr>
      </w:pPr>
      <w:r w:rsidRPr="00C324CF">
        <w:rPr>
          <w:rFonts w:ascii="Times New Roman" w:hAnsi="Times New Roman"/>
          <w:szCs w:val="22"/>
          <w:lang w:val="lt-LT"/>
        </w:rPr>
        <w:t>[For the conditional marketi</w:t>
      </w:r>
      <w:r w:rsidRPr="00C324CF">
        <w:rPr>
          <w:rFonts w:ascii="Times New Roman" w:hAnsi="Times New Roman"/>
          <w:szCs w:val="22"/>
          <w:lang w:val="lt-LT"/>
        </w:rPr>
        <w:t>ng authorisation status and, in case of similarity and an accepted derogation, please select the statement(s) as provided below.]</w:t>
      </w:r>
    </w:p>
    <w:p w:rsidR="00733187" w:rsidRPr="00C324CF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b/>
          <w:sz w:val="22"/>
          <w:szCs w:val="22"/>
          <w:lang w:val="lt-LT"/>
        </w:rPr>
        <w:t xml:space="preserve">Sąlyginės </w:t>
      </w:r>
      <w:r w:rsidR="0032449B">
        <w:rPr>
          <w:rFonts w:ascii="Times New Roman" w:hAnsi="Times New Roman" w:cs="Times New Roman"/>
          <w:b/>
          <w:sz w:val="22"/>
          <w:szCs w:val="22"/>
          <w:lang w:val="lt-LT"/>
        </w:rPr>
        <w:t>registracijos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Išnagrinėjęs paraišką </w:t>
      </w:r>
      <w:r w:rsidRPr="00C324CF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nusprendė, kad, kaip išsamiau paaiškinta Europos viešame vertinimo protokole, rizikos ir naudos santykis yra palankus rekomenduoti sąlyginę </w:t>
      </w:r>
      <w:r w:rsidR="0032449B">
        <w:rPr>
          <w:rFonts w:ascii="Times New Roman" w:hAnsi="Times New Roman" w:cs="Times New Roman"/>
          <w:sz w:val="22"/>
          <w:szCs w:val="22"/>
          <w:lang w:val="lt-LT"/>
        </w:rPr>
        <w:t>registraciją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733187" w:rsidRPr="00C324CF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b/>
          <w:sz w:val="22"/>
          <w:szCs w:val="22"/>
          <w:lang w:val="lt-LT"/>
        </w:rPr>
        <w:t xml:space="preserve">&lt;Panašumo&gt; 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>&lt;</w:t>
      </w:r>
      <w:r w:rsidRPr="00C324CF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nusprendė, kad, kaip išsamiau paaiškinta Europos viešame vertinimo protokole, </w:t>
      </w:r>
      <w:r w:rsidRPr="00C324CF">
        <w:rPr>
          <w:rFonts w:ascii="Times New Roman" w:hAnsi="Times New Roman" w:cs="Times New Roman"/>
          <w:noProof/>
          <w:sz w:val="22"/>
          <w:szCs w:val="22"/>
          <w:lang w:val="lt-LT"/>
        </w:rPr>
        <w:t>«vais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tinio preparato pavadinimas</w:t>
      </w:r>
      <w:r w:rsidRPr="00C324CF">
        <w:rPr>
          <w:rFonts w:ascii="Times New Roman" w:hAnsi="Times New Roman" w:cs="Times New Roman"/>
          <w:noProof/>
          <w:sz w:val="22"/>
          <w:szCs w:val="22"/>
          <w:lang w:val="lt-LT"/>
        </w:rPr>
        <w:t>»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yra panašus į registruotus retuosius vaistinius preparatus, kaip apibrėžta Komisijos Reglamento (EB) Nr. 847/2000 3 straipsnyje.&gt;</w:t>
      </w:r>
    </w:p>
    <w:p w:rsidR="00733187" w:rsidRPr="00C324CF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b/>
          <w:sz w:val="22"/>
          <w:szCs w:val="22"/>
          <w:lang w:val="lt-LT"/>
        </w:rPr>
        <w:t>&lt;Nukrypimo&gt;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>&lt;</w:t>
      </w:r>
      <w:r w:rsidRPr="00C324CF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nusprendė, kad, </w:t>
      </w:r>
      <w:r w:rsidRPr="00C324CF">
        <w:rPr>
          <w:rStyle w:val="DraftingNotesAgencyChar"/>
          <w:rFonts w:ascii="Times New Roman" w:hAnsi="Times New Roman"/>
          <w:i w:val="0"/>
          <w:color w:val="auto"/>
          <w:sz w:val="22"/>
          <w:szCs w:val="22"/>
          <w:lang w:val="lt-LT"/>
        </w:rPr>
        <w:t xml:space="preserve">kaip išsamiau paaiškinta Europos viešame vertinimo protokole, 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remiantis Reglamento (EB) Nr. 141/2000 8 straipsniu &lt;ir Komisijos Reglamento 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(EB) Nr. 847/2000 3 straipsniu&gt;, </w:t>
      </w:r>
      <w:r w:rsidRPr="00C324CF">
        <w:rPr>
          <w:rStyle w:val="DraftingNotesAgencyChar"/>
          <w:rFonts w:ascii="Times New Roman" w:hAnsi="Times New Roman"/>
          <w:sz w:val="22"/>
          <w:szCs w:val="22"/>
          <w:lang w:val="lt-LT"/>
        </w:rPr>
        <w:t>[only for the superiority derogation]</w:t>
      </w:r>
      <w:r w:rsidR="009A3BDB">
        <w:rPr>
          <w:rStyle w:val="DraftingNotesAgencyChar"/>
          <w:rFonts w:ascii="Times New Roman" w:hAnsi="Times New Roman"/>
          <w:sz w:val="22"/>
          <w:szCs w:val="22"/>
          <w:lang w:val="lt-LT"/>
        </w:rPr>
        <w:t xml:space="preserve"> </w:t>
      </w:r>
      <w:r w:rsidRPr="00C324CF">
        <w:rPr>
          <w:rStyle w:val="DraftingNotesAgencyChar"/>
          <w:rFonts w:ascii="Times New Roman" w:hAnsi="Times New Roman"/>
          <w:i w:val="0"/>
          <w:color w:val="auto"/>
          <w:sz w:val="22"/>
          <w:szCs w:val="22"/>
          <w:lang w:val="lt-LT"/>
        </w:rPr>
        <w:t>taikytinas &lt;taikytini&gt; šis &lt;šie&gt;</w:t>
      </w:r>
      <w:r w:rsidRPr="00C324CF">
        <w:rPr>
          <w:rStyle w:val="DraftingNotesAgencyChar"/>
          <w:rFonts w:ascii="Times New Roman" w:hAnsi="Times New Roman"/>
          <w:sz w:val="22"/>
          <w:szCs w:val="22"/>
          <w:lang w:val="lt-LT"/>
        </w:rPr>
        <w:t xml:space="preserve"> </w:t>
      </w:r>
      <w:r w:rsidRPr="00C324CF">
        <w:rPr>
          <w:rStyle w:val="DraftingNotesAgencyChar"/>
          <w:rFonts w:ascii="Times New Roman" w:hAnsi="Times New Roman"/>
          <w:i w:val="0"/>
          <w:color w:val="auto"/>
          <w:sz w:val="22"/>
          <w:szCs w:val="22"/>
          <w:lang w:val="lt-LT"/>
        </w:rPr>
        <w:t>nukrypimas &lt;nukrypimai&gt;, apibrėžtas &lt;apibrėžti&gt; to paties Reglamento 8 straipsnio 3 dalyje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>&lt;registruoto retojo vaistinio preparato &lt;</w:t>
      </w:r>
      <w:r w:rsidR="0032449B">
        <w:rPr>
          <w:rFonts w:ascii="Times New Roman" w:hAnsi="Times New Roman" w:cs="Times New Roman"/>
          <w:sz w:val="22"/>
          <w:szCs w:val="22"/>
          <w:lang w:val="lt-LT"/>
        </w:rPr>
        <w:t>registruotojas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&gt; neg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ali tiekti pakankamo vaistinio preparato kiekio&gt; &lt;ir&gt; 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>&lt;paraiškoje pareiškėjas įrodė, kad vaistinis preparatas, nors ir panašus į &lt;registruotą retąjį vaistinį preparatą&gt;, yra saugesnis, veiksmingesnis ar kitaip kliniškai pranašesnis (kaip nurodyta Komisijo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s Reglamento (EB) Nr. 847/2000 3 straipsnyje) tai pačiai terapinei indikacijai&gt; &lt;ir&gt;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sz w:val="22"/>
          <w:szCs w:val="22"/>
          <w:lang w:val="lt-LT"/>
        </w:rPr>
        <w:t>&lt;registruoto retojo vaistinio preparato &lt;</w:t>
      </w:r>
      <w:r w:rsidR="0032449B">
        <w:rPr>
          <w:rFonts w:ascii="Times New Roman" w:hAnsi="Times New Roman" w:cs="Times New Roman"/>
          <w:sz w:val="22"/>
          <w:szCs w:val="22"/>
          <w:lang w:val="lt-LT"/>
        </w:rPr>
        <w:t>registruotojas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&gt; davė sutikimą pareiškėjui.&gt;</w:t>
      </w:r>
    </w:p>
    <w:p w:rsidR="00733187" w:rsidRPr="00C324CF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C324CF">
        <w:rPr>
          <w:rFonts w:ascii="Times New Roman" w:hAnsi="Times New Roman" w:cs="Times New Roman"/>
          <w:b/>
          <w:sz w:val="22"/>
          <w:szCs w:val="22"/>
          <w:lang w:val="lt-LT"/>
        </w:rPr>
        <w:t>&lt;vienerių metų &lt;rinkos apsaugos&gt; &lt;duomenų išimtinumo&gt;&gt;</w:t>
      </w:r>
    </w:p>
    <w:p w:rsidR="00733187" w:rsidRPr="00C324CF" w:rsidP="00196100">
      <w:pPr>
        <w:pStyle w:val="DraftingNotesAgency"/>
        <w:rPr>
          <w:rFonts w:ascii="Times New Roman" w:hAnsi="Times New Roman"/>
          <w:szCs w:val="22"/>
          <w:lang w:val="lt-LT"/>
        </w:rPr>
      </w:pPr>
      <w:r w:rsidRPr="00C324CF">
        <w:rPr>
          <w:rFonts w:ascii="Times New Roman" w:hAnsi="Times New Roman"/>
          <w:szCs w:val="22"/>
          <w:lang w:val="lt-LT"/>
        </w:rPr>
        <w:t>[where one-year marketing protection/data exclusivity is accepted, otherwise provide scientific conclusions and grounds]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Style w:val="DraftingNotesAgencyChar"/>
          <w:rFonts w:ascii="Times New Roman" w:hAnsi="Times New Roman"/>
          <w:sz w:val="22"/>
          <w:szCs w:val="22"/>
          <w:lang w:val="lt-LT"/>
        </w:rPr>
        <w:t>[For Art 14(11)]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&lt;</w:t>
      </w:r>
      <w:r w:rsidRPr="00C324CF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, atsižvelgdamas į Reglamento (EB) Nr. 726/2004 14 straipsnio 11 dalies nuostatas, peržiūrėjo </w:t>
      </w:r>
      <w:r w:rsidR="0032449B">
        <w:rPr>
          <w:rFonts w:ascii="Times New Roman" w:hAnsi="Times New Roman" w:cs="Times New Roman"/>
          <w:sz w:val="22"/>
          <w:szCs w:val="22"/>
          <w:lang w:val="lt-LT"/>
        </w:rPr>
        <w:t>registruotojo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pateiktus duomenis ir mano, kad nauja terapinė indikacija duoda svarbią klinikinę naudą, palyginti su esam</w:t>
      </w:r>
      <w:r w:rsidR="00B416B8">
        <w:rPr>
          <w:rFonts w:ascii="Times New Roman" w:hAnsi="Times New Roman" w:cs="Times New Roman"/>
          <w:sz w:val="22"/>
          <w:szCs w:val="22"/>
          <w:lang w:val="lt-LT"/>
        </w:rPr>
        <w:t>u gydymu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, kaip išsamiau paaiškinta Europos viešame vertinimo protokole.&gt;</w:t>
      </w:r>
    </w:p>
    <w:p w:rsidR="00733187" w:rsidRPr="00C324CF" w:rsidP="00196100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  <w:r w:rsidRPr="00C324CF">
        <w:rPr>
          <w:rStyle w:val="DraftingNotesAgencyChar"/>
          <w:rFonts w:ascii="Times New Roman" w:hAnsi="Times New Roman"/>
          <w:sz w:val="22"/>
          <w:szCs w:val="22"/>
          <w:lang w:val="lt-LT"/>
        </w:rPr>
        <w:t>[Art 10(5)]</w:t>
      </w:r>
      <w:r w:rsidRPr="00C324CF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  <w:lang w:val="lt-LT"/>
        </w:rPr>
        <w:t xml:space="preserve"> 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>&lt;</w:t>
      </w:r>
      <w:r w:rsidRPr="00C324CF">
        <w:rPr>
          <w:rFonts w:ascii="Times New Roman" w:hAnsi="Times New Roman" w:cs="Times New Roman"/>
          <w:i/>
          <w:sz w:val="22"/>
          <w:szCs w:val="22"/>
          <w:lang w:val="lt-LT"/>
        </w:rPr>
        <w:t>CHMP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, atsižvelgdamas į Direktyvos 2001/83/EB 10 straipsnio 5 dalies nuostatas, peržiūrėjo </w:t>
      </w:r>
      <w:r w:rsidR="0032449B">
        <w:rPr>
          <w:rFonts w:ascii="Times New Roman" w:hAnsi="Times New Roman" w:cs="Times New Roman"/>
          <w:sz w:val="22"/>
          <w:szCs w:val="22"/>
          <w:lang w:val="lt-LT"/>
        </w:rPr>
        <w:t>registruotojo</w:t>
      </w:r>
      <w:r w:rsidRPr="00C324CF">
        <w:rPr>
          <w:rFonts w:ascii="Times New Roman" w:hAnsi="Times New Roman" w:cs="Times New Roman"/>
          <w:sz w:val="22"/>
          <w:szCs w:val="22"/>
          <w:lang w:val="lt-LT"/>
        </w:rPr>
        <w:t xml:space="preserve"> pateiktus duomenis ir mano, kad &lt;&lt;ikiklinikiniai tyrimai&gt; &lt;ir&gt; &lt;klinikiniai tyrimai&gt;, atlikti dėl naujos indikacijos, buvo reikšmingi, kaip išsamiau paaiškinta Europos viešame vertinimo protokole.&gt;</w:t>
      </w:r>
    </w:p>
    <w:p w:rsidR="00733187" w:rsidRPr="00C324CF" w:rsidP="007461A8">
      <w:pPr>
        <w:pStyle w:val="BodytextAgency"/>
        <w:rPr>
          <w:rFonts w:ascii="Times New Roman" w:hAnsi="Times New Roman" w:cs="Times New Roman"/>
          <w:sz w:val="22"/>
          <w:szCs w:val="22"/>
          <w:lang w:val="lt-LT"/>
        </w:rPr>
      </w:pPr>
    </w:p>
    <w:p w:rsidR="00733187" w:rsidRPr="00C324CF" w:rsidP="00015C18">
      <w:pPr>
        <w:pStyle w:val="NormalAgency"/>
        <w:rPr>
          <w:rFonts w:ascii="Times New Roman" w:hAnsi="Times New Roman" w:cs="Times New Roman"/>
          <w:sz w:val="22"/>
          <w:szCs w:val="22"/>
          <w:lang w:val="lt-LT"/>
        </w:rPr>
      </w:pPr>
    </w:p>
    <w:sectPr w:rsidSect="00277B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4CF">
    <w:pPr>
      <w:pStyle w:val="Footer"/>
      <w:jc w:val="center"/>
    </w:pPr>
    <w:r>
      <w:rPr>
        <w:noProof w:val="0"/>
        <w:lang w:val="en-GB" w:eastAsia="en-US"/>
      </w:rPr>
      <w:fldChar w:fldCharType="begin"/>
    </w:r>
    <w:r>
      <w:instrText xml:space="preserve"> PAGE   \* MERGEFORMAT </w:instrText>
    </w:r>
    <w:r>
      <w:rPr>
        <w:noProof w:val="0"/>
        <w:lang w:val="en-GB" w:eastAsia="en-US"/>
      </w:rPr>
      <w:fldChar w:fldCharType="separate"/>
    </w:r>
    <w:r w:rsidR="002A3078">
      <w:t>2</w:t>
    </w:r>
    <w:r>
      <w:fldChar w:fldCharType="end"/>
    </w:r>
  </w:p>
  <w:p w:rsidR="00733187" w:rsidP="001002D6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87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5C18"/>
    <w:rsid w:val="000405AE"/>
    <w:rsid w:val="00040B4C"/>
    <w:rsid w:val="00067C0D"/>
    <w:rsid w:val="00080A41"/>
    <w:rsid w:val="00092122"/>
    <w:rsid w:val="000A045B"/>
    <w:rsid w:val="000A14E5"/>
    <w:rsid w:val="000A3310"/>
    <w:rsid w:val="000B1CC1"/>
    <w:rsid w:val="000C0D39"/>
    <w:rsid w:val="000D0C41"/>
    <w:rsid w:val="000F2950"/>
    <w:rsid w:val="001002D6"/>
    <w:rsid w:val="00115A2C"/>
    <w:rsid w:val="001420F4"/>
    <w:rsid w:val="0014745C"/>
    <w:rsid w:val="00172BF3"/>
    <w:rsid w:val="0017390E"/>
    <w:rsid w:val="00186C87"/>
    <w:rsid w:val="00191694"/>
    <w:rsid w:val="00196100"/>
    <w:rsid w:val="001A03A4"/>
    <w:rsid w:val="001A0DE6"/>
    <w:rsid w:val="001D3282"/>
    <w:rsid w:val="001E0B25"/>
    <w:rsid w:val="00202F0F"/>
    <w:rsid w:val="00204C17"/>
    <w:rsid w:val="00205225"/>
    <w:rsid w:val="00205B76"/>
    <w:rsid w:val="002100BE"/>
    <w:rsid w:val="00211FE9"/>
    <w:rsid w:val="00213D61"/>
    <w:rsid w:val="00220D27"/>
    <w:rsid w:val="0022274D"/>
    <w:rsid w:val="002230E8"/>
    <w:rsid w:val="00225E5C"/>
    <w:rsid w:val="0023318C"/>
    <w:rsid w:val="0024087C"/>
    <w:rsid w:val="00244A27"/>
    <w:rsid w:val="00250E6B"/>
    <w:rsid w:val="00276048"/>
    <w:rsid w:val="00277336"/>
    <w:rsid w:val="00277B40"/>
    <w:rsid w:val="002A264B"/>
    <w:rsid w:val="002A3078"/>
    <w:rsid w:val="002A3C92"/>
    <w:rsid w:val="002C7785"/>
    <w:rsid w:val="002D35E1"/>
    <w:rsid w:val="002D3E1C"/>
    <w:rsid w:val="002E5D87"/>
    <w:rsid w:val="002F27E5"/>
    <w:rsid w:val="003177D5"/>
    <w:rsid w:val="00317F45"/>
    <w:rsid w:val="0032449B"/>
    <w:rsid w:val="0036648D"/>
    <w:rsid w:val="00371833"/>
    <w:rsid w:val="003846E3"/>
    <w:rsid w:val="00385083"/>
    <w:rsid w:val="00392DEB"/>
    <w:rsid w:val="00393C55"/>
    <w:rsid w:val="003D39B5"/>
    <w:rsid w:val="003E4233"/>
    <w:rsid w:val="003F4442"/>
    <w:rsid w:val="003F7EBF"/>
    <w:rsid w:val="00415AAE"/>
    <w:rsid w:val="00430CC9"/>
    <w:rsid w:val="00433DE2"/>
    <w:rsid w:val="004501B8"/>
    <w:rsid w:val="0047656B"/>
    <w:rsid w:val="00476C3E"/>
    <w:rsid w:val="00487BFE"/>
    <w:rsid w:val="0049043D"/>
    <w:rsid w:val="004A2E29"/>
    <w:rsid w:val="004F0653"/>
    <w:rsid w:val="00503AF3"/>
    <w:rsid w:val="00505B44"/>
    <w:rsid w:val="00513D24"/>
    <w:rsid w:val="005437E6"/>
    <w:rsid w:val="00554AA1"/>
    <w:rsid w:val="00554CF7"/>
    <w:rsid w:val="00556B36"/>
    <w:rsid w:val="00560280"/>
    <w:rsid w:val="00567F2C"/>
    <w:rsid w:val="0057557B"/>
    <w:rsid w:val="0057726A"/>
    <w:rsid w:val="005B0E9C"/>
    <w:rsid w:val="005C2E4B"/>
    <w:rsid w:val="005C3479"/>
    <w:rsid w:val="005D2024"/>
    <w:rsid w:val="00616FB8"/>
    <w:rsid w:val="00634E43"/>
    <w:rsid w:val="0063515A"/>
    <w:rsid w:val="0063597F"/>
    <w:rsid w:val="00636ADC"/>
    <w:rsid w:val="00641978"/>
    <w:rsid w:val="006479D6"/>
    <w:rsid w:val="0065100A"/>
    <w:rsid w:val="00656206"/>
    <w:rsid w:val="00663802"/>
    <w:rsid w:val="0067219A"/>
    <w:rsid w:val="00694CF1"/>
    <w:rsid w:val="00695651"/>
    <w:rsid w:val="006B090E"/>
    <w:rsid w:val="006B25E8"/>
    <w:rsid w:val="006D0FD8"/>
    <w:rsid w:val="006D1E08"/>
    <w:rsid w:val="006D3C0E"/>
    <w:rsid w:val="006E30D5"/>
    <w:rsid w:val="006E4517"/>
    <w:rsid w:val="00703C95"/>
    <w:rsid w:val="00706020"/>
    <w:rsid w:val="00730205"/>
    <w:rsid w:val="00733187"/>
    <w:rsid w:val="0073502D"/>
    <w:rsid w:val="00740E98"/>
    <w:rsid w:val="007461A8"/>
    <w:rsid w:val="00752A92"/>
    <w:rsid w:val="007540BB"/>
    <w:rsid w:val="00755561"/>
    <w:rsid w:val="00755BD3"/>
    <w:rsid w:val="00776585"/>
    <w:rsid w:val="0078397B"/>
    <w:rsid w:val="00792529"/>
    <w:rsid w:val="007B64E0"/>
    <w:rsid w:val="007C012A"/>
    <w:rsid w:val="007C1197"/>
    <w:rsid w:val="007C3392"/>
    <w:rsid w:val="007D1741"/>
    <w:rsid w:val="007D3CFA"/>
    <w:rsid w:val="007D61E8"/>
    <w:rsid w:val="007E709F"/>
    <w:rsid w:val="00804261"/>
    <w:rsid w:val="008312A7"/>
    <w:rsid w:val="00833B61"/>
    <w:rsid w:val="008450F3"/>
    <w:rsid w:val="00850D6F"/>
    <w:rsid w:val="00855CBC"/>
    <w:rsid w:val="00862E4D"/>
    <w:rsid w:val="00883B40"/>
    <w:rsid w:val="0089530B"/>
    <w:rsid w:val="008B7B88"/>
    <w:rsid w:val="008C2C35"/>
    <w:rsid w:val="008E4ADD"/>
    <w:rsid w:val="008F571E"/>
    <w:rsid w:val="00914882"/>
    <w:rsid w:val="00916D32"/>
    <w:rsid w:val="009200E8"/>
    <w:rsid w:val="00924442"/>
    <w:rsid w:val="00931AE3"/>
    <w:rsid w:val="00947D14"/>
    <w:rsid w:val="00960A1C"/>
    <w:rsid w:val="00972A30"/>
    <w:rsid w:val="009934DE"/>
    <w:rsid w:val="009A246F"/>
    <w:rsid w:val="009A3BDB"/>
    <w:rsid w:val="009A5F51"/>
    <w:rsid w:val="009C5BAE"/>
    <w:rsid w:val="009D6932"/>
    <w:rsid w:val="009F6951"/>
    <w:rsid w:val="009F6D44"/>
    <w:rsid w:val="00A02C38"/>
    <w:rsid w:val="00A03717"/>
    <w:rsid w:val="00A5147A"/>
    <w:rsid w:val="00A62D0B"/>
    <w:rsid w:val="00A720C7"/>
    <w:rsid w:val="00A816BE"/>
    <w:rsid w:val="00AC3A25"/>
    <w:rsid w:val="00B10D65"/>
    <w:rsid w:val="00B12AAC"/>
    <w:rsid w:val="00B20750"/>
    <w:rsid w:val="00B333E5"/>
    <w:rsid w:val="00B33432"/>
    <w:rsid w:val="00B355A9"/>
    <w:rsid w:val="00B416B8"/>
    <w:rsid w:val="00B419F6"/>
    <w:rsid w:val="00B53E3C"/>
    <w:rsid w:val="00B56C52"/>
    <w:rsid w:val="00B57DC7"/>
    <w:rsid w:val="00B76D39"/>
    <w:rsid w:val="00B9497B"/>
    <w:rsid w:val="00BA7051"/>
    <w:rsid w:val="00BE7ECD"/>
    <w:rsid w:val="00BF04AA"/>
    <w:rsid w:val="00BF6604"/>
    <w:rsid w:val="00C02F84"/>
    <w:rsid w:val="00C249D3"/>
    <w:rsid w:val="00C26C04"/>
    <w:rsid w:val="00C31ABE"/>
    <w:rsid w:val="00C31FEC"/>
    <w:rsid w:val="00C324CF"/>
    <w:rsid w:val="00C4089E"/>
    <w:rsid w:val="00C50C32"/>
    <w:rsid w:val="00C51C1A"/>
    <w:rsid w:val="00C57461"/>
    <w:rsid w:val="00C64FD2"/>
    <w:rsid w:val="00CA6DA7"/>
    <w:rsid w:val="00CC20BA"/>
    <w:rsid w:val="00CC5C72"/>
    <w:rsid w:val="00CD0A77"/>
    <w:rsid w:val="00CD1ADC"/>
    <w:rsid w:val="00CE0337"/>
    <w:rsid w:val="00CE6CEC"/>
    <w:rsid w:val="00CF037B"/>
    <w:rsid w:val="00CF56BE"/>
    <w:rsid w:val="00D03C69"/>
    <w:rsid w:val="00D148C7"/>
    <w:rsid w:val="00D152D1"/>
    <w:rsid w:val="00D17ECB"/>
    <w:rsid w:val="00D26475"/>
    <w:rsid w:val="00D51491"/>
    <w:rsid w:val="00D555B5"/>
    <w:rsid w:val="00D60AB9"/>
    <w:rsid w:val="00D61B0D"/>
    <w:rsid w:val="00D62F0E"/>
    <w:rsid w:val="00D67EB3"/>
    <w:rsid w:val="00D870F4"/>
    <w:rsid w:val="00DA23E1"/>
    <w:rsid w:val="00DA6F1C"/>
    <w:rsid w:val="00DB7155"/>
    <w:rsid w:val="00DC53FA"/>
    <w:rsid w:val="00DD1220"/>
    <w:rsid w:val="00DD7B33"/>
    <w:rsid w:val="00DE3005"/>
    <w:rsid w:val="00DE4BE0"/>
    <w:rsid w:val="00DE6E31"/>
    <w:rsid w:val="00DF2DBF"/>
    <w:rsid w:val="00E15069"/>
    <w:rsid w:val="00E237CF"/>
    <w:rsid w:val="00E246DA"/>
    <w:rsid w:val="00E2595F"/>
    <w:rsid w:val="00E50B56"/>
    <w:rsid w:val="00E5413B"/>
    <w:rsid w:val="00E56F24"/>
    <w:rsid w:val="00E76566"/>
    <w:rsid w:val="00E8389E"/>
    <w:rsid w:val="00EB4C2F"/>
    <w:rsid w:val="00ED30E5"/>
    <w:rsid w:val="00EF79A0"/>
    <w:rsid w:val="00F2165B"/>
    <w:rsid w:val="00F34963"/>
    <w:rsid w:val="00F86CE6"/>
    <w:rsid w:val="00F966C2"/>
    <w:rsid w:val="00FD45A0"/>
    <w:rsid w:val="00FE6E1B"/>
    <w:rsid w:val="00FF42ED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D6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1002D6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1002D6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1002D6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1002D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002D6"/>
    <w:pPr>
      <w:keepNext/>
      <w:spacing w:before="280" w:after="220"/>
      <w:outlineLvl w:val="4"/>
    </w:pPr>
    <w:rPr>
      <w:rFonts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1002D6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1002D6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1002D6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1002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  <w:rsid w:val="001002D6"/>
    <w:rPr>
      <w:sz w:val="22"/>
      <w:szCs w:val="20"/>
      <w:lang w:eastAsia="en-US"/>
    </w:rPr>
  </w:style>
  <w:style w:type="character" w:customStyle="1" w:styleId="DateChar">
    <w:name w:val="Date Char"/>
    <w:link w:val="Date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er">
    <w:name w:val="footer"/>
    <w:basedOn w:val="Normal"/>
    <w:link w:val="FooterChar"/>
    <w:uiPriority w:val="99"/>
    <w:rsid w:val="001002D6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locked/>
    <w:rPr>
      <w:rFonts w:ascii="Verdana" w:hAnsi="Verdana" w:cs="Verdana"/>
      <w:sz w:val="18"/>
      <w:szCs w:val="18"/>
      <w:lang w:val="x-none" w:eastAsia="zh-CN"/>
    </w:rPr>
  </w:style>
  <w:style w:type="paragraph" w:styleId="Header">
    <w:name w:val="header"/>
    <w:basedOn w:val="Normal"/>
    <w:link w:val="HeaderChar"/>
    <w:uiPriority w:val="99"/>
    <w:rsid w:val="001002D6"/>
    <w:pPr>
      <w:tabs>
        <w:tab w:val="center" w:pos="4153"/>
        <w:tab w:val="right" w:pos="8306"/>
      </w:tabs>
    </w:pPr>
    <w:rPr>
      <w:rFonts w:ascii="Arial" w:hAnsi="Arial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rsid w:val="001002D6"/>
    <w:rPr>
      <w:sz w:val="15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hAnsi="Verdana" w:cs="Verdana"/>
      <w:lang w:val="x-none" w:eastAsia="zh-CN"/>
    </w:rPr>
  </w:style>
  <w:style w:type="paragraph" w:styleId="BodyTextIndent">
    <w:name w:val="Body Text Indent"/>
    <w:basedOn w:val="Normal"/>
    <w:link w:val="BodyTextIndentChar"/>
    <w:uiPriority w:val="99"/>
    <w:rsid w:val="001002D6"/>
    <w:pPr>
      <w:spacing w:after="120"/>
      <w:ind w:left="283"/>
    </w:pPr>
    <w:rPr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FooterAgency">
    <w:name w:val="Footer (Agency)"/>
    <w:basedOn w:val="Normal"/>
    <w:link w:val="FooterAgencyCharChar"/>
    <w:rsid w:val="00277B40"/>
    <w:rPr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002D6"/>
    <w:rPr>
      <w:b/>
      <w:noProof/>
      <w:color w:val="003399"/>
      <w:sz w:val="13"/>
      <w:szCs w:val="14"/>
      <w:lang w:eastAsia="en-GB"/>
    </w:rPr>
  </w:style>
  <w:style w:type="table" w:customStyle="1" w:styleId="3">
    <w:name w:val="3"/>
    <w:uiPriority w:val="99"/>
    <w:rsid w:val="0017390E"/>
    <w:pPr>
      <w:widowControl w:val="0"/>
      <w:autoSpaceDE w:val="0"/>
      <w:autoSpaceDN w:val="0"/>
      <w:adjustRightInd w:val="0"/>
    </w:pPr>
    <w:rPr>
      <w:sz w:val="24"/>
      <w:szCs w:val="24"/>
      <w:lang w:val="en-GB" w:eastAsia="en-GB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1"/>
    <w:rPr>
      <w:lang w:val="en-GB" w:eastAsia="en-GB" w:bidi="ar-SA"/>
    </w:rPr>
  </w:style>
  <w:style w:type="paragraph" w:customStyle="1" w:styleId="FootertableAgency">
    <w:name w:val="Footer table (Agency)"/>
    <w:rPr>
      <w:lang w:val="en-GB" w:eastAsia="en-GB" w:bidi="ar-SA"/>
    </w:rPr>
  </w:style>
  <w:style w:type="character" w:customStyle="1" w:styleId="FooterAgencyCharChar">
    <w:name w:val="Footer (Agency) Char Char"/>
    <w:link w:val="FooterAgency"/>
    <w:semiHidden/>
    <w:locked/>
    <w:rsid w:val="001002D6"/>
    <w:rPr>
      <w:rFonts w:ascii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1002D6"/>
    <w:pPr>
      <w:tabs>
        <w:tab w:val="right" w:pos="9781"/>
      </w:tabs>
      <w:jc w:val="right"/>
    </w:pPr>
    <w:rPr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locked/>
    <w:rsid w:val="001002D6"/>
  </w:style>
  <w:style w:type="table" w:customStyle="1" w:styleId="TablegridAgencyblank">
    <w:name w:val="Table grid (Agency) blank"/>
    <w:basedOn w:val="TableNormal"/>
    <w:rsid w:val="001002D6"/>
    <w:rPr>
      <w:rFonts w:ascii="Verdana" w:hAnsi="Verdana"/>
      <w:sz w:val="18"/>
    </w:rPr>
    <w:tblPr/>
    <w:tblStylePr w:type="firstRow">
      <w:rPr>
        <w:rFonts w:ascii="Times New Roman" w:hAnsi="Times New Roman" w:cs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locked/>
    <w:rsid w:val="001002D6"/>
    <w:rPr>
      <w:rFonts w:ascii="Verdana" w:hAnsi="Verdana" w:cs="Verdana"/>
      <w:b/>
      <w:color w:val="003399"/>
      <w:sz w:val="14"/>
      <w:szCs w:val="14"/>
      <w:lang w:val="en-GB" w:eastAsia="en-GB" w:bidi="ar-SA"/>
    </w:rPr>
  </w:style>
  <w:style w:type="paragraph" w:styleId="BodyText">
    <w:name w:val="Body Text"/>
    <w:basedOn w:val="Normal"/>
    <w:link w:val="BodyTextChar"/>
    <w:uiPriority w:val="99"/>
    <w:rsid w:val="001002D6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BodytextAgency">
    <w:name w:val="Body text (Agency)"/>
    <w:basedOn w:val="Normal"/>
    <w:link w:val="BodytextAgencyChar"/>
    <w:rsid w:val="001002D6"/>
    <w:pPr>
      <w:spacing w:after="140" w:line="280" w:lineRule="atLeast"/>
    </w:pPr>
    <w:rPr>
      <w:lang w:eastAsia="en-GB"/>
    </w:rPr>
  </w:style>
  <w:style w:type="paragraph" w:customStyle="1" w:styleId="DisclaimerAgency">
    <w:name w:val="Disclaimer (Agency)"/>
    <w:basedOn w:val="Normal"/>
    <w:rsid w:val="001002D6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1002D6"/>
    <w:pPr>
      <w:spacing w:after="640" w:line="360" w:lineRule="atLeast"/>
    </w:pPr>
    <w:rPr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1002D6"/>
    <w:pPr>
      <w:spacing w:before="720" w:line="360" w:lineRule="atLeast"/>
    </w:pPr>
    <w:rPr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002D6"/>
    <w:pPr>
      <w:spacing w:after="140" w:line="280" w:lineRule="atLeast"/>
    </w:pPr>
    <w:rPr>
      <w:rFonts w:ascii="Courier New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1002D6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1002D6"/>
    <w:rPr>
      <w:sz w:val="15"/>
      <w:szCs w:val="15"/>
      <w:lang w:eastAsia="en-GB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hAnsi="Verdana" w:cs="Verdana"/>
      <w:lang w:val="x-none" w:eastAsia="zh-CN"/>
    </w:rPr>
  </w:style>
  <w:style w:type="paragraph" w:customStyle="1" w:styleId="EndnotetextAgency">
    <w:name w:val="Endnote text (Agency)"/>
    <w:basedOn w:val="Normal"/>
    <w:rsid w:val="001002D6"/>
    <w:rPr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1002D6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002D6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1002D6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1002D6"/>
    <w:rPr>
      <w:sz w:val="15"/>
      <w:lang w:eastAsia="en-GB"/>
    </w:rPr>
  </w:style>
  <w:style w:type="paragraph" w:customStyle="1" w:styleId="HeaderAgency">
    <w:name w:val="Header (Agency)"/>
    <w:basedOn w:val="Normal"/>
    <w:rsid w:val="001002D6"/>
    <w:rPr>
      <w:lang w:eastAsia="en-GB"/>
    </w:rPr>
  </w:style>
  <w:style w:type="paragraph" w:customStyle="1" w:styleId="Heading1Agency">
    <w:name w:val="Heading 1 (Agency)"/>
    <w:basedOn w:val="Normal"/>
    <w:next w:val="BodytextAgency"/>
    <w:rsid w:val="001002D6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1002D6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1002D6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1002D6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1002D6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1002D6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1002D6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1002D6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1002D6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1002D6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1002D6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1002D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1002D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1002D6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1002D6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1002D6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1002D6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1002D6"/>
    <w:pPr>
      <w:outlineLvl w:val="8"/>
    </w:pPr>
  </w:style>
  <w:style w:type="paragraph" w:customStyle="1" w:styleId="NormalAgency">
    <w:name w:val="Normal (Agency)"/>
    <w:link w:val="NormalAgencyChar"/>
    <w:rsid w:val="001002D6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1002D6"/>
    <w:pPr>
      <w:keepNext/>
      <w:spacing w:before="280" w:after="220"/>
    </w:pPr>
    <w:rPr>
      <w:rFonts w:cs="Arial"/>
      <w:b/>
      <w:kern w:val="32"/>
      <w:sz w:val="27"/>
      <w:szCs w:val="27"/>
      <w:lang w:eastAsia="en-GB"/>
    </w:rPr>
  </w:style>
  <w:style w:type="paragraph" w:customStyle="1" w:styleId="RefAgency">
    <w:name w:val="Ref. (Agency)"/>
    <w:basedOn w:val="Normal"/>
    <w:rsid w:val="001002D6"/>
    <w:rPr>
      <w:rFonts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1002D6"/>
    <w:pPr>
      <w:keepNext/>
    </w:pPr>
    <w:rPr>
      <w:b/>
    </w:rPr>
  </w:style>
  <w:style w:type="table" w:customStyle="1" w:styleId="TablegridAgency">
    <w:name w:val="Table grid (Agency)"/>
    <w:basedOn w:val="TableNormal"/>
    <w:rsid w:val="001002D6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 w:cs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10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002D6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1002D6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1002D6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1002D6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1002D6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4">
    <w:name w:val="toc 4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uiPriority w:val="39"/>
    <w:rsid w:val="001002D6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1002D6"/>
    <w:pPr>
      <w:spacing w:after="57" w:line="240" w:lineRule="exact"/>
    </w:pPr>
  </w:style>
  <w:style w:type="character" w:customStyle="1" w:styleId="NormalAgencyChar">
    <w:name w:val="Normal (Agency) Char"/>
    <w:link w:val="NormalAgency"/>
    <w:locked/>
    <w:rsid w:val="006B25E8"/>
    <w:rPr>
      <w:rFonts w:ascii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locked/>
    <w:rsid w:val="00476C3E"/>
    <w:rPr>
      <w:rFonts w:ascii="Courier New" w:hAnsi="Courier New" w:cs="Times New Roman"/>
      <w:i/>
      <w:color w:val="339966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locked/>
    <w:rsid w:val="00476C3E"/>
    <w:rPr>
      <w:rFonts w:ascii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rsid w:val="00D62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F966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66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character" w:customStyle="1" w:styleId="No-numheading3AgencyChar">
    <w:name w:val="No-num heading 3 (Agency) Char"/>
    <w:link w:val="No-numheading3Agency"/>
    <w:locked/>
    <w:rsid w:val="008312A7"/>
    <w:rPr>
      <w:rFonts w:ascii="Verdana" w:hAnsi="Verdana" w:cs="Arial"/>
      <w:b/>
      <w:bCs/>
      <w:kern w:val="32"/>
      <w:sz w:val="22"/>
      <w:szCs w:val="22"/>
      <w:lang w:val="en-GB" w:eastAsia="en-GB" w:bidi="ar-SA"/>
    </w:rPr>
  </w:style>
  <w:style w:type="table" w:styleId="TableGrid">
    <w:name w:val="Table Grid"/>
    <w:basedOn w:val="TableNormal"/>
    <w:uiPriority w:val="59"/>
    <w:rsid w:val="0085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4C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zh-CN"/>
    </w:rPr>
  </w:style>
  <w:style w:type="numbering" w:customStyle="1" w:styleId="BulletsAgency">
    <w:name w:val="Bullets (Agency)"/>
    <w:rsid w:val="00E6024E"/>
    <w:pPr>
      <w:numPr>
        <w:numId w:val="4"/>
      </w:numPr>
    </w:pPr>
  </w:style>
  <w:style w:type="numbering" w:customStyle="1" w:styleId="NumberlistAgency">
    <w:name w:val="Number list (Agency)"/>
    <w:rsid w:val="00E6024E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32FE57A5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32FE57A5.DOT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HannexIVconditionallt</vt:lpstr>
      <vt:lpstr>HannexIVconditionallt rev.08-15</vt:lpstr>
    </vt:vector>
  </TitlesOfParts>
  <Company>Translation Centre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HannexIVconditional_lt</dc:title>
  <dc:creator>European Medicines Agency</dc:creator>
  <cp:lastModifiedBy>Akhtar Tia</cp:lastModifiedBy>
  <cp:revision>3</cp:revision>
  <cp:lastPrinted>2012-02-14T15:56:00Z</cp:lastPrinted>
  <dcterms:created xsi:type="dcterms:W3CDTF">2016-12-08T09:44:00Z</dcterms:created>
  <dcterms:modified xsi:type="dcterms:W3CDTF">2018-10-12T13:43:00Z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14:44:02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EMA/713500/2018</vt:lpwstr>
  </property>
  <property fmtid="{D5CDD505-2E9C-101B-9397-08002B2CF9AE}" pid="7" name="DM_emea_doc_ref_id">
    <vt:lpwstr>EMA/713500/2018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14:44:02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14:44:02</vt:lpwstr>
  </property>
  <property fmtid="{D5CDD505-2E9C-101B-9397-08002B2CF9AE}" pid="14" name="DM_Name">
    <vt:lpwstr>HannexIVconditional_lt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