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8D7F4D" w:rsidRPr="00867FFA">
      <w:pPr>
        <w:pStyle w:val="No-numheading3Agency"/>
        <w:jc w:val="center"/>
        <w:rPr>
          <w:rFonts w:ascii="Times New Roman" w:hAnsi="Times New Roman" w:cs="Times New Roman"/>
          <w:bCs w:val="0"/>
          <w:lang w:val="fr-FR"/>
        </w:rPr>
      </w:pPr>
      <w:r w:rsidRPr="00867FFA" w:rsidR="00867FFA">
        <w:rPr>
          <w:rFonts w:ascii="Times New Roman" w:hAnsi="Times New Roman" w:cs="Times New Roman"/>
          <w:bCs w:val="0"/>
          <w:noProof/>
          <w:lang w:val="fr-FR"/>
        </w:rPr>
        <w:t>ANNEXE IV</w:t>
      </w:r>
    </w:p>
    <w:p w:rsidR="008D7F4D" w:rsidRPr="00867FFA">
      <w:pPr>
        <w:pStyle w:val="No-numheading3Agency"/>
        <w:jc w:val="center"/>
        <w:rPr>
          <w:rFonts w:ascii="Times New Roman" w:hAnsi="Times New Roman" w:cs="Times New Roman"/>
          <w:bCs w:val="0"/>
          <w:lang w:val="fr-FR"/>
        </w:rPr>
      </w:pPr>
      <w:r w:rsidRPr="00867FFA" w:rsidR="00867FFA">
        <w:rPr>
          <w:rFonts w:ascii="Times New Roman" w:hAnsi="Times New Roman" w:cs="Times New Roman"/>
          <w:bCs w:val="0"/>
          <w:noProof/>
          <w:lang w:val="fr-FR"/>
        </w:rPr>
        <w:t>CONCLUSIONS RELATIVES A LA DELIVRANCE DE L’AUTORISATION DE MISE SUR LE MARCHE  DANS DES CIRCONSTANCES EXCEPTIONNELLES ET &lt;LA SIMILITUDE ET LA DEROGATION&gt; &lt;ET&gt; &lt;LA DEMANDE D’UN AN &lt;DE PROTECTION DE LA MISE SUR LE MARCHE&gt; &lt;D’EXCLUSIVITE DES DONNEES&gt;&gt;, PRESENTEES PAR L’AGENCE EUROPEENNE DES MEDICAMENTS</w:t>
      </w:r>
      <w:r w:rsidRPr="00867FFA" w:rsidR="00867FFA">
        <w:rPr>
          <w:rFonts w:ascii="Times New Roman" w:hAnsi="Times New Roman" w:cs="Times New Roman"/>
          <w:bCs w:val="0"/>
          <w:lang w:val="fr-FR"/>
        </w:rPr>
        <w:t xml:space="preserve"> </w:t>
      </w:r>
    </w:p>
    <w:p w:rsidR="008D7F4D" w:rsidRPr="00867FFA">
      <w:pPr>
        <w:pStyle w:val="No-numheading3Agency"/>
        <w:rPr>
          <w:rFonts w:ascii="Times New Roman" w:hAnsi="Times New Roman" w:cs="Times New Roman"/>
          <w:bCs w:val="0"/>
          <w:lang w:val="fr-FR"/>
        </w:rPr>
      </w:pPr>
      <w:r w:rsidRPr="00867FFA">
        <w:rPr>
          <w:rFonts w:ascii="Times New Roman" w:hAnsi="Times New Roman" w:cs="Times New Roman"/>
          <w:b w:val="0"/>
          <w:bCs w:val="0"/>
          <w:lang w:val="fr-FR"/>
        </w:rPr>
        <w:br w:type="page"/>
      </w:r>
      <w:r w:rsidRPr="00867FFA">
        <w:rPr>
          <w:rFonts w:ascii="Times New Roman" w:hAnsi="Times New Roman" w:cs="Times New Roman"/>
          <w:bCs w:val="0"/>
          <w:noProof/>
          <w:lang w:val="fr-FR"/>
        </w:rPr>
        <w:t>Conclusions présentées par l’Agence européenne des médicaments relatives à:</w:t>
      </w:r>
    </w:p>
    <w:p w:rsidR="008D7F4D" w:rsidRPr="00867FFA" w:rsidP="00F73ACD">
      <w:pPr>
        <w:pStyle w:val="DraftingNotesAgency"/>
        <w:rPr>
          <w:rFonts w:ascii="Times New Roman" w:hAnsi="Times New Roman"/>
          <w:szCs w:val="22"/>
        </w:rPr>
      </w:pPr>
      <w:r w:rsidRPr="00867FFA">
        <w:rPr>
          <w:rFonts w:ascii="Times New Roman" w:hAnsi="Times New Roman"/>
          <w:szCs w:val="22"/>
        </w:rPr>
        <w:t>[ For the status on marketing authorisation under exceptional circumstances and, in case of similarity and an accepted derogation, please select the statement(s) as provided below.]</w:t>
      </w:r>
    </w:p>
    <w:p w:rsidR="008D7F4D" w:rsidRPr="00867FFA" w:rsidP="009D1566">
      <w:pPr>
        <w:pStyle w:val="DraftingNotesAgency"/>
        <w:rPr>
          <w:rFonts w:ascii="Times New Roman" w:hAnsi="Times New Roman"/>
          <w:szCs w:val="22"/>
        </w:rPr>
      </w:pPr>
    </w:p>
    <w:p w:rsidR="008D7F4D" w:rsidRPr="00867FFA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Autorisation de mise sur le marché dans des circonstances exceptionnelles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&lt;Après examen de la demande, le CHMP estime que le rapport bénéfice/risque est favorable pour une recommandation de délivrance de l’autorisation de mise sur le marché dans des circonstances exceptionnelles, comme expliqué plus en détail dans le rapport européen public d’évaluation.&gt;</w:t>
      </w:r>
    </w:p>
    <w:p w:rsidR="008D7F4D" w:rsidRPr="00867FFA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&lt;Similitude&gt;</w:t>
      </w:r>
      <w:r w:rsidRPr="00867FFA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sz w:val="22"/>
          <w:szCs w:val="22"/>
          <w:lang w:val="fr-FR"/>
        </w:rPr>
        <w:t>&lt;Le CHMP est d’avis que</w:t>
      </w: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 xml:space="preserve"> </w:t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fldChar w:fldCharType="begin"/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instrText xml:space="preserve"> MERGEFIELD prodname </w:instrText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fldChar w:fldCharType="separate"/>
      </w: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«nom du produit»</w:t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fldChar w:fldCharType="end"/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t xml:space="preserve"> est similaire à un/des médicament(s) orphelin(s) autorisé(s) au sens de l’article 3 du règlement (CE) n° 847/2000 de la Commission, comme expliqué plus en détail dans le rapport européen public d’évaluation.&gt;</w:t>
      </w:r>
    </w:p>
    <w:p w:rsidR="008D7F4D" w:rsidRPr="00867FFA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&lt;Dérogation&gt;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 xml:space="preserve">&lt;Le CHMP considère que, conformément à l’article 8 du règlement (CE) n° 141/2000 et à &lt;l’article 3 du règlement de la Commission (CE) n° 847/2000&gt; </w:t>
      </w:r>
      <w:r w:rsidRPr="00867FFA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[only for the superiority derogation]</w:t>
      </w: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, la ou les dérogation(s) stipulée(s) à l’article 8, paragraphe 3, du même règlement est/sont applicable(s), comme expliqué plus en détail dans le rapport européen public d’évaluation :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&lt;le titulaire de l’autorisation de mise sur le marché pour &lt;médicament orphelin autorisé&gt; n’est pas en mesure de fournir ce médicament en quantités suffisantes&gt; &lt;et&gt;</w:t>
      </w:r>
      <w:r w:rsidRPr="00867FFA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&lt;le requérant a pu établir dans la demande que le médicament, quoique similaire à &lt;médicament orphelin autorisé&gt;, est plus sûr, plus efficace ou présente, sous d’autres aspects, une supériorité clinique (telle que définie à l’article 3 du règlement (CE) n° 847/2000 de la Commission) pour la même indication thérapeutique&gt; &lt;et&gt;</w:t>
      </w:r>
    </w:p>
    <w:p w:rsidR="008D7F4D" w:rsidRPr="00867FFA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&lt;le titulaire de l’autorisation de mise sur le marché pour &lt;médicament orphelin autorisé&gt; a donné son consentement au demandeur.&gt;</w:t>
      </w:r>
    </w:p>
    <w:p w:rsidR="008D7F4D" w:rsidRPr="00867FFA" w:rsidP="00322F82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b/>
          <w:noProof/>
          <w:sz w:val="22"/>
          <w:szCs w:val="22"/>
          <w:lang w:val="fr-FR"/>
        </w:rPr>
      </w:pPr>
      <w:r w:rsidRPr="00867FFA">
        <w:rPr>
          <w:rFonts w:ascii="Times New Roman" w:hAnsi="Times New Roman" w:cs="Times New Roman"/>
          <w:b/>
          <w:noProof/>
          <w:sz w:val="22"/>
          <w:szCs w:val="22"/>
          <w:lang w:val="fr-FR"/>
        </w:rPr>
        <w:t>&lt;Période d’un an &lt;de protection de l’autorisation de mise sur le marché&gt;&lt;d’exclusivité des données&gt;&gt;</w:t>
      </w:r>
    </w:p>
    <w:p w:rsidR="008D7F4D" w:rsidRPr="00867FFA" w:rsidP="009D1566">
      <w:pPr>
        <w:pStyle w:val="DraftingNotesAgency"/>
        <w:rPr>
          <w:rFonts w:ascii="Times New Roman" w:hAnsi="Times New Roman"/>
          <w:szCs w:val="22"/>
        </w:rPr>
      </w:pPr>
      <w:r w:rsidRPr="00867FFA">
        <w:rPr>
          <w:rFonts w:ascii="Times New Roman" w:hAnsi="Times New Roman"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8D7F4D" w:rsidRPr="00867FFA" w:rsidP="009D1566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[For Art 14(11)]</w:t>
      </w: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 xml:space="preserve"> &lt;Le CHMP a examiné les données soumises par le titulaire de l’autorisation de mise sur le marché, compte tenu des dispositions de l’article 14, paragraphe 11, du règlement (CE) n° 726/2004, et estime que la nouvelle indication thérapeutique apporte un bénéfice clinique important par rapport aux thérapeutiques existantes, comme expliqué plus en détail dans le rapport européen public d’évaluation.&gt;</w:t>
      </w:r>
    </w:p>
    <w:p w:rsidR="008D7F4D" w:rsidRPr="00867FFA" w:rsidP="00F20BE8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867FFA">
        <w:rPr>
          <w:rStyle w:val="DraftingNotesAgencyChar"/>
          <w:rFonts w:ascii="Times New Roman" w:hAnsi="Times New Roman" w:cs="Times New Roman"/>
          <w:sz w:val="22"/>
          <w:szCs w:val="22"/>
          <w:lang w:val="fr-FR" w:eastAsia="zh-CN"/>
        </w:rPr>
        <w:t>[Art 10(5)]</w:t>
      </w:r>
      <w:r w:rsidRPr="00867FFA">
        <w:rPr>
          <w:rFonts w:ascii="Times New Roman" w:hAnsi="Times New Roman" w:cs="Times New Roman"/>
          <w:i/>
          <w:noProof/>
          <w:color w:val="339966"/>
          <w:kern w:val="32"/>
          <w:sz w:val="22"/>
          <w:szCs w:val="22"/>
          <w:lang w:val="fr-FR"/>
        </w:rPr>
        <w:t xml:space="preserve"> </w:t>
      </w:r>
      <w:r w:rsidRPr="00867FFA">
        <w:rPr>
          <w:rFonts w:ascii="Times New Roman" w:hAnsi="Times New Roman" w:cs="Times New Roman"/>
          <w:noProof/>
          <w:kern w:val="32"/>
          <w:sz w:val="22"/>
          <w:szCs w:val="22"/>
          <w:lang w:val="fr-FR"/>
        </w:rPr>
        <w:t>&lt;</w:t>
      </w:r>
      <w:r w:rsidRPr="00867FFA">
        <w:rPr>
          <w:rFonts w:ascii="Times New Roman" w:hAnsi="Times New Roman" w:cs="Times New Roman"/>
          <w:noProof/>
          <w:sz w:val="22"/>
          <w:szCs w:val="22"/>
          <w:lang w:val="fr-FR"/>
        </w:rPr>
        <w:t>Le CHMP a examiné les données soumises par le titulaire de l’autorisation de mise sur le marché, compte tenu des dispositions de l’article 10, paragraphe 5, de la directive 2001/83/CE, et estime que &lt;les &lt;essais précliniques&gt; &lt;et&gt; &lt;études cliniques&gt; mené(e)s concernant la nouvelle indication étaient significatifs/ves, comme expliqué plus en détail dans le rapport européen public d’évaluation.&gt;</w:t>
      </w:r>
    </w:p>
    <w:sectPr w:rsidSect="00162FA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FA">
    <w:pPr>
      <w:pStyle w:val="Footer"/>
      <w:jc w:val="center"/>
    </w:pPr>
    <w:r>
      <w:rPr>
        <w:noProof w:val="0"/>
        <w:lang w:val="en-US" w:eastAsia="zh-CN"/>
      </w:rPr>
      <w:fldChar w:fldCharType="begin"/>
    </w:r>
    <w:r>
      <w:instrText xml:space="preserve"> PAGE   \* MERGEFORMAT </w:instrText>
    </w:r>
    <w:r>
      <w:rPr>
        <w:noProof w:val="0"/>
        <w:lang w:val="en-US" w:eastAsia="zh-CN"/>
      </w:rPr>
      <w:fldChar w:fldCharType="separate"/>
    </w:r>
    <w:r w:rsidR="00F7349B">
      <w:t>2</w:t>
    </w:r>
    <w:r>
      <w:fldChar w:fldCharType="end"/>
    </w:r>
  </w:p>
  <w:p w:rsidR="008D7F4D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4D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43A88"/>
    <w:rsid w:val="00064702"/>
    <w:rsid w:val="00091489"/>
    <w:rsid w:val="000A045B"/>
    <w:rsid w:val="000A14E5"/>
    <w:rsid w:val="000B3893"/>
    <w:rsid w:val="000C0D39"/>
    <w:rsid w:val="001002D6"/>
    <w:rsid w:val="00110E2E"/>
    <w:rsid w:val="00141398"/>
    <w:rsid w:val="0015418F"/>
    <w:rsid w:val="00162FA4"/>
    <w:rsid w:val="001649BF"/>
    <w:rsid w:val="00172BF3"/>
    <w:rsid w:val="001A0DE6"/>
    <w:rsid w:val="001D3282"/>
    <w:rsid w:val="001E2906"/>
    <w:rsid w:val="001E7E0C"/>
    <w:rsid w:val="00202F0F"/>
    <w:rsid w:val="00220D27"/>
    <w:rsid w:val="002230E8"/>
    <w:rsid w:val="0023318C"/>
    <w:rsid w:val="00234780"/>
    <w:rsid w:val="002350BE"/>
    <w:rsid w:val="002451E5"/>
    <w:rsid w:val="002658C4"/>
    <w:rsid w:val="002674A1"/>
    <w:rsid w:val="00277336"/>
    <w:rsid w:val="00277B40"/>
    <w:rsid w:val="002849EB"/>
    <w:rsid w:val="002A264B"/>
    <w:rsid w:val="002B57FF"/>
    <w:rsid w:val="00322F82"/>
    <w:rsid w:val="00323A08"/>
    <w:rsid w:val="00342682"/>
    <w:rsid w:val="00374D87"/>
    <w:rsid w:val="003910FE"/>
    <w:rsid w:val="003E7C12"/>
    <w:rsid w:val="00402FB5"/>
    <w:rsid w:val="00470428"/>
    <w:rsid w:val="00476C3E"/>
    <w:rsid w:val="004A0F6A"/>
    <w:rsid w:val="004A2E29"/>
    <w:rsid w:val="004A5D86"/>
    <w:rsid w:val="004A7C9A"/>
    <w:rsid w:val="004D6A54"/>
    <w:rsid w:val="005633C7"/>
    <w:rsid w:val="005C3479"/>
    <w:rsid w:val="005E0D96"/>
    <w:rsid w:val="005E5D81"/>
    <w:rsid w:val="0067771F"/>
    <w:rsid w:val="006B25E8"/>
    <w:rsid w:val="006E30D5"/>
    <w:rsid w:val="006F2B90"/>
    <w:rsid w:val="006F4F7A"/>
    <w:rsid w:val="00706020"/>
    <w:rsid w:val="0073502D"/>
    <w:rsid w:val="00736602"/>
    <w:rsid w:val="00740E98"/>
    <w:rsid w:val="007461A8"/>
    <w:rsid w:val="00755561"/>
    <w:rsid w:val="007654D9"/>
    <w:rsid w:val="00771A83"/>
    <w:rsid w:val="00777982"/>
    <w:rsid w:val="00792665"/>
    <w:rsid w:val="007A0C67"/>
    <w:rsid w:val="007D3CFA"/>
    <w:rsid w:val="008312A7"/>
    <w:rsid w:val="00850D6F"/>
    <w:rsid w:val="00855CBC"/>
    <w:rsid w:val="00866F52"/>
    <w:rsid w:val="00867FFA"/>
    <w:rsid w:val="008D7F4D"/>
    <w:rsid w:val="008E10BA"/>
    <w:rsid w:val="00912207"/>
    <w:rsid w:val="00931AE3"/>
    <w:rsid w:val="00934916"/>
    <w:rsid w:val="00936BBC"/>
    <w:rsid w:val="009544C6"/>
    <w:rsid w:val="00961923"/>
    <w:rsid w:val="00972BAA"/>
    <w:rsid w:val="009C19B3"/>
    <w:rsid w:val="009D1566"/>
    <w:rsid w:val="009F6951"/>
    <w:rsid w:val="00A03717"/>
    <w:rsid w:val="00A720C7"/>
    <w:rsid w:val="00AC08E5"/>
    <w:rsid w:val="00B12AAC"/>
    <w:rsid w:val="00B31BA6"/>
    <w:rsid w:val="00B31C9D"/>
    <w:rsid w:val="00B333E5"/>
    <w:rsid w:val="00B475DA"/>
    <w:rsid w:val="00B53E3C"/>
    <w:rsid w:val="00B608F0"/>
    <w:rsid w:val="00B82EBE"/>
    <w:rsid w:val="00B9497B"/>
    <w:rsid w:val="00BC1060"/>
    <w:rsid w:val="00C16B0B"/>
    <w:rsid w:val="00C17424"/>
    <w:rsid w:val="00C30191"/>
    <w:rsid w:val="00C31ABE"/>
    <w:rsid w:val="00C50C32"/>
    <w:rsid w:val="00C57461"/>
    <w:rsid w:val="00C6236B"/>
    <w:rsid w:val="00C92592"/>
    <w:rsid w:val="00CA5444"/>
    <w:rsid w:val="00CB272C"/>
    <w:rsid w:val="00CC1324"/>
    <w:rsid w:val="00CC3651"/>
    <w:rsid w:val="00CD1ADC"/>
    <w:rsid w:val="00CE61D7"/>
    <w:rsid w:val="00D166F6"/>
    <w:rsid w:val="00D33390"/>
    <w:rsid w:val="00D62F0E"/>
    <w:rsid w:val="00D67EB3"/>
    <w:rsid w:val="00DC6C92"/>
    <w:rsid w:val="00DD34DB"/>
    <w:rsid w:val="00DE3005"/>
    <w:rsid w:val="00DE6E31"/>
    <w:rsid w:val="00E109FE"/>
    <w:rsid w:val="00E30AE1"/>
    <w:rsid w:val="00E42697"/>
    <w:rsid w:val="00E46D31"/>
    <w:rsid w:val="00E6465F"/>
    <w:rsid w:val="00EC33C2"/>
    <w:rsid w:val="00F006C6"/>
    <w:rsid w:val="00F03150"/>
    <w:rsid w:val="00F109DF"/>
    <w:rsid w:val="00F20BE8"/>
    <w:rsid w:val="00F34963"/>
    <w:rsid w:val="00F5009B"/>
    <w:rsid w:val="00F61F7D"/>
    <w:rsid w:val="00F6539B"/>
    <w:rsid w:val="00F7349B"/>
    <w:rsid w:val="00F73ACD"/>
    <w:rsid w:val="00F86CE6"/>
    <w:rsid w:val="00F966C2"/>
    <w:rsid w:val="00FC0737"/>
    <w:rsid w:val="00FD4EA2"/>
    <w:rsid w:val="00FE1139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16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34916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934916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link w:val="FooterAgencyCharChar"/>
    <w:rsid w:val="00934916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934916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934916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934916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934916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934916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934916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934916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93491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34916"/>
    <w:rPr>
      <w:color w:val="0000FF"/>
    </w:rPr>
  </w:style>
  <w:style w:type="character" w:customStyle="1" w:styleId="tw4winPopup">
    <w:name w:val="tw4winPopup"/>
    <w:uiPriority w:val="99"/>
    <w:rsid w:val="0093491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3491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3491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3491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34916"/>
    <w:rPr>
      <w:rFonts w:ascii="Courier New" w:hAnsi="Courier New"/>
      <w:noProof/>
      <w:color w:val="800000"/>
    </w:rPr>
  </w:style>
  <w:style w:type="paragraph" w:styleId="BodyTextIndent">
    <w:name w:val="Body Text Indent"/>
    <w:basedOn w:val="Normal"/>
    <w:link w:val="BodyTextIndentChar"/>
    <w:uiPriority w:val="99"/>
    <w:rsid w:val="009D1566"/>
    <w:pPr>
      <w:spacing w:after="120"/>
      <w:ind w:left="283"/>
    </w:pPr>
    <w:rPr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9D1566"/>
    <w:rPr>
      <w:rFonts w:ascii="Verdana" w:hAnsi="Verdana" w:cs="Verdana"/>
      <w:sz w:val="22"/>
      <w:lang w:val="en-GB" w:eastAsia="en-US"/>
    </w:rPr>
  </w:style>
  <w:style w:type="character" w:customStyle="1" w:styleId="FooterAgencyCharChar">
    <w:name w:val="Footer (Agency) Char Char"/>
    <w:link w:val="FooterAgency"/>
    <w:locked/>
    <w:rsid w:val="009D1566"/>
    <w:rPr>
      <w:rFonts w:ascii="Verdana" w:hAnsi="Verdana" w:cs="Verdana"/>
      <w:snapToGrid w:val="0"/>
      <w:color w:val="6D6F71"/>
      <w:sz w:val="14"/>
      <w:szCs w:val="1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F73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numbering" w:customStyle="1" w:styleId="BulletsAgency">
    <w:name w:val="Bullets (Agency)"/>
    <w:rsid w:val="003E1DB3"/>
    <w:pPr>
      <w:numPr>
        <w:numId w:val="4"/>
      </w:numPr>
    </w:pPr>
  </w:style>
  <w:style w:type="numbering" w:customStyle="1" w:styleId="NumberlistAgency">
    <w:name w:val="Number list (Agency)"/>
    <w:rsid w:val="003E1DB3"/>
    <w:pPr>
      <w:numPr>
        <w:numId w:val="15"/>
      </w:numPr>
    </w:pPr>
  </w:style>
  <w:style w:type="paragraph" w:styleId="Header">
    <w:name w:val="header"/>
    <w:basedOn w:val="Normal"/>
    <w:link w:val="HeaderChar"/>
    <w:rsid w:val="00867F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67FFA"/>
    <w:rPr>
      <w:rFonts w:ascii="Verdana" w:hAnsi="Verdana" w:cs="Verdana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FC5FC4AE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FC5FC4AE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HannexIVexceptionalfr</vt:lpstr>
    </vt:vector>
  </TitlesOfParts>
  <Company>Translation Centre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HannexIVexceptional_fr</dc:title>
  <dc:creator>European Medicines Agency</dc:creator>
  <cp:lastModifiedBy>SYSTEM</cp:lastModifiedBy>
  <cp:revision>2</cp:revision>
  <cp:lastPrinted>2012-03-16T16:54:00Z</cp:lastPrinted>
  <dcterms:created xsi:type="dcterms:W3CDTF">2016-12-08T18:20:00Z</dcterms:created>
  <dcterms:modified xsi:type="dcterms:W3CDTF">2016-12-08T18:20:00Z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11:01:38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EMA/713531/2018</vt:lpwstr>
  </property>
  <property fmtid="{D5CDD505-2E9C-101B-9397-08002B2CF9AE}" pid="7" name="DM_emea_doc_ref_id">
    <vt:lpwstr>EMA/713531/2018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11:01:38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11:01:38</vt:lpwstr>
  </property>
  <property fmtid="{D5CDD505-2E9C-101B-9397-08002B2CF9AE}" pid="14" name="DM_Name">
    <vt:lpwstr>HannexIVexceptional_fr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templates/Exceptional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