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-numheading3Agency"/>
        <w:jc w:val="center"/>
        <w:rPr>
          <w:rFonts w:ascii="Times New Roman" w:hAnsi="Times New Roman" w:cs="Times New Roman"/>
          <w:bCs w:val="0"/>
          <w:lang w:val="lv-LV"/>
        </w:rPr>
      </w:pPr>
      <w:r w:rsidRPr="006C1AC0" w:rsidR="00706BC3">
        <w:rPr>
          <w:rFonts w:ascii="Times New Roman" w:hAnsi="Times New Roman" w:cs="Times New Roman"/>
          <w:bCs w:val="0"/>
          <w:noProof/>
          <w:lang w:val="lv-LV"/>
        </w:rPr>
        <w:t>&lt;IV PIELIKUMS</w:t>
      </w:r>
    </w:p>
    <w:p w:rsidR="00657C9A" w:rsidRPr="006C1AC0">
      <w:pPr>
        <w:pStyle w:val="No-numheading3Agency"/>
        <w:jc w:val="center"/>
        <w:rPr>
          <w:rFonts w:ascii="Times New Roman" w:hAnsi="Times New Roman" w:cs="Times New Roman"/>
          <w:bCs w:val="0"/>
          <w:lang w:val="lv-LV"/>
        </w:rPr>
      </w:pPr>
      <w:r w:rsidRPr="006C1AC0" w:rsidR="00706BC3">
        <w:rPr>
          <w:rFonts w:ascii="Times New Roman" w:hAnsi="Times New Roman" w:cs="Times New Roman"/>
          <w:bCs w:val="0"/>
          <w:noProof/>
          <w:lang w:val="lv-LV"/>
        </w:rPr>
        <w:t>EIROPAS ZĀĻU AĢENTŪRA</w:t>
      </w:r>
      <w:r w:rsidRPr="006C1AC0" w:rsidR="007C1149">
        <w:rPr>
          <w:rFonts w:ascii="Times New Roman" w:hAnsi="Times New Roman" w:cs="Times New Roman"/>
          <w:bCs w:val="0"/>
          <w:noProof/>
          <w:lang w:val="lv-LV"/>
        </w:rPr>
        <w:t>S SECINĀJUMI</w:t>
      </w:r>
      <w:r w:rsidRPr="006C1AC0" w:rsidR="00706BC3">
        <w:rPr>
          <w:rFonts w:ascii="Times New Roman" w:hAnsi="Times New Roman" w:cs="Times New Roman"/>
          <w:bCs w:val="0"/>
          <w:noProof/>
          <w:lang w:val="lv-LV"/>
        </w:rPr>
        <w:t xml:space="preserve"> PAR </w:t>
      </w:r>
      <w:r w:rsidRPr="006C1AC0" w:rsidR="005E3D73">
        <w:rPr>
          <w:rFonts w:ascii="Times New Roman" w:hAnsi="Times New Roman" w:cs="Times New Roman"/>
          <w:bCs w:val="0"/>
          <w:noProof/>
          <w:lang w:val="lv-LV"/>
        </w:rPr>
        <w:t xml:space="preserve">REĢISTRĀCIJU </w:t>
      </w:r>
      <w:r w:rsidRPr="006C1AC0" w:rsidR="00706BC3">
        <w:rPr>
          <w:rFonts w:ascii="Times New Roman" w:hAnsi="Times New Roman" w:cs="Times New Roman"/>
          <w:bCs w:val="0"/>
          <w:noProof/>
          <w:lang w:val="lv-LV"/>
        </w:rPr>
        <w:t>IZŅĒMUMA KĀRTĀ UN &lt;LĪDZĪBU UN IZŅĒMUMU&gt;</w:t>
      </w:r>
      <w:r w:rsidRPr="006C1AC0" w:rsidR="005E3D73">
        <w:rPr>
          <w:rFonts w:ascii="Times New Roman" w:hAnsi="Times New Roman" w:cs="Times New Roman"/>
          <w:bCs w:val="0"/>
          <w:noProof/>
          <w:lang w:val="lv-LV"/>
        </w:rPr>
        <w:t>,</w:t>
      </w:r>
      <w:r w:rsidRPr="006C1AC0" w:rsidR="00706BC3">
        <w:rPr>
          <w:rFonts w:ascii="Times New Roman" w:hAnsi="Times New Roman" w:cs="Times New Roman"/>
          <w:bCs w:val="0"/>
          <w:noProof/>
          <w:lang w:val="lv-LV"/>
        </w:rPr>
        <w:t xml:space="preserve"> &lt;UN&gt; &lt;PRASĪBU PAR &lt;REĢISTRĀCIJAS AIZSARDZĪBU &gt; &lt;DATU ĪPAŠĀM TIESĪBĀM&gt; UZ VIENU GADU</w:t>
      </w:r>
      <w:r w:rsidRPr="006C1AC0" w:rsidR="00706BC3">
        <w:rPr>
          <w:rFonts w:ascii="Times New Roman" w:hAnsi="Times New Roman" w:cs="Times New Roman"/>
          <w:bCs w:val="0"/>
          <w:lang w:val="lv-LV"/>
        </w:rPr>
        <w:t xml:space="preserve"> </w:t>
      </w: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  <w:r w:rsidRPr="006C1AC0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657C9A" w:rsidRPr="006C1AC0">
      <w:pPr>
        <w:pStyle w:val="No-numheading3Agency"/>
        <w:rPr>
          <w:rFonts w:ascii="Times New Roman" w:hAnsi="Times New Roman" w:cs="Times New Roman"/>
          <w:bCs w:val="0"/>
          <w:lang w:val="lv-LV"/>
        </w:rPr>
      </w:pPr>
      <w:r w:rsidRPr="006C1AC0">
        <w:rPr>
          <w:rFonts w:ascii="Times New Roman" w:hAnsi="Times New Roman" w:cs="Times New Roman"/>
          <w:bCs w:val="0"/>
          <w:lang w:val="lv-LV"/>
        </w:rPr>
        <w:br w:type="page"/>
      </w:r>
      <w:r w:rsidRPr="006C1AC0">
        <w:rPr>
          <w:rFonts w:ascii="Times New Roman" w:hAnsi="Times New Roman" w:cs="Times New Roman"/>
          <w:bCs w:val="0"/>
          <w:noProof/>
          <w:lang w:val="lv-LV"/>
        </w:rPr>
        <w:t xml:space="preserve"> Eiropas Zāļu aģentūra</w:t>
      </w:r>
      <w:r w:rsidRPr="006C1AC0" w:rsidR="005E3D73">
        <w:rPr>
          <w:rFonts w:ascii="Times New Roman" w:hAnsi="Times New Roman" w:cs="Times New Roman"/>
          <w:bCs w:val="0"/>
          <w:noProof/>
          <w:lang w:val="lv-LV"/>
        </w:rPr>
        <w:t>s secinājumi</w:t>
      </w:r>
      <w:r w:rsidRPr="006C1AC0">
        <w:rPr>
          <w:rFonts w:ascii="Times New Roman" w:hAnsi="Times New Roman" w:cs="Times New Roman"/>
          <w:bCs w:val="0"/>
          <w:noProof/>
          <w:lang w:val="lv-LV"/>
        </w:rPr>
        <w:t xml:space="preserve"> par:</w:t>
      </w:r>
    </w:p>
    <w:p w:rsidR="00657C9A" w:rsidRPr="006C1AC0">
      <w:pPr>
        <w:pStyle w:val="DraftingNotesAgency"/>
        <w:rPr>
          <w:rFonts w:ascii="Times New Roman" w:hAnsi="Times New Roman"/>
          <w:szCs w:val="22"/>
          <w:lang w:val="lv-LV"/>
        </w:rPr>
      </w:pPr>
      <w:r w:rsidRPr="006C1AC0">
        <w:rPr>
          <w:rFonts w:ascii="Times New Roman" w:hAnsi="Times New Roman"/>
          <w:noProof/>
          <w:szCs w:val="22"/>
          <w:lang w:val="lv-LV"/>
        </w:rPr>
        <w:t xml:space="preserve">[ For the status on marketing authorisation under exceptional circumstances and, </w:t>
      </w:r>
      <w:r w:rsidRPr="006C1AC0">
        <w:rPr>
          <w:rFonts w:ascii="Times New Roman" w:hAnsi="Times New Roman"/>
          <w:szCs w:val="22"/>
          <w:lang w:val="lv-LV"/>
        </w:rPr>
        <w:t xml:space="preserve">in case of </w:t>
      </w:r>
      <w:r w:rsidRPr="006C1AC0">
        <w:rPr>
          <w:rFonts w:ascii="Times New Roman" w:hAnsi="Times New Roman"/>
          <w:noProof/>
          <w:szCs w:val="22"/>
          <w:lang w:val="lv-LV"/>
        </w:rPr>
        <w:t xml:space="preserve">similarity and </w:t>
      </w:r>
      <w:r w:rsidRPr="006C1AC0">
        <w:rPr>
          <w:rFonts w:ascii="Times New Roman" w:hAnsi="Times New Roman"/>
          <w:szCs w:val="22"/>
          <w:lang w:val="lv-LV"/>
        </w:rPr>
        <w:t xml:space="preserve">an accepted </w:t>
      </w:r>
      <w:r w:rsidRPr="006C1AC0">
        <w:rPr>
          <w:rFonts w:ascii="Times New Roman" w:hAnsi="Times New Roman"/>
          <w:noProof/>
          <w:szCs w:val="22"/>
          <w:lang w:val="lv-LV"/>
        </w:rPr>
        <w:t>derogation, please select the statement(s) as provided below.]</w:t>
      </w:r>
    </w:p>
    <w:p w:rsidR="00657C9A" w:rsidRPr="006C1AC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lv-LV"/>
        </w:rPr>
      </w:pPr>
      <w:r w:rsidRPr="006C1AC0" w:rsidR="005E3D73">
        <w:rPr>
          <w:rFonts w:ascii="Times New Roman" w:hAnsi="Times New Roman" w:cs="Times New Roman"/>
          <w:b/>
          <w:noProof/>
          <w:sz w:val="22"/>
          <w:szCs w:val="22"/>
          <w:lang w:val="lv-LV"/>
        </w:rPr>
        <w:t>reģistrāciju i</w:t>
      </w:r>
      <w:r w:rsidRPr="006C1AC0">
        <w:rPr>
          <w:rFonts w:ascii="Times New Roman" w:hAnsi="Times New Roman" w:cs="Times New Roman"/>
          <w:b/>
          <w:noProof/>
          <w:sz w:val="22"/>
          <w:szCs w:val="22"/>
          <w:lang w:val="lv-LV"/>
        </w:rPr>
        <w:t>zņēmuma kārtā</w:t>
      </w:r>
      <w:r w:rsidRPr="006C1AC0">
        <w:rPr>
          <w:rFonts w:ascii="Times New Roman" w:hAnsi="Times New Roman" w:cs="Times New Roman"/>
          <w:b/>
          <w:sz w:val="22"/>
          <w:szCs w:val="22"/>
          <w:lang w:val="lv-LV"/>
        </w:rPr>
        <w:t xml:space="preserve"> </w:t>
      </w:r>
    </w:p>
    <w:p w:rsidR="00657C9A" w:rsidRPr="006C1AC0">
      <w:pPr>
        <w:pStyle w:val="BodytextAgency"/>
        <w:rPr>
          <w:rFonts w:ascii="Times New Roman" w:eastAsia="SimSun" w:hAnsi="Times New Roman" w:cs="Times New Roman"/>
          <w:sz w:val="22"/>
          <w:szCs w:val="22"/>
          <w:lang w:val="lv-LV"/>
        </w:rPr>
      </w:pP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&lt;Izskatot pieteikumu, </w:t>
      </w:r>
      <w:r w:rsidRPr="006C1AC0">
        <w:rPr>
          <w:rFonts w:ascii="Times New Roman" w:hAnsi="Times New Roman" w:cs="Times New Roman"/>
          <w:i/>
          <w:noProof/>
          <w:sz w:val="22"/>
          <w:szCs w:val="22"/>
          <w:lang w:val="lv-LV"/>
        </w:rPr>
        <w:t>CHMP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 uzskata, ka ieguvum</w:t>
      </w:r>
      <w:r w:rsidRPr="006C1AC0" w:rsidR="00842E97">
        <w:rPr>
          <w:rFonts w:ascii="Times New Roman" w:hAnsi="Times New Roman" w:cs="Times New Roman"/>
          <w:noProof/>
          <w:sz w:val="22"/>
          <w:szCs w:val="22"/>
          <w:lang w:val="lv-LV"/>
        </w:rPr>
        <w:t>a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 un riska attiecība </w:t>
      </w:r>
      <w:r w:rsidRPr="006C1AC0" w:rsidR="00842E97">
        <w:rPr>
          <w:rFonts w:ascii="Times New Roman" w:hAnsi="Times New Roman" w:cs="Times New Roman"/>
          <w:noProof/>
          <w:sz w:val="22"/>
          <w:szCs w:val="22"/>
          <w:lang w:val="lv-LV"/>
        </w:rPr>
        <w:t>ir labvēlīga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, </w:t>
      </w:r>
      <w:r w:rsidRPr="006C1AC0" w:rsidR="00842E97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lai ieteiktu reģistrāciju 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izņēmuma kārtā, kā </w:t>
      </w:r>
      <w:r w:rsidRPr="006C1AC0" w:rsidR="006D55FD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sīkāk 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izskaidrots Eiropas </w:t>
      </w:r>
      <w:r w:rsidRPr="006C1AC0" w:rsidR="00381ED6">
        <w:rPr>
          <w:rFonts w:ascii="Times New Roman" w:hAnsi="Times New Roman" w:cs="Times New Roman"/>
          <w:noProof/>
          <w:sz w:val="22"/>
          <w:szCs w:val="22"/>
          <w:lang w:val="lv-LV"/>
        </w:rPr>
        <w:t>P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>ubliskajā novērtējuma ziņojumā.&gt;</w:t>
      </w:r>
    </w:p>
    <w:p w:rsidR="00657C9A" w:rsidRPr="006C1AC0">
      <w:pPr>
        <w:pStyle w:val="BodytextAgency"/>
        <w:numPr>
          <w:ilvl w:val="0"/>
          <w:numId w:val="40"/>
        </w:numPr>
        <w:snapToGrid w:val="0"/>
        <w:rPr>
          <w:rFonts w:ascii="Times New Roman" w:hAnsi="Times New Roman" w:cs="Times New Roman"/>
          <w:b/>
          <w:sz w:val="22"/>
          <w:szCs w:val="22"/>
          <w:lang w:val="lv-LV"/>
        </w:rPr>
      </w:pPr>
      <w:r w:rsidRPr="006C1AC0">
        <w:rPr>
          <w:rFonts w:ascii="Times New Roman" w:hAnsi="Times New Roman" w:cs="Times New Roman"/>
          <w:b/>
          <w:noProof/>
          <w:sz w:val="22"/>
          <w:szCs w:val="22"/>
          <w:lang w:val="lv-LV"/>
        </w:rPr>
        <w:t>&lt;</w:t>
      </w:r>
      <w:r w:rsidRPr="006C1AC0" w:rsidR="005F35FB">
        <w:rPr>
          <w:rFonts w:ascii="Times New Roman" w:hAnsi="Times New Roman" w:cs="Times New Roman"/>
          <w:b/>
          <w:noProof/>
          <w:sz w:val="22"/>
          <w:szCs w:val="22"/>
          <w:lang w:val="lv-LV"/>
        </w:rPr>
        <w:t>l</w:t>
      </w:r>
      <w:r w:rsidRPr="006C1AC0">
        <w:rPr>
          <w:rFonts w:ascii="Times New Roman" w:hAnsi="Times New Roman" w:cs="Times New Roman"/>
          <w:b/>
          <w:noProof/>
          <w:sz w:val="22"/>
          <w:szCs w:val="22"/>
          <w:lang w:val="lv-LV"/>
        </w:rPr>
        <w:t>īdzību&gt;</w:t>
      </w:r>
    </w:p>
    <w:p w:rsidR="00657C9A" w:rsidRPr="006C1AC0">
      <w:pPr>
        <w:pStyle w:val="BodytextAgency"/>
        <w:rPr>
          <w:rFonts w:ascii="Times New Roman" w:hAnsi="Times New Roman" w:cs="Times New Roman"/>
          <w:sz w:val="22"/>
          <w:szCs w:val="22"/>
          <w:lang w:val="lv-LV"/>
        </w:rPr>
      </w:pP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>&lt;</w:t>
      </w:r>
      <w:r w:rsidRPr="006C1AC0">
        <w:rPr>
          <w:rFonts w:ascii="Times New Roman" w:hAnsi="Times New Roman" w:cs="Times New Roman"/>
          <w:i/>
          <w:noProof/>
          <w:sz w:val="22"/>
          <w:szCs w:val="22"/>
          <w:lang w:val="lv-LV"/>
        </w:rPr>
        <w:t>CHMP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 uzskata, ka &lt;zāļu nosaukums&gt; ir līdzīgs retu slimību ārstēšanai reģistrētajām zālēm Komisijas Regulas (EK) Nr. 847/2000 3. panta izpratnē, kā </w:t>
      </w:r>
      <w:r w:rsidRPr="006C1AC0" w:rsidR="006D55FD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sīkāk 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paskaidrots Eiropas </w:t>
      </w:r>
      <w:r w:rsidRPr="006C1AC0" w:rsidR="00381ED6">
        <w:rPr>
          <w:rFonts w:ascii="Times New Roman" w:hAnsi="Times New Roman" w:cs="Times New Roman"/>
          <w:noProof/>
          <w:sz w:val="22"/>
          <w:szCs w:val="22"/>
          <w:lang w:val="lv-LV"/>
        </w:rPr>
        <w:t>P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>ubliskajā novērtējuma ziņojumā.&gt;</w:t>
      </w:r>
    </w:p>
    <w:p w:rsidR="00657C9A" w:rsidRPr="006C1AC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lv-LV"/>
        </w:rPr>
      </w:pPr>
      <w:r w:rsidRPr="006C1AC0">
        <w:rPr>
          <w:rFonts w:ascii="Times New Roman" w:hAnsi="Times New Roman" w:cs="Times New Roman"/>
          <w:b/>
          <w:noProof/>
          <w:sz w:val="22"/>
          <w:szCs w:val="22"/>
          <w:lang w:val="lv-LV"/>
        </w:rPr>
        <w:t>&lt;</w:t>
      </w:r>
      <w:r w:rsidRPr="006C1AC0" w:rsidR="00381ED6">
        <w:rPr>
          <w:rFonts w:ascii="Times New Roman" w:hAnsi="Times New Roman" w:cs="Times New Roman"/>
          <w:b/>
          <w:noProof/>
          <w:sz w:val="22"/>
          <w:szCs w:val="22"/>
          <w:lang w:val="lv-LV"/>
        </w:rPr>
        <w:t>i</w:t>
      </w:r>
      <w:r w:rsidRPr="006C1AC0">
        <w:rPr>
          <w:rFonts w:ascii="Times New Roman" w:hAnsi="Times New Roman" w:cs="Times New Roman"/>
          <w:b/>
          <w:noProof/>
          <w:sz w:val="22"/>
          <w:szCs w:val="22"/>
          <w:lang w:val="lv-LV"/>
        </w:rPr>
        <w:t>zņēmumu&gt;</w:t>
      </w:r>
    </w:p>
    <w:p w:rsidR="00657C9A" w:rsidRPr="006C1AC0">
      <w:pPr>
        <w:pStyle w:val="BodytextAgency"/>
        <w:rPr>
          <w:rFonts w:ascii="Times New Roman" w:hAnsi="Times New Roman" w:cs="Times New Roman"/>
          <w:sz w:val="22"/>
          <w:szCs w:val="22"/>
          <w:lang w:val="lv-LV"/>
        </w:rPr>
      </w:pPr>
      <w:r w:rsidRPr="006C1AC0">
        <w:rPr>
          <w:rFonts w:ascii="Times New Roman" w:hAnsi="Times New Roman" w:cs="Times New Roman"/>
          <w:i/>
          <w:noProof/>
          <w:sz w:val="22"/>
          <w:szCs w:val="22"/>
          <w:lang w:val="lv-LV"/>
        </w:rPr>
        <w:t>&lt;CHMP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 uzskata, ka saskaņā ar Regulas (EK) Nr. 141/2000 8. pantu un &lt;Komisijas Regulas (EK) Nr. 847/2000 3. pantu&gt;</w:t>
      </w:r>
      <w:r w:rsidRPr="006C1AC0">
        <w:rPr>
          <w:rStyle w:val="DraftingNotesAgencyChar"/>
          <w:rFonts w:ascii="Times New Roman" w:hAnsi="Times New Roman" w:cs="Times New Roman"/>
          <w:noProof/>
          <w:sz w:val="22"/>
          <w:szCs w:val="22"/>
          <w:lang w:val="lv-LV" w:eastAsia="en-US"/>
        </w:rPr>
        <w:t>[only for the superiority derogation]</w:t>
      </w:r>
      <w:r w:rsidRPr="006C1AC0">
        <w:rPr>
          <w:rFonts w:ascii="Times New Roman" w:eastAsia="SimSun" w:hAnsi="Times New Roman" w:cs="Times New Roman"/>
          <w:noProof/>
          <w:sz w:val="22"/>
          <w:szCs w:val="22"/>
          <w:lang w:val="lv-LV"/>
        </w:rPr>
        <w:t>,</w:t>
      </w:r>
      <w:r w:rsidRPr="006C1AC0">
        <w:rPr>
          <w:rStyle w:val="DraftingNotesAgencyChar"/>
          <w:rFonts w:ascii="Times New Roman" w:hAnsi="Times New Roman" w:cs="Times New Roman"/>
          <w:noProof/>
          <w:sz w:val="22"/>
          <w:szCs w:val="22"/>
          <w:lang w:val="lv-LV" w:eastAsia="en-US"/>
        </w:rPr>
        <w:t xml:space="preserve"> 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>piemērojams</w:t>
      </w:r>
      <w:r w:rsidRPr="006C1AC0" w:rsidR="00381ED6">
        <w:rPr>
          <w:rFonts w:ascii="Times New Roman" w:hAnsi="Times New Roman" w:cs="Times New Roman"/>
          <w:noProof/>
          <w:sz w:val="22"/>
          <w:szCs w:val="22"/>
          <w:lang w:val="lv-LV"/>
        </w:rPr>
        <w:t>(-i)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 šāds(-i) izņēmums(-i), saskaņā ar tās pašas regulas 8. panta 3. punktu, kā </w:t>
      </w:r>
      <w:r w:rsidR="00A831A4">
        <w:rPr>
          <w:rFonts w:ascii="Times New Roman" w:hAnsi="Times New Roman" w:cs="Times New Roman"/>
          <w:noProof/>
          <w:sz w:val="22"/>
          <w:szCs w:val="22"/>
          <w:lang w:val="lv-LV"/>
        </w:rPr>
        <w:t>sīkāk</w:t>
      </w:r>
      <w:r w:rsidRPr="006C1AC0" w:rsidR="00A831A4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 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paskaidrots Eiropas </w:t>
      </w:r>
      <w:r w:rsidRPr="006C1AC0" w:rsidR="00381ED6">
        <w:rPr>
          <w:rFonts w:ascii="Times New Roman" w:hAnsi="Times New Roman" w:cs="Times New Roman"/>
          <w:noProof/>
          <w:sz w:val="22"/>
          <w:szCs w:val="22"/>
          <w:lang w:val="lv-LV"/>
        </w:rPr>
        <w:t>P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>ubliskajā novērtējuma ziņojumā:</w:t>
      </w:r>
    </w:p>
    <w:p w:rsidR="00657C9A" w:rsidRPr="006C1AC0">
      <w:pPr>
        <w:pStyle w:val="BodytextAgency"/>
        <w:rPr>
          <w:rFonts w:ascii="Times New Roman" w:hAnsi="Times New Roman" w:cs="Times New Roman"/>
          <w:sz w:val="22"/>
          <w:szCs w:val="22"/>
          <w:lang w:val="lv-LV"/>
        </w:rPr>
      </w:pP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>&lt; retu slimību ārstēšanai reģistrēto zāļu &gt; reģistrācijas apliecības īpašnieks nevar nodrošināt pietiekamu zāļu daudzumu&gt; &lt;un&gt;</w:t>
      </w:r>
    </w:p>
    <w:p w:rsidR="00657C9A" w:rsidRPr="006C1AC0">
      <w:pPr>
        <w:pStyle w:val="BodytextAgency"/>
        <w:rPr>
          <w:rFonts w:ascii="Times New Roman" w:hAnsi="Times New Roman" w:cs="Times New Roman"/>
          <w:sz w:val="22"/>
          <w:szCs w:val="22"/>
          <w:lang w:val="lv-LV"/>
        </w:rPr>
      </w:pP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>&lt;pieteikuma iesniedzējs var pieteikumā pierādīt, ka šīs zāles, kaut arī līdzīgas &lt;retu slimību ārstēšanai reģistrētajām zālēm&gt;, tomēr attiecībā uz to pašu terapeitisko indikāciju ir drošākas, efektīvākas vai citādi klīniski pārākas (kā definēts Komisijas Regulas (EK) Nr. 847/2000 3. pantā</w:t>
      </w:r>
      <w:r w:rsidRPr="006C1AC0" w:rsidR="00381ED6">
        <w:rPr>
          <w:rFonts w:ascii="Times New Roman" w:hAnsi="Times New Roman" w:cs="Times New Roman"/>
          <w:noProof/>
          <w:sz w:val="22"/>
          <w:szCs w:val="22"/>
          <w:lang w:val="lv-LV"/>
        </w:rPr>
        <w:t>)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>&gt; &lt;un&gt;</w:t>
      </w:r>
    </w:p>
    <w:p w:rsidR="00657C9A" w:rsidRPr="006C1AC0">
      <w:pPr>
        <w:pStyle w:val="BodytextAgency"/>
        <w:rPr>
          <w:rFonts w:ascii="Times New Roman" w:hAnsi="Times New Roman" w:cs="Times New Roman"/>
          <w:sz w:val="22"/>
          <w:szCs w:val="22"/>
          <w:lang w:val="lv-LV"/>
        </w:rPr>
      </w:pP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>&lt; retu slimību ārstēšanai reģistrēto zāļu &gt; reģistrācijas apliecības īpašnieks ir devis piekrišanu pieteikuma iesniedzējam.&gt;</w:t>
      </w:r>
    </w:p>
    <w:p w:rsidR="00657C9A" w:rsidRPr="006C1AC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lv-LV"/>
        </w:rPr>
      </w:pPr>
      <w:r w:rsidRPr="006C1AC0">
        <w:rPr>
          <w:rFonts w:ascii="Times New Roman" w:hAnsi="Times New Roman" w:cs="Times New Roman"/>
          <w:b/>
          <w:noProof/>
          <w:sz w:val="22"/>
          <w:szCs w:val="22"/>
          <w:lang w:val="lv-LV"/>
        </w:rPr>
        <w:t>&lt;reģistrācijas aizsardzību&gt;&lt;datu īpašām tiesībām&gt; &lt;uz vienu gadu&gt;&gt;</w:t>
      </w:r>
    </w:p>
    <w:p w:rsidR="00657C9A" w:rsidRPr="006C1AC0">
      <w:pPr>
        <w:pStyle w:val="DraftingNotesAgency"/>
        <w:rPr>
          <w:rFonts w:ascii="Times New Roman" w:hAnsi="Times New Roman"/>
          <w:szCs w:val="22"/>
          <w:lang w:val="lv-LV"/>
        </w:rPr>
      </w:pPr>
      <w:r w:rsidRPr="006C1AC0">
        <w:rPr>
          <w:rFonts w:ascii="Times New Roman" w:hAnsi="Times New Roman"/>
          <w:noProof/>
          <w:szCs w:val="22"/>
          <w:lang w:val="lv-LV"/>
        </w:rPr>
        <w:t>[Where one-year marketing protection/data exclusivity is accepted, please select the statement(s) as provided below, otherwise provide scientific conclusions and grounds.]</w:t>
      </w:r>
    </w:p>
    <w:p w:rsidR="00657C9A" w:rsidRPr="006C1AC0">
      <w:pPr>
        <w:pStyle w:val="BodytextAgency"/>
        <w:rPr>
          <w:rFonts w:ascii="Times New Roman" w:hAnsi="Times New Roman" w:cs="Times New Roman"/>
          <w:sz w:val="22"/>
          <w:szCs w:val="22"/>
          <w:lang w:val="lv-LV"/>
        </w:rPr>
      </w:pPr>
      <w:r w:rsidRPr="006C1AC0">
        <w:rPr>
          <w:rStyle w:val="DraftingNotesAgencyChar"/>
          <w:rFonts w:ascii="Times New Roman" w:hAnsi="Times New Roman" w:cs="Times New Roman"/>
          <w:noProof/>
          <w:sz w:val="22"/>
          <w:szCs w:val="22"/>
          <w:lang w:val="lv-LV" w:eastAsia="en-US"/>
        </w:rPr>
        <w:t>[For Art 14(11)]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 &lt;Ņemot vērā Regulas (EK) Nr. 726/2004 14. panta 11. punkta nosacījumus, </w:t>
      </w:r>
      <w:r w:rsidRPr="006C1AC0">
        <w:rPr>
          <w:rFonts w:ascii="Times New Roman" w:hAnsi="Times New Roman" w:cs="Times New Roman"/>
          <w:i/>
          <w:noProof/>
          <w:sz w:val="22"/>
          <w:szCs w:val="22"/>
          <w:lang w:val="lv-LV"/>
        </w:rPr>
        <w:t>CHMP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 </w:t>
      </w:r>
      <w:r w:rsidRPr="006C1AC0" w:rsidR="007F1997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izskatīja 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reģistrācijas apliecības īpašnieka iesniegtos datus un uzskata, ka jaunā terapeitiskā indikācija, salīdzinot ar esošo, sniedz nozīmīgu klīnisko ieguvumu, kā </w:t>
      </w:r>
      <w:r w:rsidR="00A831A4">
        <w:rPr>
          <w:rFonts w:ascii="Times New Roman" w:hAnsi="Times New Roman" w:cs="Times New Roman"/>
          <w:noProof/>
          <w:sz w:val="22"/>
          <w:szCs w:val="22"/>
          <w:lang w:val="lv-LV"/>
        </w:rPr>
        <w:t>sīkāk</w:t>
      </w:r>
      <w:r w:rsidRPr="006C1AC0" w:rsidR="00A831A4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 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paskaidrots Eiropas </w:t>
      </w:r>
      <w:r w:rsidRPr="006C1AC0" w:rsidR="007F1997">
        <w:rPr>
          <w:rFonts w:ascii="Times New Roman" w:hAnsi="Times New Roman" w:cs="Times New Roman"/>
          <w:noProof/>
          <w:sz w:val="22"/>
          <w:szCs w:val="22"/>
          <w:lang w:val="lv-LV"/>
        </w:rPr>
        <w:t>P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>ubliskajā novērtējuma ziņojumā.</w:t>
      </w:r>
      <w:r w:rsidRPr="006C1AC0">
        <w:rPr>
          <w:rFonts w:ascii="Times New Roman" w:hAnsi="Times New Roman" w:cs="Times New Roman"/>
          <w:sz w:val="22"/>
          <w:szCs w:val="22"/>
          <w:lang w:val="lv-LV"/>
        </w:rPr>
        <w:t>&gt;</w:t>
      </w:r>
    </w:p>
    <w:p w:rsidR="00657C9A" w:rsidRPr="006C1AC0">
      <w:pPr>
        <w:pStyle w:val="BodytextAgency"/>
        <w:rPr>
          <w:rFonts w:ascii="Times New Roman" w:hAnsi="Times New Roman" w:cs="Times New Roman"/>
          <w:sz w:val="22"/>
          <w:szCs w:val="22"/>
          <w:lang w:val="lv-LV"/>
        </w:rPr>
      </w:pPr>
      <w:r w:rsidRPr="006C1AC0">
        <w:rPr>
          <w:rStyle w:val="DraftingNotesAgencyChar"/>
          <w:rFonts w:ascii="Times New Roman" w:hAnsi="Times New Roman" w:cs="Times New Roman"/>
          <w:noProof/>
          <w:sz w:val="22"/>
          <w:szCs w:val="22"/>
          <w:lang w:val="lv-LV" w:eastAsia="en-US"/>
        </w:rPr>
        <w:t>[Art 10(5)]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&lt;Ņemot vērā Direktīvas 2001/83/EK 10. panta 5. punkta nosacījumus, </w:t>
      </w:r>
      <w:r w:rsidRPr="006C1AC0">
        <w:rPr>
          <w:rFonts w:ascii="Times New Roman" w:hAnsi="Times New Roman" w:cs="Times New Roman"/>
          <w:i/>
          <w:noProof/>
          <w:sz w:val="22"/>
          <w:szCs w:val="22"/>
          <w:lang w:val="lv-LV"/>
        </w:rPr>
        <w:t>CHMP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 </w:t>
      </w:r>
      <w:r w:rsidRPr="006C1AC0" w:rsidR="007F1997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izskatīja 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reģistrācijas apliecības īpašnieka iesniegtos datus un uzskata, ka &lt;pirmsklīniskie testi&gt; &lt;un&gt; &lt;klīniskie pētījumi&gt;, kas tika veikti saistībā ar jauno indikāciju, bija nozīmīgi, kā </w:t>
      </w:r>
      <w:r w:rsidR="00A831A4">
        <w:rPr>
          <w:rFonts w:ascii="Times New Roman" w:hAnsi="Times New Roman" w:cs="Times New Roman"/>
          <w:noProof/>
          <w:sz w:val="22"/>
          <w:szCs w:val="22"/>
          <w:lang w:val="lv-LV"/>
        </w:rPr>
        <w:t>sīkāk</w:t>
      </w:r>
      <w:r w:rsidRPr="006C1AC0" w:rsidR="00A831A4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 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 xml:space="preserve">paskaidrots Eiropas </w:t>
      </w:r>
      <w:r w:rsidRPr="006C1AC0" w:rsidR="007F1997">
        <w:rPr>
          <w:rFonts w:ascii="Times New Roman" w:hAnsi="Times New Roman" w:cs="Times New Roman"/>
          <w:noProof/>
          <w:sz w:val="22"/>
          <w:szCs w:val="22"/>
          <w:lang w:val="lv-LV"/>
        </w:rPr>
        <w:t>P</w:t>
      </w:r>
      <w:r w:rsidRPr="006C1AC0">
        <w:rPr>
          <w:rFonts w:ascii="Times New Roman" w:hAnsi="Times New Roman" w:cs="Times New Roman"/>
          <w:noProof/>
          <w:sz w:val="22"/>
          <w:szCs w:val="22"/>
          <w:lang w:val="lv-LV"/>
        </w:rPr>
        <w:t>ubliskajā novērtējuma ziņojumā.</w:t>
      </w:r>
      <w:r w:rsidRPr="006C1AC0">
        <w:rPr>
          <w:rFonts w:ascii="Times New Roman" w:hAnsi="Times New Roman" w:cs="Times New Roman"/>
          <w:sz w:val="22"/>
          <w:szCs w:val="22"/>
          <w:lang w:val="lv-LV"/>
        </w:rPr>
        <w:t>&gt;</w:t>
      </w:r>
    </w:p>
    <w:p w:rsidR="00657C9A" w:rsidRPr="006C1AC0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sectPr w:rsidSect="0082149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F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C3">
    <w:pPr>
      <w:pStyle w:val="Footer"/>
      <w:jc w:val="center"/>
    </w:pPr>
    <w:r>
      <w:rPr>
        <w:noProof w:val="0"/>
        <w:lang w:val="en-US" w:eastAsia="en-US"/>
      </w:rPr>
      <w:fldChar w:fldCharType="begin"/>
    </w:r>
    <w:r>
      <w:instrText xml:space="preserve"> PAGE   \* MERGEFORMAT </w:instrText>
    </w:r>
    <w:r>
      <w:rPr>
        <w:noProof w:val="0"/>
        <w:lang w:val="en-US" w:eastAsia="en-US"/>
      </w:rPr>
      <w:fldChar w:fldCharType="separate"/>
    </w:r>
    <w:r w:rsidR="00B21399">
      <w:t>2</w:t>
    </w:r>
    <w:r>
      <w:fldChar w:fldCharType="end"/>
    </w:r>
  </w:p>
  <w:p w:rsidR="00657C9A">
    <w:pPr>
      <w:pStyle w:val="FooterAgency"/>
      <w:rPr>
        <w:rFonts w:cs="Times New Roman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C9A">
    <w:pPr>
      <w:pStyle w:val="Footer"/>
      <w:jc w:val="center"/>
      <w:rPr>
        <w:rFonts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F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F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F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C3627F0"/>
    <w:multiLevelType w:val="hybridMultilevel"/>
    <w:tmpl w:val="C76E4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87D1998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93172A"/>
    <w:multiLevelType w:val="multilevel"/>
    <w:tmpl w:val="D8D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12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6">
    <w:nsid w:val="73E2092E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7"/>
  </w:num>
  <w:num w:numId="29">
    <w:abstractNumId w:val="3"/>
  </w:num>
  <w:num w:numId="30">
    <w:abstractNumId w:val="15"/>
  </w:num>
  <w:num w:numId="31">
    <w:abstractNumId w:val="12"/>
  </w:num>
  <w:num w:numId="32">
    <w:abstractNumId w:val="14"/>
  </w:num>
  <w:num w:numId="33">
    <w:abstractNumId w:val="13"/>
  </w:num>
  <w:num w:numId="34">
    <w:abstractNumId w:val="17"/>
  </w:num>
  <w:num w:numId="35">
    <w:abstractNumId w:val="6"/>
  </w:num>
  <w:num w:numId="36">
    <w:abstractNumId w:val="8"/>
  </w:num>
  <w:num w:numId="37">
    <w:abstractNumId w:val="16"/>
  </w:num>
  <w:num w:numId="38">
    <w:abstractNumId w:val="11"/>
  </w:num>
  <w:num w:numId="39">
    <w:abstractNumId w:val="4"/>
  </w:num>
  <w:num w:numId="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28"/>
    <w:rsid w:val="00015C18"/>
    <w:rsid w:val="0002666F"/>
    <w:rsid w:val="000A045B"/>
    <w:rsid w:val="000A14E5"/>
    <w:rsid w:val="000C0D39"/>
    <w:rsid w:val="000C2855"/>
    <w:rsid w:val="000E0450"/>
    <w:rsid w:val="001002D6"/>
    <w:rsid w:val="00110B87"/>
    <w:rsid w:val="00114701"/>
    <w:rsid w:val="001261E0"/>
    <w:rsid w:val="00137466"/>
    <w:rsid w:val="00141398"/>
    <w:rsid w:val="00150258"/>
    <w:rsid w:val="001A0DE6"/>
    <w:rsid w:val="001D3282"/>
    <w:rsid w:val="00202F0F"/>
    <w:rsid w:val="00220D27"/>
    <w:rsid w:val="002230E8"/>
    <w:rsid w:val="0023318C"/>
    <w:rsid w:val="002674A1"/>
    <w:rsid w:val="00277336"/>
    <w:rsid w:val="00277B40"/>
    <w:rsid w:val="002A264B"/>
    <w:rsid w:val="002C513E"/>
    <w:rsid w:val="002E085E"/>
    <w:rsid w:val="002E7A4C"/>
    <w:rsid w:val="00323941"/>
    <w:rsid w:val="0033569A"/>
    <w:rsid w:val="00364CF2"/>
    <w:rsid w:val="003757F2"/>
    <w:rsid w:val="00381ED6"/>
    <w:rsid w:val="00383C81"/>
    <w:rsid w:val="003A3DC1"/>
    <w:rsid w:val="003B0CEC"/>
    <w:rsid w:val="003C186C"/>
    <w:rsid w:val="003C4D26"/>
    <w:rsid w:val="003D660F"/>
    <w:rsid w:val="004374F4"/>
    <w:rsid w:val="00465D92"/>
    <w:rsid w:val="00470428"/>
    <w:rsid w:val="00474D39"/>
    <w:rsid w:val="00476C3E"/>
    <w:rsid w:val="00481A00"/>
    <w:rsid w:val="004A2E29"/>
    <w:rsid w:val="004D6A54"/>
    <w:rsid w:val="004F1900"/>
    <w:rsid w:val="005633C7"/>
    <w:rsid w:val="0059011F"/>
    <w:rsid w:val="005B02B8"/>
    <w:rsid w:val="005C3479"/>
    <w:rsid w:val="005D48C6"/>
    <w:rsid w:val="005E0D96"/>
    <w:rsid w:val="005E3D73"/>
    <w:rsid w:val="005F35FB"/>
    <w:rsid w:val="005F6D81"/>
    <w:rsid w:val="00605BC7"/>
    <w:rsid w:val="006505FA"/>
    <w:rsid w:val="00657C9A"/>
    <w:rsid w:val="006618D2"/>
    <w:rsid w:val="00665E4A"/>
    <w:rsid w:val="006807DC"/>
    <w:rsid w:val="00686EEB"/>
    <w:rsid w:val="006B25E8"/>
    <w:rsid w:val="006C1AC0"/>
    <w:rsid w:val="006C36D4"/>
    <w:rsid w:val="006D5166"/>
    <w:rsid w:val="006D55FD"/>
    <w:rsid w:val="006E30D5"/>
    <w:rsid w:val="006F4F7A"/>
    <w:rsid w:val="00706020"/>
    <w:rsid w:val="00706BC3"/>
    <w:rsid w:val="0073502D"/>
    <w:rsid w:val="00740E98"/>
    <w:rsid w:val="007461A8"/>
    <w:rsid w:val="00746D22"/>
    <w:rsid w:val="00755561"/>
    <w:rsid w:val="00774D8F"/>
    <w:rsid w:val="00777982"/>
    <w:rsid w:val="007C1149"/>
    <w:rsid w:val="007D3CFA"/>
    <w:rsid w:val="007F1997"/>
    <w:rsid w:val="0082149B"/>
    <w:rsid w:val="008312A7"/>
    <w:rsid w:val="00835322"/>
    <w:rsid w:val="00842E97"/>
    <w:rsid w:val="00850D6F"/>
    <w:rsid w:val="00855CBC"/>
    <w:rsid w:val="00866F52"/>
    <w:rsid w:val="008671A3"/>
    <w:rsid w:val="008C7B2B"/>
    <w:rsid w:val="008D5A8B"/>
    <w:rsid w:val="008F5FB1"/>
    <w:rsid w:val="00931AE3"/>
    <w:rsid w:val="00936BBC"/>
    <w:rsid w:val="0097229E"/>
    <w:rsid w:val="00986208"/>
    <w:rsid w:val="009A126A"/>
    <w:rsid w:val="009F6951"/>
    <w:rsid w:val="00A03717"/>
    <w:rsid w:val="00A06336"/>
    <w:rsid w:val="00A11BD8"/>
    <w:rsid w:val="00A25E32"/>
    <w:rsid w:val="00A720C7"/>
    <w:rsid w:val="00A831A4"/>
    <w:rsid w:val="00A864ED"/>
    <w:rsid w:val="00A91EB0"/>
    <w:rsid w:val="00AA04A3"/>
    <w:rsid w:val="00AB1470"/>
    <w:rsid w:val="00AC2BE9"/>
    <w:rsid w:val="00B12AAC"/>
    <w:rsid w:val="00B21399"/>
    <w:rsid w:val="00B31C9D"/>
    <w:rsid w:val="00B333E5"/>
    <w:rsid w:val="00B53E3C"/>
    <w:rsid w:val="00B608F0"/>
    <w:rsid w:val="00B9497B"/>
    <w:rsid w:val="00BC1060"/>
    <w:rsid w:val="00C17424"/>
    <w:rsid w:val="00C21B24"/>
    <w:rsid w:val="00C262BD"/>
    <w:rsid w:val="00C31ABE"/>
    <w:rsid w:val="00C403A4"/>
    <w:rsid w:val="00C426C1"/>
    <w:rsid w:val="00C43D33"/>
    <w:rsid w:val="00C45FBB"/>
    <w:rsid w:val="00C50C32"/>
    <w:rsid w:val="00C57461"/>
    <w:rsid w:val="00C92592"/>
    <w:rsid w:val="00C9548B"/>
    <w:rsid w:val="00CA5444"/>
    <w:rsid w:val="00CB272C"/>
    <w:rsid w:val="00CD1ADC"/>
    <w:rsid w:val="00CD4081"/>
    <w:rsid w:val="00CE3289"/>
    <w:rsid w:val="00CE41E5"/>
    <w:rsid w:val="00CE61D7"/>
    <w:rsid w:val="00D059CF"/>
    <w:rsid w:val="00D1724B"/>
    <w:rsid w:val="00D62F0E"/>
    <w:rsid w:val="00D67EB3"/>
    <w:rsid w:val="00D867FD"/>
    <w:rsid w:val="00DA263A"/>
    <w:rsid w:val="00DC6C92"/>
    <w:rsid w:val="00DD34DB"/>
    <w:rsid w:val="00DD7036"/>
    <w:rsid w:val="00DE3005"/>
    <w:rsid w:val="00DE6E31"/>
    <w:rsid w:val="00DF2DE9"/>
    <w:rsid w:val="00DF3906"/>
    <w:rsid w:val="00E109FE"/>
    <w:rsid w:val="00E30AE1"/>
    <w:rsid w:val="00E46C53"/>
    <w:rsid w:val="00E561CE"/>
    <w:rsid w:val="00E57C90"/>
    <w:rsid w:val="00E80524"/>
    <w:rsid w:val="00EC33C2"/>
    <w:rsid w:val="00F32DB8"/>
    <w:rsid w:val="00F34963"/>
    <w:rsid w:val="00F4162F"/>
    <w:rsid w:val="00F61F7D"/>
    <w:rsid w:val="00F6539B"/>
    <w:rsid w:val="00F72F1E"/>
    <w:rsid w:val="00F86CE6"/>
    <w:rsid w:val="00F966C2"/>
    <w:rsid w:val="00FD4EA2"/>
    <w:rsid w:val="00FE6E1B"/>
    <w:rsid w:val="00FF7F6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B0"/>
    <w:rPr>
      <w:rFonts w:ascii="Verdana" w:hAnsi="Verdana" w:cs="Verdana"/>
      <w:sz w:val="18"/>
      <w:szCs w:val="18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1EB0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A91EB0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A91EB0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A91EB0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A91EB0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A91EB0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A91EB0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en-US" w:bidi="ar-SA"/>
    </w:rPr>
  </w:style>
  <w:style w:type="paragraph" w:customStyle="1" w:styleId="NormalAgency">
    <w:name w:val="Normal (Agency)"/>
    <w:rsid w:val="00A91EB0"/>
    <w:rPr>
      <w:rFonts w:ascii="Verdana" w:hAnsi="Verdana" w:cs="Verdana"/>
      <w:sz w:val="18"/>
      <w:szCs w:val="18"/>
      <w:lang w:val="en-GB" w:eastAsia="en-US" w:bidi="ar-SA"/>
    </w:rPr>
  </w:style>
  <w:style w:type="character" w:customStyle="1" w:styleId="DraftingNotesAgencyChar">
    <w:name w:val="Drafting Notes (Agency) Char"/>
    <w:locked/>
    <w:rsid w:val="00A91EB0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A91EB0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A91EB0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91EB0"/>
    <w:rPr>
      <w:color w:val="0000FF"/>
    </w:rPr>
  </w:style>
  <w:style w:type="character" w:customStyle="1" w:styleId="tw4winPopup">
    <w:name w:val="tw4winPopup"/>
    <w:uiPriority w:val="99"/>
    <w:rsid w:val="00A91EB0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91EB0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91EB0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91EB0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91EB0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rsid w:val="00465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en-US"/>
    </w:rPr>
  </w:style>
  <w:style w:type="numbering" w:customStyle="1" w:styleId="BulletsAgency">
    <w:name w:val="Bullets (Agency)"/>
    <w:rsid w:val="00E10831"/>
    <w:pPr>
      <w:numPr>
        <w:numId w:val="4"/>
      </w:numPr>
    </w:pPr>
  </w:style>
  <w:style w:type="numbering" w:customStyle="1" w:styleId="NumberlistAgency">
    <w:name w:val="Number list (Agency)"/>
    <w:rsid w:val="00E10831"/>
    <w:pPr>
      <w:numPr>
        <w:numId w:val="15"/>
      </w:numPr>
    </w:pPr>
  </w:style>
  <w:style w:type="paragraph" w:styleId="Header">
    <w:name w:val="header"/>
    <w:basedOn w:val="Normal"/>
    <w:link w:val="HeaderChar"/>
    <w:rsid w:val="00706B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06BC3"/>
    <w:rPr>
      <w:rFonts w:ascii="Verdana" w:hAnsi="Verdana" w:cs="Verdana"/>
      <w:sz w:val="18"/>
      <w:szCs w:val="18"/>
      <w:lang w:eastAsia="en-US"/>
    </w:rPr>
  </w:style>
  <w:style w:type="character" w:styleId="CommentReference">
    <w:name w:val="annotation reference"/>
    <w:rsid w:val="005F35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35FB"/>
    <w:rPr>
      <w:sz w:val="20"/>
      <w:szCs w:val="20"/>
    </w:rPr>
  </w:style>
  <w:style w:type="character" w:customStyle="1" w:styleId="CommentTextChar">
    <w:name w:val="Comment Text Char"/>
    <w:link w:val="CommentText"/>
    <w:rsid w:val="005F35FB"/>
    <w:rPr>
      <w:rFonts w:ascii="Verdana" w:hAnsi="Verdana" w:cs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F35FB"/>
    <w:rPr>
      <w:b/>
      <w:bCs/>
    </w:rPr>
  </w:style>
  <w:style w:type="character" w:customStyle="1" w:styleId="CommentSubjectChar">
    <w:name w:val="Comment Subject Char"/>
    <w:link w:val="CommentSubject"/>
    <w:rsid w:val="005F35FB"/>
    <w:rPr>
      <w:rFonts w:ascii="Verdana" w:hAnsi="Verdana" w:cs="Verdana"/>
      <w:b/>
      <w:bCs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FA804680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FA804680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HannexIVexceptionallv</vt:lpstr>
    </vt:vector>
  </TitlesOfParts>
  <Company>Translation Centre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HannexIVexceptional_lv</dc:title>
  <dc:creator>European Medicines Agency</dc:creator>
  <cp:lastModifiedBy>SYSTEM</cp:lastModifiedBy>
  <cp:revision>2</cp:revision>
  <cp:lastPrinted>2012-05-31T17:08:00Z</cp:lastPrinted>
  <dcterms:created xsi:type="dcterms:W3CDTF">2016-12-08T18:23:00Z</dcterms:created>
  <dcterms:modified xsi:type="dcterms:W3CDTF">2016-12-08T18:23:00Z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17/10/2018 13:50:12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EMA/713527/2018</vt:lpwstr>
  </property>
  <property fmtid="{D5CDD505-2E9C-101B-9397-08002B2CF9AE}" pid="7" name="DM_emea_doc_ref_id">
    <vt:lpwstr>EMA/713527/2018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17/10/2018 13:50:12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17/10/2018 13:50:12</vt:lpwstr>
  </property>
  <property fmtid="{D5CDD505-2E9C-101B-9397-08002B2CF9AE}" pid="14" name="DM_Name">
    <vt:lpwstr>HannexIVexceptional_lv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publication/Exceptional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