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A0C1B" w:rsidRPr="00614683" w:rsidP="005A0C1B">
      <w:pPr>
        <w:pStyle w:val="No-numheading3Agency"/>
        <w:jc w:val="center"/>
        <w:rPr>
          <w:rFonts w:ascii="Times New Roman" w:hAnsi="Times New Roman" w:cs="Times New Roman"/>
          <w:b w:val="0"/>
          <w:bCs w:val="0"/>
          <w:lang w:val="pl-PL"/>
        </w:rPr>
      </w:pPr>
      <w:r w:rsidRPr="00614683" w:rsidR="002069A9">
        <w:rPr>
          <w:rFonts w:ascii="Times New Roman" w:hAnsi="Times New Roman" w:cs="Times New Roman"/>
          <w:bCs w:val="0"/>
          <w:noProof/>
          <w:lang w:val="pl-PL"/>
        </w:rPr>
        <w:t>ANEKS IV</w:t>
      </w:r>
    </w:p>
    <w:p w:rsidR="005A0C1B" w:rsidRPr="00614683" w:rsidP="005A0C1B">
      <w:pPr>
        <w:pStyle w:val="No-numheading3Agency"/>
        <w:jc w:val="center"/>
        <w:rPr>
          <w:rFonts w:ascii="Times New Roman" w:hAnsi="Times New Roman" w:cs="Times New Roman"/>
          <w:b w:val="0"/>
          <w:bCs w:val="0"/>
          <w:color w:val="000000"/>
          <w:lang w:val="pl-PL"/>
        </w:rPr>
      </w:pPr>
      <w:r w:rsidRPr="00614683" w:rsidR="002069A9">
        <w:rPr>
          <w:rFonts w:ascii="Times New Roman" w:hAnsi="Times New Roman" w:cs="Times New Roman"/>
          <w:bCs w:val="0"/>
          <w:noProof/>
          <w:lang w:val="pl-PL"/>
        </w:rPr>
        <w:t xml:space="preserve">WNIOSKI DOTYCZĄCE PRZYZNANIA POZWOLENIA </w:t>
      </w:r>
      <w:r w:rsidRPr="00614683" w:rsidR="002069A9">
        <w:rPr>
          <w:rFonts w:ascii="Times New Roman" w:hAnsi="Times New Roman" w:cs="Times New Roman"/>
          <w:noProof/>
          <w:lang w:val="pl-PL"/>
        </w:rPr>
        <w:t>ZGODNIE Z PROCEDURĄ DOPUSZCZENIA W WYJĄTKOWYCH OKOLICZNOŚCIACH</w:t>
      </w:r>
      <w:r w:rsidRPr="00614683" w:rsidR="002069A9">
        <w:rPr>
          <w:rFonts w:ascii="Times New Roman" w:hAnsi="Times New Roman" w:cs="Times New Roman"/>
          <w:bCs w:val="0"/>
          <w:noProof/>
          <w:lang w:val="pl-PL"/>
        </w:rPr>
        <w:t xml:space="preserve"> I &lt;PODOBIEŃSTWA LUB ODSTĘPSTW&gt; &lt;ORAZ&gt; &lt;PRZYZNANIA &lt;ROCZNEJ OCHRONY DOPUSZCZENIA DO OBROTU&gt; &lt;ROCZNEGO PRAWA DO WYŁĄCZNOŚCI DANYCH&gt;&gt; PRZEDSTAWIONE PRZEZ EUROPEJSKĄ AGENCJĘ LEKÓW</w:t>
      </w: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  <w:lang w:val="da-DK"/>
        </w:rPr>
      </w:pP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  <w:lang w:val="da-DK"/>
        </w:rPr>
      </w:pPr>
      <w:r w:rsidRPr="00B10366" w:rsidR="002069A9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</w:p>
    <w:p w:rsidR="007A1D4E" w:rsidRPr="00B10366">
      <w:pPr>
        <w:pStyle w:val="NormalAgency"/>
        <w:rPr>
          <w:rFonts w:ascii="Times New Roman" w:hAnsi="Times New Roman" w:cs="Times New Roman"/>
          <w:sz w:val="22"/>
          <w:szCs w:val="22"/>
          <w:lang w:val="da-DK"/>
        </w:rPr>
      </w:pPr>
    </w:p>
    <w:p w:rsidR="005A0C1B" w:rsidRPr="00614683" w:rsidP="005A0C1B">
      <w:pPr>
        <w:pStyle w:val="No-numheading3Agency"/>
        <w:rPr>
          <w:rFonts w:ascii="Times New Roman" w:hAnsi="Times New Roman" w:cs="Times New Roman"/>
          <w:b w:val="0"/>
          <w:bCs w:val="0"/>
          <w:lang w:val="pl-PL"/>
        </w:rPr>
      </w:pPr>
      <w:r w:rsidRPr="00B10366" w:rsidR="002069A9">
        <w:rPr>
          <w:rFonts w:ascii="Times New Roman" w:hAnsi="Times New Roman" w:cs="Times New Roman"/>
          <w:bCs w:val="0"/>
          <w:lang w:val="da-DK"/>
        </w:rPr>
        <w:br w:type="page"/>
      </w:r>
      <w:r w:rsidRPr="00614683">
        <w:rPr>
          <w:rFonts w:ascii="Times New Roman" w:hAnsi="Times New Roman" w:cs="Times New Roman"/>
          <w:bCs w:val="0"/>
          <w:noProof/>
          <w:lang w:val="pl-PL"/>
        </w:rPr>
        <w:t>Wnioski przedstawione przez Europejską Agencję Leków dotyczące:</w:t>
      </w:r>
    </w:p>
    <w:p w:rsidR="005A0C1B" w:rsidRPr="00614683" w:rsidP="005A0C1B">
      <w:pPr>
        <w:pStyle w:val="DraftingNotesAgency"/>
        <w:rPr>
          <w:rFonts w:ascii="Times New Roman" w:hAnsi="Times New Roman"/>
          <w:i w:val="0"/>
          <w:szCs w:val="22"/>
          <w:lang w:val="en-US"/>
        </w:rPr>
      </w:pPr>
      <w:r w:rsidRPr="00614683" w:rsidR="002069A9">
        <w:rPr>
          <w:rFonts w:ascii="Times New Roman" w:hAnsi="Times New Roman"/>
          <w:szCs w:val="22"/>
        </w:rPr>
        <w:t>[For the status on marketing authorisation under exceptional circumstances and, in case of similarity and an accepted derogation, pl</w:t>
      </w:r>
      <w:r w:rsidRPr="00614683" w:rsidR="002069A9">
        <w:rPr>
          <w:rFonts w:ascii="Times New Roman" w:hAnsi="Times New Roman"/>
          <w:szCs w:val="22"/>
        </w:rPr>
        <w:t>ease select the statement(s) as provided below.]</w:t>
      </w:r>
    </w:p>
    <w:p w:rsidR="005A0C1B" w:rsidRPr="00614683" w:rsidP="005A0C1B">
      <w:pPr>
        <w:pStyle w:val="BodytextAgency"/>
        <w:numPr>
          <w:ilvl w:val="0"/>
          <w:numId w:val="40"/>
        </w:numPr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614683" w:rsidR="002069A9">
        <w:rPr>
          <w:rFonts w:ascii="Times New Roman" w:hAnsi="Times New Roman" w:cs="Times New Roman"/>
          <w:b/>
          <w:bCs/>
          <w:noProof/>
          <w:sz w:val="22"/>
          <w:szCs w:val="22"/>
          <w:lang w:val="pl-PL"/>
        </w:rPr>
        <w:t xml:space="preserve">przyznania pozwolenia </w:t>
      </w:r>
      <w:r w:rsidRPr="00614683" w:rsidR="002069A9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zgodnie z procedurą dopuszczenia w wyjątkowych okolicznościach</w:t>
      </w:r>
    </w:p>
    <w:p w:rsidR="005A0C1B" w:rsidRPr="00614683" w:rsidP="005A0C1B">
      <w:pPr>
        <w:pStyle w:val="BodytextAgency"/>
        <w:rPr>
          <w:rFonts w:ascii="Times New Roman" w:hAnsi="Times New Roman" w:cs="Times New Roman"/>
          <w:sz w:val="22"/>
          <w:szCs w:val="22"/>
          <w:lang w:val="pl-PL"/>
        </w:rPr>
      </w:pPr>
      <w:r w:rsidRPr="00614683" w:rsidR="002069A9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Po rozpatrzeniu wniosku CHMP uznaje, że stosunek korzyści do ryzyka jest korzystny i zaleca przyznanie </w:t>
      </w:r>
      <w:r w:rsidRPr="00614683" w:rsidR="002069A9">
        <w:rPr>
          <w:rFonts w:ascii="Times New Roman" w:hAnsi="Times New Roman" w:cs="Times New Roman"/>
          <w:bCs/>
          <w:noProof/>
          <w:sz w:val="22"/>
          <w:szCs w:val="22"/>
          <w:lang w:val="pl-PL"/>
        </w:rPr>
        <w:t xml:space="preserve">pozwolenia </w:t>
      </w:r>
      <w:r w:rsidRPr="00614683" w:rsidR="002069A9">
        <w:rPr>
          <w:rFonts w:ascii="Times New Roman" w:hAnsi="Times New Roman" w:cs="Times New Roman"/>
          <w:noProof/>
          <w:sz w:val="22"/>
          <w:szCs w:val="22"/>
          <w:lang w:val="pl-PL"/>
        </w:rPr>
        <w:t>zgodnie z procedurą dopuszczenia w wyjątkowych okolicznościach, co zostało szerzej omówione w Europejskim Publicznym Sprawozdaniu Oceniającym.</w:t>
      </w:r>
    </w:p>
    <w:p w:rsidR="005A0C1B" w:rsidRPr="00614683" w:rsidP="005A0C1B">
      <w:pPr>
        <w:pStyle w:val="BodytextAgency"/>
        <w:numPr>
          <w:ilvl w:val="0"/>
          <w:numId w:val="40"/>
        </w:numPr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614683" w:rsidR="002069A9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&lt;podobieństwa&gt;</w:t>
      </w:r>
      <w:r w:rsidRPr="00614683" w:rsidR="002069A9"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</w:p>
    <w:p w:rsidR="005A0C1B" w:rsidRPr="00614683" w:rsidP="005A0C1B">
      <w:pPr>
        <w:pStyle w:val="BodytextAgency"/>
        <w:rPr>
          <w:rFonts w:ascii="Times New Roman" w:hAnsi="Times New Roman" w:cs="Times New Roman"/>
          <w:sz w:val="22"/>
          <w:szCs w:val="22"/>
          <w:lang w:val="pl-PL"/>
        </w:rPr>
      </w:pPr>
      <w:r w:rsidRPr="00614683" w:rsidR="002069A9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&lt;CHMP uznaje, że produkt </w:t>
      </w:r>
      <w:r w:rsidR="005D3463">
        <w:rPr>
          <w:rFonts w:ascii="Times New Roman" w:hAnsi="Times New Roman" w:cs="Times New Roman"/>
          <w:noProof/>
          <w:sz w:val="22"/>
          <w:szCs w:val="22"/>
          <w:lang w:val="pl-PL"/>
        </w:rPr>
        <w:t>{</w:t>
      </w:r>
      <w:r w:rsidRPr="00614683" w:rsidR="002069A9">
        <w:rPr>
          <w:rFonts w:ascii="Times New Roman" w:hAnsi="Times New Roman" w:cs="Times New Roman"/>
          <w:noProof/>
          <w:sz w:val="22"/>
          <w:szCs w:val="22"/>
          <w:lang w:val="pl-PL"/>
        </w:rPr>
        <w:t>nazwa produktu</w:t>
      </w:r>
      <w:r w:rsidRPr="00D62777" w:rsidR="005D3463">
        <w:rPr>
          <w:lang w:val="pl-PL"/>
        </w:rPr>
        <w:t xml:space="preserve"> </w:t>
      </w:r>
      <w:r w:rsidRPr="005D3463" w:rsidR="005D3463">
        <w:rPr>
          <w:rFonts w:ascii="Times New Roman" w:hAnsi="Times New Roman" w:cs="Times New Roman"/>
          <w:noProof/>
          <w:sz w:val="22"/>
          <w:szCs w:val="22"/>
          <w:lang w:val="pl-PL"/>
        </w:rPr>
        <w:t>leczniczego</w:t>
      </w:r>
      <w:r w:rsidR="005D3463">
        <w:rPr>
          <w:rFonts w:ascii="Times New Roman" w:hAnsi="Times New Roman" w:cs="Times New Roman"/>
          <w:noProof/>
          <w:sz w:val="22"/>
          <w:szCs w:val="22"/>
          <w:lang w:val="pl-PL"/>
        </w:rPr>
        <w:t>}</w:t>
      </w:r>
      <w:r w:rsidRPr="00614683" w:rsidR="002069A9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nie jest podobny do zatwierdzonych sierocych produktów leczniczych, w rozumiemiu definicji zawartej w art. 3 rozporządzenia Komisji (WE) nr </w:t>
      </w:r>
      <w:r w:rsidRPr="00614683" w:rsidR="002069A9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847/2000, co zostało szerzej omówione w Europejskim Publicznym Sprawozdaniu Oceniającym.&gt;</w:t>
      </w:r>
    </w:p>
    <w:p w:rsidR="005A0C1B" w:rsidRPr="00614683" w:rsidP="005A0C1B">
      <w:pPr>
        <w:pStyle w:val="BodytextAgency"/>
        <w:numPr>
          <w:ilvl w:val="0"/>
          <w:numId w:val="40"/>
        </w:numPr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614683" w:rsidR="002069A9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&lt;odstępstw&gt;</w:t>
      </w:r>
    </w:p>
    <w:p w:rsidR="005A0C1B" w:rsidRPr="00614683" w:rsidP="005A0C1B">
      <w:pPr>
        <w:pStyle w:val="BodytextAgency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614683" w:rsidR="002069A9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&lt;CHMP uznaje, że zgodnie z art. 8 rozporządzenia (WE) nr 141/2000 i &lt;art. 3 rozporządzenia Komisji (WE) nr 847/2000&gt; </w:t>
      </w:r>
      <w:r w:rsidRPr="00614683" w:rsidR="002069A9">
        <w:rPr>
          <w:rStyle w:val="DraftingNotesAgencyChar"/>
          <w:rFonts w:ascii="Times New Roman" w:hAnsi="Times New Roman" w:cs="Times New Roman"/>
          <w:noProof/>
          <w:sz w:val="22"/>
          <w:szCs w:val="22"/>
          <w:lang w:val="pl-PL" w:eastAsia="en-US"/>
        </w:rPr>
        <w:t>[only for the superiority derogation]</w:t>
      </w:r>
      <w:r w:rsidRPr="00614683" w:rsidR="002069A9">
        <w:rPr>
          <w:rFonts w:ascii="Times New Roman" w:hAnsi="Times New Roman" w:cs="Times New Roman"/>
          <w:i/>
          <w:noProof/>
          <w:color w:val="008000"/>
          <w:sz w:val="22"/>
          <w:szCs w:val="22"/>
          <w:lang w:val="pl-PL"/>
        </w:rPr>
        <w:t xml:space="preserve"> &lt;</w:t>
      </w:r>
      <w:r w:rsidRPr="00614683" w:rsidR="002069A9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 xml:space="preserve">ma&gt; &lt;mają&gt; </w:t>
      </w:r>
      <w:r w:rsidRPr="00614683" w:rsidR="002069A9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zastosowanie </w:t>
      </w:r>
      <w:r w:rsidRPr="00614683" w:rsidR="002069A9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 xml:space="preserve">&lt;następujące &lt;odstępstwo&gt; &lt;odstępstwa&gt;&gt; </w:t>
      </w:r>
      <w:r w:rsidRPr="00614683" w:rsidR="002069A9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określone </w:t>
      </w:r>
      <w:r w:rsidRPr="00614683" w:rsidR="002069A9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w art. 8 ust.</w:t>
      </w:r>
      <w:r w:rsidR="0024224D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 xml:space="preserve"> </w:t>
      </w:r>
      <w:r w:rsidRPr="00614683" w:rsidR="002069A9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3 tego samego rozporządzenia, co zostało szerzej omówione w Europejskim Publicznym Sprawozdaniu Oceniającym:</w:t>
      </w:r>
    </w:p>
    <w:p w:rsidR="005A0C1B" w:rsidRPr="00614683" w:rsidP="005A0C1B">
      <w:pPr>
        <w:pStyle w:val="BodytextAgency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614683" w:rsidR="002069A9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&lt;podmiot odpowiedzialny posiadający pozwolenie na dopuszczenie produktu {nazwa zatwierdzonego do obrotu sierocego produktu leczniczego} do obrotu nie jest w stanie zapewnić dostarczenia odpowiedniej ilości produktu lecznicze</w:t>
      </w:r>
      <w:r w:rsidRPr="00614683" w:rsidR="002069A9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go&gt; &lt;i&gt;</w:t>
      </w:r>
      <w:r w:rsidRPr="00614683" w:rsidR="002069A9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 </w:t>
      </w:r>
    </w:p>
    <w:p w:rsidR="005A0C1B" w:rsidRPr="00614683" w:rsidP="005A0C1B">
      <w:pPr>
        <w:pStyle w:val="BodytextAgency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614683" w:rsidR="002069A9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&lt;we wniosku wnioskodawca udowodnił, że produkt leczniczy, chociaż jest podobny do produktu {nazwa zatwierdzonego do obrotu sierocego produktu leczniczego}, jest bezpieczniejszy,</w:t>
      </w:r>
      <w:r w:rsidR="0024224D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 xml:space="preserve"> bardziej</w:t>
      </w:r>
      <w:r w:rsidRPr="00614683" w:rsidR="002069A9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 xml:space="preserve"> skuteczny lub z innych względów klinicznych lepszy (zgodnie z definicją zawartą w art. 3 rozporządzenia Komisji nr 847/2000) w tym samym wskazaniu do stosowania&gt; &lt;i&gt;</w:t>
      </w:r>
    </w:p>
    <w:p w:rsidR="005A0C1B" w:rsidRPr="00614683" w:rsidP="005A0C1B">
      <w:pPr>
        <w:pStyle w:val="BodytextAgency"/>
        <w:rPr>
          <w:rFonts w:ascii="Times New Roman" w:hAnsi="Times New Roman" w:cs="Times New Roman"/>
          <w:sz w:val="22"/>
          <w:szCs w:val="22"/>
          <w:lang w:val="pl-PL"/>
        </w:rPr>
      </w:pPr>
      <w:r w:rsidRPr="00614683" w:rsidR="002069A9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&lt;wnioskodawca uzyskał zgodę podmiotu odpowiedzialnego posiadającego pozwolenie na dopuszczenie produktu {nazwa zatwierdzonego do obrotu sierocego produktu leczniczego} do obrotu&gt;</w:t>
      </w:r>
    </w:p>
    <w:p w:rsidR="005A0C1B" w:rsidRPr="00614683" w:rsidP="005A0C1B">
      <w:pPr>
        <w:pStyle w:val="BodytextAgency"/>
        <w:numPr>
          <w:ilvl w:val="0"/>
          <w:numId w:val="40"/>
        </w:numPr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614683" w:rsidR="002069A9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&lt;rocznej ochrony dopuszczenia do obrotu&gt; &lt;rocznego prawa do wyłączności danych&gt;</w:t>
      </w:r>
    </w:p>
    <w:p w:rsidR="005A0C1B" w:rsidRPr="00614683" w:rsidP="005A0C1B">
      <w:pPr>
        <w:pStyle w:val="DraftingNotesAgency"/>
        <w:rPr>
          <w:rFonts w:ascii="Times New Roman" w:hAnsi="Times New Roman"/>
          <w:szCs w:val="22"/>
        </w:rPr>
      </w:pPr>
      <w:r w:rsidRPr="00614683" w:rsidR="002069A9">
        <w:rPr>
          <w:rFonts w:ascii="Times New Roman" w:hAnsi="Times New Roman"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5A0C1B" w:rsidRPr="00614683" w:rsidP="005A0C1B">
      <w:pPr>
        <w:pStyle w:val="BodytextAgency"/>
        <w:rPr>
          <w:rFonts w:ascii="Times New Roman" w:hAnsi="Times New Roman" w:cs="Times New Roman"/>
          <w:sz w:val="22"/>
          <w:szCs w:val="22"/>
          <w:lang w:val="pl-PL"/>
        </w:rPr>
      </w:pPr>
      <w:r w:rsidRPr="00614683" w:rsidR="002069A9">
        <w:rPr>
          <w:rStyle w:val="DraftingNotesAgencyChar"/>
          <w:rFonts w:ascii="Times New Roman" w:hAnsi="Times New Roman" w:cs="Times New Roman"/>
          <w:noProof/>
          <w:sz w:val="22"/>
          <w:szCs w:val="22"/>
          <w:lang w:val="pl-PL" w:eastAsia="en-US"/>
        </w:rPr>
        <w:t>[For Art 14(11)]</w:t>
      </w:r>
      <w:r w:rsidR="0024224D">
        <w:rPr>
          <w:rStyle w:val="DraftingNotesAgencyChar"/>
          <w:rFonts w:ascii="Times New Roman" w:hAnsi="Times New Roman" w:cs="Times New Roman"/>
          <w:noProof/>
          <w:sz w:val="22"/>
          <w:szCs w:val="22"/>
          <w:lang w:val="pl-PL" w:eastAsia="en-US"/>
        </w:rPr>
        <w:t xml:space="preserve"> </w:t>
      </w:r>
      <w:r w:rsidRPr="00614683" w:rsidR="002069A9">
        <w:rPr>
          <w:rFonts w:ascii="Times New Roman" w:hAnsi="Times New Roman" w:cs="Times New Roman"/>
          <w:noProof/>
          <w:sz w:val="22"/>
          <w:szCs w:val="22"/>
          <w:lang w:val="pl-PL"/>
        </w:rPr>
        <w:t>&lt;CHMP dokonał oceny danych przedstawionych przez podmiot odpowiedzialny posiadający pozwolenie na dopuszczenie do obrotu z uwzględnieniem przepisów wnikających z art. 14 ust.</w:t>
      </w:r>
      <w:r w:rsidRPr="00614683" w:rsidR="002069A9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614683" w:rsidR="002069A9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11 rozporządzenia (WE) nr 726/2004 i uznaje, że nowe wskazanie terapeutyczne przynosi istotne korzyści kliniczne w porównaniu z </w:t>
      </w:r>
      <w:r w:rsidR="0024224D">
        <w:rPr>
          <w:rFonts w:ascii="Times New Roman" w:hAnsi="Times New Roman" w:cs="Times New Roman"/>
          <w:noProof/>
          <w:sz w:val="22"/>
          <w:szCs w:val="22"/>
          <w:lang w:val="pl-PL"/>
        </w:rPr>
        <w:t>obecn</w:t>
      </w:r>
      <w:r w:rsidRPr="00614683" w:rsidR="002069A9">
        <w:rPr>
          <w:rFonts w:ascii="Times New Roman" w:hAnsi="Times New Roman" w:cs="Times New Roman"/>
          <w:noProof/>
          <w:sz w:val="22"/>
          <w:szCs w:val="22"/>
          <w:lang w:val="pl-PL"/>
        </w:rPr>
        <w:t>ymi terapiami, co zostało szerzej omówione w Europejskim Publicznym Sprawozdaniu Oceniającym.&gt;</w:t>
      </w:r>
    </w:p>
    <w:p w:rsidR="005A0C1B" w:rsidRPr="00614683" w:rsidP="005A0C1B">
      <w:pPr>
        <w:pStyle w:val="BodytextAgency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614683" w:rsidR="002069A9">
        <w:rPr>
          <w:rStyle w:val="DraftingNotesAgencyChar"/>
          <w:rFonts w:ascii="Times New Roman" w:hAnsi="Times New Roman" w:cs="Times New Roman"/>
          <w:noProof/>
          <w:sz w:val="22"/>
          <w:szCs w:val="22"/>
          <w:lang w:val="pl-PL" w:eastAsia="en-US"/>
        </w:rPr>
        <w:t>[Art 10(5)]</w:t>
      </w:r>
      <w:r w:rsidRPr="00614683" w:rsidR="002069A9">
        <w:rPr>
          <w:rFonts w:ascii="Times New Roman" w:hAnsi="Times New Roman" w:cs="Times New Roman"/>
          <w:i/>
          <w:noProof/>
          <w:color w:val="339966"/>
          <w:kern w:val="32"/>
          <w:sz w:val="22"/>
          <w:szCs w:val="22"/>
          <w:lang w:val="pl-PL"/>
        </w:rPr>
        <w:t xml:space="preserve"> </w:t>
      </w:r>
      <w:r w:rsidRPr="00614683" w:rsidR="002069A9">
        <w:rPr>
          <w:rFonts w:ascii="Times New Roman" w:hAnsi="Times New Roman" w:cs="Times New Roman"/>
          <w:noProof/>
          <w:color w:val="000000"/>
          <w:kern w:val="32"/>
          <w:sz w:val="22"/>
          <w:szCs w:val="22"/>
          <w:lang w:val="pl-PL"/>
        </w:rPr>
        <w:t xml:space="preserve">&lt;CHMP dokonał oceny danych przedstawionych przez podmiot odpowiedzialny posiadający pozwolenie na dopuszczenie do obrotu </w:t>
      </w:r>
      <w:r w:rsidRPr="00614683" w:rsidR="002069A9">
        <w:rPr>
          <w:rFonts w:ascii="Times New Roman" w:hAnsi="Times New Roman" w:cs="Times New Roman"/>
          <w:noProof/>
          <w:sz w:val="22"/>
          <w:szCs w:val="22"/>
          <w:lang w:val="pl-PL"/>
        </w:rPr>
        <w:t>z uwzględnieniem przepisów wynikających z art. 10 ust.</w:t>
      </w:r>
      <w:r w:rsidRPr="00614683" w:rsidR="002069A9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614683" w:rsidR="002069A9">
        <w:rPr>
          <w:rFonts w:ascii="Times New Roman" w:hAnsi="Times New Roman" w:cs="Times New Roman"/>
          <w:noProof/>
          <w:sz w:val="22"/>
          <w:szCs w:val="22"/>
          <w:lang w:val="pl-PL"/>
        </w:rPr>
        <w:t>5 dyrektywy 2001/83/WE i uznaje, że &lt;badania niekliniczne&gt; &lt;i&gt; &lt;badania kliniczne&gt; przeprowadzone w związku z nowym wskazaniem były znaczące, co zostało szerzej omówione w Europejskim Publicznym Sprawozdaniu Oceniającym.&gt;</w:t>
      </w:r>
    </w:p>
    <w:p w:rsidR="007A1D4E" w:rsidRPr="00B10366" w:rsidP="005A0C1B">
      <w:pPr>
        <w:pStyle w:val="No-numheading3Agency"/>
        <w:rPr>
          <w:rFonts w:ascii="Times New Roman" w:hAnsi="Times New Roman" w:cs="Times New Roman"/>
          <w:lang w:val="da-DK"/>
        </w:rPr>
      </w:pPr>
    </w:p>
    <w:sectPr w:rsidSect="002745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366" w:rsidRPr="00E61C64">
    <w:pPr>
      <w:pStyle w:val="Footer"/>
      <w:jc w:val="center"/>
      <w:rPr>
        <w:rFonts w:ascii="Arial" w:hAnsi="Arial" w:cs="Arial"/>
        <w:sz w:val="16"/>
        <w:szCs w:val="16"/>
      </w:rPr>
    </w:pPr>
    <w:r w:rsidRPr="00E61C64" w:rsidR="002069A9">
      <w:rPr>
        <w:rFonts w:ascii="Arial" w:hAnsi="Arial" w:cs="Arial"/>
        <w:sz w:val="16"/>
        <w:szCs w:val="16"/>
      </w:rPr>
      <w:fldChar w:fldCharType="begin"/>
    </w:r>
    <w:r w:rsidRPr="00E61C64" w:rsidR="002069A9">
      <w:rPr>
        <w:rFonts w:ascii="Arial" w:hAnsi="Arial" w:cs="Arial"/>
        <w:sz w:val="16"/>
        <w:szCs w:val="16"/>
      </w:rPr>
      <w:instrText xml:space="preserve"> PAGE   \* MERGEFORMAT </w:instrText>
    </w:r>
    <w:r w:rsidRPr="00E61C64" w:rsidR="002069A9">
      <w:rPr>
        <w:rFonts w:ascii="Arial" w:hAnsi="Arial" w:cs="Arial"/>
        <w:sz w:val="16"/>
        <w:szCs w:val="16"/>
      </w:rPr>
      <w:fldChar w:fldCharType="separate"/>
    </w:r>
    <w:r w:rsidR="00E61C64">
      <w:rPr>
        <w:rFonts w:ascii="Arial" w:hAnsi="Arial" w:cs="Arial"/>
        <w:noProof/>
        <w:sz w:val="16"/>
        <w:szCs w:val="16"/>
      </w:rPr>
      <w:t>2</w:t>
    </w:r>
    <w:r w:rsidRPr="00E61C64" w:rsidR="002069A9">
      <w:rPr>
        <w:rFonts w:ascii="Arial" w:hAnsi="Arial" w:cs="Arial"/>
        <w:noProof/>
        <w:sz w:val="16"/>
        <w:szCs w:val="16"/>
      </w:rPr>
      <w:fldChar w:fldCharType="end"/>
    </w:r>
  </w:p>
  <w:p w:rsidR="007A1D4E">
    <w:pPr>
      <w:pStyle w:val="FooterAgency"/>
      <w:rPr>
        <w:rFonts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D4E">
    <w:pPr>
      <w:pStyle w:val="Footer"/>
      <w:jc w:val="center"/>
      <w:rPr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4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hyphenationZone w:val="425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15C18"/>
    <w:rsid w:val="0009656E"/>
    <w:rsid w:val="000A045B"/>
    <w:rsid w:val="000A14E5"/>
    <w:rsid w:val="000C0D39"/>
    <w:rsid w:val="001002D6"/>
    <w:rsid w:val="00104818"/>
    <w:rsid w:val="00141398"/>
    <w:rsid w:val="00175592"/>
    <w:rsid w:val="001A0DE6"/>
    <w:rsid w:val="001B7208"/>
    <w:rsid w:val="001C5891"/>
    <w:rsid w:val="001D3282"/>
    <w:rsid w:val="001F51E5"/>
    <w:rsid w:val="00202F0F"/>
    <w:rsid w:val="002069A9"/>
    <w:rsid w:val="00220D27"/>
    <w:rsid w:val="002230E8"/>
    <w:rsid w:val="0023318C"/>
    <w:rsid w:val="0024224D"/>
    <w:rsid w:val="00252DDD"/>
    <w:rsid w:val="002674A1"/>
    <w:rsid w:val="00274575"/>
    <w:rsid w:val="00277336"/>
    <w:rsid w:val="00277B40"/>
    <w:rsid w:val="002A264B"/>
    <w:rsid w:val="00397D83"/>
    <w:rsid w:val="00433BBF"/>
    <w:rsid w:val="00470428"/>
    <w:rsid w:val="00476C3E"/>
    <w:rsid w:val="004A2E29"/>
    <w:rsid w:val="004D6A54"/>
    <w:rsid w:val="004D790C"/>
    <w:rsid w:val="005633C7"/>
    <w:rsid w:val="005A0C1B"/>
    <w:rsid w:val="005B2DAC"/>
    <w:rsid w:val="005B360F"/>
    <w:rsid w:val="005C3479"/>
    <w:rsid w:val="005C64B6"/>
    <w:rsid w:val="005D3463"/>
    <w:rsid w:val="005E0D96"/>
    <w:rsid w:val="005F0598"/>
    <w:rsid w:val="00614683"/>
    <w:rsid w:val="006612F0"/>
    <w:rsid w:val="006B25E8"/>
    <w:rsid w:val="006E30D5"/>
    <w:rsid w:val="006F4F7A"/>
    <w:rsid w:val="00706020"/>
    <w:rsid w:val="0071784B"/>
    <w:rsid w:val="0073502D"/>
    <w:rsid w:val="00740E98"/>
    <w:rsid w:val="007461A8"/>
    <w:rsid w:val="00755561"/>
    <w:rsid w:val="00777982"/>
    <w:rsid w:val="007A1D4E"/>
    <w:rsid w:val="007C661F"/>
    <w:rsid w:val="007D3CFA"/>
    <w:rsid w:val="007E1D85"/>
    <w:rsid w:val="007E3AD9"/>
    <w:rsid w:val="008312A7"/>
    <w:rsid w:val="00850D6F"/>
    <w:rsid w:val="00855CBC"/>
    <w:rsid w:val="00866F52"/>
    <w:rsid w:val="00867B8B"/>
    <w:rsid w:val="008922F6"/>
    <w:rsid w:val="008F6038"/>
    <w:rsid w:val="00901E07"/>
    <w:rsid w:val="00906D40"/>
    <w:rsid w:val="00931AE3"/>
    <w:rsid w:val="0093216B"/>
    <w:rsid w:val="00936BBC"/>
    <w:rsid w:val="009F6951"/>
    <w:rsid w:val="00A03717"/>
    <w:rsid w:val="00A720C7"/>
    <w:rsid w:val="00A905AF"/>
    <w:rsid w:val="00AB65FF"/>
    <w:rsid w:val="00AE6694"/>
    <w:rsid w:val="00B02F69"/>
    <w:rsid w:val="00B10366"/>
    <w:rsid w:val="00B12AAC"/>
    <w:rsid w:val="00B1648C"/>
    <w:rsid w:val="00B31C9D"/>
    <w:rsid w:val="00B333E5"/>
    <w:rsid w:val="00B53E3C"/>
    <w:rsid w:val="00B608F0"/>
    <w:rsid w:val="00B9497B"/>
    <w:rsid w:val="00BC1060"/>
    <w:rsid w:val="00C17424"/>
    <w:rsid w:val="00C31ABE"/>
    <w:rsid w:val="00C50C32"/>
    <w:rsid w:val="00C57461"/>
    <w:rsid w:val="00C92592"/>
    <w:rsid w:val="00CA5444"/>
    <w:rsid w:val="00CB272C"/>
    <w:rsid w:val="00CD1ADC"/>
    <w:rsid w:val="00CE61D7"/>
    <w:rsid w:val="00D12FB5"/>
    <w:rsid w:val="00D62777"/>
    <w:rsid w:val="00D62D19"/>
    <w:rsid w:val="00D62F0E"/>
    <w:rsid w:val="00D67EB3"/>
    <w:rsid w:val="00D915C9"/>
    <w:rsid w:val="00DC6C92"/>
    <w:rsid w:val="00DD34DB"/>
    <w:rsid w:val="00DE3005"/>
    <w:rsid w:val="00DE6E31"/>
    <w:rsid w:val="00E109FE"/>
    <w:rsid w:val="00E30AE1"/>
    <w:rsid w:val="00E61C64"/>
    <w:rsid w:val="00E65F43"/>
    <w:rsid w:val="00E67E78"/>
    <w:rsid w:val="00EC33C2"/>
    <w:rsid w:val="00ED67DA"/>
    <w:rsid w:val="00EE7419"/>
    <w:rsid w:val="00F34963"/>
    <w:rsid w:val="00F61F7D"/>
    <w:rsid w:val="00F6539B"/>
    <w:rsid w:val="00F7682A"/>
    <w:rsid w:val="00F86CE6"/>
    <w:rsid w:val="00F966C2"/>
    <w:rsid w:val="00FD4EA2"/>
    <w:rsid w:val="00FE6E1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FF"/>
    <w:rPr>
      <w:rFonts w:ascii="Verdana" w:hAnsi="Verdana" w:cs="Verdana"/>
      <w:sz w:val="18"/>
      <w:szCs w:val="18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65FF"/>
    <w:pPr>
      <w:tabs>
        <w:tab w:val="center" w:pos="4536"/>
        <w:tab w:val="right" w:pos="8306"/>
      </w:tabs>
    </w:pPr>
    <w:rPr>
      <w:rFonts w:cs="Times New Roman"/>
      <w:snapToGrid w:val="0"/>
    </w:rPr>
  </w:style>
  <w:style w:type="character" w:customStyle="1" w:styleId="FooterChar">
    <w:name w:val="Footer Char"/>
    <w:link w:val="Footer"/>
    <w:uiPriority w:val="99"/>
    <w:locked/>
    <w:rsid w:val="00AB65FF"/>
    <w:rPr>
      <w:rFonts w:ascii="Verdana" w:hAnsi="Verdana" w:cs="Verdana"/>
      <w:snapToGrid w:val="0"/>
      <w:sz w:val="18"/>
      <w:szCs w:val="18"/>
      <w:lang w:val="en-GB"/>
    </w:rPr>
  </w:style>
  <w:style w:type="paragraph" w:customStyle="1" w:styleId="FooterAgency">
    <w:name w:val="Footer (Agency)"/>
    <w:basedOn w:val="Normal"/>
    <w:rsid w:val="00AB65FF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AB65FF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AB65FF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AB65FF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AB65FF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zh-CN" w:bidi="ar-SA"/>
    </w:rPr>
  </w:style>
  <w:style w:type="paragraph" w:customStyle="1" w:styleId="NormalAgency">
    <w:name w:val="Normal (Agency)"/>
    <w:rsid w:val="00AB65FF"/>
    <w:rPr>
      <w:rFonts w:ascii="Verdana" w:hAnsi="Verdana" w:cs="Verdana"/>
      <w:sz w:val="18"/>
      <w:szCs w:val="18"/>
      <w:lang w:val="en-GB" w:eastAsia="zh-CN" w:bidi="ar-SA"/>
    </w:rPr>
  </w:style>
  <w:style w:type="character" w:customStyle="1" w:styleId="DraftingNotesAgencyChar">
    <w:name w:val="Drafting Notes (Agency) Char"/>
    <w:locked/>
    <w:rsid w:val="00AB65FF"/>
    <w:rPr>
      <w:rFonts w:ascii="Courier New" w:hAnsi="Courier New"/>
      <w:i/>
      <w:color w:val="339966"/>
      <w:sz w:val="18"/>
      <w:lang w:val="en-GB"/>
    </w:rPr>
  </w:style>
  <w:style w:type="character" w:customStyle="1" w:styleId="tw4winMark">
    <w:name w:val="tw4winMark"/>
    <w:uiPriority w:val="99"/>
    <w:rsid w:val="00AB65FF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B65F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B65FF"/>
    <w:rPr>
      <w:color w:val="0000FF"/>
    </w:rPr>
  </w:style>
  <w:style w:type="character" w:customStyle="1" w:styleId="tw4winPopup">
    <w:name w:val="tw4winPopup"/>
    <w:uiPriority w:val="99"/>
    <w:rsid w:val="00AB65F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B65F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B65F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B65F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B65FF"/>
    <w:rPr>
      <w:rFonts w:ascii="Courier New" w:hAnsi="Courier New"/>
      <w:noProof/>
      <w:color w:val="800000"/>
    </w:rPr>
  </w:style>
  <w:style w:type="numbering" w:customStyle="1" w:styleId="BulletsAgency">
    <w:name w:val="Bullets (Agency)"/>
    <w:rsid w:val="00A05748"/>
    <w:pPr>
      <w:numPr>
        <w:numId w:val="4"/>
      </w:numPr>
    </w:pPr>
  </w:style>
  <w:style w:type="numbering" w:customStyle="1" w:styleId="NumberlistAgency">
    <w:name w:val="Number list (Agency)"/>
    <w:rsid w:val="00A05748"/>
    <w:pPr>
      <w:numPr>
        <w:numId w:val="15"/>
      </w:numPr>
    </w:pPr>
  </w:style>
  <w:style w:type="paragraph" w:styleId="Header">
    <w:name w:val="header"/>
    <w:basedOn w:val="Normal"/>
    <w:link w:val="HeaderChar"/>
    <w:rsid w:val="00B10366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rsid w:val="00B10366"/>
    <w:rPr>
      <w:rFonts w:ascii="Verdana" w:hAnsi="Verdana" w:cs="Verdana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242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224D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4B7554AF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4B7554AF.DOT</Template>
  <TotalTime>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HannexIVexceptionalpl</vt:lpstr>
    </vt:vector>
  </TitlesOfParts>
  <Company>Translation Centre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HannexIVexceptional_pl</dc:title>
  <dc:creator>Translation Centre;European Medicines Agency</dc:creator>
  <cp:lastModifiedBy>Akhtar Tia</cp:lastModifiedBy>
  <cp:revision>3</cp:revision>
  <dcterms:created xsi:type="dcterms:W3CDTF">2016-12-08T10:15:00Z</dcterms:created>
  <dcterms:modified xsi:type="dcterms:W3CDTF">2018-10-17T13:11:00Z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14:24:54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EMA/713529/2018</vt:lpwstr>
  </property>
  <property fmtid="{D5CDD505-2E9C-101B-9397-08002B2CF9AE}" pid="7" name="DM_emea_doc_ref_id">
    <vt:lpwstr>EMA/713529/2018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14:24:54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14:24:54</vt:lpwstr>
  </property>
  <property fmtid="{D5CDD505-2E9C-101B-9397-08002B2CF9AE}" pid="14" name="DM_Name">
    <vt:lpwstr>HannexIVexceptional_pl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