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7E5F08" w:rsidP="4D6F29C1" w14:paraId="6B1C1C87" w14:textId="3A11FE4E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  <w:r w:rsidRPr="4D6F29C1">
        <w:rPr>
          <w:rFonts w:ascii="Times New Roman" w:hAnsi="Times New Roman"/>
          <w:lang w:val="en-GB"/>
        </w:rPr>
        <w:t xml:space="preserve"> </w:t>
      </w:r>
    </w:p>
    <w:p w:rsidR="008E146B" w:rsidRPr="007E5F08" w:rsidP="00B66B04" w14:paraId="6B1C1C8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8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8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8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8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8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8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8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7E5F08" w:rsidP="00B66B04" w14:paraId="6B1C1C9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7E5F08" w:rsidP="00B66B04" w14:paraId="6B1C1C9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7E5F08" w:rsidP="00B66B04" w14:paraId="6B1C1C9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7E5F08" w:rsidP="00B66B04" w14:paraId="6B1C1C9E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7E5F08">
        <w:rPr>
          <w:rFonts w:ascii="Times New Roman" w:hAnsi="Times New Roman"/>
        </w:rPr>
        <w:t>PŘÍLOHA IV</w:t>
      </w:r>
    </w:p>
    <w:p w:rsidR="00B66B04" w:rsidRPr="007E5F08" w:rsidP="00B66B04" w14:paraId="6B1C1C9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B66B04" w:rsidRPr="007E5F08" w:rsidP="00B66B04" w14:paraId="6B1C1CA0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7E5F08">
        <w:rPr>
          <w:rFonts w:ascii="Times New Roman" w:hAnsi="Times New Roman"/>
        </w:rPr>
        <w:t>VĚDECKÉ ZÁVĚRY A ZDŮVODNĚNÍ ZMĚNY</w:t>
      </w:r>
    </w:p>
    <w:p w:rsidR="008E146B" w:rsidRPr="007E5F08" w:rsidP="00B66B04" w14:paraId="6B1C1CA1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7E5F08">
        <w:rPr>
          <w:rFonts w:ascii="Times New Roman" w:hAnsi="Times New Roman"/>
        </w:rPr>
        <w:t>V REGISTRACI</w:t>
      </w:r>
    </w:p>
    <w:p w:rsidR="00B66B04" w:rsidRPr="007E5F08" w:rsidP="00B66B04" w14:paraId="6B1C1CA2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  <w:lang w:val="en-GB"/>
        </w:rPr>
      </w:pPr>
    </w:p>
    <w:p w:rsidR="00A11F98" w:rsidRPr="007E5F08" w:rsidP="00B66B04" w14:paraId="6B1C1CA3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7E5F08">
        <w:rPr>
          <w:rFonts w:ascii="Times New Roman" w:hAnsi="Times New Roman"/>
          <w:color w:val="339966"/>
          <w:sz w:val="22"/>
          <w:lang w:val="en-GB"/>
        </w:rPr>
        <w:t>[This Annex IV refers to CAPs]</w:t>
      </w:r>
    </w:p>
    <w:p w:rsidR="009D60A3" w:rsidRPr="007E5F08" w:rsidP="00B66B04" w14:paraId="6B1C1CA4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7E5F08" w:rsidP="00B66B04" w14:paraId="6B1C1CA5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6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7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8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9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A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B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7E5F08" w:rsidP="00B66B04" w14:paraId="6B1C1CAC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7E5F08" w:rsidP="00E7370A" w14:paraId="6B1C1CAD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7E5F08">
        <w:br w:type="page"/>
      </w:r>
      <w:r w:rsidRPr="007E5F08">
        <w:rPr>
          <w:rFonts w:ascii="Times New Roman" w:hAnsi="Times New Roman"/>
          <w:b/>
          <w:i w:val="0"/>
          <w:color w:val="auto"/>
        </w:rPr>
        <w:t>Vědecké závěry</w:t>
      </w:r>
    </w:p>
    <w:p w:rsidR="009B5CE6" w:rsidRPr="007E5F08" w:rsidP="00E7370A" w14:paraId="6B1C1CA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9B5CE6" w:rsidRPr="007E5F08" w:rsidP="00E7370A" w14:paraId="6B1C1C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7E5F08">
        <w:rPr>
          <w:rFonts w:ascii="Times New Roman" w:hAnsi="Times New Roman"/>
          <w:i w:val="0"/>
          <w:color w:val="auto"/>
        </w:rPr>
        <w:t>S ohledem na hodnotící zprávu výboru PRAC týkající se pravidelně aktualizované zprávy / aktualizovaných zpráv o bezpečnosti (PSUR) {název léčivé látky / názvy léčivých látek} dospěl výbor PRAC k těmto vědeckým závěrům:</w:t>
      </w:r>
    </w:p>
    <w:p w:rsidR="008E146B" w:rsidRPr="007E5F08" w:rsidP="00E7370A" w14:paraId="6B1C1CB0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  <w:lang w:val="en-GB"/>
        </w:rPr>
      </w:pPr>
    </w:p>
    <w:p w:rsidR="008E146B" w:rsidRPr="007E5F08" w:rsidP="00E7370A" w14:paraId="6B1C1CB1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[Copy-paste from the</w:t>
      </w:r>
      <w:r w:rsidRPr="007E5F08">
        <w:rPr>
          <w:rFonts w:ascii="Times New Roman" w:hAnsi="Times New Roman"/>
          <w:i w:val="0"/>
        </w:rPr>
        <w:t xml:space="preserve"> </w:t>
      </w:r>
      <w:r w:rsidRPr="007E5F08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7E5F08">
        <w:rPr>
          <w:rFonts w:ascii="Times New Roman" w:hAnsi="Times New Roman"/>
          <w:i w:val="0"/>
        </w:rPr>
        <w:t>PSUR PRAC AR</w:t>
      </w:r>
      <w:r w:rsidRPr="007E5F08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7E5F08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7E5F08" w:rsidP="0008204E" w14:paraId="6B1C1CB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7E5F08" w:rsidP="0008204E" w14:paraId="6B1C1CB3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7E5F08" w:rsidP="0008204E" w14:paraId="6B1C1CB4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7E5F08" w:rsidP="0008204E" w14:paraId="6B1C1CB5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[OPTION 1: CHMP agrees]</w:t>
      </w:r>
    </w:p>
    <w:p w:rsidR="0072084C" w:rsidRPr="007E5F08" w:rsidP="00E7370A" w14:paraId="6B1C1CB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E5F08">
        <w:rPr>
          <w:rFonts w:ascii="Times New Roman" w:hAnsi="Times New Roman"/>
          <w:sz w:val="22"/>
        </w:rPr>
        <w:t>Po přezkoumání doporučení výboru PRAC výbor CHMP souhlasí s jeho celkovými závěry a zdůvodněním.</w:t>
      </w:r>
    </w:p>
    <w:p w:rsidR="0072084C" w:rsidRPr="007E5F08" w:rsidP="00E7370A" w14:paraId="6B1C1CB7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7E5F08" w:rsidP="00E7370A" w14:paraId="6B1C1CB8" w14:textId="77777777">
      <w:pPr>
        <w:pStyle w:val="No-numheading3Agency"/>
        <w:spacing w:before="0" w:after="0"/>
        <w:rPr>
          <w:rFonts w:ascii="Times New Roman" w:hAnsi="Times New Roman"/>
        </w:rPr>
      </w:pPr>
      <w:r w:rsidRPr="007E5F08">
        <w:rPr>
          <w:rFonts w:ascii="Times New Roman" w:hAnsi="Times New Roman"/>
        </w:rPr>
        <w:t>Zdůvodnění změny v registraci</w:t>
      </w:r>
    </w:p>
    <w:p w:rsidR="009B5CE6" w:rsidRPr="007E5F08" w:rsidP="00E7370A" w14:paraId="6B1C1CB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8E146B" w:rsidRPr="007E5F08" w:rsidP="00E7370A" w14:paraId="6B1C1CB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E5F08">
        <w:rPr>
          <w:rFonts w:ascii="Times New Roman" w:hAnsi="Times New Roman"/>
          <w:sz w:val="22"/>
        </w:rPr>
        <w:t>Na základě vědeckých závěrů týkajících se {název léčivé látky / názvy léčivých látek} výbor CHMP zastává stanovisko, že poměr přínosů a rizik léčivého přípravku obsahujícího / léčivých přípravků obsahujících {název léčivé látky / názvy léčivých látek} zůstává nezměněný, a to pod podmínkou, že v informacích o přípravku budou provedeny navrhované změny.</w:t>
      </w:r>
    </w:p>
    <w:p w:rsidR="009B5CE6" w:rsidRPr="007E5F08" w:rsidP="00E7370A" w14:paraId="6B1C1CBB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  <w:lang w:val="en-GB"/>
        </w:rPr>
      </w:pPr>
    </w:p>
    <w:p w:rsidR="00D220ED" w:rsidRPr="007E5F08" w:rsidP="00E7370A" w14:paraId="6B1C1CBC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7E5F08">
        <w:rPr>
          <w:rFonts w:ascii="Times New Roman" w:hAnsi="Times New Roman"/>
          <w:snapToGrid w:val="0"/>
          <w:sz w:val="22"/>
        </w:rPr>
        <w:t>Výbor CHMP doporučuje změnu v registraci.</w:t>
      </w:r>
    </w:p>
    <w:p w:rsidR="0072084C" w:rsidRPr="007E5F08" w:rsidP="00E7370A" w14:paraId="6B1C1CBD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7E5F08" w:rsidP="0008204E" w14:paraId="6B1C1CBE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[OPTION 2: CHMP disagrees]</w:t>
      </w:r>
    </w:p>
    <w:p w:rsidR="0072084C" w:rsidRPr="007E5F08" w:rsidP="00E7370A" w14:paraId="6B1C1CB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E5F08">
        <w:rPr>
          <w:rFonts w:ascii="Times New Roman" w:hAnsi="Times New Roman"/>
          <w:sz w:val="22"/>
        </w:rPr>
        <w:t>Po přezkoumání doporučení výboru PRAC výbor CHMP nesouhlasí s jeho celkovými závěry a zdůvodněním.</w:t>
      </w:r>
    </w:p>
    <w:p w:rsidR="0072084C" w:rsidRPr="007E5F08" w:rsidP="004873DF" w14:paraId="6B1C1CC0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7E5F08" w:rsidP="004873DF" w14:paraId="6B1C1CC1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7E5F08">
        <w:rPr>
          <w:rFonts w:ascii="Times New Roman" w:hAnsi="Times New Roman"/>
          <w:sz w:val="22"/>
          <w:u w:val="single"/>
        </w:rPr>
        <w:t>Podrobné vysvětlení vědeckého zdůvodnění rozdílů oproti doporučení výboru PRAC</w:t>
      </w:r>
    </w:p>
    <w:p w:rsidR="0072084C" w:rsidRPr="007E5F08" w:rsidP="0008204E" w14:paraId="6B1C1CC2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7E5F08" w:rsidP="0008204E" w14:paraId="6B1C1CC3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7E5F08" w:rsidP="004873DF" w14:paraId="6B1C1CC4" w14:textId="77777777">
      <w:pPr>
        <w:pStyle w:val="BodytextAgency"/>
        <w:spacing w:after="0" w:line="240" w:lineRule="auto"/>
      </w:pPr>
    </w:p>
    <w:p w:rsidR="0072084C" w:rsidRPr="007E5F08" w:rsidP="004873DF" w14:paraId="6B1C1CC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7E5F08">
        <w:rPr>
          <w:rFonts w:ascii="Times New Roman" w:hAnsi="Times New Roman"/>
          <w:sz w:val="22"/>
        </w:rPr>
        <w:t>S ohledem na doporučení výboru PRAC &lt;a na diskusi v rámci výboru CHMP&gt; výbor CHMP zastává stanovisko,</w:t>
      </w:r>
    </w:p>
    <w:p w:rsidR="004873DF" w:rsidRPr="007E5F08" w:rsidP="004873DF" w14:paraId="6B1C1CC6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7E5F08" w:rsidP="004873DF" w14:paraId="6B1C1CC7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7E5F08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7E5F08" w:rsidP="004873DF" w14:paraId="6B1C1CC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7E5F08">
        <w:rPr>
          <w:rFonts w:ascii="Times New Roman" w:hAnsi="Times New Roman"/>
          <w:snapToGrid w:val="0"/>
          <w:sz w:val="22"/>
        </w:rPr>
        <w:t>&lt;že poměr přínosů a rizik léčivých přípravků obsahujících {název léčivé látky / názvy léčivých látek} zůstává nezměněný a na základě &lt;konsenzu&gt; &lt;většinového rozhodnutí&gt; doporučuje registraci zachovat.&gt;</w:t>
      </w:r>
    </w:p>
    <w:p w:rsidR="004873DF" w:rsidRPr="007E5F08" w:rsidP="004873DF" w14:paraId="6B1C1CC9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7E5F08" w:rsidP="00CF3502" w14:paraId="6B1C1CCA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  <w:r w:rsidRPr="007E5F08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7E5F08" w:rsidP="004873DF" w14:paraId="6B1C1CCB" w14:textId="07D651D9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6FE7026F">
        <w:rPr>
          <w:rFonts w:ascii="Times New Roman" w:hAnsi="Times New Roman"/>
          <w:snapToGrid w:val="0"/>
          <w:sz w:val="22"/>
          <w:szCs w:val="22"/>
        </w:rPr>
        <w:t>&lt;že poměr přínosů a rizik léčivých přípravků obsahujících {název léčivé látky / názvy léčivých látek} zůstává nezměněný</w:t>
      </w:r>
      <w:r w:rsidRPr="6FE7026F" w:rsidR="4EF948A2">
        <w:rPr>
          <w:rFonts w:ascii="Times New Roman" w:hAnsi="Times New Roman"/>
          <w:snapToGrid w:val="0"/>
          <w:sz w:val="22"/>
          <w:szCs w:val="22"/>
        </w:rPr>
        <w:t xml:space="preserve"> pod podmínkou, že</w:t>
      </w:r>
      <w:r w:rsidRPr="6FE7026F">
        <w:rPr>
          <w:rFonts w:ascii="Times New Roman" w:hAnsi="Times New Roman"/>
          <w:snapToGrid w:val="0"/>
          <w:sz w:val="22"/>
          <w:szCs w:val="22"/>
        </w:rPr>
        <w:t xml:space="preserve"> na základě &lt;konsenzu&gt; &lt;většinového rozhodnutí&gt; </w:t>
      </w:r>
      <w:r w:rsidRPr="6FE7026F" w:rsidR="6AE84071">
        <w:rPr>
          <w:rFonts w:ascii="Times New Roman" w:hAnsi="Times New Roman"/>
          <w:snapToGrid w:val="0"/>
          <w:sz w:val="22"/>
          <w:szCs w:val="22"/>
        </w:rPr>
        <w:t>bude provedena</w:t>
      </w:r>
      <w:r w:rsidRPr="6FE7026F" w:rsidR="013A658A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6FE7026F">
        <w:rPr>
          <w:rFonts w:ascii="Times New Roman" w:hAnsi="Times New Roman"/>
          <w:snapToGrid w:val="0"/>
          <w:sz w:val="22"/>
          <w:szCs w:val="22"/>
        </w:rPr>
        <w:t>změn</w:t>
      </w:r>
      <w:r w:rsidRPr="6FE7026F" w:rsidR="06745544">
        <w:rPr>
          <w:rFonts w:ascii="Times New Roman" w:hAnsi="Times New Roman"/>
          <w:snapToGrid w:val="0"/>
          <w:sz w:val="22"/>
          <w:szCs w:val="22"/>
        </w:rPr>
        <w:t>a</w:t>
      </w:r>
      <w:r w:rsidRPr="6FE7026F">
        <w:rPr>
          <w:rFonts w:ascii="Times New Roman" w:hAnsi="Times New Roman"/>
          <w:snapToGrid w:val="0"/>
          <w:sz w:val="22"/>
          <w:szCs w:val="22"/>
        </w:rPr>
        <w:t xml:space="preserve"> v registraci, a to:&gt;</w:t>
      </w:r>
    </w:p>
    <w:p w:rsidR="0072084C" w:rsidRPr="007E5F08" w:rsidP="004873DF" w14:paraId="6B1C1CCC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7E5F08" w:rsidP="004873DF" w14:paraId="6B1C1CC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2084C" w:rsidRPr="007E5F08" w:rsidP="004873DF" w14:paraId="6B1C1CCE" w14:textId="0C1A4B51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4D6F29C1">
        <w:rPr>
          <w:rFonts w:ascii="Times New Roman" w:hAnsi="Times New Roman"/>
          <w:sz w:val="22"/>
          <w:szCs w:val="22"/>
        </w:rPr>
        <w:t xml:space="preserve">&lt;Aktualizovat bod {n} &lt;a {n}&gt; souhrnu údajů o přípravku s cílem doplnit &lt;nežádoucí účinek {x} s frekvencí {y}&gt; &lt;upozornění na {z}&gt; &lt;…&gt;. &lt;Příbalová informace </w:t>
      </w:r>
      <w:r w:rsidRPr="4D6F29C1" w:rsidR="76A6C7B6">
        <w:rPr>
          <w:rFonts w:ascii="Times New Roman" w:hAnsi="Times New Roman"/>
          <w:sz w:val="22"/>
          <w:szCs w:val="22"/>
        </w:rPr>
        <w:t>má být</w:t>
      </w:r>
      <w:r w:rsidRPr="4D6F29C1">
        <w:rPr>
          <w:rFonts w:ascii="Times New Roman" w:hAnsi="Times New Roman"/>
          <w:sz w:val="22"/>
          <w:szCs w:val="22"/>
        </w:rPr>
        <w:t xml:space="preserve"> odpovídajícím způsobem akt</w:t>
      </w:r>
      <w:r w:rsidRPr="4D6F29C1" w:rsidR="7709489E">
        <w:rPr>
          <w:rFonts w:ascii="Times New Roman" w:hAnsi="Times New Roman"/>
          <w:sz w:val="22"/>
          <w:szCs w:val="22"/>
        </w:rPr>
        <w:t>ualizována</w:t>
      </w:r>
      <w:r w:rsidRPr="4D6F29C1">
        <w:rPr>
          <w:rFonts w:ascii="Times New Roman" w:hAnsi="Times New Roman"/>
          <w:sz w:val="22"/>
          <w:szCs w:val="22"/>
        </w:rPr>
        <w:t>.&gt;&gt;</w:t>
      </w:r>
    </w:p>
    <w:p w:rsidR="00CF3502" w:rsidRPr="007E5F08" w:rsidP="004873DF" w14:paraId="6B1C1CCF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7E5F08" w:rsidP="004873DF" w14:paraId="6B1C1CD0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7E5F08" w:rsidP="004873DF" w14:paraId="6B1C1CD1" w14:textId="49C1529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6FE7026F">
        <w:rPr>
          <w:rFonts w:ascii="Times New Roman" w:hAnsi="Times New Roman"/>
          <w:sz w:val="22"/>
          <w:szCs w:val="22"/>
        </w:rPr>
        <w:t xml:space="preserve">&lt;Podmínky vztahující se </w:t>
      </w:r>
      <w:r w:rsidRPr="6FE7026F" w:rsidR="519AE8E0">
        <w:rPr>
          <w:rFonts w:ascii="Times New Roman" w:hAnsi="Times New Roman"/>
          <w:sz w:val="22"/>
          <w:szCs w:val="22"/>
        </w:rPr>
        <w:t>k</w:t>
      </w:r>
      <w:r w:rsidR="00CE6E89">
        <w:rPr>
          <w:rFonts w:ascii="Times New Roman" w:hAnsi="Times New Roman"/>
          <w:sz w:val="22"/>
          <w:szCs w:val="22"/>
        </w:rPr>
        <w:t xml:space="preserve"> </w:t>
      </w:r>
      <w:r w:rsidRPr="6FE7026F">
        <w:rPr>
          <w:rFonts w:ascii="Times New Roman" w:hAnsi="Times New Roman"/>
          <w:sz w:val="22"/>
          <w:szCs w:val="22"/>
        </w:rPr>
        <w:t>registraci jsou tyto:&gt;</w:t>
      </w:r>
    </w:p>
    <w:p w:rsidR="0072084C" w:rsidRPr="007E5F08" w:rsidP="004873DF" w14:paraId="6B1C1CD2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7E5F08" w:rsidP="004873DF" w14:paraId="6B1C1CD3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7E5F08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7E5F08" w:rsidP="004873DF" w14:paraId="6B1C1CD4" w14:textId="687C9F4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4D6F29C1">
        <w:rPr>
          <w:rFonts w:ascii="Times New Roman" w:hAnsi="Times New Roman"/>
          <w:sz w:val="22"/>
          <w:szCs w:val="22"/>
        </w:rPr>
        <w:t xml:space="preserve">&lt;Kromě toho </w:t>
      </w:r>
      <w:r w:rsidRPr="4D6F29C1" w:rsidR="47D98CB8">
        <w:rPr>
          <w:rFonts w:ascii="Times New Roman" w:hAnsi="Times New Roman"/>
          <w:sz w:val="22"/>
          <w:szCs w:val="22"/>
        </w:rPr>
        <w:t xml:space="preserve">se </w:t>
      </w:r>
      <w:r w:rsidRPr="4D6F29C1">
        <w:rPr>
          <w:rFonts w:ascii="Times New Roman" w:hAnsi="Times New Roman"/>
          <w:sz w:val="22"/>
          <w:szCs w:val="22"/>
        </w:rPr>
        <w:t>držitel(é) rozhodnutí o registraci m</w:t>
      </w:r>
      <w:r w:rsidRPr="4D6F29C1" w:rsidR="5766A418">
        <w:rPr>
          <w:rFonts w:ascii="Times New Roman" w:hAnsi="Times New Roman"/>
          <w:sz w:val="22"/>
          <w:szCs w:val="22"/>
        </w:rPr>
        <w:t xml:space="preserve">ají </w:t>
      </w:r>
      <w:r w:rsidRPr="4D6F29C1">
        <w:rPr>
          <w:rFonts w:ascii="Times New Roman" w:hAnsi="Times New Roman"/>
          <w:sz w:val="22"/>
          <w:szCs w:val="22"/>
        </w:rPr>
        <w:t>v příští</w:t>
      </w:r>
      <w:r w:rsidRPr="4D6F29C1" w:rsidR="5E946BA6">
        <w:rPr>
          <w:rFonts w:ascii="Times New Roman" w:hAnsi="Times New Roman"/>
          <w:sz w:val="22"/>
          <w:szCs w:val="22"/>
        </w:rPr>
        <w:t>m</w:t>
      </w:r>
      <w:r w:rsidRPr="4D6F29C1">
        <w:rPr>
          <w:rFonts w:ascii="Times New Roman" w:hAnsi="Times New Roman"/>
          <w:sz w:val="22"/>
          <w:szCs w:val="22"/>
        </w:rPr>
        <w:t xml:space="preserve"> PSUR zabývat také těmito otázkami:</w:t>
      </w:r>
    </w:p>
    <w:p w:rsidR="0072084C" w:rsidRPr="007E5F08" w:rsidP="004873DF" w14:paraId="6B1C1CD5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E5F08">
        <w:rPr>
          <w:rFonts w:ascii="Times New Roman" w:hAnsi="Times New Roman"/>
          <w:color w:val="339966"/>
          <w:sz w:val="22"/>
          <w:lang w:val="en-GB"/>
        </w:rPr>
        <w:t>[list]</w:t>
      </w:r>
      <w:r w:rsidRPr="007E5F08">
        <w:rPr>
          <w:rFonts w:ascii="Times New Roman" w:hAnsi="Times New Roman"/>
          <w:sz w:val="22"/>
          <w:lang w:val="en-GB"/>
        </w:rPr>
        <w:t>&gt;</w:t>
      </w:r>
    </w:p>
    <w:p w:rsidR="00F304FB" w:rsidRPr="007E5F08" w:rsidP="00F304FB" w14:paraId="6B1C1CD6" w14:textId="1677BC55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4D6F29C1">
        <w:rPr>
          <w:rFonts w:ascii="Times New Roman" w:hAnsi="Times New Roman"/>
          <w:sz w:val="22"/>
          <w:szCs w:val="22"/>
        </w:rPr>
        <w:t xml:space="preserve">&lt;Kromě toho </w:t>
      </w:r>
      <w:r w:rsidRPr="4D6F29C1" w:rsidR="22A22490">
        <w:rPr>
          <w:rFonts w:ascii="Times New Roman" w:hAnsi="Times New Roman"/>
          <w:sz w:val="22"/>
          <w:szCs w:val="22"/>
        </w:rPr>
        <w:t>se</w:t>
      </w:r>
      <w:r w:rsidRPr="4D6F29C1">
        <w:rPr>
          <w:rFonts w:ascii="Times New Roman" w:hAnsi="Times New Roman"/>
          <w:sz w:val="22"/>
          <w:szCs w:val="22"/>
        </w:rPr>
        <w:t xml:space="preserve"> držitel(é) rozhodnutí o registraci m</w:t>
      </w:r>
      <w:r w:rsidRPr="4D6F29C1" w:rsidR="0638420D">
        <w:rPr>
          <w:rFonts w:ascii="Times New Roman" w:hAnsi="Times New Roman"/>
          <w:sz w:val="22"/>
          <w:szCs w:val="22"/>
        </w:rPr>
        <w:t>ají</w:t>
      </w:r>
      <w:r w:rsidRPr="4D6F29C1">
        <w:rPr>
          <w:rFonts w:ascii="Times New Roman" w:hAnsi="Times New Roman"/>
          <w:sz w:val="22"/>
          <w:szCs w:val="22"/>
        </w:rPr>
        <w:t xml:space="preserve"> do </w:t>
      </w:r>
      <w:r w:rsidRPr="4D6F29C1" w:rsidR="00C31018">
        <w:rPr>
          <w:rFonts w:ascii="Times New Roman" w:hAnsi="Times New Roman"/>
          <w:sz w:val="22"/>
          <w:szCs w:val="22"/>
        </w:rPr>
        <w:t>{x}</w:t>
      </w:r>
      <w:r w:rsidRPr="4D6F29C1">
        <w:rPr>
          <w:rFonts w:ascii="Times New Roman" w:hAnsi="Times New Roman"/>
          <w:sz w:val="22"/>
          <w:szCs w:val="22"/>
        </w:rPr>
        <w:t xml:space="preserve"> měsíců předložit aktualizovaný plán řízení rizik s cílem řešit tyto otázky:</w:t>
      </w:r>
    </w:p>
    <w:p w:rsidR="00F304FB" w:rsidRPr="007E5F08" w:rsidP="00F304FB" w14:paraId="6B1C1CD7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7E5F08">
        <w:rPr>
          <w:rFonts w:ascii="Times New Roman" w:hAnsi="Times New Roman"/>
          <w:color w:val="339966"/>
          <w:sz w:val="22"/>
          <w:lang w:val="en-GB"/>
        </w:rPr>
        <w:t>[list]</w:t>
      </w:r>
      <w:r w:rsidRPr="007E5F08">
        <w:rPr>
          <w:rFonts w:ascii="Times New Roman" w:hAnsi="Times New Roman"/>
          <w:sz w:val="22"/>
          <w:lang w:val="en-GB"/>
        </w:rPr>
        <w:t>&gt;</w:t>
      </w:r>
    </w:p>
    <w:p w:rsidR="0072084C" w:rsidRPr="007E5F08" w:rsidP="004873DF" w14:paraId="6B1C1CD8" w14:textId="77777777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7E5F08" w14:paraId="6B1C1CD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7E5F08" w14:paraId="6B1C1CE0" w14:textId="77777777">
    <w:pPr>
      <w:pStyle w:val="Footer"/>
      <w:jc w:val="center"/>
    </w:pPr>
    <w:r w:rsidRPr="007E5F08">
      <w:fldChar w:fldCharType="begin"/>
    </w:r>
    <w:r w:rsidRPr="007E5F08">
      <w:instrText xml:space="preserve"> PAGE   \* MERGEFORMAT </w:instrText>
    </w:r>
    <w:r w:rsidRPr="007E5F08">
      <w:fldChar w:fldCharType="separate"/>
    </w:r>
    <w:r w:rsidRPr="007E5F08" w:rsidR="003E591C">
      <w:t>3</w:t>
    </w:r>
    <w:r w:rsidRPr="007E5F08">
      <w:fldChar w:fldCharType="end"/>
    </w:r>
  </w:p>
  <w:p w:rsidR="0008729F" w:rsidRPr="007E5F08" w14:paraId="6B1C1C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7E5F08" w14:paraId="6B1C1C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7E5F08" w14:paraId="6B1C1C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7E5F08" w14:paraId="6B1C1C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6B1C1CE4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7E5F08" w14:paraId="6B1C1CE2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7E5F08" w14:paraId="6B1C1CE3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7E5F08" w14:paraId="6B1C1C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A771E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4CBB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0C67"/>
    <w:rsid w:val="003A2757"/>
    <w:rsid w:val="003A4B9E"/>
    <w:rsid w:val="003A566B"/>
    <w:rsid w:val="003B36FA"/>
    <w:rsid w:val="003B57E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BBF"/>
    <w:rsid w:val="005E4F6E"/>
    <w:rsid w:val="005F0386"/>
    <w:rsid w:val="005F25E1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2B59"/>
    <w:rsid w:val="00663002"/>
    <w:rsid w:val="00672607"/>
    <w:rsid w:val="00695D7C"/>
    <w:rsid w:val="006A3206"/>
    <w:rsid w:val="006A35A2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B406F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E5F08"/>
    <w:rsid w:val="007F16D3"/>
    <w:rsid w:val="007F59F0"/>
    <w:rsid w:val="007F5CE5"/>
    <w:rsid w:val="00810A84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4A7F"/>
    <w:rsid w:val="008B53AB"/>
    <w:rsid w:val="008C2828"/>
    <w:rsid w:val="008C3135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42B2C"/>
    <w:rsid w:val="00A514B7"/>
    <w:rsid w:val="00A55014"/>
    <w:rsid w:val="00A61ED3"/>
    <w:rsid w:val="00A643CA"/>
    <w:rsid w:val="00A7110F"/>
    <w:rsid w:val="00A77D22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1374"/>
    <w:rsid w:val="00B23A5C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76D"/>
    <w:rsid w:val="00B56DF3"/>
    <w:rsid w:val="00B57926"/>
    <w:rsid w:val="00B57F3B"/>
    <w:rsid w:val="00B63B26"/>
    <w:rsid w:val="00B63BC5"/>
    <w:rsid w:val="00B668CD"/>
    <w:rsid w:val="00B66B04"/>
    <w:rsid w:val="00B71B32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1181"/>
    <w:rsid w:val="00C30E1E"/>
    <w:rsid w:val="00C31018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E6E89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6A5D"/>
    <w:rsid w:val="00F608A4"/>
    <w:rsid w:val="00F61FCA"/>
    <w:rsid w:val="00F6326B"/>
    <w:rsid w:val="00F65BFF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  <w:rsid w:val="013A658A"/>
    <w:rsid w:val="0638420D"/>
    <w:rsid w:val="06745544"/>
    <w:rsid w:val="1CAEAFFE"/>
    <w:rsid w:val="1D6D1030"/>
    <w:rsid w:val="22A22490"/>
    <w:rsid w:val="2660F6FE"/>
    <w:rsid w:val="3E750047"/>
    <w:rsid w:val="47D98CB8"/>
    <w:rsid w:val="4D6F29C1"/>
    <w:rsid w:val="4EF948A2"/>
    <w:rsid w:val="519AE8E0"/>
    <w:rsid w:val="5766A418"/>
    <w:rsid w:val="58278B5A"/>
    <w:rsid w:val="5E946BA6"/>
    <w:rsid w:val="6AE84071"/>
    <w:rsid w:val="6FE7026F"/>
    <w:rsid w:val="76A6C7B6"/>
    <w:rsid w:val="7709489E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2898</Characters>
  <Application>Microsoft Office Word</Application>
  <DocSecurity>0</DocSecurity>
  <Lines>24</Lines>
  <Paragraphs>6</Paragraphs>
  <ScaleCrop>false</ScaleCrop>
  <Company>CDT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HannexIVpsur_CS</dc:title>
  <dc:creator>CDT</dc:creator>
  <cp:lastModifiedBy>Akhtar Tia</cp:lastModifiedBy>
  <cp:revision>9</cp:revision>
  <cp:lastPrinted>2014-01-22T14:19:00Z</cp:lastPrinted>
  <dcterms:created xsi:type="dcterms:W3CDTF">2023-12-21T08:01:00Z</dcterms:created>
  <dcterms:modified xsi:type="dcterms:W3CDTF">2024-01-16T09:11:00Z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16/01/2024 10:11:34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EMA/6570/2024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Legal</vt:lpwstr>
  </property>
  <property fmtid="{D5CDD505-2E9C-101B-9397-08002B2CF9AE}" pid="11" name="DM_emea_doc_lang">
    <vt:lpwstr/>
  </property>
  <property fmtid="{D5CDD505-2E9C-101B-9397-08002B2CF9AE}" pid="12" name="DM_emea_doc_number">
    <vt:lpwstr>15862</vt:lpwstr>
  </property>
  <property fmtid="{D5CDD505-2E9C-101B-9397-08002B2CF9AE}" pid="13" name="DM_emea_doc_ref_id">
    <vt:lpwstr>EMA/6570/2024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17/01/2024 12:40:44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17/01/2024 12:40:44</vt:lpwstr>
  </property>
  <property fmtid="{D5CDD505-2E9C-101B-9397-08002B2CF9AE}" pid="36" name="DM_Name">
    <vt:lpwstr>HannexIVpsur_CS</vt:lpwstr>
  </property>
  <property fmtid="{D5CDD505-2E9C-101B-9397-08002B2CF9AE}" pid="37" name="DM_Owner">
    <vt:lpwstr>Boone Hilde</vt:lpwstr>
  </property>
  <property fmtid="{D5CDD505-2E9C-101B-9397-08002B2CF9AE}" pid="38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2.1,CURRENT</vt:lpwstr>
  </property>
  <property fmtid="{D5CDD505-2E9C-101B-9397-08002B2CF9AE}" pid="44" name="EMEADocClassificationText">
    <vt:lpwstr> </vt:lpwstr>
  </property>
  <property fmtid="{D5CDD505-2E9C-101B-9397-08002B2CF9AE}" pid="45" name="EMEADocRefFull">
    <vt:lpwstr>EMEA/xxxx/xx/EN</vt:lpwstr>
  </property>
  <property fmtid="{D5CDD505-2E9C-101B-9397-08002B2CF9AE}" pid="46" name="MSIP_Label_0eea11ca-d417-4147-80ed-01a58412c458_ActionId">
    <vt:lpwstr>d0600904-f535-4984-a9ee-2b7553276090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2024-01-16T09:11:24Z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_NewReviewCycle">
    <vt:lpwstr/>
  </property>
</Properties>
</file>