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B52F27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52F27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B52F27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B52F27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52F27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52F27">
        <w:rPr>
          <w:rFonts w:ascii="Times New Roman" w:hAnsi="Times New Roman"/>
        </w:rPr>
        <w:t>IV PRIEDAS</w:t>
      </w:r>
    </w:p>
    <w:p w:rsidR="00B66B04" w:rsidRPr="00B52F27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B52F27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52F27">
        <w:rPr>
          <w:rFonts w:ascii="Times New Roman" w:hAnsi="Times New Roman"/>
        </w:rPr>
        <w:t>MOKSLINĖS IŠVADOS IR REGISTRACIJOS PAŽYMĖJIMO (-Ų)</w:t>
      </w:r>
    </w:p>
    <w:p w:rsidR="008E146B" w:rsidRPr="00B52F27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52F27">
        <w:rPr>
          <w:rFonts w:ascii="Times New Roman" w:hAnsi="Times New Roman"/>
        </w:rPr>
        <w:t>SĄLYGŲ KEITIMO PAGRINDAS</w:t>
      </w:r>
    </w:p>
    <w:p w:rsidR="00B66B04" w:rsidRPr="00B52F27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n-GB"/>
        </w:rPr>
      </w:pPr>
    </w:p>
    <w:p w:rsidR="00A11F98" w:rsidRPr="00B52F27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B52F27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B52F27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B52F27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52F27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B52F27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B52F27">
        <w:br w:type="page"/>
      </w:r>
      <w:r w:rsidRPr="00B52F27">
        <w:rPr>
          <w:rFonts w:ascii="Times New Roman" w:hAnsi="Times New Roman"/>
          <w:b/>
          <w:i w:val="0"/>
          <w:color w:val="auto"/>
        </w:rPr>
        <w:t>Mokslinės išvados</w:t>
      </w:r>
    </w:p>
    <w:p w:rsidR="009B5CE6" w:rsidRPr="00B52F27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B52F27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B52F27">
        <w:rPr>
          <w:rFonts w:ascii="Times New Roman" w:hAnsi="Times New Roman"/>
          <w:i w:val="0"/>
          <w:color w:val="auto"/>
        </w:rPr>
        <w:t>Farmakologinio budrumo rizikos vertinimo komitetas (</w:t>
      </w:r>
      <w:r w:rsidRPr="00B52F27">
        <w:rPr>
          <w:rFonts w:ascii="Times New Roman" w:hAnsi="Times New Roman"/>
          <w:iCs/>
          <w:color w:val="auto"/>
        </w:rPr>
        <w:t>PRAC</w:t>
      </w:r>
      <w:r w:rsidRPr="00B52F27">
        <w:rPr>
          <w:rFonts w:ascii="Times New Roman" w:hAnsi="Times New Roman"/>
          <w:i w:val="0"/>
          <w:color w:val="auto"/>
        </w:rPr>
        <w:t xml:space="preserve">), atsižvelgdamas į </w:t>
      </w:r>
      <w:r w:rsidRPr="00B52F27">
        <w:rPr>
          <w:rFonts w:ascii="Times New Roman" w:hAnsi="Times New Roman"/>
          <w:iCs/>
          <w:color w:val="auto"/>
        </w:rPr>
        <w:t>PRAC</w:t>
      </w:r>
      <w:r w:rsidRPr="00B52F27">
        <w:rPr>
          <w:rFonts w:ascii="Times New Roman" w:hAnsi="Times New Roman"/>
          <w:i w:val="0"/>
          <w:color w:val="auto"/>
        </w:rPr>
        <w:t xml:space="preserve"> parengtą {veikliosios (-iųjų) medžiagos (-ų) pavadinimas} periodiškai atnaujinamo (-ų) saugumo protokolo (-ų) (PASP) vertinimo ataskaitą, padarė toliau išdėstytas mokslines išvadas.</w:t>
      </w:r>
    </w:p>
    <w:p w:rsidR="008E146B" w:rsidRPr="00B52F27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B52F27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[Copy-paste from the</w:t>
      </w:r>
      <w:r w:rsidRPr="00B52F27">
        <w:rPr>
          <w:rFonts w:ascii="Times New Roman" w:hAnsi="Times New Roman"/>
          <w:i w:val="0"/>
        </w:rPr>
        <w:t xml:space="preserve"> </w:t>
      </w:r>
      <w:r w:rsidRPr="00B52F27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B52F27">
        <w:rPr>
          <w:rFonts w:ascii="Times New Roman" w:hAnsi="Times New Roman"/>
          <w:i w:val="0"/>
        </w:rPr>
        <w:t>PSUR PRAC AR</w:t>
      </w:r>
      <w:r w:rsidRPr="00B52F27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B52F27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B52F27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B52F27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B52F27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B52F27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[OPTION 1: CHMP agrees]</w:t>
      </w:r>
    </w:p>
    <w:p w:rsidR="0072084C" w:rsidRPr="00B52F27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 xml:space="preserve">Peržiūrėjęs </w:t>
      </w:r>
      <w:r w:rsidRPr="00B52F27">
        <w:rPr>
          <w:rFonts w:ascii="Times New Roman" w:hAnsi="Times New Roman"/>
          <w:i/>
          <w:iCs/>
          <w:sz w:val="22"/>
        </w:rPr>
        <w:t>PRAC</w:t>
      </w:r>
      <w:r w:rsidRPr="00B52F27">
        <w:rPr>
          <w:rFonts w:ascii="Times New Roman" w:hAnsi="Times New Roman"/>
          <w:sz w:val="22"/>
        </w:rPr>
        <w:t xml:space="preserve"> rekomendaciją, Žmonėms skirtų vaistinių preparatų komitetas (</w:t>
      </w:r>
      <w:r w:rsidRPr="00B52F27">
        <w:rPr>
          <w:rFonts w:ascii="Times New Roman" w:hAnsi="Times New Roman"/>
          <w:i/>
          <w:iCs/>
          <w:sz w:val="22"/>
        </w:rPr>
        <w:t>CHMP</w:t>
      </w:r>
      <w:r w:rsidRPr="00B52F27">
        <w:rPr>
          <w:rFonts w:ascii="Times New Roman" w:hAnsi="Times New Roman"/>
          <w:sz w:val="22"/>
        </w:rPr>
        <w:t xml:space="preserve">) pritaria </w:t>
      </w:r>
      <w:r w:rsidRPr="00B52F27">
        <w:rPr>
          <w:rFonts w:ascii="Times New Roman" w:hAnsi="Times New Roman"/>
          <w:i/>
          <w:iCs/>
          <w:sz w:val="22"/>
        </w:rPr>
        <w:t>PRAC</w:t>
      </w:r>
      <w:r w:rsidRPr="00B52F27">
        <w:rPr>
          <w:rFonts w:ascii="Times New Roman" w:hAnsi="Times New Roman"/>
          <w:sz w:val="22"/>
        </w:rPr>
        <w:t xml:space="preserve"> bendrosioms išvadoms ir argumentams, kuriais pagrįsta ši rekomendacija.</w:t>
      </w:r>
    </w:p>
    <w:p w:rsidR="0072084C" w:rsidRPr="00B52F27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B52F27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B52F27">
        <w:rPr>
          <w:rFonts w:ascii="Times New Roman" w:hAnsi="Times New Roman"/>
        </w:rPr>
        <w:t>Priežastys, dėl kurių rekomenduojama keisti registracijos pažymėjimo (-ų) sąlygas</w:t>
      </w:r>
    </w:p>
    <w:p w:rsidR="009B5CE6" w:rsidRPr="00B52F27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B52F27" w:rsidP="00E7370A" w14:paraId="53F66ACC" w14:textId="64BFED4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R</w:t>
      </w:r>
      <w:r w:rsidRPr="00B52F27" w:rsidR="0092120C">
        <w:rPr>
          <w:rFonts w:ascii="Times New Roman" w:hAnsi="Times New Roman"/>
          <w:sz w:val="22"/>
        </w:rPr>
        <w:t xml:space="preserve">emdamasis mokslinėmis išvadomis dėl {veikliosios (-iųjų) medžiagos (-ų) pavadinimas}, </w:t>
      </w:r>
      <w:r w:rsidRPr="003E4C25">
        <w:rPr>
          <w:rFonts w:ascii="Times New Roman" w:hAnsi="Times New Roman"/>
          <w:i/>
          <w:iCs/>
          <w:sz w:val="22"/>
        </w:rPr>
        <w:t>CHMP</w:t>
      </w:r>
      <w:r>
        <w:rPr>
          <w:rFonts w:ascii="Times New Roman" w:hAnsi="Times New Roman"/>
          <w:sz w:val="22"/>
        </w:rPr>
        <w:t xml:space="preserve"> </w:t>
      </w:r>
      <w:r w:rsidRPr="00B52F27" w:rsidR="0092120C">
        <w:rPr>
          <w:rFonts w:ascii="Times New Roman" w:hAnsi="Times New Roman"/>
          <w:sz w:val="22"/>
        </w:rPr>
        <w:t>laikosi nuomonės, kad vaistinio (-ių) preparato (-ų), kurio (-ių) sudėtyje yra {veikliosios (-iųjų) medžiagos (-ų) pavadinimas}, naudos ir rizikos santykis yra nepakitęs su sąlyga, kad bus padaryti pasiūlyti vaistinio preparato informacinių dokumentų pakeitimai.</w:t>
      </w:r>
    </w:p>
    <w:p w:rsidR="009B5CE6" w:rsidRPr="00B52F27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B52F27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52F27">
        <w:rPr>
          <w:rFonts w:ascii="Times New Roman" w:hAnsi="Times New Roman"/>
          <w:i/>
          <w:iCs/>
          <w:snapToGrid w:val="0"/>
          <w:sz w:val="22"/>
        </w:rPr>
        <w:t>CHMP</w:t>
      </w:r>
      <w:r w:rsidRPr="00B52F27">
        <w:rPr>
          <w:rFonts w:ascii="Times New Roman" w:hAnsi="Times New Roman"/>
          <w:snapToGrid w:val="0"/>
          <w:sz w:val="22"/>
        </w:rPr>
        <w:t xml:space="preserve"> rekomenduoja pakeisti registracijos pažymėjimo (-ų) sąlygas.</w:t>
      </w:r>
    </w:p>
    <w:p w:rsidR="0072084C" w:rsidRPr="00B52F27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B52F27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B52F27" w:rsidP="00E7370A" w14:paraId="761F8CA6" w14:textId="3E7CEEB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 xml:space="preserve">Peržiūrėjęs </w:t>
      </w:r>
      <w:r w:rsidRPr="00B52F27">
        <w:rPr>
          <w:rFonts w:ascii="Times New Roman" w:hAnsi="Times New Roman"/>
          <w:i/>
          <w:iCs/>
          <w:sz w:val="22"/>
        </w:rPr>
        <w:t>PRAC</w:t>
      </w:r>
      <w:r w:rsidRPr="00B52F27">
        <w:rPr>
          <w:rFonts w:ascii="Times New Roman" w:hAnsi="Times New Roman"/>
          <w:sz w:val="22"/>
        </w:rPr>
        <w:t xml:space="preserve"> rekomendaciją, </w:t>
      </w:r>
      <w:r w:rsidRPr="00907F7E" w:rsidR="00907F7E">
        <w:rPr>
          <w:rFonts w:ascii="Times New Roman" w:hAnsi="Times New Roman"/>
          <w:sz w:val="22"/>
        </w:rPr>
        <w:t xml:space="preserve">Žmonėms skirtų vaistinių preparatų komitetas </w:t>
      </w:r>
      <w:r w:rsidR="00907F7E">
        <w:rPr>
          <w:rFonts w:ascii="Times New Roman" w:hAnsi="Times New Roman"/>
          <w:sz w:val="22"/>
        </w:rPr>
        <w:t>(</w:t>
      </w:r>
      <w:r w:rsidRPr="00B52F27">
        <w:rPr>
          <w:rFonts w:ascii="Times New Roman" w:hAnsi="Times New Roman"/>
          <w:i/>
          <w:iCs/>
          <w:sz w:val="22"/>
        </w:rPr>
        <w:t>CHMP</w:t>
      </w:r>
      <w:r w:rsidR="00907F7E">
        <w:rPr>
          <w:rFonts w:ascii="Times New Roman" w:hAnsi="Times New Roman"/>
          <w:i/>
          <w:iCs/>
          <w:sz w:val="22"/>
        </w:rPr>
        <w:t>)</w:t>
      </w:r>
      <w:r w:rsidRPr="00B52F27">
        <w:rPr>
          <w:rFonts w:ascii="Times New Roman" w:hAnsi="Times New Roman"/>
          <w:sz w:val="22"/>
        </w:rPr>
        <w:t xml:space="preserve"> nepritaria </w:t>
      </w:r>
      <w:r w:rsidRPr="00B52F27">
        <w:rPr>
          <w:rFonts w:ascii="Times New Roman" w:hAnsi="Times New Roman"/>
          <w:i/>
          <w:iCs/>
          <w:sz w:val="22"/>
        </w:rPr>
        <w:t>PRAC</w:t>
      </w:r>
      <w:r w:rsidRPr="00B52F27">
        <w:rPr>
          <w:rFonts w:ascii="Times New Roman" w:hAnsi="Times New Roman"/>
          <w:sz w:val="22"/>
        </w:rPr>
        <w:t xml:space="preserve"> bendrosioms išvadoms ir argumentams, kuriais pagrįsta ši rekomendacija.</w:t>
      </w:r>
    </w:p>
    <w:p w:rsidR="0072084C" w:rsidRPr="00B52F27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B52F27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B52F27">
        <w:rPr>
          <w:rFonts w:ascii="Times New Roman" w:hAnsi="Times New Roman"/>
          <w:sz w:val="22"/>
          <w:u w:val="single"/>
        </w:rPr>
        <w:t xml:space="preserve">Išsamus </w:t>
      </w:r>
      <w:r w:rsidRPr="00B52F27">
        <w:rPr>
          <w:rFonts w:ascii="Times New Roman" w:hAnsi="Times New Roman"/>
          <w:i/>
          <w:iCs/>
          <w:sz w:val="22"/>
          <w:u w:val="single"/>
        </w:rPr>
        <w:t>CHMP</w:t>
      </w:r>
      <w:r w:rsidRPr="00B52F27">
        <w:rPr>
          <w:rFonts w:ascii="Times New Roman" w:hAnsi="Times New Roman"/>
          <w:sz w:val="22"/>
          <w:u w:val="single"/>
        </w:rPr>
        <w:t xml:space="preserve"> nuomonės ir </w:t>
      </w:r>
      <w:r w:rsidRPr="00B52F27">
        <w:rPr>
          <w:rFonts w:ascii="Times New Roman" w:hAnsi="Times New Roman"/>
          <w:i/>
          <w:iCs/>
          <w:sz w:val="22"/>
          <w:u w:val="single"/>
        </w:rPr>
        <w:t>PRAC</w:t>
      </w:r>
      <w:r w:rsidRPr="00B52F27">
        <w:rPr>
          <w:rFonts w:ascii="Times New Roman" w:hAnsi="Times New Roman"/>
          <w:sz w:val="22"/>
          <w:u w:val="single"/>
        </w:rPr>
        <w:t xml:space="preserve"> rekomendacijos skirtumų mokslinio pagrindo paaiškinimas</w:t>
      </w:r>
    </w:p>
    <w:p w:rsidR="0072084C" w:rsidRPr="00B52F27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B52F27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B52F27" w:rsidP="004873DF" w14:paraId="3BD9F988" w14:textId="77777777">
      <w:pPr>
        <w:pStyle w:val="BodytextAgency"/>
        <w:spacing w:after="0" w:line="240" w:lineRule="auto"/>
      </w:pPr>
    </w:p>
    <w:p w:rsidR="0072084C" w:rsidRPr="00B52F27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 xml:space="preserve">Atsižvelgdamas į </w:t>
      </w:r>
      <w:r w:rsidRPr="00B52F27">
        <w:rPr>
          <w:rFonts w:ascii="Times New Roman" w:hAnsi="Times New Roman"/>
          <w:i/>
          <w:iCs/>
          <w:sz w:val="22"/>
        </w:rPr>
        <w:t>PRAC</w:t>
      </w:r>
      <w:r w:rsidRPr="00B52F27">
        <w:rPr>
          <w:rFonts w:ascii="Times New Roman" w:hAnsi="Times New Roman"/>
          <w:sz w:val="22"/>
        </w:rPr>
        <w:t xml:space="preserve"> rekomendaciją &lt;ir </w:t>
      </w:r>
      <w:r w:rsidRPr="00B52F27">
        <w:rPr>
          <w:rFonts w:ascii="Times New Roman" w:hAnsi="Times New Roman"/>
          <w:i/>
          <w:iCs/>
          <w:sz w:val="22"/>
        </w:rPr>
        <w:t>CHMP</w:t>
      </w:r>
      <w:r w:rsidRPr="00B52F27">
        <w:rPr>
          <w:rFonts w:ascii="Times New Roman" w:hAnsi="Times New Roman"/>
          <w:sz w:val="22"/>
        </w:rPr>
        <w:t xml:space="preserve"> įvykusią diskusiją&gt;, </w:t>
      </w:r>
      <w:r w:rsidRPr="00B52F27">
        <w:rPr>
          <w:rFonts w:ascii="Times New Roman" w:hAnsi="Times New Roman"/>
          <w:i/>
          <w:iCs/>
          <w:sz w:val="22"/>
        </w:rPr>
        <w:t>CHMP</w:t>
      </w:r>
      <w:r w:rsidRPr="00B52F27">
        <w:rPr>
          <w:rFonts w:ascii="Times New Roman" w:hAnsi="Times New Roman"/>
          <w:sz w:val="22"/>
        </w:rPr>
        <w:t xml:space="preserve"> laikosi nuomonės,</w:t>
      </w:r>
    </w:p>
    <w:p w:rsidR="004873DF" w:rsidRPr="00B52F27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B52F27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B52F27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B52F27" w:rsidP="004873DF" w14:paraId="72042AA6" w14:textId="31FD9481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52F27">
        <w:rPr>
          <w:rFonts w:ascii="Times New Roman" w:hAnsi="Times New Roman"/>
          <w:snapToGrid w:val="0"/>
          <w:sz w:val="22"/>
        </w:rPr>
        <w:t>&lt;kad vaistinių preparatų, kurių sudėtyje yra {veikliosios (-iųjų) medžiagos (-ų) pavadinimas}, naudos ir rizikos santykis išlieka nepakitęs, ir &lt;bendru sutarimu&gt; &lt;daugumos sprendimu&gt; rekomenduoja palikti galioti š</w:t>
      </w:r>
      <w:r w:rsidR="00907F7E">
        <w:rPr>
          <w:rFonts w:ascii="Times New Roman" w:hAnsi="Times New Roman"/>
          <w:snapToGrid w:val="0"/>
          <w:sz w:val="22"/>
        </w:rPr>
        <w:t>į</w:t>
      </w:r>
      <w:r w:rsidRPr="00B52F27">
        <w:rPr>
          <w:rFonts w:ascii="Times New Roman" w:hAnsi="Times New Roman"/>
          <w:snapToGrid w:val="0"/>
          <w:sz w:val="22"/>
        </w:rPr>
        <w:t> (-iuos) registracijos pažymėjimą (-us).&gt;</w:t>
      </w:r>
    </w:p>
    <w:p w:rsidR="004873DF" w:rsidRPr="00B52F27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B52F27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B52F27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B52F27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52F27">
        <w:rPr>
          <w:rFonts w:ascii="Times New Roman" w:hAnsi="Times New Roman"/>
          <w:snapToGrid w:val="0"/>
          <w:sz w:val="22"/>
        </w:rPr>
        <w:t>&lt;kad vaistinių preparatų, kurių sudėtyje yra {veikliosios (-iųjų) medžiagos (-ų) pavadinimas}, naudos ir rizikos santykis išlieka nepakitęs, bet &lt;bendru sutarimu&gt; &lt;daugumos sprendimu&gt; rekomenduoja registracijos pažymėjimo (-ų) sąlygas keisti taip, kaip nurodyta toliau.</w:t>
      </w:r>
    </w:p>
    <w:p w:rsidR="0072084C" w:rsidRPr="00B52F27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B52F27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B52F27" w:rsidP="004873DF" w14:paraId="767B05E8" w14:textId="02963CC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 xml:space="preserve">&lt;Preparato charakteristikų santraukos {n} &lt;ir {n}&gt; </w:t>
      </w:r>
      <w:r w:rsidR="008C080E">
        <w:rPr>
          <w:rFonts w:ascii="Times New Roman" w:hAnsi="Times New Roman"/>
          <w:sz w:val="22"/>
        </w:rPr>
        <w:t>&lt;</w:t>
      </w:r>
      <w:r w:rsidRPr="00B52F27">
        <w:rPr>
          <w:rFonts w:ascii="Times New Roman" w:hAnsi="Times New Roman"/>
          <w:sz w:val="22"/>
        </w:rPr>
        <w:t>skyrius</w:t>
      </w:r>
      <w:r w:rsidR="008C080E">
        <w:rPr>
          <w:rFonts w:ascii="Times New Roman" w:hAnsi="Times New Roman"/>
          <w:sz w:val="22"/>
        </w:rPr>
        <w:t>&gt; &lt;skyr</w:t>
      </w:r>
      <w:r w:rsidRPr="00B52F27">
        <w:rPr>
          <w:rFonts w:ascii="Times New Roman" w:hAnsi="Times New Roman"/>
          <w:sz w:val="22"/>
        </w:rPr>
        <w:t>iai</w:t>
      </w:r>
      <w:r w:rsidR="008C080E">
        <w:rPr>
          <w:rFonts w:ascii="Times New Roman" w:hAnsi="Times New Roman"/>
          <w:sz w:val="22"/>
        </w:rPr>
        <w:t>&gt;</w:t>
      </w:r>
      <w:r w:rsidRPr="00B52F27">
        <w:rPr>
          <w:rFonts w:ascii="Times New Roman" w:hAnsi="Times New Roman"/>
          <w:sz w:val="22"/>
        </w:rPr>
        <w:t xml:space="preserve"> tur</w:t>
      </w:r>
      <w:r w:rsidR="00E90049">
        <w:rPr>
          <w:rFonts w:ascii="Times New Roman" w:hAnsi="Times New Roman"/>
          <w:sz w:val="22"/>
        </w:rPr>
        <w:t>i</w:t>
      </w:r>
      <w:r w:rsidRPr="00B52F27">
        <w:rPr>
          <w:rFonts w:ascii="Times New Roman" w:hAnsi="Times New Roman"/>
          <w:sz w:val="22"/>
        </w:rPr>
        <w:t xml:space="preserve"> būti </w:t>
      </w:r>
      <w:r w:rsidR="008C080E">
        <w:rPr>
          <w:rFonts w:ascii="Times New Roman" w:hAnsi="Times New Roman"/>
          <w:sz w:val="22"/>
        </w:rPr>
        <w:t>&lt;</w:t>
      </w:r>
      <w:r w:rsidRPr="00B52F27">
        <w:rPr>
          <w:rFonts w:ascii="Times New Roman" w:hAnsi="Times New Roman"/>
          <w:sz w:val="22"/>
        </w:rPr>
        <w:t>atnaujintas</w:t>
      </w:r>
      <w:r w:rsidR="008C080E">
        <w:rPr>
          <w:rFonts w:ascii="Times New Roman" w:hAnsi="Times New Roman"/>
          <w:sz w:val="22"/>
        </w:rPr>
        <w:t>&gt; &lt;atnaujinti&gt;</w:t>
      </w:r>
      <w:r w:rsidRPr="00B52F27">
        <w:rPr>
          <w:rFonts w:ascii="Times New Roman" w:hAnsi="Times New Roman"/>
          <w:sz w:val="22"/>
        </w:rPr>
        <w:t>, siekiant papildyti informaciją &lt;nepageidaujama reakcija {x}, nurodant, kad jos dažnis {y}&gt; &lt;įspėjimu apie {z}&gt; &lt;…&gt;. &lt;Atitinkamai atnaujinamas pakuotės lapelis.&gt;&gt;</w:t>
      </w:r>
    </w:p>
    <w:p w:rsidR="00CF3502" w:rsidRPr="00B52F27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B52F27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B52F27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>&lt;Nustatomos toliau išdėstytos registracijos pažymėjimo galiojimo sąlygos.&gt;</w:t>
      </w:r>
    </w:p>
    <w:p w:rsidR="0072084C" w:rsidRPr="00B52F27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B52F27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2F27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B52F27" w:rsidP="004873DF" w14:paraId="28774868" w14:textId="73FF89F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 xml:space="preserve">&lt;Be to, kitame </w:t>
      </w:r>
      <w:r w:rsidR="00E90049">
        <w:rPr>
          <w:rFonts w:ascii="Times New Roman" w:hAnsi="Times New Roman"/>
          <w:sz w:val="22"/>
        </w:rPr>
        <w:t>PASP</w:t>
      </w:r>
      <w:r w:rsidRPr="00B52F27">
        <w:rPr>
          <w:rFonts w:ascii="Times New Roman" w:hAnsi="Times New Roman"/>
          <w:sz w:val="22"/>
        </w:rPr>
        <w:t xml:space="preserve"> registruotojas (-ai) taip pat tur</w:t>
      </w:r>
      <w:r w:rsidR="00E90049">
        <w:rPr>
          <w:rFonts w:ascii="Times New Roman" w:hAnsi="Times New Roman"/>
          <w:sz w:val="22"/>
        </w:rPr>
        <w:t>i</w:t>
      </w:r>
      <w:r w:rsidRPr="00B52F27">
        <w:rPr>
          <w:rFonts w:ascii="Times New Roman" w:hAnsi="Times New Roman"/>
          <w:sz w:val="22"/>
        </w:rPr>
        <w:t xml:space="preserve"> aptarti šiuos klausimus:</w:t>
      </w:r>
    </w:p>
    <w:p w:rsidR="0072084C" w:rsidRPr="00B52F27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color w:val="339966"/>
          <w:sz w:val="22"/>
          <w:lang w:val="en-GB"/>
        </w:rPr>
        <w:t>[list]</w:t>
      </w:r>
      <w:r w:rsidRPr="00B52F27">
        <w:rPr>
          <w:rFonts w:ascii="Times New Roman" w:hAnsi="Times New Roman"/>
          <w:sz w:val="22"/>
          <w:lang w:val="en-GB"/>
        </w:rPr>
        <w:t>&gt;</w:t>
      </w:r>
    </w:p>
    <w:p w:rsidR="00F304FB" w:rsidRPr="00B52F27" w:rsidP="00F304FB" w14:paraId="59AE0BC3" w14:textId="1CC9AA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sz w:val="22"/>
        </w:rPr>
        <w:t>&lt;Be to, registruotojas (-ai) tur</w:t>
      </w:r>
      <w:r w:rsidR="00E90049">
        <w:rPr>
          <w:rFonts w:ascii="Times New Roman" w:hAnsi="Times New Roman"/>
          <w:sz w:val="22"/>
        </w:rPr>
        <w:t>i</w:t>
      </w:r>
      <w:r w:rsidRPr="00B52F27">
        <w:rPr>
          <w:rFonts w:ascii="Times New Roman" w:hAnsi="Times New Roman"/>
          <w:sz w:val="22"/>
        </w:rPr>
        <w:t xml:space="preserve"> per </w:t>
      </w:r>
      <w:r w:rsidRPr="00B52F27" w:rsidR="00565547">
        <w:rPr>
          <w:rFonts w:ascii="Times New Roman" w:hAnsi="Times New Roman"/>
          <w:sz w:val="22"/>
        </w:rPr>
        <w:t>{x}</w:t>
      </w:r>
      <w:r w:rsidRPr="00B52F27">
        <w:rPr>
          <w:rFonts w:ascii="Times New Roman" w:hAnsi="Times New Roman"/>
          <w:sz w:val="22"/>
        </w:rPr>
        <w:t> mėn. pateikti atnaujintą rizikos valdymo planą (RVP)</w:t>
      </w:r>
      <w:r w:rsidR="008C080E">
        <w:rPr>
          <w:rFonts w:ascii="Times New Roman" w:hAnsi="Times New Roman"/>
          <w:sz w:val="22"/>
        </w:rPr>
        <w:t xml:space="preserve"> ir</w:t>
      </w:r>
      <w:r w:rsidRPr="00B52F27">
        <w:rPr>
          <w:rFonts w:ascii="Times New Roman" w:hAnsi="Times New Roman"/>
          <w:sz w:val="22"/>
        </w:rPr>
        <w:t xml:space="preserve"> jame aptarti ši</w:t>
      </w:r>
      <w:r w:rsidR="008C080E">
        <w:rPr>
          <w:rFonts w:ascii="Times New Roman" w:hAnsi="Times New Roman"/>
          <w:sz w:val="22"/>
        </w:rPr>
        <w:t>uos</w:t>
      </w:r>
      <w:r w:rsidRPr="00B52F27">
        <w:rPr>
          <w:rFonts w:ascii="Times New Roman" w:hAnsi="Times New Roman"/>
          <w:sz w:val="22"/>
        </w:rPr>
        <w:t xml:space="preserve"> klausim</w:t>
      </w:r>
      <w:r w:rsidR="008C080E">
        <w:rPr>
          <w:rFonts w:ascii="Times New Roman" w:hAnsi="Times New Roman"/>
          <w:sz w:val="22"/>
        </w:rPr>
        <w:t>us</w:t>
      </w:r>
      <w:r w:rsidRPr="00B52F27">
        <w:rPr>
          <w:rFonts w:ascii="Times New Roman" w:hAnsi="Times New Roman"/>
          <w:sz w:val="22"/>
        </w:rPr>
        <w:t>:</w:t>
      </w:r>
    </w:p>
    <w:p w:rsidR="00F304FB" w:rsidRPr="00B52F27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B52F27">
        <w:rPr>
          <w:rFonts w:ascii="Times New Roman" w:hAnsi="Times New Roman"/>
          <w:color w:val="339966"/>
          <w:sz w:val="22"/>
          <w:lang w:val="en-GB"/>
        </w:rPr>
        <w:t>[list]</w:t>
      </w:r>
      <w:r w:rsidRPr="00B52F27">
        <w:rPr>
          <w:rFonts w:ascii="Times New Roman" w:hAnsi="Times New Roman"/>
          <w:sz w:val="22"/>
          <w:lang w:val="en-GB"/>
        </w:rPr>
        <w:t>&gt;</w:t>
      </w:r>
    </w:p>
    <w:p w:rsidR="0072084C" w:rsidRPr="00B52F27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footerReference w:type="default" r:id="rId4"/>
      <w:headerReference w:type="first" r:id="rId5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B52F27" w14:paraId="23A559AB" w14:textId="77777777">
    <w:pPr>
      <w:pStyle w:val="Footer"/>
      <w:jc w:val="center"/>
    </w:pPr>
    <w:r w:rsidRPr="00B52F27">
      <w:fldChar w:fldCharType="begin"/>
    </w:r>
    <w:r w:rsidRPr="00B52F27">
      <w:instrText xml:space="preserve"> PAGE   \* MERGEFORMAT </w:instrText>
    </w:r>
    <w:r w:rsidRPr="00B52F27">
      <w:fldChar w:fldCharType="separate"/>
    </w:r>
    <w:r w:rsidRPr="00B52F27" w:rsidR="003E591C">
      <w:t>3</w:t>
    </w:r>
    <w:r w:rsidRPr="00B52F27">
      <w:fldChar w:fldCharType="end"/>
    </w:r>
  </w:p>
  <w:p w:rsidR="0008729F" w:rsidRPr="00B52F27" w14:paraId="196DB1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B52F27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B52F27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B52F27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2BFC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4C25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0011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5547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1558"/>
    <w:rsid w:val="005F25E1"/>
    <w:rsid w:val="005F43F9"/>
    <w:rsid w:val="005F6456"/>
    <w:rsid w:val="00604367"/>
    <w:rsid w:val="00614451"/>
    <w:rsid w:val="0061505A"/>
    <w:rsid w:val="00623094"/>
    <w:rsid w:val="0062342D"/>
    <w:rsid w:val="00644B7F"/>
    <w:rsid w:val="00646B44"/>
    <w:rsid w:val="006509DA"/>
    <w:rsid w:val="0065284B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080E"/>
    <w:rsid w:val="008C2828"/>
    <w:rsid w:val="008C7D6C"/>
    <w:rsid w:val="008D08D7"/>
    <w:rsid w:val="008D0DB8"/>
    <w:rsid w:val="008D11CB"/>
    <w:rsid w:val="008D6C51"/>
    <w:rsid w:val="008E146B"/>
    <w:rsid w:val="008F7BD6"/>
    <w:rsid w:val="00901127"/>
    <w:rsid w:val="0090133C"/>
    <w:rsid w:val="00901EA1"/>
    <w:rsid w:val="00907F7E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6627D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2F27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380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0049"/>
    <w:rsid w:val="00E91656"/>
    <w:rsid w:val="00E926C0"/>
    <w:rsid w:val="00E97B22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19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lt-LT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HannexIVpsur_LT</dc:title>
  <dc:creator>VR</dc:creator>
  <cp:lastModifiedBy>Akhtar Tia</cp:lastModifiedBy>
  <cp:revision>4</cp:revision>
  <dcterms:created xsi:type="dcterms:W3CDTF">2024-01-05T12:08:00Z</dcterms:created>
  <dcterms:modified xsi:type="dcterms:W3CDTF">2024-01-16T09:03:00Z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16/01/2024 10:04:04</vt:lpwstr>
  </property>
  <property fmtid="{D5CDD505-2E9C-101B-9397-08002B2CF9AE}" pid="5" name="DM_Creator_Name">
    <vt:lpwstr>Akhtar Timea</vt:lpwstr>
  </property>
  <property fmtid="{D5CDD505-2E9C-101B-9397-08002B2CF9AE}" pid="6" name="DM_DocRefId">
    <vt:lpwstr>EMA/8313/2024</vt:lpwstr>
  </property>
  <property fmtid="{D5CDD505-2E9C-101B-9397-08002B2CF9AE}" pid="7" name="DM_emea_doc_ref_id">
    <vt:lpwstr>EMA/8313/2024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17/01/2024 12:45:47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17/01/2024 12:45:47</vt:lpwstr>
  </property>
  <property fmtid="{D5CDD505-2E9C-101B-9397-08002B2CF9AE}" pid="14" name="DM_Name">
    <vt:lpwstr>HannexIVpsur_LT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2.1,CURRENT</vt:lpwstr>
  </property>
  <property fmtid="{D5CDD505-2E9C-101B-9397-08002B2CF9AE}" pid="21" name="MSIP_Label_0eea11ca-d417-4147-80ed-01a58412c458_ActionId">
    <vt:lpwstr>0080fa7e-b351-48f6-841e-c0daf633037c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2024-01-16T09:03:55Z</vt:lpwstr>
  </property>
  <property fmtid="{D5CDD505-2E9C-101B-9397-08002B2CF9AE}" pid="27" name="MSIP_Label_0eea11ca-d417-4147-80ed-01a58412c458_SiteId">
    <vt:lpwstr>bc9dc15c-61bc-4f03-b60b-e5b6d8922839</vt:lpwstr>
  </property>
</Properties>
</file>