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B0FA3" w:rsidRPr="004B1F25" w:rsidP="001B0FA3" w14:paraId="10EB9B3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39AE8F8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78C431B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19B4EC6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4CDD6B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657D8F8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1CF7479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5583469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283933E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35880AB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3F0FEF5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615E974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04DF6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0898484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55190C5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3CFAD22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7D5BE6C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49B108E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27AF712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1094492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23C6ECD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2178596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210BB7B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1B0FA3" w:rsidRPr="004B1F25" w:rsidP="001B0FA3" w14:paraId="5992B5E6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B1F25">
        <w:rPr>
          <w:rFonts w:ascii="Times New Roman" w:hAnsi="Times New Roman"/>
        </w:rPr>
        <w:t>ANEKS IV</w:t>
      </w:r>
    </w:p>
    <w:p w:rsidR="001B0FA3" w:rsidRPr="00B57B2D" w:rsidP="001B0FA3" w14:paraId="6C59260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B0FA3" w:rsidRPr="004B1F25" w:rsidP="001B0FA3" w14:paraId="33149C7B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B1F25">
        <w:rPr>
          <w:rFonts w:ascii="Times New Roman" w:hAnsi="Times New Roman"/>
        </w:rPr>
        <w:t>WNIOSKI NAUKOWE I PODSTAWY ZMIANY WARUNKÓW</w:t>
      </w:r>
    </w:p>
    <w:p w:rsidR="001B0FA3" w:rsidRPr="004B1F25" w:rsidP="001B0FA3" w14:paraId="38C3EE8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B1F25">
        <w:rPr>
          <w:rFonts w:ascii="Times New Roman" w:hAnsi="Times New Roman"/>
        </w:rPr>
        <w:t>POZWOLENIA (POZWOLEŃ) NA DOPUSZCZENIE DO OBROTU</w:t>
      </w:r>
    </w:p>
    <w:p w:rsidR="001B0FA3" w:rsidRPr="00B57B2D" w:rsidP="001B0FA3" w14:paraId="4FA294B2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1B0FA3" w:rsidRPr="00B57B2D" w:rsidP="001B0FA3" w14:paraId="2B2F60D5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GB"/>
        </w:rPr>
      </w:pPr>
      <w:r w:rsidRPr="004B1F25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1B0FA3" w:rsidRPr="00B57B2D" w:rsidP="001B0FA3" w14:paraId="53A2A1FF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GB"/>
        </w:rPr>
      </w:pPr>
    </w:p>
    <w:p w:rsidR="001B0FA3" w:rsidRPr="004B1F25" w:rsidP="001B0FA3" w14:paraId="212D8C94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6B76D48B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48C4BC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3E928CA0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1729ACBF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34D4CDF7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62EE4782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6A3A2AB4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1B0FA3" w:rsidRPr="004B1F25" w:rsidP="001B0FA3" w14:paraId="54852B7B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3821FA">
        <w:br w:type="page"/>
      </w:r>
      <w:r w:rsidRPr="004B1F25">
        <w:rPr>
          <w:rFonts w:ascii="Times New Roman" w:hAnsi="Times New Roman"/>
          <w:b/>
          <w:i w:val="0"/>
          <w:color w:val="auto"/>
        </w:rPr>
        <w:t>Wnioski naukowe</w:t>
      </w:r>
    </w:p>
    <w:p w:rsidR="001B0FA3" w:rsidRPr="00B57B2D" w:rsidP="001B0FA3" w14:paraId="13E203B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B0FA3" w:rsidRPr="004B1F25" w:rsidP="001B0FA3" w14:paraId="60B4A0B9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4B1F25">
        <w:rPr>
          <w:rFonts w:ascii="Times New Roman" w:hAnsi="Times New Roman"/>
          <w:i w:val="0"/>
          <w:color w:val="auto"/>
        </w:rPr>
        <w:t>Uwzględniając raport oceniający PRAC w sprawie okresowych raportów o bezpieczeństwie (PSUR) dotyczących {nazwa substancji czynnej (czynnych)}, wnioski naukowe przyjęte przez PRAC są następujące:</w:t>
      </w:r>
    </w:p>
    <w:p w:rsidR="001B0FA3" w:rsidRPr="00B57B2D" w:rsidP="001B0FA3" w14:paraId="0C86C9FA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1B0FA3" w:rsidRPr="00B57B2D" w:rsidP="001B0FA3" w14:paraId="29FF3D76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[Copy-paste from the</w:t>
      </w:r>
      <w:r w:rsidRPr="00B57B2D">
        <w:rPr>
          <w:rFonts w:ascii="Times New Roman" w:hAnsi="Times New Roman"/>
          <w:i w:val="0"/>
          <w:lang w:val="en-GB"/>
        </w:rPr>
        <w:t xml:space="preserve"> </w:t>
      </w:r>
      <w:r w:rsidRPr="004B1F25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B57B2D">
        <w:rPr>
          <w:rFonts w:ascii="Times New Roman" w:hAnsi="Times New Roman"/>
          <w:i w:val="0"/>
          <w:lang w:val="en-GB"/>
        </w:rPr>
        <w:t>PSUR PRAC AR</w:t>
      </w:r>
      <w:r w:rsidRPr="004B1F25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4B1F25">
        <w:rPr>
          <w:rFonts w:ascii="Times New Roman" w:hAnsi="Times New Roman"/>
          <w:i w:val="0"/>
          <w:lang w:val="en-GB"/>
        </w:rPr>
        <w:cr/>
      </w:r>
      <w:r w:rsidRPr="004B1F25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1B0FA3" w:rsidRPr="004B1F25" w:rsidP="001B0FA3" w14:paraId="3FE58F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1B0FA3" w:rsidRPr="00B57B2D" w:rsidP="001B0FA3" w14:paraId="64CBF8E1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[Please select option 1 or 2]</w:t>
      </w:r>
    </w:p>
    <w:p w:rsidR="001B0FA3" w:rsidRPr="004B1F25" w:rsidP="001B0FA3" w14:paraId="0017BE6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1B0FA3" w:rsidRPr="00B57B2D" w:rsidP="001B0FA3" w14:paraId="29F0807D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[OPTION 1: CHMP agrees]</w:t>
      </w:r>
    </w:p>
    <w:p w:rsidR="001B0FA3" w:rsidRPr="004B1F25" w:rsidP="001B0FA3" w14:paraId="0A7DF3B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Komitet </w:t>
      </w:r>
      <w:r w:rsidRPr="004B1F25">
        <w:rPr>
          <w:rFonts w:ascii="Times New Roman" w:hAnsi="Times New Roman"/>
          <w:sz w:val="22"/>
        </w:rPr>
        <w:t>CHMP, po zapoznaniu się z zaleceniem PRAC, zgadza się z ogólnymi wnioskami PRAC i uzasadnieniem zalecenia.</w:t>
      </w:r>
    </w:p>
    <w:p w:rsidR="001B0FA3" w:rsidRPr="004B1F25" w:rsidP="001B0FA3" w14:paraId="1CFA5180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1B0FA3" w:rsidRPr="004B1F25" w:rsidP="001B0FA3" w14:paraId="4A155592" w14:textId="77777777">
      <w:pPr>
        <w:pStyle w:val="No-numheading3Agency"/>
        <w:spacing w:before="0" w:after="0"/>
        <w:rPr>
          <w:rFonts w:ascii="Times New Roman" w:hAnsi="Times New Roman"/>
        </w:rPr>
      </w:pPr>
      <w:r w:rsidRPr="004B1F25">
        <w:rPr>
          <w:rFonts w:ascii="Times New Roman" w:hAnsi="Times New Roman"/>
        </w:rPr>
        <w:t>Podstawy zmiany warunków pozwolenia (pozwoleń) na dopuszczenie do obrotu</w:t>
      </w:r>
    </w:p>
    <w:p w:rsidR="001B0FA3" w:rsidRPr="00B57B2D" w:rsidP="001B0FA3" w14:paraId="2F80931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1B0FA3" w:rsidRPr="004B1F25" w:rsidP="001B0FA3" w14:paraId="7298878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sz w:val="22"/>
        </w:rPr>
        <w:t>Na podstawie wniosków naukowych dotyczących {nazwa substancji czynnej (czynnych)} CHMP uznał, że stosunek korzyści</w:t>
      </w:r>
      <w:r>
        <w:rPr>
          <w:rFonts w:ascii="Times New Roman" w:hAnsi="Times New Roman"/>
          <w:sz w:val="22"/>
        </w:rPr>
        <w:t xml:space="preserve"> do</w:t>
      </w:r>
      <w:r w:rsidRPr="004B1F25">
        <w:rPr>
          <w:rFonts w:ascii="Times New Roman" w:hAnsi="Times New Roman"/>
          <w:sz w:val="22"/>
        </w:rPr>
        <w:t xml:space="preserve"> ryzyka stosowania produktu leczniczego zawierającego (produktów leczniczych zawierających) </w:t>
      </w:r>
      <w:r>
        <w:rPr>
          <w:rFonts w:ascii="Times New Roman" w:hAnsi="Times New Roman"/>
          <w:sz w:val="22"/>
        </w:rPr>
        <w:t xml:space="preserve">jako </w:t>
      </w:r>
      <w:r w:rsidRPr="004B1F25">
        <w:rPr>
          <w:rFonts w:ascii="Times New Roman" w:hAnsi="Times New Roman"/>
          <w:sz w:val="22"/>
        </w:rPr>
        <w:t>substancję czynną</w:t>
      </w:r>
      <w:r>
        <w:rPr>
          <w:rFonts w:ascii="Times New Roman" w:hAnsi="Times New Roman"/>
          <w:sz w:val="22"/>
        </w:rPr>
        <w:t xml:space="preserve"> (substancje czynne)</w:t>
      </w:r>
      <w:r w:rsidRPr="004B1F25">
        <w:rPr>
          <w:rFonts w:ascii="Times New Roman" w:hAnsi="Times New Roman"/>
          <w:sz w:val="22"/>
        </w:rPr>
        <w:t xml:space="preserve"> {nazwa substancji czynnej (czynnych)} pozostaje niezmieniony, pod warunkiem wprowadzenia proponowanych zmian do druków informacyjnych.</w:t>
      </w:r>
    </w:p>
    <w:p w:rsidR="001B0FA3" w:rsidRPr="00B57B2D" w:rsidP="001B0FA3" w14:paraId="6094A853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1B0FA3" w:rsidRPr="004B1F25" w:rsidP="001B0FA3" w14:paraId="420A6745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</w:rPr>
        <w:t xml:space="preserve">Komitet </w:t>
      </w:r>
      <w:r w:rsidRPr="004B1F25">
        <w:rPr>
          <w:rFonts w:ascii="Times New Roman" w:hAnsi="Times New Roman"/>
          <w:snapToGrid w:val="0"/>
          <w:sz w:val="22"/>
        </w:rPr>
        <w:t>CHMP zaleca zmianę warunków pozwolenia (pozwoleń) na dopuszczenie do obrotu.</w:t>
      </w:r>
    </w:p>
    <w:p w:rsidR="001B0FA3" w:rsidRPr="004B1F25" w:rsidP="001B0FA3" w14:paraId="2428AA38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1B0FA3" w:rsidRPr="004B1F25" w:rsidP="001B0FA3" w14:paraId="4716EC40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B57B2D">
        <w:rPr>
          <w:rFonts w:ascii="Times New Roman" w:hAnsi="Times New Roman"/>
          <w:i w:val="0"/>
        </w:rPr>
        <w:t>[OPTION 2: CHMP disagrees]</w:t>
      </w:r>
    </w:p>
    <w:p w:rsidR="001B0FA3" w:rsidRPr="004B1F25" w:rsidP="001B0FA3" w14:paraId="55723F2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Komitet </w:t>
      </w:r>
      <w:r w:rsidRPr="004B1F25">
        <w:rPr>
          <w:rFonts w:ascii="Times New Roman" w:hAnsi="Times New Roman"/>
          <w:sz w:val="22"/>
        </w:rPr>
        <w:t>CHMP, po zapoznaniu się z zaleceniem PRAC, nie zgadza się z ogólnymi wnioskami PRAC ani z uzasadnieniem zalecenia.</w:t>
      </w:r>
    </w:p>
    <w:p w:rsidR="001B0FA3" w:rsidRPr="004B1F25" w:rsidP="001B0FA3" w14:paraId="1AED5DDD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1B0FA3" w:rsidRPr="004B1F25" w:rsidP="001B0FA3" w14:paraId="1F369E96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4B1F25">
        <w:rPr>
          <w:rFonts w:ascii="Times New Roman" w:hAnsi="Times New Roman"/>
          <w:sz w:val="22"/>
          <w:u w:val="single"/>
        </w:rPr>
        <w:t>Szczegółowe wyjaśnienie podstaw naukowych różnic w stosunku do zalecenia PRAC</w:t>
      </w:r>
    </w:p>
    <w:p w:rsidR="001B0FA3" w:rsidRPr="00B57B2D" w:rsidP="001B0FA3" w14:paraId="0D6E95E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1B0FA3" w:rsidRPr="00B57B2D" w:rsidP="001B0FA3" w14:paraId="667A1F6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B0FA3" w:rsidRPr="00B57B2D" w:rsidP="001B0FA3" w14:paraId="761393BF" w14:textId="77777777">
      <w:pPr>
        <w:pStyle w:val="BodytextAgency"/>
        <w:spacing w:after="0" w:line="240" w:lineRule="auto"/>
        <w:rPr>
          <w:lang w:val="en-GB"/>
        </w:rPr>
      </w:pPr>
    </w:p>
    <w:p w:rsidR="001B0FA3" w:rsidRPr="004B1F25" w:rsidP="001B0FA3" w14:paraId="681804B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sz w:val="22"/>
        </w:rPr>
        <w:t>Uwzględniając zalecenie PRAC &lt;i dyskusję w obrębie CHMP&gt;, CHMP wyraża następującą opinię:</w:t>
      </w:r>
    </w:p>
    <w:p w:rsidR="001B0FA3" w:rsidRPr="004B1F25" w:rsidP="001B0FA3" w14:paraId="7C79C3E8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1B0FA3" w:rsidRPr="00B57B2D" w:rsidP="001B0FA3" w14:paraId="665D9CE8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1B0FA3" w:rsidRPr="004B1F25" w:rsidP="001B0FA3" w14:paraId="3059536A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B1F25">
        <w:rPr>
          <w:rFonts w:ascii="Times New Roman" w:hAnsi="Times New Roman"/>
          <w:snapToGrid w:val="0"/>
          <w:sz w:val="22"/>
        </w:rPr>
        <w:t xml:space="preserve">&lt;stosunek korzyści do ryzyka </w:t>
      </w:r>
      <w:r>
        <w:rPr>
          <w:rFonts w:ascii="Times New Roman" w:hAnsi="Times New Roman"/>
          <w:snapToGrid w:val="0"/>
          <w:sz w:val="22"/>
        </w:rPr>
        <w:t>stosowania</w:t>
      </w:r>
      <w:r w:rsidRPr="004B1F25">
        <w:rPr>
          <w:rFonts w:ascii="Times New Roman" w:hAnsi="Times New Roman"/>
          <w:snapToGrid w:val="0"/>
          <w:sz w:val="22"/>
        </w:rPr>
        <w:t xml:space="preserve"> produktów leczniczych zawierających {nazwa substancji czynnej (czynnych)} pozostaje niezmieniony. Wobec tego &lt;</w:t>
      </w:r>
      <w:r>
        <w:rPr>
          <w:rFonts w:ascii="Times New Roman" w:hAnsi="Times New Roman"/>
          <w:snapToGrid w:val="0"/>
          <w:sz w:val="22"/>
        </w:rPr>
        <w:t>jednogłośnie</w:t>
      </w:r>
      <w:r w:rsidRPr="004B1F25">
        <w:rPr>
          <w:rFonts w:ascii="Times New Roman" w:hAnsi="Times New Roman"/>
          <w:snapToGrid w:val="0"/>
          <w:sz w:val="22"/>
        </w:rPr>
        <w:t>&gt; &lt;decyzj</w:t>
      </w:r>
      <w:r>
        <w:rPr>
          <w:rFonts w:ascii="Times New Roman" w:hAnsi="Times New Roman"/>
          <w:snapToGrid w:val="0"/>
          <w:sz w:val="22"/>
        </w:rPr>
        <w:t>ą</w:t>
      </w:r>
      <w:r w:rsidRPr="004B1F25">
        <w:rPr>
          <w:rFonts w:ascii="Times New Roman" w:hAnsi="Times New Roman"/>
          <w:snapToGrid w:val="0"/>
          <w:sz w:val="22"/>
        </w:rPr>
        <w:t xml:space="preserve"> większościową&gt; zaleca się utrzymanie dotychczasowych warunków pozwolenia (pozwoleń) na dopuszczenie do obrotu.&gt;</w:t>
      </w:r>
    </w:p>
    <w:p w:rsidR="001B0FA3" w:rsidRPr="004B1F25" w:rsidP="001B0FA3" w14:paraId="6DE1C8E5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1B0FA3" w:rsidRPr="00B57B2D" w:rsidP="001B0FA3" w14:paraId="09E4ECA9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1B0FA3" w:rsidRPr="004B1F25" w:rsidP="001B0FA3" w14:paraId="2E57BF6D" w14:textId="77777777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B1F25">
        <w:rPr>
          <w:rFonts w:ascii="Times New Roman" w:hAnsi="Times New Roman"/>
          <w:snapToGrid w:val="0"/>
          <w:sz w:val="22"/>
        </w:rPr>
        <w:t xml:space="preserve">&lt;stosunek korzyści do ryzyka </w:t>
      </w:r>
      <w:r>
        <w:rPr>
          <w:rFonts w:ascii="Times New Roman" w:hAnsi="Times New Roman"/>
          <w:snapToGrid w:val="0"/>
          <w:sz w:val="22"/>
        </w:rPr>
        <w:t>stosowania</w:t>
      </w:r>
      <w:r w:rsidRPr="004B1F25">
        <w:rPr>
          <w:rFonts w:ascii="Times New Roman" w:hAnsi="Times New Roman"/>
          <w:snapToGrid w:val="0"/>
          <w:sz w:val="22"/>
        </w:rPr>
        <w:t xml:space="preserve"> produktów leczniczych zawierających {nazwa substancji czynnej (czynnych)} pozostaje niezmieniony, lecz &lt;</w:t>
      </w:r>
      <w:r>
        <w:rPr>
          <w:rFonts w:ascii="Times New Roman" w:hAnsi="Times New Roman"/>
          <w:snapToGrid w:val="0"/>
          <w:sz w:val="22"/>
        </w:rPr>
        <w:t>jednogłośnie</w:t>
      </w:r>
      <w:r w:rsidRPr="004B1F25">
        <w:rPr>
          <w:rFonts w:ascii="Times New Roman" w:hAnsi="Times New Roman"/>
          <w:snapToGrid w:val="0"/>
          <w:sz w:val="22"/>
        </w:rPr>
        <w:t>&gt; &lt;decyzj</w:t>
      </w:r>
      <w:r>
        <w:rPr>
          <w:rFonts w:ascii="Times New Roman" w:hAnsi="Times New Roman"/>
          <w:snapToGrid w:val="0"/>
          <w:sz w:val="22"/>
        </w:rPr>
        <w:t>ą</w:t>
      </w:r>
      <w:r w:rsidRPr="004B1F25">
        <w:rPr>
          <w:rFonts w:ascii="Times New Roman" w:hAnsi="Times New Roman"/>
          <w:snapToGrid w:val="0"/>
          <w:sz w:val="22"/>
        </w:rPr>
        <w:t xml:space="preserve"> większościową&gt; zaleca się następującą zmianę warunków pozwolenia (pozwoleń) na dopuszczenie do obrotu:</w:t>
      </w:r>
    </w:p>
    <w:p w:rsidR="001B0FA3" w:rsidRPr="00B57B2D" w:rsidP="001B0FA3" w14:paraId="77577CA1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1B0FA3" w:rsidRPr="00B57B2D" w:rsidP="001B0FA3" w14:paraId="725529F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1B0FA3" w:rsidRPr="008D6FD6" w:rsidP="001B0FA3" w14:paraId="4838D8B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4B1F25">
        <w:rPr>
          <w:rFonts w:ascii="Times New Roman" w:hAnsi="Times New Roman"/>
          <w:sz w:val="22"/>
        </w:rPr>
        <w:t xml:space="preserve">&lt;Aktualizacja punktu {n} &lt;oraz {n}&gt; </w:t>
      </w:r>
      <w:r>
        <w:rPr>
          <w:rFonts w:ascii="Times New Roman" w:hAnsi="Times New Roman"/>
          <w:sz w:val="22"/>
        </w:rPr>
        <w:t>C</w:t>
      </w:r>
      <w:r w:rsidRPr="004B1F25">
        <w:rPr>
          <w:rFonts w:ascii="Times New Roman" w:hAnsi="Times New Roman"/>
          <w:sz w:val="22"/>
        </w:rPr>
        <w:t xml:space="preserve">harakterystyki </w:t>
      </w:r>
      <w:r>
        <w:rPr>
          <w:rFonts w:ascii="Times New Roman" w:hAnsi="Times New Roman"/>
          <w:sz w:val="22"/>
        </w:rPr>
        <w:t>P</w:t>
      </w:r>
      <w:r w:rsidRPr="004B1F25">
        <w:rPr>
          <w:rFonts w:ascii="Times New Roman" w:hAnsi="Times New Roman"/>
          <w:sz w:val="22"/>
        </w:rPr>
        <w:t xml:space="preserve">roduktu </w:t>
      </w:r>
      <w:r>
        <w:rPr>
          <w:rFonts w:ascii="Times New Roman" w:hAnsi="Times New Roman"/>
          <w:sz w:val="22"/>
        </w:rPr>
        <w:t>L</w:t>
      </w:r>
      <w:r w:rsidRPr="004B1F25">
        <w:rPr>
          <w:rFonts w:ascii="Times New Roman" w:hAnsi="Times New Roman"/>
          <w:sz w:val="22"/>
        </w:rPr>
        <w:t xml:space="preserve">eczniczego (ChPL) w celu dodania &lt;{x} jako działania niepożądanego występującego z częstością {y}&gt; &lt;ostrzeżenia dotyczącego {z}&gt;&lt;…&gt;. </w:t>
      </w:r>
      <w:r w:rsidRPr="008D6FD6">
        <w:rPr>
          <w:rFonts w:ascii="Times New Roman" w:hAnsi="Times New Roman"/>
          <w:sz w:val="22"/>
          <w:lang w:val="en-GB"/>
        </w:rPr>
        <w:t>&lt;Ulotkę dla pacjenta należy odpowiednio zaktualizować.&gt;&gt;</w:t>
      </w:r>
    </w:p>
    <w:p w:rsidR="001B0FA3" w:rsidRPr="008D6FD6" w:rsidP="001B0FA3" w14:paraId="47DE4CB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1B0FA3" w:rsidRPr="00B57B2D" w:rsidP="001B0FA3" w14:paraId="363265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1B0FA3" w:rsidRPr="004B1F25" w:rsidP="001B0FA3" w14:paraId="466D730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sz w:val="22"/>
        </w:rPr>
        <w:t>&lt;</w:t>
      </w:r>
      <w:r>
        <w:rPr>
          <w:rFonts w:ascii="Times New Roman" w:hAnsi="Times New Roman"/>
          <w:sz w:val="22"/>
        </w:rPr>
        <w:t>Na</w:t>
      </w:r>
      <w:r w:rsidRPr="004B1F25">
        <w:rPr>
          <w:rFonts w:ascii="Times New Roman" w:hAnsi="Times New Roman"/>
          <w:sz w:val="22"/>
        </w:rPr>
        <w:t xml:space="preserve"> pozwoleni</w:t>
      </w:r>
      <w:r>
        <w:rPr>
          <w:rFonts w:ascii="Times New Roman" w:hAnsi="Times New Roman"/>
          <w:sz w:val="22"/>
        </w:rPr>
        <w:t>e</w:t>
      </w:r>
      <w:r w:rsidRPr="004B1F25">
        <w:rPr>
          <w:rFonts w:ascii="Times New Roman" w:hAnsi="Times New Roman"/>
          <w:sz w:val="22"/>
        </w:rPr>
        <w:t xml:space="preserve"> na dopuszczenie do obrotu</w:t>
      </w:r>
      <w:r>
        <w:rPr>
          <w:rFonts w:ascii="Times New Roman" w:hAnsi="Times New Roman"/>
          <w:sz w:val="22"/>
        </w:rPr>
        <w:t xml:space="preserve"> nakłada się </w:t>
      </w:r>
      <w:r w:rsidRPr="004B1F25">
        <w:rPr>
          <w:rFonts w:ascii="Times New Roman" w:hAnsi="Times New Roman"/>
          <w:sz w:val="22"/>
        </w:rPr>
        <w:t>następujące warunki:&gt;</w:t>
      </w:r>
    </w:p>
    <w:p w:rsidR="001B0FA3" w:rsidRPr="004B1F25" w:rsidP="001B0FA3" w14:paraId="6FE20FC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1B0FA3" w:rsidRPr="00B57B2D" w:rsidP="001B0FA3" w14:paraId="4E854A3F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B1F25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1B0FA3" w:rsidRPr="004B1F25" w:rsidP="001B0FA3" w14:paraId="6A7E28D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sz w:val="22"/>
        </w:rPr>
        <w:t>&lt;Ponadto podmiot odpowiedzialny (podmioty odpowiedzialne) w ramach kolejnego raportu PSUR powinien (powinny) uwzględnić następujące kwestie:</w:t>
      </w:r>
    </w:p>
    <w:p w:rsidR="001B0FA3" w:rsidRPr="004B1F25" w:rsidP="001B0FA3" w14:paraId="04F133F9" w14:textId="77777777">
      <w:pPr>
        <w:pStyle w:val="BodytextAgency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color w:val="339966"/>
          <w:sz w:val="22"/>
          <w:lang w:val="en-GB"/>
        </w:rPr>
        <w:t>[list]</w:t>
      </w:r>
      <w:r w:rsidRPr="004B1F25">
        <w:rPr>
          <w:rFonts w:ascii="Times New Roman" w:hAnsi="Times New Roman"/>
          <w:sz w:val="22"/>
          <w:lang w:val="en-GB"/>
        </w:rPr>
        <w:t>&gt;</w:t>
      </w:r>
    </w:p>
    <w:p w:rsidR="001B0FA3" w:rsidRPr="004B1F25" w:rsidP="001B0FA3" w14:paraId="34637A99" w14:textId="4025DF8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sz w:val="22"/>
        </w:rPr>
        <w:t xml:space="preserve">&lt;Ponadto podmiot odpowiedzialny (podmioty odpowiedzialne) powinien (powinny) przedłożyć zaktualizowany plan zarządzania ryzykiem (RMP) w ciągu </w:t>
      </w:r>
      <w:r w:rsidRPr="004B1F25" w:rsidR="003821FA">
        <w:rPr>
          <w:rFonts w:ascii="Times New Roman" w:hAnsi="Times New Roman"/>
          <w:sz w:val="22"/>
        </w:rPr>
        <w:t>{x}</w:t>
      </w:r>
      <w:r w:rsidRPr="004B1F25">
        <w:rPr>
          <w:rFonts w:ascii="Times New Roman" w:hAnsi="Times New Roman"/>
          <w:sz w:val="22"/>
        </w:rPr>
        <w:t xml:space="preserve"> miesięcy</w:t>
      </w:r>
      <w:r>
        <w:rPr>
          <w:rFonts w:ascii="Times New Roman" w:hAnsi="Times New Roman"/>
          <w:sz w:val="22"/>
        </w:rPr>
        <w:t>,</w:t>
      </w:r>
      <w:r w:rsidRPr="004B1F25">
        <w:rPr>
          <w:rFonts w:ascii="Times New Roman" w:hAnsi="Times New Roman"/>
          <w:sz w:val="22"/>
        </w:rPr>
        <w:t xml:space="preserve"> w </w:t>
      </w:r>
      <w:r>
        <w:rPr>
          <w:rFonts w:ascii="Times New Roman" w:hAnsi="Times New Roman"/>
          <w:sz w:val="22"/>
        </w:rPr>
        <w:t>celu ro</w:t>
      </w:r>
      <w:r w:rsidRPr="004B1F25">
        <w:rPr>
          <w:rFonts w:ascii="Times New Roman" w:hAnsi="Times New Roman"/>
          <w:sz w:val="22"/>
        </w:rPr>
        <w:t>związ</w:t>
      </w:r>
      <w:r>
        <w:rPr>
          <w:rFonts w:ascii="Times New Roman" w:hAnsi="Times New Roman"/>
          <w:sz w:val="22"/>
        </w:rPr>
        <w:t>ania</w:t>
      </w:r>
      <w:r w:rsidRPr="004B1F25">
        <w:rPr>
          <w:rFonts w:ascii="Times New Roman" w:hAnsi="Times New Roman"/>
          <w:sz w:val="22"/>
        </w:rPr>
        <w:t xml:space="preserve"> następujący</w:t>
      </w:r>
      <w:r>
        <w:rPr>
          <w:rFonts w:ascii="Times New Roman" w:hAnsi="Times New Roman"/>
          <w:sz w:val="22"/>
        </w:rPr>
        <w:t>ch</w:t>
      </w:r>
      <w:r w:rsidRPr="004B1F25">
        <w:rPr>
          <w:rFonts w:ascii="Times New Roman" w:hAnsi="Times New Roman"/>
          <w:sz w:val="22"/>
        </w:rPr>
        <w:t xml:space="preserve"> kwestii:</w:t>
      </w:r>
    </w:p>
    <w:p w:rsidR="001B0FA3" w:rsidRPr="004B1F25" w:rsidP="001B0FA3" w14:paraId="676320B0" w14:textId="77777777">
      <w:pPr>
        <w:pStyle w:val="BodytextAgency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B1F25">
        <w:rPr>
          <w:rFonts w:ascii="Times New Roman" w:hAnsi="Times New Roman"/>
          <w:color w:val="339966"/>
          <w:sz w:val="22"/>
          <w:lang w:val="en-GB"/>
        </w:rPr>
        <w:t>[list]</w:t>
      </w:r>
      <w:r w:rsidRPr="004B1F25">
        <w:rPr>
          <w:rFonts w:ascii="Times New Roman" w:hAnsi="Times New Roman"/>
          <w:sz w:val="22"/>
          <w:lang w:val="en-GB"/>
        </w:rPr>
        <w:t>&gt;</w:t>
      </w:r>
    </w:p>
    <w:p w:rsidR="001B0FA3" w:rsidRPr="004B1F25" w:rsidP="001B0FA3" w14:paraId="60E9E95C" w14:textId="77777777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p w:rsidR="00531411" w14:paraId="08AA5E12" w14:textId="77777777"/>
    <w:sectPr w:rsidSect="00C21181">
      <w:footerReference w:type="default" r:id="rId4"/>
      <w:headerReference w:type="first" r:id="rId5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4B1F25" w14:paraId="2CB3B72B" w14:textId="77777777">
    <w:pPr>
      <w:pStyle w:val="Footer"/>
      <w:jc w:val="center"/>
    </w:pPr>
    <w:r w:rsidRPr="004B1F25">
      <w:fldChar w:fldCharType="begin"/>
    </w:r>
    <w:r w:rsidRPr="004B1F25">
      <w:instrText xml:space="preserve"> PAGE   \* MERGEFORMAT </w:instrText>
    </w:r>
    <w:r w:rsidRPr="004B1F25">
      <w:fldChar w:fldCharType="separate"/>
    </w:r>
    <w:r>
      <w:rPr>
        <w:noProof/>
      </w:rPr>
      <w:t>3</w:t>
    </w:r>
    <w:r w:rsidRPr="004B1F25">
      <w:fldChar w:fldCharType="end"/>
    </w:r>
  </w:p>
  <w:p w:rsidR="0008729F" w:rsidRPr="004B1F25" w14:paraId="0586AA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47FB2B2E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4B1F25" w14:paraId="7256CA69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4B1F25" w14:paraId="06A02013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4B1F25" w14:paraId="09B458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A3"/>
    <w:rsid w:val="0008729F"/>
    <w:rsid w:val="001B0FA3"/>
    <w:rsid w:val="002C6C6A"/>
    <w:rsid w:val="002C7594"/>
    <w:rsid w:val="003821FA"/>
    <w:rsid w:val="003F6F21"/>
    <w:rsid w:val="004477DC"/>
    <w:rsid w:val="004B1F25"/>
    <w:rsid w:val="00531411"/>
    <w:rsid w:val="008D6FD6"/>
    <w:rsid w:val="00A94E50"/>
    <w:rsid w:val="00B57B2D"/>
    <w:rsid w:val="00FF0C2D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A604E7-6E83-4275-B66B-B14ECBE6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A3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0FA3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1B0FA3"/>
    <w:rPr>
      <w:rFonts w:ascii="Arial" w:eastAsia="Times New Roman" w:hAnsi="Arial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0FA3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0FA3"/>
    <w:rPr>
      <w:rFonts w:ascii="Arial" w:eastAsia="Times New Roman" w:hAnsi="Arial" w:cs="Verdana"/>
      <w:sz w:val="16"/>
      <w:szCs w:val="20"/>
    </w:rPr>
  </w:style>
  <w:style w:type="paragraph" w:customStyle="1" w:styleId="BodytextAgency">
    <w:name w:val="Body text (Agency)"/>
    <w:basedOn w:val="Normal"/>
    <w:link w:val="BodytextAgencyChar"/>
    <w:qFormat/>
    <w:rsid w:val="001B0FA3"/>
    <w:pPr>
      <w:spacing w:after="140" w:line="280" w:lineRule="atLeast"/>
    </w:pPr>
    <w:rPr>
      <w:rFonts w:eastAsia="Verdana" w:cs="Times New Roman"/>
      <w:lang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1B0FA3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1B0FA3"/>
    <w:pPr>
      <w:keepNext/>
      <w:spacing w:before="280" w:after="220"/>
      <w:outlineLvl w:val="2"/>
    </w:pPr>
    <w:rPr>
      <w:rFonts w:eastAsia="Verdana" w:cs="Times New Roman"/>
      <w:b/>
      <w:bCs/>
      <w:kern w:val="32"/>
      <w:sz w:val="22"/>
      <w:szCs w:val="22"/>
      <w:lang w:eastAsia="x-none"/>
    </w:rPr>
  </w:style>
  <w:style w:type="character" w:customStyle="1" w:styleId="DraftingNotesAgencyChar">
    <w:name w:val="Drafting Notes (Agency) Char"/>
    <w:link w:val="DraftingNotesAgency"/>
    <w:rsid w:val="001B0FA3"/>
    <w:rPr>
      <w:rFonts w:ascii="Courier New" w:eastAsia="Verdana" w:hAnsi="Courier New" w:cs="Times New Roman"/>
      <w:i/>
      <w:color w:val="339966"/>
      <w:szCs w:val="18"/>
      <w:lang w:eastAsia="x-none"/>
    </w:rPr>
  </w:style>
  <w:style w:type="character" w:customStyle="1" w:styleId="BodytextAgencyChar">
    <w:name w:val="Body text (Agency) Char"/>
    <w:link w:val="BodytextAgency"/>
    <w:rsid w:val="001B0FA3"/>
    <w:rPr>
      <w:rFonts w:ascii="Verdana" w:eastAsia="Verdana" w:hAnsi="Verdana" w:cs="Times New Roman"/>
      <w:sz w:val="18"/>
      <w:szCs w:val="18"/>
      <w:lang w:eastAsia="x-none"/>
    </w:rPr>
  </w:style>
  <w:style w:type="character" w:customStyle="1" w:styleId="No-numheading3AgencyChar">
    <w:name w:val="No-num heading 3 (Agency) Char"/>
    <w:link w:val="No-numheading3Agency"/>
    <w:rsid w:val="001B0FA3"/>
    <w:rPr>
      <w:rFonts w:ascii="Verdana" w:eastAsia="Verdana" w:hAnsi="Verdana" w:cs="Times New Roman"/>
      <w:b/>
      <w:bCs/>
      <w:kern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HannexIVpsur_PL</dc:title>
  <dc:creator>Poland</dc:creator>
  <cp:lastModifiedBy>Akhtar Tia</cp:lastModifiedBy>
  <cp:revision>3</cp:revision>
  <dcterms:created xsi:type="dcterms:W3CDTF">2023-12-29T18:03:00Z</dcterms:created>
  <dcterms:modified xsi:type="dcterms:W3CDTF">2024-01-16T08:56:00Z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16/01/2024 09:56:19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EMA/6583/2024</vt:lpwstr>
  </property>
  <property fmtid="{D5CDD505-2E9C-101B-9397-08002B2CF9AE}" pid="7" name="DM_emea_doc_ref_id">
    <vt:lpwstr>EMA/6583/2024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17/01/2024 12:51:03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17/01/2024 12:51:03</vt:lpwstr>
  </property>
  <property fmtid="{D5CDD505-2E9C-101B-9397-08002B2CF9AE}" pid="14" name="DM_Name">
    <vt:lpwstr>HannexIVpsur_PL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2.1,CURRENT</vt:lpwstr>
  </property>
  <property fmtid="{D5CDD505-2E9C-101B-9397-08002B2CF9AE}" pid="21" name="MSIP_Label_0eea11ca-d417-4147-80ed-01a58412c458_ActionId">
    <vt:lpwstr>f2076e9d-e410-49c5-8913-e15e7c792c7d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2024-01-16T08:56:12Z</vt:lpwstr>
  </property>
  <property fmtid="{D5CDD505-2E9C-101B-9397-08002B2CF9AE}" pid="27" name="MSIP_Label_0eea11ca-d417-4147-80ed-01a58412c458_SiteId">
    <vt:lpwstr>bc9dc15c-61bc-4f03-b60b-e5b6d8922839</vt:lpwstr>
  </property>
</Properties>
</file>