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F748D" w:rsidRPr="00CF6A44" w:rsidRDefault="00CF6A44">
      <w:pPr>
        <w:pStyle w:val="No-numheading3Agency"/>
        <w:jc w:val="center"/>
        <w:rPr>
          <w:rFonts w:ascii="Times New Roman" w:eastAsia="SimSun" w:hAnsi="Times New Roman" w:cs="Times New Roman"/>
          <w:bCs w:val="0"/>
          <w:lang w:val="bg-BG"/>
        </w:rPr>
      </w:pPr>
      <w:r w:rsidRPr="00CF6A44">
        <w:rPr>
          <w:rFonts w:ascii="Times New Roman" w:hAnsi="Times New Roman" w:cs="Times New Roman"/>
          <w:bCs w:val="0"/>
          <w:noProof/>
          <w:lang w:val="ru-RU"/>
        </w:rPr>
        <w:t>&lt;</w:t>
      </w:r>
      <w:r w:rsidRPr="00CF6A44">
        <w:rPr>
          <w:rFonts w:ascii="Times New Roman" w:hAnsi="Times New Roman" w:cs="Times New Roman"/>
          <w:bCs w:val="0"/>
          <w:lang w:val="bg-BG"/>
        </w:rPr>
        <w:t>ПРИЛОЖЕНИЕ IV</w:t>
      </w:r>
    </w:p>
    <w:p w:rsidR="00AF748D" w:rsidRPr="00CF6A44" w:rsidRDefault="00CF6A44">
      <w:pPr>
        <w:pStyle w:val="No-numheading3Agency"/>
        <w:spacing w:before="0" w:after="0"/>
        <w:jc w:val="center"/>
        <w:rPr>
          <w:rFonts w:ascii="Times New Roman" w:eastAsia="SimSun" w:hAnsi="Times New Roman" w:cs="Times New Roman"/>
          <w:b w:val="0"/>
          <w:bCs w:val="0"/>
          <w:lang w:val="bg-BG"/>
        </w:rPr>
      </w:pPr>
      <w:r w:rsidRPr="00CF6A44">
        <w:rPr>
          <w:rFonts w:ascii="Times New Roman" w:hAnsi="Times New Roman" w:cs="Times New Roman"/>
          <w:bCs w:val="0"/>
          <w:noProof/>
          <w:lang w:val="bg-BG"/>
        </w:rPr>
        <w:t xml:space="preserve">ЗАКЛЮЧЕНИЯ ОТНОСНО &lt;ПОДОБИЕ&gt; &lt;И&gt; &lt;ДЕРОГАЦИЯ&gt; &lt;И&gt; </w:t>
      </w:r>
      <w:r w:rsidR="00BA0C9A" w:rsidRPr="00CF6A44">
        <w:rPr>
          <w:rFonts w:ascii="Times New Roman" w:hAnsi="Times New Roman" w:cs="Times New Roman"/>
          <w:bCs w:val="0"/>
          <w:noProof/>
          <w:lang w:val="bg-BG"/>
        </w:rPr>
        <w:t>&lt;</w:t>
      </w:r>
      <w:r w:rsidRPr="00CF6A44">
        <w:rPr>
          <w:rFonts w:ascii="Times New Roman" w:hAnsi="Times New Roman" w:cs="Times New Roman"/>
          <w:bCs w:val="0"/>
          <w:noProof/>
          <w:lang w:val="bg-BG"/>
        </w:rPr>
        <w:t>&lt;ИСКАНЕТО ЗА &lt;</w:t>
      </w:r>
      <w:r w:rsidR="00BA0C9A" w:rsidRPr="00CF6A44">
        <w:rPr>
          <w:rFonts w:ascii="Times New Roman" w:hAnsi="Times New Roman" w:cs="Times New Roman"/>
          <w:bCs w:val="0"/>
          <w:noProof/>
          <w:lang w:val="bg-BG"/>
        </w:rPr>
        <w:t>ЕДНОГОДИШН</w:t>
      </w:r>
      <w:r w:rsidR="00BA0C9A">
        <w:rPr>
          <w:rFonts w:ascii="Times New Roman" w:hAnsi="Times New Roman" w:cs="Times New Roman"/>
          <w:bCs w:val="0"/>
          <w:noProof/>
          <w:lang w:val="bg-BG"/>
        </w:rPr>
        <w:t>И</w:t>
      </w:r>
      <w:r w:rsidR="00BA0C9A" w:rsidRPr="00CF6A44">
        <w:rPr>
          <w:rFonts w:ascii="Times New Roman" w:hAnsi="Times New Roman" w:cs="Times New Roman"/>
          <w:bCs w:val="0"/>
          <w:noProof/>
          <w:lang w:val="bg-BG"/>
        </w:rPr>
        <w:t xml:space="preserve"> </w:t>
      </w:r>
      <w:r w:rsidRPr="00CF6A44">
        <w:rPr>
          <w:rFonts w:ascii="Times New Roman" w:hAnsi="Times New Roman" w:cs="Times New Roman"/>
          <w:bCs w:val="0"/>
          <w:noProof/>
          <w:lang w:val="bg-BG"/>
        </w:rPr>
        <w:t>ИЗКЛЮЧИТЕЛНИ ПРАВА ВЪРХУ ДАННИТЕ&gt; &lt;</w:t>
      </w:r>
      <w:r w:rsidR="00BA0C9A" w:rsidRPr="00BA0C9A">
        <w:rPr>
          <w:rFonts w:ascii="Times New Roman" w:hAnsi="Times New Roman" w:cs="Times New Roman"/>
          <w:bCs w:val="0"/>
          <w:noProof/>
          <w:lang w:val="bg-BG"/>
        </w:rPr>
        <w:t xml:space="preserve"> </w:t>
      </w:r>
      <w:r w:rsidR="00BA0C9A" w:rsidRPr="00CF6A44">
        <w:rPr>
          <w:rFonts w:ascii="Times New Roman" w:hAnsi="Times New Roman" w:cs="Times New Roman"/>
          <w:bCs w:val="0"/>
          <w:noProof/>
          <w:lang w:val="bg-BG"/>
        </w:rPr>
        <w:t>ЕДНОГОДИШН</w:t>
      </w:r>
      <w:r w:rsidR="00BA0C9A">
        <w:rPr>
          <w:rFonts w:ascii="Times New Roman" w:hAnsi="Times New Roman" w:cs="Times New Roman"/>
          <w:bCs w:val="0"/>
          <w:noProof/>
          <w:lang w:val="bg-BG"/>
        </w:rPr>
        <w:t>А</w:t>
      </w:r>
      <w:r w:rsidR="00BA0C9A" w:rsidRPr="00CF6A44">
        <w:rPr>
          <w:rFonts w:ascii="Times New Roman" w:hAnsi="Times New Roman" w:cs="Times New Roman"/>
          <w:bCs w:val="0"/>
          <w:noProof/>
          <w:lang w:val="bg-BG"/>
        </w:rPr>
        <w:t xml:space="preserve"> </w:t>
      </w:r>
      <w:r w:rsidRPr="00CF6A44">
        <w:rPr>
          <w:rFonts w:ascii="Times New Roman" w:hAnsi="Times New Roman" w:cs="Times New Roman"/>
          <w:bCs w:val="0"/>
          <w:noProof/>
          <w:lang w:val="bg-BG"/>
        </w:rPr>
        <w:t>ЗАЩИТА НА ПАЗАРА&gt;&gt;, ПРЕДСТАВЕНИ ОТ ЕВРОПЕЙСКАТА АГЕНЦИЯ ПО ЛЕКАРСТВАТА</w:t>
      </w:r>
    </w:p>
    <w:p w:rsidR="00AF748D" w:rsidRPr="00CF6A44" w:rsidRDefault="00AF748D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  <w:r w:rsidRPr="00CF6A44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AF748D" w:rsidRPr="00CF6A44" w:rsidRDefault="00AF748D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:rsidR="00AF748D" w:rsidRPr="00CF6A44" w:rsidRDefault="00AF748D">
      <w:pPr>
        <w:pStyle w:val="No-numheading3Agency"/>
        <w:rPr>
          <w:rFonts w:ascii="Times New Roman" w:eastAsia="SimSun" w:hAnsi="Times New Roman" w:cs="Times New Roman"/>
          <w:bCs w:val="0"/>
          <w:lang w:val="bg-BG"/>
        </w:rPr>
      </w:pPr>
      <w:r w:rsidRPr="00CF6A44">
        <w:rPr>
          <w:rFonts w:ascii="Times New Roman" w:hAnsi="Times New Roman" w:cs="Times New Roman"/>
          <w:bCs w:val="0"/>
          <w:lang w:val="bg-BG"/>
        </w:rPr>
        <w:br w:type="page"/>
      </w:r>
      <w:r w:rsidRPr="00CF6A44">
        <w:rPr>
          <w:rFonts w:ascii="Times New Roman" w:hAnsi="Times New Roman" w:cs="Times New Roman"/>
          <w:bCs w:val="0"/>
          <w:noProof/>
          <w:lang w:val="bg-BG"/>
        </w:rPr>
        <w:lastRenderedPageBreak/>
        <w:t>Заключения, представени от Европейската агенция по лекарствата, относно:</w:t>
      </w:r>
    </w:p>
    <w:p w:rsidR="00AF748D" w:rsidRPr="00CF6A44" w:rsidRDefault="00AF748D" w:rsidP="00654C24">
      <w:pPr>
        <w:spacing w:after="140" w:line="280" w:lineRule="atLeast"/>
        <w:rPr>
          <w:rFonts w:ascii="Times New Roman" w:hAnsi="Times New Roman" w:cs="Times New Roman"/>
          <w:i/>
          <w:color w:val="339966"/>
          <w:sz w:val="22"/>
          <w:szCs w:val="22"/>
          <w:lang w:eastAsia="en-GB"/>
        </w:rPr>
      </w:pPr>
      <w:r w:rsidRPr="00CF6A44">
        <w:rPr>
          <w:rFonts w:ascii="Times New Roman" w:hAnsi="Times New Roman" w:cs="Times New Roman"/>
          <w:i/>
          <w:color w:val="339966"/>
          <w:sz w:val="22"/>
          <w:szCs w:val="22"/>
          <w:lang w:eastAsia="en-GB"/>
        </w:rPr>
        <w:t>[In case of similarity and an accepted derogation, please select the statement(s) as provided below.]</w:t>
      </w:r>
    </w:p>
    <w:p w:rsidR="00AF748D" w:rsidRPr="00CF6A44" w:rsidRDefault="00AF748D">
      <w:pPr>
        <w:pStyle w:val="BodytextAgency"/>
        <w:numPr>
          <w:ilvl w:val="0"/>
          <w:numId w:val="38"/>
        </w:numPr>
        <w:snapToGrid w:val="0"/>
        <w:rPr>
          <w:rFonts w:ascii="Times New Roman" w:eastAsia="SimSun" w:hAnsi="Times New Roman" w:cs="Times New Roman"/>
          <w:sz w:val="22"/>
          <w:szCs w:val="22"/>
        </w:rPr>
      </w:pPr>
      <w:r w:rsidRPr="00CF6A44">
        <w:rPr>
          <w:rFonts w:ascii="Times New Roman" w:hAnsi="Times New Roman" w:cs="Times New Roman"/>
          <w:b/>
          <w:noProof/>
          <w:sz w:val="22"/>
          <w:szCs w:val="22"/>
        </w:rPr>
        <w:t>&lt;</w:t>
      </w:r>
      <w:r w:rsidRPr="00CF6A4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Подобие</w:t>
      </w:r>
      <w:r w:rsidRPr="00CF6A44">
        <w:rPr>
          <w:rFonts w:ascii="Times New Roman" w:hAnsi="Times New Roman" w:cs="Times New Roman"/>
          <w:b/>
          <w:noProof/>
          <w:sz w:val="22"/>
          <w:szCs w:val="22"/>
        </w:rPr>
        <w:t>&gt;</w:t>
      </w:r>
      <w:r w:rsidRPr="00CF6A44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</w:p>
    <w:p w:rsidR="005F38BB" w:rsidRPr="005A5596" w:rsidRDefault="00AF748D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CF6A44">
        <w:rPr>
          <w:rFonts w:ascii="Times New Roman" w:hAnsi="Times New Roman" w:cs="Times New Roman"/>
          <w:sz w:val="22"/>
          <w:szCs w:val="22"/>
          <w:lang w:val="bg-BG"/>
        </w:rPr>
        <w:t xml:space="preserve">&lt;CHMP е на мнение, че &lt;име на продукта&gt; е подобен на </w:t>
      </w:r>
      <w:r w:rsidRPr="00EF1831">
        <w:rPr>
          <w:rFonts w:ascii="Times New Roman" w:hAnsi="Times New Roman" w:cs="Times New Roman"/>
          <w:sz w:val="22"/>
          <w:szCs w:val="22"/>
          <w:lang w:val="bg-BG"/>
        </w:rPr>
        <w:t>разрешен</w:t>
      </w:r>
      <w:r w:rsidR="005F38BB" w:rsidRPr="005A5596">
        <w:rPr>
          <w:rFonts w:ascii="Times New Roman" w:hAnsi="Times New Roman" w:cs="Times New Roman"/>
          <w:sz w:val="22"/>
          <w:szCs w:val="22"/>
          <w:lang w:val="bg-BG"/>
        </w:rPr>
        <w:t>о</w:t>
      </w:r>
      <w:r w:rsidRPr="00EF1831">
        <w:rPr>
          <w:rFonts w:ascii="Times New Roman" w:hAnsi="Times New Roman" w:cs="Times New Roman"/>
          <w:sz w:val="22"/>
          <w:szCs w:val="22"/>
          <w:lang w:val="bg-BG"/>
        </w:rPr>
        <w:t xml:space="preserve">(и) за употреба </w:t>
      </w:r>
      <w:r w:rsidR="005F38BB" w:rsidRPr="005A5596">
        <w:rPr>
          <w:rFonts w:ascii="Times New Roman" w:hAnsi="Times New Roman" w:cs="Times New Roman"/>
          <w:sz w:val="22"/>
          <w:szCs w:val="22"/>
          <w:lang w:val="bg-BG"/>
        </w:rPr>
        <w:t>лекарство</w:t>
      </w:r>
      <w:r w:rsidRPr="00EF1831">
        <w:rPr>
          <w:rFonts w:ascii="Times New Roman" w:hAnsi="Times New Roman" w:cs="Times New Roman"/>
          <w:sz w:val="22"/>
          <w:szCs w:val="22"/>
          <w:lang w:val="bg-BG"/>
        </w:rPr>
        <w:t>(</w:t>
      </w:r>
      <w:r w:rsidR="005F38BB" w:rsidRPr="005A5596">
        <w:rPr>
          <w:rFonts w:ascii="Times New Roman" w:hAnsi="Times New Roman" w:cs="Times New Roman"/>
          <w:sz w:val="22"/>
          <w:szCs w:val="22"/>
          <w:lang w:val="bg-BG"/>
        </w:rPr>
        <w:t>а</w:t>
      </w:r>
      <w:r w:rsidRPr="00EF1831">
        <w:rPr>
          <w:rFonts w:ascii="Times New Roman" w:hAnsi="Times New Roman" w:cs="Times New Roman"/>
          <w:sz w:val="22"/>
          <w:szCs w:val="22"/>
          <w:lang w:val="bg-BG"/>
        </w:rPr>
        <w:t xml:space="preserve">) </w:t>
      </w:r>
    </w:p>
    <w:p w:rsidR="00AF748D" w:rsidRPr="00CF6A44" w:rsidRDefault="00AF748D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5A5596">
        <w:rPr>
          <w:rFonts w:ascii="Times New Roman" w:hAnsi="Times New Roman" w:cs="Times New Roman"/>
          <w:sz w:val="22"/>
          <w:szCs w:val="22"/>
          <w:lang w:val="bg-BG"/>
        </w:rPr>
        <w:t>сирак(ци) по смисъла на член 3 от Регламент (ЕО) № 847/2000 на Комисията, както е обяснено по-подробно в Европейския публичен оценъчен доклад</w:t>
      </w:r>
      <w:r w:rsidRPr="005A5596">
        <w:rPr>
          <w:rFonts w:ascii="Times New Roman" w:eastAsia="SimSun" w:hAnsi="Times New Roman" w:cs="Times New Roman"/>
          <w:sz w:val="22"/>
          <w:szCs w:val="22"/>
          <w:lang w:val="bg-BG"/>
        </w:rPr>
        <w:t>.</w:t>
      </w:r>
      <w:r w:rsidRPr="005A5596">
        <w:rPr>
          <w:rFonts w:ascii="Times New Roman" w:hAnsi="Times New Roman" w:cs="Times New Roman"/>
          <w:sz w:val="22"/>
          <w:szCs w:val="22"/>
          <w:lang w:val="bg-BG"/>
        </w:rPr>
        <w:t xml:space="preserve"> &gt;</w:t>
      </w:r>
    </w:p>
    <w:p w:rsidR="00AF748D" w:rsidRPr="00CF6A44" w:rsidRDefault="00AF748D">
      <w:pPr>
        <w:pStyle w:val="BodytextAgency"/>
        <w:numPr>
          <w:ilvl w:val="0"/>
          <w:numId w:val="38"/>
        </w:numPr>
        <w:snapToGrid w:val="0"/>
        <w:rPr>
          <w:rFonts w:ascii="Times New Roman" w:eastAsia="SimSun" w:hAnsi="Times New Roman" w:cs="Times New Roman"/>
          <w:b/>
          <w:sz w:val="22"/>
          <w:szCs w:val="22"/>
        </w:rPr>
      </w:pPr>
      <w:r w:rsidRPr="00CF6A44">
        <w:rPr>
          <w:rFonts w:ascii="Times New Roman" w:hAnsi="Times New Roman" w:cs="Times New Roman"/>
          <w:b/>
          <w:noProof/>
          <w:sz w:val="22"/>
          <w:szCs w:val="22"/>
        </w:rPr>
        <w:t>&lt;Дерогация&gt;</w:t>
      </w:r>
    </w:p>
    <w:p w:rsidR="00AF748D" w:rsidRPr="00CF6A44" w:rsidRDefault="00AF748D">
      <w:pPr>
        <w:pStyle w:val="BodytextAgency"/>
        <w:rPr>
          <w:rFonts w:ascii="Times New Roman" w:eastAsia="SimSun" w:hAnsi="Times New Roman" w:cs="Times New Roman"/>
          <w:sz w:val="22"/>
          <w:szCs w:val="22"/>
          <w:lang w:val="bg-BG"/>
        </w:rPr>
      </w:pP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&lt;CHMP е на мнение, че съгласно член 8 от Регламент (ЕО) № 141/2000 и &lt;член 3 от Регламент (ЕО) № 847/2000 на Комисията&gt; </w:t>
      </w:r>
      <w:r w:rsidRPr="00CF6A44">
        <w:rPr>
          <w:rStyle w:val="DraftingNotesAgencyCharCharCharCharCharCharCharCharCharCharCharCharCharCharCharCharCharCharCharCharChar"/>
          <w:rFonts w:ascii="Times New Roman" w:hAnsi="Times New Roman" w:cs="Times New Roman"/>
          <w:noProof/>
          <w:sz w:val="22"/>
          <w:szCs w:val="22"/>
          <w:lang w:val="bg-BG" w:eastAsia="en-US"/>
        </w:rPr>
        <w:t>[only for the superiority derogation]</w:t>
      </w:r>
      <w:r w:rsidRPr="00CF6A44">
        <w:rPr>
          <w:rFonts w:ascii="Times New Roman" w:hAnsi="Times New Roman" w:cs="Times New Roman"/>
          <w:i/>
          <w:noProof/>
          <w:color w:val="008000"/>
          <w:sz w:val="22"/>
          <w:szCs w:val="22"/>
          <w:lang w:val="bg-BG"/>
        </w:rPr>
        <w:t xml:space="preserve"> 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се прилага(ат) следната(ите) дерогация(ии), предвидена(и) в член 8, параграф 3 от същия Регламент, както е обяснено по</w:t>
      </w:r>
      <w:r w:rsidRPr="00CF6A44">
        <w:rPr>
          <w:rFonts w:ascii="Times New Roman" w:eastAsia="SimSun" w:hAnsi="Times New Roman" w:cs="Times New Roman"/>
          <w:noProof/>
          <w:sz w:val="22"/>
          <w:szCs w:val="22"/>
          <w:lang w:val="bg-BG"/>
        </w:rPr>
        <w:noBreakHyphen/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подробно в Европейския публичен оценъчен доклад:</w:t>
      </w:r>
    </w:p>
    <w:p w:rsidR="00AF748D" w:rsidRPr="00CF6A44" w:rsidRDefault="00AF748D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&lt;притежателят на разрешението за употреба на &lt;разрешен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о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за употреба </w:t>
      </w:r>
      <w:r w:rsidR="00D01226"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лекарств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о</w:t>
      </w:r>
      <w:r w:rsidR="00D01226"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сирак&gt; не е в състояние да достави достатъчни количества от този лекарствен продукт&gt; &lt;и&gt;</w:t>
      </w:r>
      <w:r w:rsidRPr="00CF6A44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5F38BB" w:rsidRDefault="00AF748D" w:rsidP="00F3086D">
      <w:pPr>
        <w:pStyle w:val="BodytextAgency"/>
        <w:spacing w:after="0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&lt;заявителят може да докаже в заявлението, че лекарственият продукт, въпреки че е подобен на &lt;разрешен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о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за употреба </w:t>
      </w:r>
      <w:r w:rsidR="00D01226"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лекарств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о</w:t>
      </w:r>
      <w:r w:rsidR="00D01226"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сирак&gt;, е по-безопасен, по-ефективен или с друго клинично превъзходство (както е определено в член 3 от Регламент (ЕО) № 847/2000 на Комисията) при същото терапевтично показание&gt;</w:t>
      </w:r>
      <w:r w:rsidR="00821F42">
        <w:rPr>
          <w:rFonts w:ascii="Times New Roman" w:hAnsi="Times New Roman" w:cs="Times New Roman"/>
          <w:noProof/>
          <w:sz w:val="22"/>
          <w:szCs w:val="22"/>
          <w:lang w:val="bg-BG"/>
        </w:rPr>
        <w:t>.</w:t>
      </w:r>
    </w:p>
    <w:p w:rsidR="00AF748D" w:rsidRPr="00CF6A44" w:rsidRDefault="00AF748D" w:rsidP="00F3086D">
      <w:pPr>
        <w:pStyle w:val="BodytextAgency"/>
        <w:rPr>
          <w:rFonts w:ascii="Times New Roman" w:eastAsia="SimSun" w:hAnsi="Times New Roman" w:cs="Times New Roman"/>
          <w:sz w:val="22"/>
          <w:szCs w:val="22"/>
          <w:lang w:val="bg-BG"/>
        </w:rPr>
      </w:pP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&lt;и&gt;</w:t>
      </w:r>
    </w:p>
    <w:p w:rsidR="00AF748D" w:rsidRPr="00CF6A44" w:rsidRDefault="00AF748D" w:rsidP="00F3086D">
      <w:pPr>
        <w:pStyle w:val="BodytextAgency"/>
        <w:rPr>
          <w:rFonts w:ascii="Times New Roman" w:eastAsia="SimSun" w:hAnsi="Times New Roman" w:cs="Times New Roman"/>
          <w:sz w:val="22"/>
          <w:szCs w:val="22"/>
          <w:lang w:val="bg-BG"/>
        </w:rPr>
      </w:pP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&lt;притежателят разрешението за употреба на &lt;разрешен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о за употреба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="00D01226"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лекарств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о</w:t>
      </w:r>
      <w:r w:rsidR="00D01226"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сирак&gt; е дал съгласието си на заявителя.&gt;</w:t>
      </w:r>
    </w:p>
    <w:p w:rsidR="00AF748D" w:rsidRPr="00CF6A44" w:rsidRDefault="00AF748D">
      <w:pPr>
        <w:pStyle w:val="BodytextAgency"/>
        <w:numPr>
          <w:ilvl w:val="0"/>
          <w:numId w:val="38"/>
        </w:numPr>
        <w:snapToGrid w:val="0"/>
        <w:rPr>
          <w:rFonts w:ascii="Times New Roman" w:eastAsia="SimSun" w:hAnsi="Times New Roman" w:cs="Times New Roman"/>
          <w:b/>
          <w:sz w:val="22"/>
          <w:szCs w:val="22"/>
          <w:lang w:val="bg-BG"/>
        </w:rPr>
      </w:pPr>
      <w:r w:rsidRPr="00CF6A4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&lt;&lt;</w:t>
      </w:r>
      <w:r w:rsidR="00D01226" w:rsidRPr="00CF6A4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 xml:space="preserve">едногодишна </w:t>
      </w:r>
      <w:r w:rsidRPr="00CF6A4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защита на пазара&gt; &lt;</w:t>
      </w:r>
      <w:r w:rsidR="00D01226" w:rsidRPr="00CF6A4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едногодишн</w:t>
      </w:r>
      <w:r w:rsidR="00D01226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и</w:t>
      </w:r>
      <w:r w:rsidR="00D01226" w:rsidRPr="00CF6A4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 xml:space="preserve"> </w:t>
      </w:r>
      <w:r w:rsidRPr="00CF6A4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 xml:space="preserve">изключителни права върху данните&gt;&gt; </w:t>
      </w:r>
    </w:p>
    <w:p w:rsidR="00AF748D" w:rsidRPr="00CF6A44" w:rsidRDefault="00AF748D">
      <w:pPr>
        <w:pStyle w:val="DraftingNotesAgency"/>
        <w:rPr>
          <w:rFonts w:ascii="Times New Roman" w:hAnsi="Times New Roman"/>
          <w:szCs w:val="22"/>
        </w:rPr>
      </w:pPr>
      <w:r w:rsidRPr="00CF6A44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AF748D" w:rsidRPr="00CF6A44" w:rsidRDefault="00AF748D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CF6A44">
        <w:rPr>
          <w:rStyle w:val="DraftingNotesAgencyCharCharCharCharCharCharCharCharCharCharCharCharCharCharCharCharCharCharCharCharChar"/>
          <w:rFonts w:ascii="Times New Roman" w:hAnsi="Times New Roman" w:cs="Times New Roman"/>
          <w:noProof/>
          <w:sz w:val="22"/>
          <w:szCs w:val="22"/>
          <w:lang w:val="bg-BG" w:eastAsia="en-US"/>
        </w:rPr>
        <w:t>[For Art 14(11)]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&lt;CHMP разгледа предоставените данни от притежателя на разрешението за употреба, предвид разпоредбите на член 14, параграф 11 от Регламент (ЕО) № 726/2004 на Комисията, и счита, че 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при 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новото терапевтично показание 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има</w:t>
      </w:r>
      <w:r w:rsidR="00D01226"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значима клинична полза в сравнение със </w:t>
      </w:r>
      <w:r w:rsidR="00D01226"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съществуващ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ите лечения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, както е обяснено по-подробно в Европейския публичен оценъчен доклад</w:t>
      </w:r>
      <w:r w:rsidRPr="00CF6A44">
        <w:rPr>
          <w:rFonts w:ascii="Times New Roman" w:eastAsia="SimSun" w:hAnsi="Times New Roman" w:cs="Times New Roman"/>
          <w:noProof/>
          <w:sz w:val="22"/>
          <w:szCs w:val="22"/>
          <w:lang w:val="bg-BG"/>
        </w:rPr>
        <w:t>.</w:t>
      </w:r>
      <w:r w:rsidRPr="00CF6A44">
        <w:rPr>
          <w:rFonts w:ascii="Times New Roman" w:hAnsi="Times New Roman" w:cs="Times New Roman"/>
          <w:sz w:val="22"/>
          <w:szCs w:val="22"/>
          <w:lang w:val="bg-BG"/>
        </w:rPr>
        <w:t>&gt;</w:t>
      </w:r>
    </w:p>
    <w:p w:rsidR="00AF748D" w:rsidRPr="00CF6A44" w:rsidRDefault="00AF748D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CF6A44">
        <w:rPr>
          <w:rStyle w:val="DraftingNotesAgencyCharCharCharCharCharCharCharCharCharCharCharCharCharCharCharCharCharCharCharCharChar"/>
          <w:rFonts w:ascii="Times New Roman" w:hAnsi="Times New Roman" w:cs="Times New Roman"/>
          <w:noProof/>
          <w:sz w:val="22"/>
          <w:szCs w:val="22"/>
          <w:lang w:val="bg-BG" w:eastAsia="en-US"/>
        </w:rPr>
        <w:t>[Art 10(5)]</w:t>
      </w:r>
      <w:r w:rsidRPr="00CF6A44">
        <w:rPr>
          <w:rFonts w:ascii="Times New Roman" w:hAnsi="Times New Roman" w:cs="Times New Roman"/>
          <w:b/>
          <w:i/>
          <w:noProof/>
          <w:color w:val="339966"/>
          <w:kern w:val="32"/>
          <w:sz w:val="22"/>
          <w:szCs w:val="22"/>
          <w:lang w:val="bg-BG"/>
        </w:rPr>
        <w:t xml:space="preserve"> </w:t>
      </w:r>
      <w:r w:rsidRPr="00CF6A44">
        <w:rPr>
          <w:rFonts w:ascii="Times New Roman" w:hAnsi="Times New Roman" w:cs="Times New Roman"/>
          <w:noProof/>
          <w:kern w:val="32"/>
          <w:sz w:val="22"/>
          <w:szCs w:val="22"/>
          <w:lang w:val="bg-BG"/>
        </w:rPr>
        <w:t>&lt;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>CHMP разгледа предоставените данни от притежателя на разрешението за употреба,  предвид разпоредбите на член 10, параграф 5 от Директива 2001/83/ЕО, и счита, че &lt;предклиничните тестове&gt; &lt;и&gt; &lt;клинични</w:t>
      </w:r>
      <w:r w:rsidR="00D01226">
        <w:rPr>
          <w:rFonts w:ascii="Times New Roman" w:hAnsi="Times New Roman" w:cs="Times New Roman"/>
          <w:noProof/>
          <w:sz w:val="22"/>
          <w:szCs w:val="22"/>
          <w:lang w:val="bg-BG"/>
        </w:rPr>
        <w:t>те</w:t>
      </w:r>
      <w:r w:rsidRPr="00CF6A4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проучвания&gt;, проведени във връзка с новото показание, са значими, както е обяснено по-подробно в Европейския публичен оценъчен доклад</w:t>
      </w:r>
      <w:r w:rsidRPr="00CF6A44">
        <w:rPr>
          <w:rFonts w:ascii="Times New Roman" w:eastAsia="SimSun" w:hAnsi="Times New Roman" w:cs="Times New Roman"/>
          <w:noProof/>
          <w:sz w:val="22"/>
          <w:szCs w:val="22"/>
          <w:lang w:val="bg-BG"/>
        </w:rPr>
        <w:t>.</w:t>
      </w:r>
      <w:r w:rsidRPr="00CF6A44">
        <w:rPr>
          <w:rFonts w:ascii="Times New Roman" w:hAnsi="Times New Roman" w:cs="Times New Roman"/>
          <w:sz w:val="22"/>
          <w:szCs w:val="22"/>
          <w:lang w:val="bg-BG"/>
        </w:rPr>
        <w:t>&gt;</w:t>
      </w:r>
    </w:p>
    <w:p w:rsidR="00AF748D" w:rsidRPr="00CF6A44" w:rsidRDefault="00AF748D" w:rsidP="009C0C91">
      <w:pPr>
        <w:pStyle w:val="NormalAgency"/>
        <w:spacing w:after="140" w:line="280" w:lineRule="atLeast"/>
        <w:rPr>
          <w:rFonts w:ascii="Times New Roman" w:hAnsi="Times New Roman" w:cs="Times New Roman"/>
          <w:sz w:val="22"/>
          <w:szCs w:val="22"/>
          <w:lang w:val="ru-RU"/>
        </w:rPr>
      </w:pPr>
      <w:r w:rsidRPr="00CF6A4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>[</w:t>
      </w:r>
      <w:r w:rsidRPr="00CF6A44">
        <w:rPr>
          <w:rStyle w:val="DraftingNotesAgencyChar"/>
          <w:rFonts w:ascii="Times New Roman" w:hAnsi="Times New Roman" w:cs="Times New Roman"/>
          <w:noProof/>
          <w:sz w:val="22"/>
          <w:szCs w:val="22"/>
          <w:lang w:eastAsia="en-US"/>
        </w:rPr>
        <w:t>Art</w:t>
      </w:r>
      <w:r w:rsidRPr="00CF6A4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 xml:space="preserve"> 74(</w:t>
      </w:r>
      <w:r w:rsidRPr="00CF6A44">
        <w:rPr>
          <w:rStyle w:val="DraftingNotesAgencyChar"/>
          <w:rFonts w:ascii="Times New Roman" w:hAnsi="Times New Roman" w:cs="Times New Roman"/>
          <w:noProof/>
          <w:sz w:val="22"/>
          <w:szCs w:val="22"/>
          <w:lang w:eastAsia="en-US"/>
        </w:rPr>
        <w:t>a</w:t>
      </w:r>
      <w:r w:rsidRPr="00CF6A4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 xml:space="preserve">)- </w:t>
      </w:r>
      <w:r w:rsidRPr="00CF6A44">
        <w:rPr>
          <w:rStyle w:val="DraftingNotesAgencyChar"/>
          <w:rFonts w:ascii="Times New Roman" w:hAnsi="Times New Roman" w:cs="Times New Roman"/>
          <w:noProof/>
          <w:sz w:val="22"/>
          <w:szCs w:val="22"/>
          <w:lang w:eastAsia="en-US"/>
        </w:rPr>
        <w:t>legal</w:t>
      </w:r>
      <w:r w:rsidRPr="00CF6A4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 xml:space="preserve"> </w:t>
      </w:r>
      <w:r w:rsidRPr="00CF6A44">
        <w:rPr>
          <w:rStyle w:val="DraftingNotesAgencyChar"/>
          <w:rFonts w:ascii="Times New Roman" w:hAnsi="Times New Roman" w:cs="Times New Roman"/>
          <w:noProof/>
          <w:sz w:val="22"/>
          <w:szCs w:val="22"/>
          <w:lang w:eastAsia="en-US"/>
        </w:rPr>
        <w:t>status</w:t>
      </w:r>
      <w:r w:rsidRPr="00CF6A4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 xml:space="preserve"> </w:t>
      </w:r>
      <w:r w:rsidRPr="00CF6A44">
        <w:rPr>
          <w:rStyle w:val="DraftingNotesAgencyChar"/>
          <w:rFonts w:ascii="Times New Roman" w:hAnsi="Times New Roman" w:cs="Times New Roman"/>
          <w:noProof/>
          <w:sz w:val="22"/>
          <w:szCs w:val="22"/>
          <w:lang w:eastAsia="en-US"/>
        </w:rPr>
        <w:t>switch</w:t>
      </w:r>
      <w:r w:rsidRPr="00CF6A4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>]</w:t>
      </w:r>
      <w:r w:rsidRPr="00CF6A44">
        <w:rPr>
          <w:rFonts w:ascii="Times New Roman" w:hAnsi="Times New Roman" w:cs="Times New Roman"/>
          <w:sz w:val="22"/>
          <w:szCs w:val="22"/>
          <w:lang w:val="bg-BG"/>
        </w:rPr>
        <w:t xml:space="preserve">&lt;В допълнение </w:t>
      </w:r>
      <w:r w:rsidRPr="00CF6A44">
        <w:rPr>
          <w:rFonts w:ascii="Times New Roman" w:hAnsi="Times New Roman" w:cs="Times New Roman"/>
          <w:noProof/>
          <w:sz w:val="22"/>
          <w:szCs w:val="22"/>
        </w:rPr>
        <w:t>CHMP</w:t>
      </w:r>
      <w:r w:rsidRPr="00CF6A44">
        <w:rPr>
          <w:rFonts w:ascii="Times New Roman" w:hAnsi="Times New Roman" w:cs="Times New Roman"/>
          <w:sz w:val="22"/>
          <w:szCs w:val="22"/>
          <w:lang w:val="bg-BG"/>
        </w:rPr>
        <w:t xml:space="preserve"> разгледа предоставените данни от притежателя на разрешението за употреба, предвид разпоредбите на член 74а от Директива 2001/83/ЕО, и счита, че данните, предоставени в подкрепа на класификацията на {да се посочи името на лекарствения продукт} като „лекарствен продукт без лекарско предписание“, са значими, както е обяснено по-подробно в Европейския публичен оценъчен доклад.&gt;</w:t>
      </w:r>
    </w:p>
    <w:sectPr w:rsidR="00AF748D" w:rsidRPr="00CF6A44" w:rsidSect="00CA4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15" w:rsidRDefault="000A4915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0A4915" w:rsidRDefault="000A4915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762" w:rsidRDefault="001407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44" w:rsidRDefault="00CF6A44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8223D">
      <w:t>1</w:t>
    </w:r>
    <w:r>
      <w:fldChar w:fldCharType="end"/>
    </w:r>
  </w:p>
  <w:p w:rsidR="00AF748D" w:rsidRDefault="00AF748D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8D" w:rsidRDefault="00AF748D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15" w:rsidRDefault="000A4915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0A4915" w:rsidRDefault="000A4915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762" w:rsidRDefault="001407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762" w:rsidRDefault="00140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762" w:rsidRDefault="00140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35105"/>
    <w:rsid w:val="00044C84"/>
    <w:rsid w:val="000A045B"/>
    <w:rsid w:val="000A14E5"/>
    <w:rsid w:val="000A4915"/>
    <w:rsid w:val="000C0D39"/>
    <w:rsid w:val="001002D6"/>
    <w:rsid w:val="00114314"/>
    <w:rsid w:val="00140762"/>
    <w:rsid w:val="00172BF3"/>
    <w:rsid w:val="001965AC"/>
    <w:rsid w:val="001A0DE6"/>
    <w:rsid w:val="001B06B5"/>
    <w:rsid w:val="001C58B2"/>
    <w:rsid w:val="001D3282"/>
    <w:rsid w:val="001E48A4"/>
    <w:rsid w:val="00202F0F"/>
    <w:rsid w:val="00220D27"/>
    <w:rsid w:val="002230E8"/>
    <w:rsid w:val="0023318C"/>
    <w:rsid w:val="00245682"/>
    <w:rsid w:val="0027461B"/>
    <w:rsid w:val="00277336"/>
    <w:rsid w:val="00277B40"/>
    <w:rsid w:val="002A264B"/>
    <w:rsid w:val="002A3C92"/>
    <w:rsid w:val="00310BE1"/>
    <w:rsid w:val="00346D26"/>
    <w:rsid w:val="00363C50"/>
    <w:rsid w:val="00382168"/>
    <w:rsid w:val="003C6FC9"/>
    <w:rsid w:val="003D60E3"/>
    <w:rsid w:val="004020DC"/>
    <w:rsid w:val="00426696"/>
    <w:rsid w:val="0047006E"/>
    <w:rsid w:val="00475028"/>
    <w:rsid w:val="00476C3E"/>
    <w:rsid w:val="00483870"/>
    <w:rsid w:val="004A2E29"/>
    <w:rsid w:val="004C133B"/>
    <w:rsid w:val="004E6FBF"/>
    <w:rsid w:val="004F62AF"/>
    <w:rsid w:val="005524A7"/>
    <w:rsid w:val="00553983"/>
    <w:rsid w:val="0058223D"/>
    <w:rsid w:val="005A5596"/>
    <w:rsid w:val="005B6FF8"/>
    <w:rsid w:val="005C1DA3"/>
    <w:rsid w:val="005C3479"/>
    <w:rsid w:val="005D32DB"/>
    <w:rsid w:val="005E1D0C"/>
    <w:rsid w:val="005F38BB"/>
    <w:rsid w:val="00644D6B"/>
    <w:rsid w:val="00653995"/>
    <w:rsid w:val="00654C24"/>
    <w:rsid w:val="006603C0"/>
    <w:rsid w:val="006606F4"/>
    <w:rsid w:val="00660E20"/>
    <w:rsid w:val="00694026"/>
    <w:rsid w:val="006B14D2"/>
    <w:rsid w:val="006B25E8"/>
    <w:rsid w:val="006C2C39"/>
    <w:rsid w:val="006E30D5"/>
    <w:rsid w:val="006E360F"/>
    <w:rsid w:val="006E7E3B"/>
    <w:rsid w:val="007051BF"/>
    <w:rsid w:val="00706020"/>
    <w:rsid w:val="00723195"/>
    <w:rsid w:val="0073502D"/>
    <w:rsid w:val="00740E98"/>
    <w:rsid w:val="00743AC0"/>
    <w:rsid w:val="007461A8"/>
    <w:rsid w:val="00755561"/>
    <w:rsid w:val="007D3462"/>
    <w:rsid w:val="007D3CFA"/>
    <w:rsid w:val="00804EB3"/>
    <w:rsid w:val="00821F42"/>
    <w:rsid w:val="008312A7"/>
    <w:rsid w:val="00850D6F"/>
    <w:rsid w:val="00855CBC"/>
    <w:rsid w:val="00866D0B"/>
    <w:rsid w:val="008D7B72"/>
    <w:rsid w:val="008E41A1"/>
    <w:rsid w:val="00921230"/>
    <w:rsid w:val="00931AE3"/>
    <w:rsid w:val="00971872"/>
    <w:rsid w:val="00985F5F"/>
    <w:rsid w:val="009862E2"/>
    <w:rsid w:val="00996DD0"/>
    <w:rsid w:val="009A3B7C"/>
    <w:rsid w:val="009A4F0F"/>
    <w:rsid w:val="009C0C91"/>
    <w:rsid w:val="009C7960"/>
    <w:rsid w:val="009F6951"/>
    <w:rsid w:val="00A03717"/>
    <w:rsid w:val="00A5217B"/>
    <w:rsid w:val="00A720C7"/>
    <w:rsid w:val="00AB6CFB"/>
    <w:rsid w:val="00AC0CE9"/>
    <w:rsid w:val="00AC15F7"/>
    <w:rsid w:val="00AE79AA"/>
    <w:rsid w:val="00AF081E"/>
    <w:rsid w:val="00AF748D"/>
    <w:rsid w:val="00B12AAC"/>
    <w:rsid w:val="00B30357"/>
    <w:rsid w:val="00B333E5"/>
    <w:rsid w:val="00B33977"/>
    <w:rsid w:val="00B53E3C"/>
    <w:rsid w:val="00B815C3"/>
    <w:rsid w:val="00B9497B"/>
    <w:rsid w:val="00BA0C9A"/>
    <w:rsid w:val="00BB5C95"/>
    <w:rsid w:val="00BD45F6"/>
    <w:rsid w:val="00C106F8"/>
    <w:rsid w:val="00C27E97"/>
    <w:rsid w:val="00C31ABE"/>
    <w:rsid w:val="00C50C32"/>
    <w:rsid w:val="00C57461"/>
    <w:rsid w:val="00CA2F05"/>
    <w:rsid w:val="00CA4A5D"/>
    <w:rsid w:val="00CB3FB2"/>
    <w:rsid w:val="00CC15EA"/>
    <w:rsid w:val="00CD1ADC"/>
    <w:rsid w:val="00CD2E0F"/>
    <w:rsid w:val="00CD54B6"/>
    <w:rsid w:val="00CD6A86"/>
    <w:rsid w:val="00CE4215"/>
    <w:rsid w:val="00CF6A44"/>
    <w:rsid w:val="00CF77E3"/>
    <w:rsid w:val="00D01226"/>
    <w:rsid w:val="00D053D7"/>
    <w:rsid w:val="00D26AAF"/>
    <w:rsid w:val="00D60F70"/>
    <w:rsid w:val="00D62F0E"/>
    <w:rsid w:val="00D67EB3"/>
    <w:rsid w:val="00D76017"/>
    <w:rsid w:val="00DE3005"/>
    <w:rsid w:val="00DE3FDC"/>
    <w:rsid w:val="00DE6E31"/>
    <w:rsid w:val="00DF086F"/>
    <w:rsid w:val="00DF648E"/>
    <w:rsid w:val="00E30BCD"/>
    <w:rsid w:val="00E8792D"/>
    <w:rsid w:val="00EB4C2F"/>
    <w:rsid w:val="00EB6741"/>
    <w:rsid w:val="00EE7CAC"/>
    <w:rsid w:val="00EF1831"/>
    <w:rsid w:val="00EF3DEE"/>
    <w:rsid w:val="00F03EF0"/>
    <w:rsid w:val="00F16B5E"/>
    <w:rsid w:val="00F23B28"/>
    <w:rsid w:val="00F3086D"/>
    <w:rsid w:val="00F34963"/>
    <w:rsid w:val="00F67694"/>
    <w:rsid w:val="00F86CE6"/>
    <w:rsid w:val="00F966C2"/>
    <w:rsid w:val="00FB4EAB"/>
    <w:rsid w:val="00FC1B1E"/>
    <w:rsid w:val="00FD7ECD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17B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17B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5217B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A5217B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A5217B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A5217B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A5217B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A5217B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A5217B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A5217B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DraftingNotesAgencyCharCharCharCharCharCharCharCharCharCharCharCharCharCharCharCharCharCharCharCharChar">
    <w:name w:val="Drafting Notes (Agency) Char Char Char Char Char Char Char Char Char Char Char Char Char Char Char Char Char Char Char Char Char"/>
    <w:rsid w:val="00A5217B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A5217B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A5217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5217B"/>
    <w:rPr>
      <w:color w:val="0000FF"/>
    </w:rPr>
  </w:style>
  <w:style w:type="character" w:customStyle="1" w:styleId="tw4winPopup">
    <w:name w:val="tw4winPopup"/>
    <w:uiPriority w:val="99"/>
    <w:rsid w:val="00A5217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5217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5217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5217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5217B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654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paragraph" w:styleId="Header">
    <w:name w:val="header"/>
    <w:basedOn w:val="Normal"/>
    <w:link w:val="HeaderChar"/>
    <w:uiPriority w:val="99"/>
    <w:rsid w:val="005539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Verdana" w:hAnsi="Verdana" w:cs="Verdana"/>
      <w:sz w:val="18"/>
      <w:szCs w:val="18"/>
      <w:lang w:val="x-none" w:eastAsia="en-US"/>
    </w:rPr>
  </w:style>
  <w:style w:type="numbering" w:customStyle="1" w:styleId="BulletsAgency">
    <w:name w:val="Bullets (Agency)"/>
    <w:rsid w:val="006C40CC"/>
    <w:pPr>
      <w:numPr>
        <w:numId w:val="4"/>
      </w:numPr>
    </w:pPr>
  </w:style>
  <w:style w:type="numbering" w:customStyle="1" w:styleId="NumberlistAgency">
    <w:name w:val="Number list (Agency)"/>
    <w:rsid w:val="006C40C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A7A6FB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A7A6FBC5.DOT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HannexIVstandardbg</vt:lpstr>
    </vt:vector>
  </TitlesOfParts>
  <Company>Translation Centre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HannexIVstandardbg</dc:title>
  <dc:creator>European Medicines Agency</dc:creator>
  <cp:lastModifiedBy>Akhtar Tia</cp:lastModifiedBy>
  <cp:revision>2</cp:revision>
  <cp:lastPrinted>1601-01-01T00:00:00Z</cp:lastPrinted>
  <dcterms:created xsi:type="dcterms:W3CDTF">2019-09-19T07:34:00Z</dcterms:created>
  <dcterms:modified xsi:type="dcterms:W3CDTF">2019-09-19T07:34:00Z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14:13:49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EMA/713540/2018</vt:lpwstr>
  </property>
  <property fmtid="{D5CDD505-2E9C-101B-9397-08002B2CF9AE}" pid="7" name="DM_emea_doc_ref_id">
    <vt:lpwstr>EMA/713540/2018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14:13:49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14:13:49</vt:lpwstr>
  </property>
  <property fmtid="{D5CDD505-2E9C-101B-9397-08002B2CF9AE}" pid="14" name="DM_Name">
    <vt:lpwstr>HannexIVstandardbg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