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EE7C29" w:rsidRPr="007A17B9" w:rsidRDefault="007A17B9">
      <w:pPr>
        <w:pStyle w:val="No-numheading3Agency"/>
        <w:jc w:val="center"/>
        <w:rPr>
          <w:rFonts w:ascii="Times New Roman" w:hAnsi="Times New Roman" w:cs="Times New Roman"/>
          <w:bCs w:val="0"/>
          <w:lang w:val="da-DK"/>
        </w:rPr>
      </w:pPr>
      <w:r w:rsidRPr="007A17B9">
        <w:rPr>
          <w:rFonts w:ascii="Times New Roman" w:hAnsi="Times New Roman" w:cs="Times New Roman"/>
          <w:bCs w:val="0"/>
          <w:lang w:val="da-DK"/>
        </w:rPr>
        <w:t>BILAG IV</w:t>
      </w:r>
    </w:p>
    <w:p w:rsidR="00EE7C29" w:rsidRPr="007A17B9" w:rsidRDefault="007A17B9">
      <w:pPr>
        <w:pStyle w:val="No-numheading3Agency"/>
        <w:jc w:val="center"/>
        <w:rPr>
          <w:rFonts w:ascii="Times New Roman" w:hAnsi="Times New Roman" w:cs="Times New Roman"/>
          <w:bCs w:val="0"/>
          <w:lang w:val="da-DK"/>
        </w:rPr>
      </w:pPr>
      <w:r w:rsidRPr="007A17B9">
        <w:rPr>
          <w:rFonts w:ascii="Times New Roman" w:hAnsi="Times New Roman" w:cs="Times New Roman"/>
          <w:bCs w:val="0"/>
          <w:lang w:val="da-DK"/>
        </w:rPr>
        <w:t>KONKLUSIONER VEDRØRENDE &lt;</w:t>
      </w:r>
      <w:r w:rsidR="007D43A6">
        <w:rPr>
          <w:rFonts w:ascii="Times New Roman" w:hAnsi="Times New Roman" w:cs="Times New Roman"/>
          <w:bCs w:val="0"/>
          <w:lang w:val="da-DK"/>
        </w:rPr>
        <w:t>SIMILARITET</w:t>
      </w:r>
      <w:r w:rsidRPr="007A17B9">
        <w:rPr>
          <w:rFonts w:ascii="Times New Roman" w:hAnsi="Times New Roman" w:cs="Times New Roman"/>
          <w:bCs w:val="0"/>
          <w:lang w:val="da-DK"/>
        </w:rPr>
        <w:t xml:space="preserve">&gt; &lt;OG&gt; &lt;UNDTAGELSE&gt; &lt;OG&gt; &lt;ANMODNING OM &lt;MARKEDSFØRINGSBESKYTTELSE&gt; &lt;DATABESKYTTELSE&gt; I ET ÅR&gt; FREMLAGT AF DET EUROPÆISKE LÆGEMIDDELAGENTUR </w:t>
      </w: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p w:rsidR="00EE7C29" w:rsidRPr="007A17B9" w:rsidRDefault="00EE7C29">
      <w:pPr>
        <w:pStyle w:val="No-numheading3Agency"/>
        <w:rPr>
          <w:rFonts w:ascii="Times New Roman" w:hAnsi="Times New Roman" w:cs="Times New Roman"/>
          <w:bCs w:val="0"/>
          <w:lang w:val="da-DK"/>
        </w:rPr>
      </w:pPr>
      <w:r w:rsidRPr="007A17B9">
        <w:rPr>
          <w:rFonts w:ascii="Times New Roman" w:hAnsi="Times New Roman" w:cs="Times New Roman"/>
          <w:bCs w:val="0"/>
          <w:lang w:val="da-DK"/>
        </w:rPr>
        <w:br w:type="page"/>
      </w:r>
      <w:r w:rsidRPr="007A17B9">
        <w:rPr>
          <w:rFonts w:ascii="Times New Roman" w:hAnsi="Times New Roman" w:cs="Times New Roman"/>
          <w:bCs w:val="0"/>
          <w:lang w:val="da-DK"/>
        </w:rPr>
        <w:lastRenderedPageBreak/>
        <w:t>Konklusioner fremlagt af Det Europæiske Lægemiddelagentur vedrørende:</w:t>
      </w:r>
    </w:p>
    <w:p w:rsidR="00EE7C29" w:rsidRPr="007A17B9" w:rsidRDefault="00EE7C29" w:rsidP="0004117D">
      <w:pPr>
        <w:pStyle w:val="DraftingNotesAgency"/>
        <w:rPr>
          <w:rFonts w:ascii="Times New Roman" w:hAnsi="Times New Roman"/>
          <w:szCs w:val="22"/>
        </w:rPr>
      </w:pPr>
      <w:r w:rsidRPr="007A17B9">
        <w:rPr>
          <w:rFonts w:ascii="Times New Roman" w:hAnsi="Times New Roman"/>
          <w:szCs w:val="22"/>
          <w:lang w:val="en-US"/>
        </w:rPr>
        <w:t>[</w:t>
      </w:r>
      <w:r w:rsidRPr="007A17B9">
        <w:rPr>
          <w:rFonts w:ascii="Times New Roman" w:hAnsi="Times New Roman"/>
          <w:szCs w:val="22"/>
          <w:lang w:val="cs-CZ"/>
        </w:rPr>
        <w:t>[In case of similarity and an accepted derogation, please select the statement(s) as provided below.)</w:t>
      </w:r>
      <w:r w:rsidRPr="007A17B9">
        <w:rPr>
          <w:rFonts w:ascii="Times New Roman" w:hAnsi="Times New Roman"/>
          <w:szCs w:val="22"/>
          <w:lang w:val="en-US"/>
        </w:rPr>
        <w:t>]</w:t>
      </w:r>
    </w:p>
    <w:p w:rsidR="00EE7C29" w:rsidRPr="007A17B9" w:rsidRDefault="00EE7C2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7A17B9">
        <w:rPr>
          <w:rFonts w:ascii="Times New Roman" w:hAnsi="Times New Roman" w:cs="Times New Roman"/>
          <w:b/>
          <w:sz w:val="22"/>
          <w:szCs w:val="22"/>
          <w:lang w:val="da-DK"/>
        </w:rPr>
        <w:t>&lt;</w:t>
      </w:r>
      <w:r w:rsidR="007D43A6">
        <w:rPr>
          <w:rFonts w:ascii="Times New Roman" w:hAnsi="Times New Roman" w:cs="Times New Roman"/>
          <w:b/>
          <w:sz w:val="22"/>
          <w:szCs w:val="22"/>
          <w:lang w:val="da-DK"/>
        </w:rPr>
        <w:t>Similaritet</w:t>
      </w:r>
      <w:r w:rsidRPr="007A17B9">
        <w:rPr>
          <w:rFonts w:ascii="Times New Roman" w:hAnsi="Times New Roman" w:cs="Times New Roman"/>
          <w:b/>
          <w:sz w:val="22"/>
          <w:szCs w:val="22"/>
          <w:lang w:val="da-DK"/>
        </w:rPr>
        <w:t>&gt;</w:t>
      </w:r>
      <w:r w:rsidRPr="007A17B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&lt;CHMP er af den opfattelse, at «lægemidlets navn» </w:t>
      </w:r>
      <w:r w:rsidR="007D43A6">
        <w:rPr>
          <w:rFonts w:ascii="Times New Roman" w:hAnsi="Times New Roman" w:cs="Times New Roman"/>
          <w:sz w:val="22"/>
          <w:szCs w:val="22"/>
          <w:lang w:val="da-DK"/>
        </w:rPr>
        <w:t>er similært med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allerede godkendte lægemidler til sjældne sygdomme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i henhold til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artikel 3 i Kommissionens forordning (E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) nr. 847/2000. Dette er beskrevet nærmere i den europæiske offentlige vurderingsrapport.&gt;</w:t>
      </w:r>
    </w:p>
    <w:p w:rsidR="00EE7C29" w:rsidRPr="007A17B9" w:rsidRDefault="00EE7C2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7A17B9">
        <w:rPr>
          <w:rFonts w:ascii="Times New Roman" w:hAnsi="Times New Roman" w:cs="Times New Roman"/>
          <w:b/>
          <w:sz w:val="22"/>
          <w:szCs w:val="22"/>
          <w:lang w:val="da-DK"/>
        </w:rPr>
        <w:t>&lt;Undtagelse&gt;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>&lt;CHMP er den opfattelse, at i henhold til artikel 8 i forordning (E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) nr. 141/2000 og &lt;artikel 3 i Kommissionens forordning (E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) nr. 847/2000&gt;</w:t>
      </w:r>
      <w:r w:rsidRPr="007A17B9">
        <w:rPr>
          <w:rFonts w:ascii="Times New Roman" w:hAnsi="Times New Roman" w:cs="Times New Roman"/>
          <w:color w:val="000000"/>
          <w:sz w:val="22"/>
          <w:szCs w:val="22"/>
          <w:lang w:val="da-DK"/>
        </w:rPr>
        <w:t xml:space="preserve"> </w:t>
      </w:r>
      <w:r w:rsidRPr="007A17B9">
        <w:rPr>
          <w:rStyle w:val="DraftingNotesAgencyChar"/>
          <w:rFonts w:ascii="Times New Roman" w:hAnsi="Times New Roman" w:cs="Times New Roman"/>
          <w:sz w:val="22"/>
          <w:szCs w:val="22"/>
          <w:lang w:val="da-DK" w:eastAsia="zh-CN"/>
        </w:rPr>
        <w:t>[only for the superiority derogation]</w:t>
      </w:r>
      <w:r w:rsidRPr="007A17B9">
        <w:rPr>
          <w:rFonts w:ascii="Times New Roman" w:hAnsi="Times New Roman" w:cs="Times New Roman"/>
          <w:i/>
          <w:color w:val="008000"/>
          <w:sz w:val="22"/>
          <w:szCs w:val="22"/>
          <w:lang w:val="da-DK"/>
        </w:rPr>
        <w:t xml:space="preserve"> 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gælder følgende undtagelse(r), som fastlagt i samme forordnings artikel 8, stk. 3, og beskrevet nærmere i den europæiske offentlige vurderingsrapport: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&lt;indehaveren af markedsføringstilladelsen for 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det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godkendte</w:t>
      </w:r>
      <w:r w:rsidR="00581E60"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lægemiddel til sjældne sygdomme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}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er ikke i stand til at levere tilstrækkelig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e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mængder af lægemidlet&gt; &lt;og&gt;  </w:t>
      </w:r>
    </w:p>
    <w:p w:rsidR="00EE7C29" w:rsidRPr="007A17B9" w:rsidRDefault="00EE7C29" w:rsidP="001E3E48">
      <w:pPr>
        <w:pStyle w:val="BodytextAgency"/>
        <w:spacing w:before="240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&lt;ansøgeren kan i sin ansøgning påvise, at lægemidlet, selv om det </w:t>
      </w:r>
      <w:r w:rsidR="007D43A6">
        <w:rPr>
          <w:rFonts w:ascii="Times New Roman" w:hAnsi="Times New Roman" w:cs="Times New Roman"/>
          <w:sz w:val="22"/>
          <w:szCs w:val="22"/>
          <w:lang w:val="da-DK"/>
        </w:rPr>
        <w:t>er similært med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det godkendte lægemiddel til sjældne sygdomme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}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, er sikrere, mere effektivt eller på anden vis klinisk overlegent (som defineret i artikel 3 i Kommissionens forordning (E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) nr. 847/2000)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ved den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samme terapeutiske indikation&gt; &lt;og&gt;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&lt;indehaveren af markedsføringstilladelsen for 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{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det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godkendte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lægemiddel til sjældne sygdomme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}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har givet sit samtykke til ansøgeren.&gt;</w:t>
      </w:r>
      <w:r w:rsidR="00E96F16">
        <w:rPr>
          <w:rFonts w:ascii="Times New Roman" w:hAnsi="Times New Roman" w:cs="Times New Roman"/>
          <w:sz w:val="22"/>
          <w:szCs w:val="22"/>
          <w:lang w:val="da-DK"/>
        </w:rPr>
        <w:t>&gt;</w:t>
      </w:r>
    </w:p>
    <w:p w:rsidR="00EE7C29" w:rsidRPr="007A17B9" w:rsidRDefault="008871BF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a-DK"/>
        </w:rPr>
      </w:pPr>
      <w:r>
        <w:rPr>
          <w:rFonts w:ascii="Times New Roman" w:hAnsi="Times New Roman" w:cs="Times New Roman"/>
          <w:b/>
          <w:sz w:val="22"/>
          <w:szCs w:val="22"/>
          <w:lang w:val="da-DK"/>
        </w:rPr>
        <w:t>&lt;</w:t>
      </w:r>
      <w:r w:rsidR="00EE7C29" w:rsidRPr="007A17B9">
        <w:rPr>
          <w:rFonts w:ascii="Times New Roman" w:hAnsi="Times New Roman" w:cs="Times New Roman"/>
          <w:b/>
          <w:sz w:val="22"/>
          <w:szCs w:val="22"/>
          <w:lang w:val="da-DK"/>
        </w:rPr>
        <w:t>&lt;</w:t>
      </w:r>
      <w:r w:rsidR="00E96F16">
        <w:rPr>
          <w:rFonts w:ascii="Times New Roman" w:hAnsi="Times New Roman" w:cs="Times New Roman"/>
          <w:b/>
          <w:sz w:val="22"/>
          <w:szCs w:val="22"/>
          <w:lang w:val="da-DK"/>
        </w:rPr>
        <w:t>M</w:t>
      </w:r>
      <w:r w:rsidR="00EE7C29" w:rsidRPr="007A17B9">
        <w:rPr>
          <w:rFonts w:ascii="Times New Roman" w:hAnsi="Times New Roman" w:cs="Times New Roman"/>
          <w:b/>
          <w:sz w:val="22"/>
          <w:szCs w:val="22"/>
          <w:lang w:val="da-DK"/>
        </w:rPr>
        <w:t>arkedsføringsbeskyttelse&gt;&lt;</w:t>
      </w:r>
      <w:r w:rsidR="00E96F16">
        <w:rPr>
          <w:rFonts w:ascii="Times New Roman" w:hAnsi="Times New Roman" w:cs="Times New Roman"/>
          <w:b/>
          <w:sz w:val="22"/>
          <w:szCs w:val="22"/>
          <w:lang w:val="da-DK"/>
        </w:rPr>
        <w:t>D</w:t>
      </w:r>
      <w:r w:rsidR="00EE7C29" w:rsidRPr="007A17B9">
        <w:rPr>
          <w:rFonts w:ascii="Times New Roman" w:hAnsi="Times New Roman" w:cs="Times New Roman"/>
          <w:b/>
          <w:sz w:val="22"/>
          <w:szCs w:val="22"/>
          <w:lang w:val="da-DK"/>
        </w:rPr>
        <w:t>atabeskyttelse&gt; i et år&gt;</w:t>
      </w:r>
    </w:p>
    <w:p w:rsidR="00EE7C29" w:rsidRPr="007A17B9" w:rsidRDefault="00EE7C29">
      <w:pPr>
        <w:pStyle w:val="DraftingNotesAgency"/>
        <w:rPr>
          <w:rFonts w:ascii="Times New Roman" w:hAnsi="Times New Roman"/>
          <w:szCs w:val="22"/>
        </w:rPr>
      </w:pPr>
      <w:r w:rsidRPr="007A17B9">
        <w:rPr>
          <w:rFonts w:ascii="Times New Roman" w:hAnsi="Times New Roman"/>
          <w:szCs w:val="22"/>
          <w:lang w:val="en-US"/>
        </w:rPr>
        <w:t>[Where one-year marketing protection/data exclusivity is accepted, please select the statement(s) as provided below, otherwise provide scientific conclusions and grounds.]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Style w:val="DraftingNotesAgencyChar"/>
          <w:rFonts w:ascii="Times New Roman" w:hAnsi="Times New Roman" w:cs="Times New Roman"/>
          <w:sz w:val="22"/>
          <w:szCs w:val="22"/>
          <w:lang w:val="da-DK" w:eastAsia="zh-CN"/>
        </w:rPr>
        <w:t>[For Art 14(11)]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&lt;CHMP gennemgik de oplysninger, som indehaveren af markedsføringstilladelsen havde indsendt, jf. artikel 14, stk. 11, i forordning (E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) nr. 726/2004, og er af den opfattelse, at den nye terapeutiske indikation giver en væsentlig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klinisk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fordel 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sammenlignet med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 eksisterende behandlinger. Dette er nærmere beskrevet i den europæiske offentlige vurderingsrapport.&gt;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Style w:val="DraftingNotesAgencyChar"/>
          <w:rFonts w:ascii="Times New Roman" w:hAnsi="Times New Roman" w:cs="Times New Roman"/>
          <w:sz w:val="22"/>
          <w:szCs w:val="22"/>
          <w:lang w:val="da-DK" w:eastAsia="zh-CN"/>
        </w:rPr>
        <w:t>[Art 10(5)]</w:t>
      </w:r>
      <w:r w:rsidRPr="007A17B9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da-DK"/>
        </w:rPr>
        <w:t xml:space="preserve"> 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&lt;CHMP gennemgik de oplysninger, som indehaveren af markedsføringstilladelsen havde indsendt, jf. artikel 10, stk. 5, i direktiv 2001/83/E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, og er af den opfattelse, at de &lt;prækliniske </w:t>
      </w:r>
      <w:r w:rsidR="00477F4C">
        <w:rPr>
          <w:rFonts w:ascii="Times New Roman" w:hAnsi="Times New Roman" w:cs="Times New Roman"/>
          <w:sz w:val="22"/>
          <w:szCs w:val="22"/>
          <w:lang w:val="da-DK"/>
        </w:rPr>
        <w:t>undersøgelser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 xml:space="preserve">&gt; &lt;og&gt; &lt;kliniske </w:t>
      </w:r>
      <w:r w:rsidR="00375B47">
        <w:rPr>
          <w:rFonts w:ascii="Times New Roman" w:hAnsi="Times New Roman" w:cs="Times New Roman"/>
          <w:sz w:val="22"/>
          <w:szCs w:val="22"/>
          <w:lang w:val="da-DK"/>
        </w:rPr>
        <w:t>studier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&gt;, der er udført i forbindelse med den nye indikation, er af væsentlig betydning. Dette er beskrevet nærmere i den europæiske offentlige vurderingsrapport.&gt;</w:t>
      </w:r>
    </w:p>
    <w:p w:rsidR="00EE7C29" w:rsidRPr="007A17B9" w:rsidRDefault="00EE7C29">
      <w:pPr>
        <w:pStyle w:val="BodytextAgency"/>
        <w:rPr>
          <w:rFonts w:ascii="Times New Roman" w:hAnsi="Times New Roman" w:cs="Times New Roman"/>
          <w:sz w:val="22"/>
          <w:szCs w:val="22"/>
          <w:lang w:val="da-DK"/>
        </w:rPr>
      </w:pPr>
      <w:r w:rsidRPr="007A17B9">
        <w:rPr>
          <w:rStyle w:val="DraftingNotesAgencyChar"/>
          <w:rFonts w:ascii="Times New Roman" w:hAnsi="Times New Roman" w:cs="Times New Roman"/>
          <w:sz w:val="22"/>
          <w:szCs w:val="22"/>
          <w:lang w:val="da-DK" w:eastAsia="zh-CN"/>
        </w:rPr>
        <w:t>[Art 74(a)- legal status switch]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&lt;Endvidere gennemgik CHMP de oplysninger, som indehaveren af markedsføringstilladelsen havde indsendt, jf. artikel 74, litra a, i direktiv 2001/83/E</w:t>
      </w:r>
      <w:r w:rsidR="00581E60">
        <w:rPr>
          <w:rFonts w:ascii="Times New Roman" w:hAnsi="Times New Roman" w:cs="Times New Roman"/>
          <w:sz w:val="22"/>
          <w:szCs w:val="22"/>
          <w:lang w:val="da-DK"/>
        </w:rPr>
        <w:t>C</w:t>
      </w:r>
      <w:r w:rsidRPr="007A17B9">
        <w:rPr>
          <w:rFonts w:ascii="Times New Roman" w:hAnsi="Times New Roman" w:cs="Times New Roman"/>
          <w:sz w:val="22"/>
          <w:szCs w:val="22"/>
          <w:lang w:val="da-DK"/>
        </w:rPr>
        <w:t>, og er af den opfattelse, at de indsendte oplysninger er væsentlige og understøtter en klassificering af {lægemidlets navn} som et ikke-receptpligtigt lægemiddel. Dette er nærmere beskrevet i den europæiske offentlige vurderingsrapport.&gt;</w:t>
      </w:r>
    </w:p>
    <w:p w:rsidR="00EE7C29" w:rsidRPr="007A17B9" w:rsidRDefault="00EE7C29">
      <w:pPr>
        <w:pStyle w:val="NormalAgency"/>
        <w:rPr>
          <w:rFonts w:ascii="Times New Roman" w:hAnsi="Times New Roman" w:cs="Times New Roman"/>
          <w:sz w:val="22"/>
          <w:szCs w:val="22"/>
          <w:lang w:val="da-DK"/>
        </w:rPr>
      </w:pPr>
    </w:p>
    <w:sectPr w:rsidR="00EE7C29" w:rsidRPr="007A17B9" w:rsidSect="00817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19" w:rsidRDefault="00A1611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A16119" w:rsidRDefault="00A1611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A9" w:rsidRDefault="00A55F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B9" w:rsidRDefault="007A17B9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66ADA">
      <w:t>1</w:t>
    </w:r>
    <w:r>
      <w:fldChar w:fldCharType="end"/>
    </w:r>
  </w:p>
  <w:p w:rsidR="00EE7C29" w:rsidRDefault="00EE7C29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29" w:rsidRDefault="00EE7C29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19" w:rsidRDefault="00A1611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A16119" w:rsidRDefault="00A1611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A9" w:rsidRDefault="00A55F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A9" w:rsidRDefault="00A55F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A9" w:rsidRDefault="00A55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4117D"/>
    <w:rsid w:val="00066467"/>
    <w:rsid w:val="00084B00"/>
    <w:rsid w:val="000A045B"/>
    <w:rsid w:val="000A14E5"/>
    <w:rsid w:val="000C0275"/>
    <w:rsid w:val="000C0D39"/>
    <w:rsid w:val="000D404B"/>
    <w:rsid w:val="001002D6"/>
    <w:rsid w:val="00114314"/>
    <w:rsid w:val="00122ADC"/>
    <w:rsid w:val="00131D49"/>
    <w:rsid w:val="00172756"/>
    <w:rsid w:val="001A0DE6"/>
    <w:rsid w:val="001B06B5"/>
    <w:rsid w:val="001D3282"/>
    <w:rsid w:val="001E3E48"/>
    <w:rsid w:val="00202F0F"/>
    <w:rsid w:val="00220D27"/>
    <w:rsid w:val="002230E8"/>
    <w:rsid w:val="00224DCB"/>
    <w:rsid w:val="0023318C"/>
    <w:rsid w:val="002404B5"/>
    <w:rsid w:val="00266ADA"/>
    <w:rsid w:val="00277336"/>
    <w:rsid w:val="00277B40"/>
    <w:rsid w:val="002A264B"/>
    <w:rsid w:val="002C363F"/>
    <w:rsid w:val="00363C50"/>
    <w:rsid w:val="00375B47"/>
    <w:rsid w:val="003A3694"/>
    <w:rsid w:val="003C6FC9"/>
    <w:rsid w:val="003E5BDD"/>
    <w:rsid w:val="003F4E53"/>
    <w:rsid w:val="00440C21"/>
    <w:rsid w:val="0047006E"/>
    <w:rsid w:val="00476C3E"/>
    <w:rsid w:val="00477F4C"/>
    <w:rsid w:val="0049281F"/>
    <w:rsid w:val="00497258"/>
    <w:rsid w:val="004A2E29"/>
    <w:rsid w:val="004C133B"/>
    <w:rsid w:val="00581E60"/>
    <w:rsid w:val="005A1171"/>
    <w:rsid w:val="005C1DA3"/>
    <w:rsid w:val="005C3479"/>
    <w:rsid w:val="005D1B4A"/>
    <w:rsid w:val="005D32DB"/>
    <w:rsid w:val="005D3FC4"/>
    <w:rsid w:val="005E1D0C"/>
    <w:rsid w:val="0064146B"/>
    <w:rsid w:val="006603C0"/>
    <w:rsid w:val="00694026"/>
    <w:rsid w:val="006B14D2"/>
    <w:rsid w:val="006B25E8"/>
    <w:rsid w:val="006E30D5"/>
    <w:rsid w:val="00706020"/>
    <w:rsid w:val="00707905"/>
    <w:rsid w:val="0073502D"/>
    <w:rsid w:val="00740E98"/>
    <w:rsid w:val="007461A8"/>
    <w:rsid w:val="00755561"/>
    <w:rsid w:val="00767208"/>
    <w:rsid w:val="0078111F"/>
    <w:rsid w:val="00781B84"/>
    <w:rsid w:val="007857CC"/>
    <w:rsid w:val="00790606"/>
    <w:rsid w:val="00794566"/>
    <w:rsid w:val="007A17B9"/>
    <w:rsid w:val="007D3CFA"/>
    <w:rsid w:val="007D43A6"/>
    <w:rsid w:val="007F22B4"/>
    <w:rsid w:val="007F3EA9"/>
    <w:rsid w:val="0080035C"/>
    <w:rsid w:val="00817DD8"/>
    <w:rsid w:val="008312A7"/>
    <w:rsid w:val="00850D6F"/>
    <w:rsid w:val="00855CBC"/>
    <w:rsid w:val="00866D0B"/>
    <w:rsid w:val="008871BF"/>
    <w:rsid w:val="009140B5"/>
    <w:rsid w:val="00931AE3"/>
    <w:rsid w:val="00971872"/>
    <w:rsid w:val="0099692F"/>
    <w:rsid w:val="009A3B7C"/>
    <w:rsid w:val="009A4F0F"/>
    <w:rsid w:val="009F6951"/>
    <w:rsid w:val="00A03717"/>
    <w:rsid w:val="00A16119"/>
    <w:rsid w:val="00A262EC"/>
    <w:rsid w:val="00A55FA9"/>
    <w:rsid w:val="00A720C7"/>
    <w:rsid w:val="00A86B49"/>
    <w:rsid w:val="00AA6AC1"/>
    <w:rsid w:val="00AB6CFB"/>
    <w:rsid w:val="00AC15F7"/>
    <w:rsid w:val="00AC6687"/>
    <w:rsid w:val="00AF081E"/>
    <w:rsid w:val="00AF4D2D"/>
    <w:rsid w:val="00B12AAC"/>
    <w:rsid w:val="00B333E5"/>
    <w:rsid w:val="00B53E3C"/>
    <w:rsid w:val="00B55AFE"/>
    <w:rsid w:val="00B9497B"/>
    <w:rsid w:val="00BB66E9"/>
    <w:rsid w:val="00BF2535"/>
    <w:rsid w:val="00C2627F"/>
    <w:rsid w:val="00C31ABE"/>
    <w:rsid w:val="00C50C32"/>
    <w:rsid w:val="00C57461"/>
    <w:rsid w:val="00CA5C86"/>
    <w:rsid w:val="00CD1ADC"/>
    <w:rsid w:val="00CD2E0F"/>
    <w:rsid w:val="00CE4215"/>
    <w:rsid w:val="00CF77E3"/>
    <w:rsid w:val="00D053D7"/>
    <w:rsid w:val="00D62F0E"/>
    <w:rsid w:val="00D67EB3"/>
    <w:rsid w:val="00D76017"/>
    <w:rsid w:val="00DE3005"/>
    <w:rsid w:val="00DE6E31"/>
    <w:rsid w:val="00E8792D"/>
    <w:rsid w:val="00E96F16"/>
    <w:rsid w:val="00EB6E1D"/>
    <w:rsid w:val="00EE7C29"/>
    <w:rsid w:val="00F123F2"/>
    <w:rsid w:val="00F228AB"/>
    <w:rsid w:val="00F23B28"/>
    <w:rsid w:val="00F34963"/>
    <w:rsid w:val="00F5496A"/>
    <w:rsid w:val="00F86788"/>
    <w:rsid w:val="00F86CE6"/>
    <w:rsid w:val="00F966C2"/>
    <w:rsid w:val="00FC1B1E"/>
    <w:rsid w:val="00FC7E30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ADC"/>
    <w:rPr>
      <w:rFonts w:ascii="Verdana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2ADC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122ADC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122ADC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122ADC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122ADC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122ADC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122ADC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zh-CN"/>
    </w:rPr>
  </w:style>
  <w:style w:type="paragraph" w:customStyle="1" w:styleId="NormalAgency">
    <w:name w:val="Normal (Agency)"/>
    <w:rsid w:val="00122ADC"/>
    <w:rPr>
      <w:rFonts w:ascii="Verdana" w:hAnsi="Verdana" w:cs="Verdana"/>
      <w:sz w:val="18"/>
      <w:szCs w:val="18"/>
      <w:lang w:eastAsia="zh-CN"/>
    </w:rPr>
  </w:style>
  <w:style w:type="character" w:customStyle="1" w:styleId="DraftingNotesAgencyChar">
    <w:name w:val="Drafting Notes (Agency) Char"/>
    <w:locked/>
    <w:rsid w:val="00122ADC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122AD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22AD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22ADC"/>
    <w:rPr>
      <w:color w:val="0000FF"/>
    </w:rPr>
  </w:style>
  <w:style w:type="character" w:customStyle="1" w:styleId="tw4winPopup">
    <w:name w:val="tw4winPopup"/>
    <w:uiPriority w:val="99"/>
    <w:rsid w:val="00122AD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22AD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22AD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22AD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22ADC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DC6F7C"/>
    <w:pPr>
      <w:numPr>
        <w:numId w:val="4"/>
      </w:numPr>
    </w:pPr>
  </w:style>
  <w:style w:type="numbering" w:customStyle="1" w:styleId="NumberlistAgency">
    <w:name w:val="Number list (Agency)"/>
    <w:rsid w:val="00DC6F7C"/>
    <w:pPr>
      <w:numPr>
        <w:numId w:val="15"/>
      </w:numPr>
    </w:pPr>
  </w:style>
  <w:style w:type="paragraph" w:styleId="Header">
    <w:name w:val="header"/>
    <w:basedOn w:val="Normal"/>
    <w:link w:val="HeaderChar"/>
    <w:rsid w:val="007A17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17B9"/>
    <w:rPr>
      <w:rFonts w:ascii="Verdana" w:hAnsi="Verdana" w:cs="Verdana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581E60"/>
    <w:rPr>
      <w:rFonts w:ascii="Segoe UI" w:hAnsi="Segoe UI" w:cs="Segoe UI"/>
    </w:rPr>
  </w:style>
  <w:style w:type="character" w:customStyle="1" w:styleId="BalloonTextChar">
    <w:name w:val="Balloon Text Char"/>
    <w:link w:val="BalloonText"/>
    <w:rsid w:val="00581E60"/>
    <w:rPr>
      <w:rFonts w:ascii="Segoe UI" w:hAnsi="Segoe UI" w:cs="Segoe UI"/>
      <w:sz w:val="18"/>
      <w:szCs w:val="18"/>
      <w:lang w:val="en-GB" w:eastAsia="zh-CN"/>
    </w:rPr>
  </w:style>
  <w:style w:type="character" w:styleId="CommentReference">
    <w:name w:val="annotation reference"/>
    <w:rsid w:val="00581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1E60"/>
    <w:rPr>
      <w:sz w:val="20"/>
      <w:szCs w:val="20"/>
    </w:rPr>
  </w:style>
  <w:style w:type="character" w:customStyle="1" w:styleId="CommentTextChar">
    <w:name w:val="Comment Text Char"/>
    <w:link w:val="CommentText"/>
    <w:rsid w:val="00581E60"/>
    <w:rPr>
      <w:rFonts w:ascii="Verdana" w:hAnsi="Verdana" w:cs="Verdana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81E60"/>
    <w:rPr>
      <w:b/>
      <w:bCs/>
    </w:rPr>
  </w:style>
  <w:style w:type="character" w:customStyle="1" w:styleId="CommentSubjectChar">
    <w:name w:val="Comment Subject Char"/>
    <w:link w:val="CommentSubject"/>
    <w:rsid w:val="00581E60"/>
    <w:rPr>
      <w:rFonts w:ascii="Verdana" w:hAnsi="Verdana" w:cs="Verdana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EEE1ADF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EEE1ADF6.DOT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HannexIVstandardda</vt:lpstr>
      <vt:lpstr>HannexIVstandardda</vt:lpstr>
    </vt:vector>
  </TitlesOfParts>
  <Company>Translation Centre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HannexIVstandardda</dc:title>
  <dc:creator>European Medicines Agency</dc:creator>
  <cp:lastModifiedBy>Akhtar Tia</cp:lastModifiedBy>
  <cp:revision>2</cp:revision>
  <cp:lastPrinted>1601-01-01T00:00:00Z</cp:lastPrinted>
  <dcterms:created xsi:type="dcterms:W3CDTF">2019-09-19T07:37:00Z</dcterms:created>
  <dcterms:modified xsi:type="dcterms:W3CDTF">2019-09-19T07:37:00Z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EMA/713542/2018</vt:lpwstr>
  </property>
  <property fmtid="{D5CDD505-2E9C-101B-9397-08002B2CF9AE}" pid="7" name="DM_emea_doc_ref_id">
    <vt:lpwstr>EMA/713542/2018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14:13:50</vt:lpwstr>
  </property>
  <property fmtid="{D5CDD505-2E9C-101B-9397-08002B2CF9AE}" pid="14" name="DM_Name">
    <vt:lpwstr>HannexIVstandardda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