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  <w:bookmarkStart w:id="0" w:name="_GoBack"/>
      <w:bookmarkEnd w:id="0"/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914565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914565" w:rsidRPr="000A7676" w:rsidRDefault="000A7676">
      <w:pPr>
        <w:pStyle w:val="No-numheading3Agency"/>
        <w:jc w:val="center"/>
        <w:rPr>
          <w:rFonts w:ascii="Times New Roman" w:hAnsi="Times New Roman" w:cs="Times New Roman"/>
          <w:bCs w:val="0"/>
          <w:lang w:val="lt-LT"/>
        </w:rPr>
      </w:pPr>
      <w:r w:rsidRPr="000A7676">
        <w:rPr>
          <w:rFonts w:ascii="Times New Roman" w:hAnsi="Times New Roman" w:cs="Times New Roman"/>
          <w:bCs w:val="0"/>
          <w:noProof/>
          <w:lang w:val="lt-LT"/>
        </w:rPr>
        <w:t>&lt;IV PRIEDAS</w:t>
      </w:r>
    </w:p>
    <w:p w:rsidR="00914565" w:rsidRPr="000A7676" w:rsidRDefault="000A7676">
      <w:pPr>
        <w:pStyle w:val="No-numheading3Agency"/>
        <w:jc w:val="center"/>
        <w:rPr>
          <w:rFonts w:ascii="Times New Roman" w:hAnsi="Times New Roman" w:cs="Times New Roman"/>
          <w:bCs w:val="0"/>
          <w:lang w:val="lt-LT"/>
        </w:rPr>
      </w:pPr>
      <w:r w:rsidRPr="000A7676">
        <w:rPr>
          <w:rFonts w:ascii="Times New Roman" w:hAnsi="Times New Roman" w:cs="Times New Roman"/>
          <w:bCs w:val="0"/>
          <w:noProof/>
          <w:lang w:val="lt-LT"/>
        </w:rPr>
        <w:t>EUROPOS VAISTŲ AGENTŪROS IŠVADOS DĖL &lt;PANAŠUMO IR NUKRYPIMO&gt; &lt;IR&gt; &lt;VIENERIŲ METŲ &lt;RINKOS APSAUGOS&gt; &lt;DUOMENŲ IŠIMTINUMO&gt; PRAŠYMO&gt;</w:t>
      </w:r>
    </w:p>
    <w:p w:rsidR="00914565" w:rsidRPr="000A7676" w:rsidRDefault="00914565">
      <w:pPr>
        <w:pStyle w:val="No-numheading3Agency"/>
        <w:rPr>
          <w:rFonts w:ascii="Times New Roman" w:hAnsi="Times New Roman" w:cs="Times New Roman"/>
          <w:bCs w:val="0"/>
          <w:lang w:val="lt-LT"/>
        </w:rPr>
      </w:pPr>
      <w:r w:rsidRPr="000A7676">
        <w:rPr>
          <w:rFonts w:ascii="Times New Roman" w:hAnsi="Times New Roman" w:cs="Times New Roman"/>
          <w:bCs w:val="0"/>
          <w:lang w:val="lt-LT"/>
        </w:rPr>
        <w:br w:type="page"/>
      </w:r>
      <w:r w:rsidRPr="000A7676">
        <w:rPr>
          <w:rFonts w:ascii="Times New Roman" w:hAnsi="Times New Roman" w:cs="Times New Roman"/>
          <w:bCs w:val="0"/>
          <w:noProof/>
          <w:lang w:val="lt-LT"/>
        </w:rPr>
        <w:lastRenderedPageBreak/>
        <w:t>Europos vaistų agentūros išvados dėl</w:t>
      </w:r>
    </w:p>
    <w:p w:rsidR="00914565" w:rsidRPr="000A7676" w:rsidRDefault="00914565">
      <w:pPr>
        <w:pStyle w:val="DraftingNotesAgency"/>
        <w:rPr>
          <w:rFonts w:ascii="Times New Roman" w:hAnsi="Times New Roman"/>
          <w:szCs w:val="22"/>
        </w:rPr>
      </w:pPr>
      <w:r w:rsidRPr="000A7676">
        <w:rPr>
          <w:rFonts w:ascii="Times New Roman" w:hAnsi="Times New Roman"/>
          <w:noProof/>
          <w:szCs w:val="22"/>
        </w:rPr>
        <w:t>[In case of similarity and an acceptedc derogation, please select the statement(s) as provided below.</w:t>
      </w:r>
    </w:p>
    <w:p w:rsidR="00914565" w:rsidRPr="000A7676" w:rsidRDefault="00914565">
      <w:pPr>
        <w:pStyle w:val="BodytextAgency"/>
        <w:numPr>
          <w:ilvl w:val="0"/>
          <w:numId w:val="39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&lt;Panašumo&gt;</w:t>
      </w:r>
      <w:r w:rsidRPr="000A7676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sz w:val="22"/>
          <w:szCs w:val="22"/>
          <w:lang w:val="lt-LT"/>
        </w:rPr>
        <w:t>&lt;</w:t>
      </w:r>
      <w:r w:rsidRPr="000A7676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nusprendė, kad, kaip išsamiau paaiškinta Europos viešame vertinimo protokole,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&lt;vais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>tinio preparato pavadinimas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&gt;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yra panašus į registruotą (-us) retąjį (-uosius) vaistinį (-us) preparatą (-us), kaip apibrėžta Komisijos Reglamento (EB) Nr.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847/2000 3 straipsnyje.&gt;</w:t>
      </w:r>
    </w:p>
    <w:p w:rsidR="00914565" w:rsidRPr="000A7676" w:rsidRDefault="00914565">
      <w:pPr>
        <w:pStyle w:val="BodytextAgency"/>
        <w:numPr>
          <w:ilvl w:val="0"/>
          <w:numId w:val="39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&lt;Nukrypimo&gt;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>CHMP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nusprendė, kad, kaip išsamiau paaiškinta Europos viešame vertinimo protokole, remiantis Reglamento (EB) Nr.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141/2000 8 straipsniu &lt;ir Komisijos Reglamento (EB) Nr.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847/2000 3 straipsniu&gt;, </w:t>
      </w:r>
      <w:r w:rsidRPr="000A7676">
        <w:rPr>
          <w:rFonts w:ascii="Times New Roman" w:hAnsi="Times New Roman" w:cs="Times New Roman"/>
          <w:i/>
          <w:noProof/>
          <w:color w:val="339966"/>
          <w:sz w:val="22"/>
          <w:szCs w:val="22"/>
          <w:lang w:val="lt-LT"/>
        </w:rPr>
        <w:t>[only for the superiority derogation]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taikytinas &lt;taikytini&gt; šis &lt;šie&gt;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nukrypimas &lt;nukrypimai&gt;, apibrėžtas &lt;apibrėžti&gt; to paties Reglamento 8 straipsnio 3 dalyje: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&lt;registruoto retojo vaistinio preparato &lt;</w:t>
      </w:r>
      <w:r w:rsidR="009054CD">
        <w:rPr>
          <w:rFonts w:ascii="Times New Roman" w:hAnsi="Times New Roman" w:cs="Times New Roman"/>
          <w:noProof/>
          <w:sz w:val="22"/>
          <w:szCs w:val="22"/>
          <w:lang w:val="lt-LT"/>
        </w:rPr>
        <w:t>registruotojas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&gt; negali tiekti pakankamo vaistinio preparato kiekio&gt; &lt;ir&gt;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&lt;paraiškoje pareiškėjas įrodė, kad vaistinis preparatas, nors ir panašus į &lt;registruotą retąjį vaistinį preparatą&gt;, yra saugesnis, veiksmingesnis ar kitaip kliniškai pranašesnis (kaip nurodyta Komisijos Reglamento (EB) Nr. 847/2000 3 straipsnyje) tai pačiai terapinei indikacijai&gt; &lt;ir&gt;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&lt;registruoto retojo vaistinio preparato &lt;</w:t>
      </w:r>
      <w:r w:rsidR="009054CD">
        <w:rPr>
          <w:rFonts w:ascii="Times New Roman" w:hAnsi="Times New Roman" w:cs="Times New Roman"/>
          <w:noProof/>
          <w:sz w:val="22"/>
          <w:szCs w:val="22"/>
          <w:lang w:val="lt-LT"/>
        </w:rPr>
        <w:t>registruotojas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&gt; davė sutikimą pareiškėjui.&gt;</w:t>
      </w:r>
    </w:p>
    <w:p w:rsidR="00914565" w:rsidRPr="000A7676" w:rsidRDefault="00914565">
      <w:pPr>
        <w:pStyle w:val="BodytextAgency"/>
        <w:numPr>
          <w:ilvl w:val="0"/>
          <w:numId w:val="39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A7676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&lt;vienerių metų &lt;rinkos apsaugos&gt; &lt;duomenų išimtinumo&gt;&gt;</w:t>
      </w:r>
    </w:p>
    <w:p w:rsidR="00914565" w:rsidRPr="000A7676" w:rsidRDefault="00914565">
      <w:pPr>
        <w:pStyle w:val="DraftingNotesAgency"/>
        <w:rPr>
          <w:rFonts w:ascii="Times New Roman" w:hAnsi="Times New Roman"/>
          <w:szCs w:val="22"/>
          <w:lang w:val="lt-LT"/>
        </w:rPr>
      </w:pPr>
      <w:r w:rsidRPr="000A7676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Style w:val="DraftingNotesAgencyChar"/>
          <w:rFonts w:ascii="Times New Roman" w:hAnsi="Times New Roman" w:cs="Times New Roman"/>
          <w:noProof/>
          <w:sz w:val="22"/>
          <w:szCs w:val="22"/>
          <w:lang w:val="lt-LT" w:eastAsia="en-US"/>
        </w:rPr>
        <w:t>[For Art 14(11)]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&lt;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>CHMP,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atsižvelgdamas į Reglamento (EB) Nr.</w:t>
      </w:r>
      <w:r w:rsidRPr="000A767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726/2004 14 straipsnio 11 dalies nuostatas, peržiūrėjo </w:t>
      </w:r>
      <w:r w:rsidR="009054CD">
        <w:rPr>
          <w:rFonts w:ascii="Times New Roman" w:hAnsi="Times New Roman" w:cs="Times New Roman"/>
          <w:noProof/>
          <w:sz w:val="22"/>
          <w:szCs w:val="22"/>
          <w:lang w:val="lt-LT"/>
        </w:rPr>
        <w:t>registruotojo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pateiktus duomenis ir mano, kad nauja terapinė indikacija duoda svarbią klinikinę naudą, palyginti su esam</w:t>
      </w:r>
      <w:r w:rsidR="00230D85">
        <w:rPr>
          <w:rFonts w:ascii="Times New Roman" w:hAnsi="Times New Roman" w:cs="Times New Roman"/>
          <w:noProof/>
          <w:sz w:val="22"/>
          <w:szCs w:val="22"/>
          <w:lang w:val="lt-LT"/>
        </w:rPr>
        <w:t>u gydymu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, kaip išsamiau paaiškinta Europos viešame vertinimo protokole.&gt;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Style w:val="DraftingNotesAgencyChar"/>
          <w:rFonts w:ascii="Times New Roman" w:hAnsi="Times New Roman" w:cs="Times New Roman"/>
          <w:noProof/>
          <w:sz w:val="22"/>
          <w:szCs w:val="22"/>
          <w:lang w:val="lt-LT" w:eastAsia="en-US"/>
        </w:rPr>
        <w:t>[Art 10(5)]</w:t>
      </w:r>
      <w:r w:rsidRPr="000A7676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lt-LT"/>
        </w:rPr>
        <w:t xml:space="preserve">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>&lt;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>CHMP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, atsižvelgdamas į Direktyvos 2001/83/EB 10 straipsnio 5 dalies nuostatas, peržiūrėjo </w:t>
      </w:r>
      <w:r w:rsidR="009054CD">
        <w:rPr>
          <w:rFonts w:ascii="Times New Roman" w:hAnsi="Times New Roman" w:cs="Times New Roman"/>
          <w:noProof/>
          <w:sz w:val="22"/>
          <w:szCs w:val="22"/>
          <w:lang w:val="lt-LT"/>
        </w:rPr>
        <w:t>registruotojo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pateiktus duomenis ir mano, kad &lt;&lt;ikiklinikiniai tyrimai&gt; &lt;ir&gt; &lt;klinikiniai tyrimai&gt;, atlikti dėl naujos indikacijos, buvo reikšmingi, kaip išsamiau paaiškinta Europos viešame vertinimo protokole.&gt;</w:t>
      </w:r>
    </w:p>
    <w:p w:rsidR="00914565" w:rsidRPr="000A7676" w:rsidRDefault="00914565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0A7676">
        <w:rPr>
          <w:rStyle w:val="DraftingNotesAgencyChar"/>
          <w:rFonts w:ascii="Times New Roman" w:hAnsi="Times New Roman" w:cs="Times New Roman"/>
          <w:noProof/>
          <w:sz w:val="22"/>
          <w:szCs w:val="22"/>
          <w:lang w:val="lt-LT" w:eastAsia="en-US"/>
        </w:rPr>
        <w:t>[Art 74(a)- legal status switch]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&lt;Be to, </w:t>
      </w:r>
      <w:r w:rsidRPr="000A7676">
        <w:rPr>
          <w:rFonts w:ascii="Times New Roman" w:hAnsi="Times New Roman" w:cs="Times New Roman"/>
          <w:i/>
          <w:noProof/>
          <w:sz w:val="22"/>
          <w:szCs w:val="22"/>
          <w:lang w:val="lt-LT"/>
        </w:rPr>
        <w:t xml:space="preserve">CHMP 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atsižvelgdamas į Direktyvos 2001/83/EB 74a straipsnio nuostatas, peržiūrėjo </w:t>
      </w:r>
      <w:r w:rsidR="009054CD">
        <w:rPr>
          <w:rFonts w:ascii="Times New Roman" w:hAnsi="Times New Roman" w:cs="Times New Roman"/>
          <w:noProof/>
          <w:sz w:val="22"/>
          <w:szCs w:val="22"/>
          <w:lang w:val="lt-LT"/>
        </w:rPr>
        <w:t>registruotojo</w:t>
      </w:r>
      <w:r w:rsidRPr="000A7676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pateiktus duomenis ir mano, kad duomenys, pateikti siekiant pagrįsti {nurodyti vaistinio preparato pavadinimą} priskyrimą „nereceptiniams vaistiniams preparatams“, yra reikšmingi, kaip išsamiau paaiškinta Europos viešame vertinimo protokole.&gt;</w:t>
      </w:r>
    </w:p>
    <w:p w:rsidR="00914565" w:rsidRPr="000A7676" w:rsidRDefault="00914565">
      <w:pPr>
        <w:rPr>
          <w:rFonts w:ascii="Times New Roman" w:hAnsi="Times New Roman" w:cs="Times New Roman"/>
          <w:sz w:val="22"/>
          <w:szCs w:val="22"/>
          <w:lang w:val="lt-LT"/>
        </w:rPr>
      </w:pPr>
    </w:p>
    <w:sectPr w:rsidR="00914565" w:rsidRPr="000A7676" w:rsidSect="00D04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86" w:rsidRDefault="009B3A86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9B3A86" w:rsidRDefault="009B3A86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9" w:rsidRDefault="001E0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76" w:rsidRDefault="000A7676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316A6">
      <w:t>1</w:t>
    </w:r>
    <w:r>
      <w:fldChar w:fldCharType="end"/>
    </w:r>
  </w:p>
  <w:p w:rsidR="00914565" w:rsidRPr="000A7676" w:rsidRDefault="00914565" w:rsidP="000A7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65" w:rsidRDefault="00914565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86" w:rsidRDefault="009B3A86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9B3A86" w:rsidRDefault="009B3A86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9" w:rsidRDefault="001E0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9" w:rsidRDefault="001E06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9" w:rsidRDefault="001E0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20788"/>
    <w:rsid w:val="00040965"/>
    <w:rsid w:val="000524B6"/>
    <w:rsid w:val="000A045B"/>
    <w:rsid w:val="000A14E5"/>
    <w:rsid w:val="000A7676"/>
    <w:rsid w:val="000B2320"/>
    <w:rsid w:val="000C0D39"/>
    <w:rsid w:val="000E36EC"/>
    <w:rsid w:val="001002D6"/>
    <w:rsid w:val="00114314"/>
    <w:rsid w:val="00117727"/>
    <w:rsid w:val="00154B37"/>
    <w:rsid w:val="00171B14"/>
    <w:rsid w:val="00181202"/>
    <w:rsid w:val="0018172A"/>
    <w:rsid w:val="001A0DE6"/>
    <w:rsid w:val="001B06B5"/>
    <w:rsid w:val="001D3282"/>
    <w:rsid w:val="001E0669"/>
    <w:rsid w:val="001E15C3"/>
    <w:rsid w:val="001F3EE7"/>
    <w:rsid w:val="00202F0F"/>
    <w:rsid w:val="002124F9"/>
    <w:rsid w:val="00220D27"/>
    <w:rsid w:val="002230E8"/>
    <w:rsid w:val="00230D85"/>
    <w:rsid w:val="0023318C"/>
    <w:rsid w:val="00246C91"/>
    <w:rsid w:val="002649D5"/>
    <w:rsid w:val="00277336"/>
    <w:rsid w:val="00277B40"/>
    <w:rsid w:val="002A264B"/>
    <w:rsid w:val="002A3C92"/>
    <w:rsid w:val="00325375"/>
    <w:rsid w:val="00363C50"/>
    <w:rsid w:val="003B2DAC"/>
    <w:rsid w:val="003B60B9"/>
    <w:rsid w:val="003C6FC9"/>
    <w:rsid w:val="00411514"/>
    <w:rsid w:val="00420787"/>
    <w:rsid w:val="004424E6"/>
    <w:rsid w:val="0047006E"/>
    <w:rsid w:val="00476C3E"/>
    <w:rsid w:val="0048038D"/>
    <w:rsid w:val="004A2E29"/>
    <w:rsid w:val="004C133B"/>
    <w:rsid w:val="0051316D"/>
    <w:rsid w:val="0055621F"/>
    <w:rsid w:val="0056166C"/>
    <w:rsid w:val="00594886"/>
    <w:rsid w:val="005A5882"/>
    <w:rsid w:val="005B7721"/>
    <w:rsid w:val="005C1DA3"/>
    <w:rsid w:val="005C3479"/>
    <w:rsid w:val="005D2CCD"/>
    <w:rsid w:val="005D32DB"/>
    <w:rsid w:val="005E1D0C"/>
    <w:rsid w:val="0064629C"/>
    <w:rsid w:val="006603C0"/>
    <w:rsid w:val="00694026"/>
    <w:rsid w:val="006B14D2"/>
    <w:rsid w:val="006B25E8"/>
    <w:rsid w:val="006E30D5"/>
    <w:rsid w:val="00706020"/>
    <w:rsid w:val="007316A6"/>
    <w:rsid w:val="00733805"/>
    <w:rsid w:val="0073502D"/>
    <w:rsid w:val="00740E98"/>
    <w:rsid w:val="007461A8"/>
    <w:rsid w:val="00755561"/>
    <w:rsid w:val="0076288D"/>
    <w:rsid w:val="007A7B18"/>
    <w:rsid w:val="007B6608"/>
    <w:rsid w:val="007C74B4"/>
    <w:rsid w:val="007C76EC"/>
    <w:rsid w:val="007D3CFA"/>
    <w:rsid w:val="00802584"/>
    <w:rsid w:val="0082686E"/>
    <w:rsid w:val="008312A7"/>
    <w:rsid w:val="00850D6F"/>
    <w:rsid w:val="00855CBC"/>
    <w:rsid w:val="008639F0"/>
    <w:rsid w:val="00866D0B"/>
    <w:rsid w:val="00890C27"/>
    <w:rsid w:val="008D0AC9"/>
    <w:rsid w:val="008D2E2B"/>
    <w:rsid w:val="008D7755"/>
    <w:rsid w:val="00904F1A"/>
    <w:rsid w:val="009054CD"/>
    <w:rsid w:val="00907DA8"/>
    <w:rsid w:val="00914565"/>
    <w:rsid w:val="00931AE3"/>
    <w:rsid w:val="00935A8F"/>
    <w:rsid w:val="009364A0"/>
    <w:rsid w:val="00971872"/>
    <w:rsid w:val="009A3B7C"/>
    <w:rsid w:val="009A4AAF"/>
    <w:rsid w:val="009A4F0F"/>
    <w:rsid w:val="009A5109"/>
    <w:rsid w:val="009B3A86"/>
    <w:rsid w:val="009F145C"/>
    <w:rsid w:val="009F6951"/>
    <w:rsid w:val="00A03717"/>
    <w:rsid w:val="00A1550D"/>
    <w:rsid w:val="00A621E7"/>
    <w:rsid w:val="00A720C7"/>
    <w:rsid w:val="00AB6CFB"/>
    <w:rsid w:val="00AB73AA"/>
    <w:rsid w:val="00AC15F7"/>
    <w:rsid w:val="00AD7714"/>
    <w:rsid w:val="00AE1629"/>
    <w:rsid w:val="00AF081E"/>
    <w:rsid w:val="00B12AAC"/>
    <w:rsid w:val="00B13FD6"/>
    <w:rsid w:val="00B333E5"/>
    <w:rsid w:val="00B37DBF"/>
    <w:rsid w:val="00B53E3C"/>
    <w:rsid w:val="00B6275D"/>
    <w:rsid w:val="00B9497B"/>
    <w:rsid w:val="00BA1A4A"/>
    <w:rsid w:val="00BD2233"/>
    <w:rsid w:val="00C04529"/>
    <w:rsid w:val="00C31ABE"/>
    <w:rsid w:val="00C50C32"/>
    <w:rsid w:val="00C57461"/>
    <w:rsid w:val="00C8194E"/>
    <w:rsid w:val="00CD1ADC"/>
    <w:rsid w:val="00CD2E0F"/>
    <w:rsid w:val="00CE4215"/>
    <w:rsid w:val="00CF77E3"/>
    <w:rsid w:val="00D0431B"/>
    <w:rsid w:val="00D053D7"/>
    <w:rsid w:val="00D26F6E"/>
    <w:rsid w:val="00D30AF8"/>
    <w:rsid w:val="00D545DF"/>
    <w:rsid w:val="00D62F0E"/>
    <w:rsid w:val="00D67EB3"/>
    <w:rsid w:val="00D76017"/>
    <w:rsid w:val="00DA4B9D"/>
    <w:rsid w:val="00DE0D55"/>
    <w:rsid w:val="00DE3005"/>
    <w:rsid w:val="00DE6E31"/>
    <w:rsid w:val="00DF52B7"/>
    <w:rsid w:val="00E23859"/>
    <w:rsid w:val="00E8792D"/>
    <w:rsid w:val="00EB4C2F"/>
    <w:rsid w:val="00EE67BB"/>
    <w:rsid w:val="00EF773F"/>
    <w:rsid w:val="00F02874"/>
    <w:rsid w:val="00F11E6C"/>
    <w:rsid w:val="00F23B28"/>
    <w:rsid w:val="00F25BCC"/>
    <w:rsid w:val="00F34963"/>
    <w:rsid w:val="00F41194"/>
    <w:rsid w:val="00F82E37"/>
    <w:rsid w:val="00F86CE6"/>
    <w:rsid w:val="00F966C2"/>
    <w:rsid w:val="00FB62AC"/>
    <w:rsid w:val="00FC17CE"/>
    <w:rsid w:val="00FC1B1E"/>
    <w:rsid w:val="00FC2F56"/>
    <w:rsid w:val="00FD2CEC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233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2233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BD2233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BD2233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BD2233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BD2233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BD2233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BD2233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BD2233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BD2233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BD223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BD223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D2233"/>
    <w:rPr>
      <w:color w:val="0000FF"/>
    </w:rPr>
  </w:style>
  <w:style w:type="character" w:customStyle="1" w:styleId="tw4winPopup">
    <w:name w:val="tw4winPopup"/>
    <w:uiPriority w:val="99"/>
    <w:rsid w:val="00BD223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D223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D223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D223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D2233"/>
    <w:rPr>
      <w:rFonts w:ascii="Courier New" w:hAnsi="Courier New"/>
      <w:noProof/>
      <w:color w:val="800000"/>
    </w:rPr>
  </w:style>
  <w:style w:type="character" w:styleId="CommentReference">
    <w:name w:val="annotation reference"/>
    <w:uiPriority w:val="99"/>
    <w:semiHidden/>
    <w:rsid w:val="00B37D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7D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7D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37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paragraph" w:styleId="Header">
    <w:name w:val="header"/>
    <w:basedOn w:val="Normal"/>
    <w:link w:val="HeaderChar"/>
    <w:uiPriority w:val="99"/>
    <w:rsid w:val="0076288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en-US"/>
    </w:rPr>
  </w:style>
  <w:style w:type="numbering" w:customStyle="1" w:styleId="BulletsAgency">
    <w:name w:val="Bullets (Agency)"/>
    <w:rsid w:val="00FE47B1"/>
    <w:pPr>
      <w:numPr>
        <w:numId w:val="4"/>
      </w:numPr>
    </w:pPr>
  </w:style>
  <w:style w:type="numbering" w:customStyle="1" w:styleId="NumberlistAgency">
    <w:name w:val="Number list (Agency)"/>
    <w:rsid w:val="00FE47B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77ADA71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77ADA71D.DOT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HannexIVstandardlt</vt:lpstr>
      <vt:lpstr>HannexIVstandardlt rev.08-15</vt:lpstr>
    </vt:vector>
  </TitlesOfParts>
  <Company>Translation Centre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HannexIVstandardlt</dc:title>
  <dc:creator>European Medicines Agency</dc:creator>
  <cp:lastModifiedBy>Akhtar Tia</cp:lastModifiedBy>
  <cp:revision>2</cp:revision>
  <cp:lastPrinted>1601-01-01T00:00:00Z</cp:lastPrinted>
  <dcterms:created xsi:type="dcterms:W3CDTF">2019-09-19T14:40:00Z</dcterms:created>
  <dcterms:modified xsi:type="dcterms:W3CDTF">2019-09-19T14:40:00Z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EMA/713550/2018</vt:lpwstr>
  </property>
  <property fmtid="{D5CDD505-2E9C-101B-9397-08002B2CF9AE}" pid="7" name="DM_emea_doc_ref_id">
    <vt:lpwstr>EMA/713550/2018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14:13:52</vt:lpwstr>
  </property>
  <property fmtid="{D5CDD505-2E9C-101B-9397-08002B2CF9AE}" pid="14" name="DM_Name">
    <vt:lpwstr>HannexIVstandardlt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