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315A97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315A97">
        <w:rPr>
          <w:rFonts w:ascii="Times New Roman" w:hAnsi="Times New Roman" w:cs="Times New Roman"/>
          <w:bCs w:val="0"/>
          <w:lang w:val="mt-MT"/>
        </w:rPr>
        <w:t>&lt;ANNESS IV</w:t>
      </w:r>
    </w:p>
    <w:p w:rsidR="00865507" w:rsidRPr="00315A97" w:rsidRDefault="00315A97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315A97">
        <w:rPr>
          <w:rFonts w:ascii="Times New Roman" w:hAnsi="Times New Roman" w:cs="Times New Roman"/>
          <w:bCs w:val="0"/>
          <w:lang w:val="mt-MT"/>
        </w:rPr>
        <w:t>KONKLUŻJONIJIET DWAR  &lt;SIMILARITÀ U DEROGA&gt; &lt;U&gt; &lt; IT-TALBA GĦAL SENA TA’ &lt;PROTEZZJONI TAL-KUMMERĊJALIZZAZZJONI&gt; &lt;ESKLUSSIVITÀ TAD-</w:t>
      </w:r>
      <w:r w:rsidR="00C3497C" w:rsidRPr="00C3497C">
        <w:rPr>
          <w:rFonts w:ascii="Times New Roman" w:hAnsi="Times New Roman" w:cs="Times New Roman"/>
          <w:bCs w:val="0"/>
          <w:i/>
          <w:lang w:val="mt-MT"/>
        </w:rPr>
        <w:t>DATA</w:t>
      </w:r>
      <w:r w:rsidRPr="00315A97">
        <w:rPr>
          <w:rFonts w:ascii="Times New Roman" w:hAnsi="Times New Roman" w:cs="Times New Roman"/>
          <w:bCs w:val="0"/>
          <w:lang w:val="mt-MT"/>
        </w:rPr>
        <w:t>&gt;</w:t>
      </w:r>
      <w:r w:rsidR="0066006C">
        <w:rPr>
          <w:rFonts w:ascii="Times New Roman" w:hAnsi="Times New Roman" w:cs="Times New Roman"/>
          <w:bCs w:val="0"/>
          <w:lang w:val="mt-MT"/>
        </w:rPr>
        <w:t>&gt;</w:t>
      </w:r>
      <w:r w:rsidRPr="00315A97">
        <w:rPr>
          <w:rFonts w:ascii="Times New Roman" w:hAnsi="Times New Roman" w:cs="Times New Roman"/>
          <w:bCs w:val="0"/>
          <w:lang w:val="mt-MT"/>
        </w:rPr>
        <w:t xml:space="preserve"> PPREŻENTATI MILL-AĠENZIJA EWROPEA GĦALL-MEDIĊINI</w:t>
      </w: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5507" w:rsidRPr="00315A97" w:rsidRDefault="0086550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65507" w:rsidRPr="00315A97" w:rsidRDefault="00865507">
      <w:pPr>
        <w:pStyle w:val="No-numheading3Agency"/>
        <w:rPr>
          <w:rFonts w:ascii="Times New Roman" w:hAnsi="Times New Roman" w:cs="Times New Roman"/>
          <w:bCs w:val="0"/>
          <w:lang w:val="mt-MT"/>
        </w:rPr>
      </w:pPr>
      <w:r w:rsidRPr="00315A97">
        <w:rPr>
          <w:rFonts w:ascii="Times New Roman" w:hAnsi="Times New Roman" w:cs="Times New Roman"/>
          <w:bCs w:val="0"/>
        </w:rPr>
        <w:br w:type="page"/>
      </w:r>
      <w:r w:rsidRPr="00315A97">
        <w:rPr>
          <w:rFonts w:ascii="Times New Roman" w:hAnsi="Times New Roman" w:cs="Times New Roman"/>
          <w:bCs w:val="0"/>
          <w:lang w:val="mt-MT"/>
        </w:rPr>
        <w:lastRenderedPageBreak/>
        <w:t xml:space="preserve">Konklużjonijiet </w:t>
      </w:r>
      <w:r w:rsidR="0009619E" w:rsidRPr="000D5781">
        <w:rPr>
          <w:rFonts w:ascii="Times New Roman" w:hAnsi="Times New Roman" w:cs="Times New Roman"/>
          <w:bCs w:val="0"/>
          <w:noProof/>
          <w:lang w:val="mt-MT"/>
        </w:rPr>
        <w:t>ippreżentati</w:t>
      </w:r>
      <w:r w:rsidR="006E7986" w:rsidRPr="00315A97">
        <w:rPr>
          <w:rFonts w:ascii="Times New Roman" w:hAnsi="Times New Roman" w:cs="Times New Roman"/>
          <w:bCs w:val="0"/>
          <w:lang w:val="mt-MT"/>
        </w:rPr>
        <w:t xml:space="preserve"> </w:t>
      </w:r>
      <w:r w:rsidRPr="00315A97">
        <w:rPr>
          <w:rFonts w:ascii="Times New Roman" w:hAnsi="Times New Roman" w:cs="Times New Roman"/>
          <w:bCs w:val="0"/>
          <w:lang w:val="mt-MT"/>
        </w:rPr>
        <w:t>mill-Aġenzija Ewropea għall-Mediċini dwar:</w:t>
      </w:r>
    </w:p>
    <w:p w:rsidR="00865507" w:rsidRPr="00315A97" w:rsidRDefault="00865507" w:rsidP="009B45D3">
      <w:pPr>
        <w:spacing w:after="140" w:line="280" w:lineRule="atLeast"/>
        <w:rPr>
          <w:rFonts w:ascii="Times New Roman" w:hAnsi="Times New Roman" w:cs="Times New Roman"/>
          <w:i/>
          <w:color w:val="339966"/>
          <w:sz w:val="22"/>
          <w:szCs w:val="22"/>
          <w:lang w:eastAsia="en-GB"/>
        </w:rPr>
      </w:pPr>
      <w:r w:rsidRPr="00315A97">
        <w:rPr>
          <w:rFonts w:ascii="Times New Roman" w:hAnsi="Times New Roman" w:cs="Times New Roman"/>
          <w:i/>
          <w:color w:val="339966"/>
          <w:sz w:val="22"/>
          <w:szCs w:val="22"/>
          <w:lang w:eastAsia="en-GB"/>
        </w:rPr>
        <w:t>[In case of similarity and an accepted derogation, please select the statement(s) as provided below.]</w:t>
      </w:r>
    </w:p>
    <w:p w:rsidR="00865507" w:rsidRPr="00315A97" w:rsidRDefault="0086550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b/>
          <w:sz w:val="22"/>
          <w:szCs w:val="22"/>
          <w:lang w:val="mt-MT"/>
        </w:rPr>
        <w:t>&lt;Similarità&gt;</w:t>
      </w:r>
      <w:r w:rsidRPr="00315A9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>&lt;Is-CHMP huwa tal-fehma li &lt;isem il-prodott mediċinali&gt; hu simili għal prodott(i) mediċinali orfni fis-sens tal-Artikolu 3 tar-Regolament tal-Kummissjoni (KE) Nru 847/2000 kif spjegat aktar fir-Rapport Pubbliku Ewropew ta’ Valutazzjoni.</w:t>
      </w:r>
      <w:r w:rsidRPr="00315A97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65507" w:rsidRPr="00315A97" w:rsidRDefault="0086550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315A97">
        <w:rPr>
          <w:rFonts w:ascii="Times New Roman" w:hAnsi="Times New Roman" w:cs="Times New Roman"/>
          <w:b/>
          <w:sz w:val="22"/>
          <w:szCs w:val="22"/>
          <w:lang w:val="mt-MT"/>
        </w:rPr>
        <w:t>&lt;Deroga&gt;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&lt;Is-CHMP huwa tal-fehma li skont l-Artikolu 8 tar-Regolament (KE) Nru 141/2000 u &lt;l-Artikolu 3 tar-Regolament tal-Kummissjoni (KE) Nru 847/2000&gt; </w:t>
      </w:r>
      <w:r w:rsidRPr="00315A97">
        <w:rPr>
          <w:rStyle w:val="DraftingNotesAgencyChar"/>
          <w:rFonts w:ascii="Times New Roman" w:hAnsi="Times New Roman" w:cs="Times New Roman"/>
          <w:sz w:val="22"/>
          <w:szCs w:val="22"/>
          <w:lang w:val="mt-MT" w:eastAsia="en-US"/>
        </w:rPr>
        <w:t>[only for the superiority derogation]</w:t>
      </w:r>
      <w:r w:rsidRPr="00315A97">
        <w:rPr>
          <w:rFonts w:ascii="Times New Roman" w:hAnsi="Times New Roman" w:cs="Times New Roman"/>
          <w:i/>
          <w:color w:val="008000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id-deroga/i li ġejja/ġejjin stabbilta/i fl-Artikolu 8.3 tal-istess Regolament tapplika/japplikaw kif spjegat aktar fir-Rapport Pubbliku Ewropew ta’ Valutazzjoni: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>&lt;id-detentur tal-awtorizzazzjoni għat-tqegħid fis-suq tal-&lt;prodott mediċinali orfni awtorizzat&gt; ma jistax jipprovdi kwantitajiet suffiċjenti tal-prodott mediċinali&gt; &lt;u&gt;</w:t>
      </w:r>
      <w:r w:rsidRPr="00315A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208C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&lt;l-applikant </w:t>
      </w:r>
      <w:r w:rsidR="005564C0"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jista’ jistabbilixxi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fl-applikazzjoni li l-prodott mediċinali, minkejja li huwa simili għall-&lt;prodott mediċinali orfni awtorizzat&gt;, huwa aktar sigur, aktar effettiv jew inkella klinikament superjuri (kif definit fl-Artikolu 3 tar-Regolament tal-Kummissjoni (KE) Nru 847/200</w:t>
      </w:r>
      <w:r w:rsidR="00C3208C">
        <w:rPr>
          <w:rFonts w:ascii="Times New Roman" w:hAnsi="Times New Roman" w:cs="Times New Roman"/>
          <w:sz w:val="22"/>
          <w:szCs w:val="22"/>
          <w:lang w:val="mt-MT"/>
        </w:rPr>
        <w:t>0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) għall-istess indikazzjoni terapewtika &gt;.</w:t>
      </w:r>
      <w:r w:rsidRPr="00315A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>&lt;u&gt;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Fonts w:ascii="Times New Roman" w:hAnsi="Times New Roman" w:cs="Times New Roman"/>
          <w:sz w:val="22"/>
          <w:szCs w:val="22"/>
          <w:lang w:val="mt-MT"/>
        </w:rPr>
        <w:t>&lt;id-detentur ta’ awtorizzazzjoni għat-tqegħid f</w:t>
      </w:r>
      <w:r w:rsidR="00CD36FF">
        <w:rPr>
          <w:rFonts w:ascii="Times New Roman" w:hAnsi="Times New Roman" w:cs="Times New Roman"/>
          <w:sz w:val="22"/>
          <w:szCs w:val="22"/>
          <w:lang w:val="mt-MT"/>
        </w:rPr>
        <w:t>i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s-suq tal-&lt;prodott mediċinali orfni awtorizzat&gt; ta</w:t>
      </w:r>
      <w:r w:rsidR="00672BCF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l-kunsens tiegħu lill-applikant.&gt;</w:t>
      </w:r>
    </w:p>
    <w:p w:rsidR="00865507" w:rsidRPr="00315A97" w:rsidRDefault="0086550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315A97">
        <w:rPr>
          <w:rFonts w:ascii="Times New Roman" w:hAnsi="Times New Roman" w:cs="Times New Roman"/>
          <w:b/>
          <w:sz w:val="22"/>
          <w:szCs w:val="22"/>
          <w:lang w:val="mt-MT"/>
        </w:rPr>
        <w:t>&lt;sena waħda ta’ &lt;protezzjoni tal-</w:t>
      </w:r>
      <w:r w:rsidR="00AC429A">
        <w:rPr>
          <w:rFonts w:ascii="Times New Roman" w:hAnsi="Times New Roman" w:cs="Times New Roman"/>
          <w:b/>
          <w:sz w:val="22"/>
          <w:szCs w:val="22"/>
          <w:lang w:val="mt-MT"/>
        </w:rPr>
        <w:t>kummerċjalizzazzjoni</w:t>
      </w:r>
      <w:r w:rsidRPr="00315A97">
        <w:rPr>
          <w:rFonts w:ascii="Times New Roman" w:hAnsi="Times New Roman" w:cs="Times New Roman"/>
          <w:b/>
          <w:sz w:val="22"/>
          <w:szCs w:val="22"/>
          <w:lang w:val="mt-MT"/>
        </w:rPr>
        <w:t>&gt; &lt;esklussività tad-</w:t>
      </w:r>
      <w:r w:rsidR="00AC429A">
        <w:rPr>
          <w:rFonts w:ascii="Times New Roman" w:hAnsi="Times New Roman" w:cs="Times New Roman"/>
          <w:b/>
          <w:i/>
          <w:sz w:val="22"/>
          <w:szCs w:val="22"/>
          <w:lang w:val="mt-MT"/>
        </w:rPr>
        <w:t>data</w:t>
      </w:r>
      <w:r w:rsidRPr="00315A97">
        <w:rPr>
          <w:rFonts w:ascii="Times New Roman" w:hAnsi="Times New Roman" w:cs="Times New Roman"/>
          <w:b/>
          <w:sz w:val="22"/>
          <w:szCs w:val="22"/>
          <w:lang w:val="mt-MT"/>
        </w:rPr>
        <w:t>&gt; &gt;</w:t>
      </w:r>
    </w:p>
    <w:p w:rsidR="00865507" w:rsidRPr="00315A97" w:rsidRDefault="00865507">
      <w:pPr>
        <w:pStyle w:val="DraftingNotesAgency"/>
        <w:rPr>
          <w:rFonts w:ascii="Times New Roman" w:hAnsi="Times New Roman"/>
          <w:szCs w:val="22"/>
        </w:rPr>
      </w:pPr>
      <w:r w:rsidRPr="00315A97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scientificconclusions and grounds.]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Style w:val="DraftingNotesAgencyChar"/>
          <w:rFonts w:ascii="Times New Roman" w:hAnsi="Times New Roman" w:cs="Times New Roman"/>
          <w:sz w:val="22"/>
          <w:szCs w:val="22"/>
          <w:lang w:val="mt-MT" w:eastAsia="en-US"/>
        </w:rPr>
        <w:t>[For Art 14(11)]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&lt;Is-CHMP irreveda d-</w:t>
      </w:r>
      <w:r w:rsidR="00FC5B37">
        <w:rPr>
          <w:rFonts w:ascii="Times New Roman" w:hAnsi="Times New Roman" w:cs="Times New Roman"/>
          <w:i/>
          <w:sz w:val="22"/>
          <w:szCs w:val="22"/>
          <w:lang w:val="mt-MT"/>
        </w:rPr>
        <w:t>data</w:t>
      </w:r>
      <w:r w:rsidR="00FC5B37"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sottomessa mid-Detentur ta’ Awtorizzazzjoni għat-Tqegħid fis-Suq, filwaqt li kkunsidra d-dispożizzjonijiet tal-Artikolu 14(11) tar-Regolament (KE) Nru 726/2004, u jqis li l-indikazzjonijiet terapewtiċi jġibu magħhom benefiċċju kliniku sinifikanti meta </w:t>
      </w:r>
      <w:r w:rsidR="00FC5B37" w:rsidRPr="000D5781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mqabbla ma’ </w:t>
      </w:r>
      <w:r w:rsidR="00FC5B37">
        <w:rPr>
          <w:rFonts w:ascii="Times New Roman" w:hAnsi="Times New Roman" w:cs="Times New Roman"/>
          <w:noProof/>
          <w:sz w:val="22"/>
          <w:szCs w:val="22"/>
          <w:lang w:val="mt-MT"/>
        </w:rPr>
        <w:t>terapiji</w:t>
      </w:r>
      <w:r w:rsidR="00FC5B37" w:rsidRPr="000D5781">
        <w:rPr>
          <w:rFonts w:ascii="Times New Roman" w:hAnsi="Times New Roman" w:cs="Times New Roman"/>
          <w:noProof/>
          <w:sz w:val="22"/>
          <w:szCs w:val="22"/>
          <w:lang w:val="mt-MT"/>
        </w:rPr>
        <w:t xml:space="preserve"> eżistenti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, kif spjegat aktar fir-Rapport Pubbliku Ewropew ta’ Valutazzjoni.</w:t>
      </w:r>
      <w:r w:rsidRPr="00315A97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65507" w:rsidRPr="00315A97" w:rsidRDefault="0086550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Style w:val="DraftingNotesAgencyChar"/>
          <w:rFonts w:ascii="Times New Roman" w:hAnsi="Times New Roman" w:cs="Times New Roman"/>
          <w:sz w:val="22"/>
          <w:szCs w:val="22"/>
          <w:lang w:val="mt-MT" w:eastAsia="en-US"/>
        </w:rPr>
        <w:t>[ Art 10(5)]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&lt;</w:t>
      </w:r>
      <w:r w:rsidRPr="00315A97">
        <w:rPr>
          <w:rFonts w:ascii="Times New Roman" w:hAnsi="Times New Roman" w:cs="Times New Roman"/>
          <w:kern w:val="32"/>
          <w:sz w:val="22"/>
          <w:szCs w:val="22"/>
          <w:lang w:val="mt-MT"/>
        </w:rPr>
        <w:t>Is-CHMP irreveda d-</w:t>
      </w:r>
      <w:r w:rsidR="00302E81">
        <w:rPr>
          <w:rFonts w:ascii="Times New Roman" w:hAnsi="Times New Roman" w:cs="Times New Roman"/>
          <w:i/>
          <w:kern w:val="32"/>
          <w:sz w:val="22"/>
          <w:szCs w:val="22"/>
          <w:lang w:val="mt-MT"/>
        </w:rPr>
        <w:t>data</w:t>
      </w:r>
      <w:r w:rsidR="00302E81" w:rsidRPr="00315A97">
        <w:rPr>
          <w:rFonts w:ascii="Times New Roman" w:hAnsi="Times New Roman" w:cs="Times New Roman"/>
          <w:kern w:val="32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kern w:val="32"/>
          <w:sz w:val="22"/>
          <w:szCs w:val="22"/>
          <w:lang w:val="mt-MT"/>
        </w:rPr>
        <w:t xml:space="preserve">sottomessa mid-Detentur tal-Awtorizzazzjoni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għat-Tqegħid fis-Suq</w:t>
      </w:r>
      <w:r w:rsidRPr="00315A97">
        <w:rPr>
          <w:rFonts w:ascii="Times New Roman" w:hAnsi="Times New Roman" w:cs="Times New Roman"/>
          <w:kern w:val="32"/>
          <w:sz w:val="22"/>
          <w:szCs w:val="22"/>
          <w:lang w:val="mt-MT"/>
        </w:rPr>
        <w:t xml:space="preserve">,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filwaqt li kkunsidra </w:t>
      </w:r>
      <w:r w:rsidRPr="00315A97">
        <w:rPr>
          <w:rFonts w:ascii="Times New Roman" w:hAnsi="Times New Roman" w:cs="Times New Roman"/>
          <w:kern w:val="32"/>
          <w:sz w:val="22"/>
          <w:szCs w:val="22"/>
          <w:lang w:val="mt-MT"/>
        </w:rPr>
        <w:t xml:space="preserve">d-dispożizzjonijiet tal-Artikolu 10(5) tad-Direttiva 2001/83/KE, u jqis li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&lt;t-testijiet pre-kliniċi&gt; &lt;u&gt; &lt;l-istudji kliniċi&gt; mwettqa b’rabta mal-indikazzjoni</w:t>
      </w:r>
      <w:r w:rsidR="005B6424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l-ġdida kienu sinifikanti, kif spjegat aktar fir-Rapport Pubbliku Ewropew ta’ Valutazzjoni.</w:t>
      </w:r>
      <w:r w:rsidRPr="00315A97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65507" w:rsidRPr="00315A97" w:rsidRDefault="00865507" w:rsidP="0038195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315A97">
        <w:rPr>
          <w:rStyle w:val="DraftingNotesAgencyChar"/>
          <w:rFonts w:ascii="Times New Roman" w:hAnsi="Times New Roman" w:cs="Times New Roman"/>
          <w:sz w:val="22"/>
          <w:szCs w:val="22"/>
          <w:lang w:val="mt-MT" w:eastAsia="en-US"/>
        </w:rPr>
        <w:t>[Art 74(a)- legal status switch]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&lt;Barra</w:t>
      </w:r>
      <w:r w:rsidR="005B6424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minnhekk, is-CHMP rreveda d-</w:t>
      </w:r>
      <w:r w:rsidR="00302E81">
        <w:rPr>
          <w:rFonts w:ascii="Times New Roman" w:hAnsi="Times New Roman" w:cs="Times New Roman"/>
          <w:i/>
          <w:sz w:val="22"/>
          <w:szCs w:val="22"/>
          <w:lang w:val="mt-MT"/>
        </w:rPr>
        <w:t>data</w:t>
      </w:r>
      <w:r w:rsidR="00302E81"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sottomessa mid-Detentur tal-Awtorizzazzjoni għat-Tqegħid fis-Suq, billi kk</w:t>
      </w:r>
      <w:r w:rsidR="000B426D">
        <w:rPr>
          <w:rFonts w:ascii="Times New Roman" w:hAnsi="Times New Roman" w:cs="Times New Roman"/>
          <w:sz w:val="22"/>
          <w:szCs w:val="22"/>
          <w:lang w:val="mt-MT"/>
        </w:rPr>
        <w:t>u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nsidra d-dispożizzjonijiet tal-Artikolu 74(a) tad-Direttiva 2001/83/KE, u kk</w:t>
      </w:r>
      <w:r w:rsidR="000B426D">
        <w:rPr>
          <w:rFonts w:ascii="Times New Roman" w:hAnsi="Times New Roman" w:cs="Times New Roman"/>
          <w:sz w:val="22"/>
          <w:szCs w:val="22"/>
          <w:lang w:val="mt-MT"/>
        </w:rPr>
        <w:t>u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nsidra li d-</w:t>
      </w:r>
      <w:r w:rsidR="000B426D">
        <w:rPr>
          <w:rFonts w:ascii="Times New Roman" w:hAnsi="Times New Roman" w:cs="Times New Roman"/>
          <w:i/>
          <w:sz w:val="22"/>
          <w:szCs w:val="22"/>
          <w:lang w:val="mt-MT"/>
        </w:rPr>
        <w:t>data</w:t>
      </w:r>
      <w:r w:rsidR="000B426D"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 xml:space="preserve">sottomessa b’sostenn għall-klassifikazzjoni ta’ {speċifika l-isem tal-prodott mediċinali} bħala ‘prodott mediċinali mhux suġġett għall-preskrizzjoni medika’ kienu </w:t>
      </w:r>
      <w:r w:rsidR="000B426D">
        <w:rPr>
          <w:rFonts w:ascii="Times New Roman" w:hAnsi="Times New Roman" w:cs="Times New Roman"/>
          <w:sz w:val="22"/>
          <w:szCs w:val="22"/>
          <w:lang w:val="mt-MT"/>
        </w:rPr>
        <w:t xml:space="preserve">sinifikanti </w:t>
      </w:r>
      <w:r w:rsidRPr="00315A97">
        <w:rPr>
          <w:rFonts w:ascii="Times New Roman" w:hAnsi="Times New Roman" w:cs="Times New Roman"/>
          <w:sz w:val="22"/>
          <w:szCs w:val="22"/>
          <w:lang w:val="mt-MT"/>
        </w:rPr>
        <w:t>kif spjegat aktar fit-tul fir-Rapport Pubbliku Ewropew ta’ Valutazzjoni.&gt;</w:t>
      </w:r>
    </w:p>
    <w:sectPr w:rsidR="00865507" w:rsidRPr="00315A97" w:rsidSect="00B11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F2" w:rsidRDefault="00F251F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F251F2" w:rsidRDefault="00F251F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A6" w:rsidRDefault="00D43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97" w:rsidRDefault="00315A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FE8">
      <w:rPr>
        <w:noProof/>
      </w:rPr>
      <w:t>1</w:t>
    </w:r>
    <w:r>
      <w:fldChar w:fldCharType="end"/>
    </w:r>
  </w:p>
  <w:p w:rsidR="00865507" w:rsidRDefault="00865507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07" w:rsidRDefault="00865507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F2" w:rsidRDefault="00F251F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F251F2" w:rsidRDefault="00F251F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A6" w:rsidRDefault="00D43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A6" w:rsidRDefault="00D436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A6" w:rsidRDefault="00D43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9619E"/>
    <w:rsid w:val="000A045B"/>
    <w:rsid w:val="000A14E5"/>
    <w:rsid w:val="000B426D"/>
    <w:rsid w:val="000B4F17"/>
    <w:rsid w:val="000C0D39"/>
    <w:rsid w:val="000D5781"/>
    <w:rsid w:val="001002D6"/>
    <w:rsid w:val="00104F53"/>
    <w:rsid w:val="00114314"/>
    <w:rsid w:val="00172BF3"/>
    <w:rsid w:val="001A0DE6"/>
    <w:rsid w:val="001B06B5"/>
    <w:rsid w:val="001B3375"/>
    <w:rsid w:val="001D3282"/>
    <w:rsid w:val="00202F0F"/>
    <w:rsid w:val="00220D27"/>
    <w:rsid w:val="002230E8"/>
    <w:rsid w:val="0023318C"/>
    <w:rsid w:val="00277336"/>
    <w:rsid w:val="00277B40"/>
    <w:rsid w:val="002A264B"/>
    <w:rsid w:val="002B4913"/>
    <w:rsid w:val="00302E81"/>
    <w:rsid w:val="00315A97"/>
    <w:rsid w:val="00323BB4"/>
    <w:rsid w:val="00363C50"/>
    <w:rsid w:val="0038195C"/>
    <w:rsid w:val="00384E36"/>
    <w:rsid w:val="003C6FC9"/>
    <w:rsid w:val="003D4BEE"/>
    <w:rsid w:val="004173B9"/>
    <w:rsid w:val="0044751C"/>
    <w:rsid w:val="0047006E"/>
    <w:rsid w:val="00476C3E"/>
    <w:rsid w:val="0049279A"/>
    <w:rsid w:val="004A2E29"/>
    <w:rsid w:val="004B6966"/>
    <w:rsid w:val="004C133B"/>
    <w:rsid w:val="004E1489"/>
    <w:rsid w:val="005564C0"/>
    <w:rsid w:val="00564251"/>
    <w:rsid w:val="005B6424"/>
    <w:rsid w:val="005C1DA3"/>
    <w:rsid w:val="005C3479"/>
    <w:rsid w:val="005D32DB"/>
    <w:rsid w:val="005E1D0C"/>
    <w:rsid w:val="006079F3"/>
    <w:rsid w:val="006210B2"/>
    <w:rsid w:val="0066006C"/>
    <w:rsid w:val="006603C0"/>
    <w:rsid w:val="00663425"/>
    <w:rsid w:val="00672BCF"/>
    <w:rsid w:val="00694026"/>
    <w:rsid w:val="006B14D2"/>
    <w:rsid w:val="006B25E8"/>
    <w:rsid w:val="006E30D5"/>
    <w:rsid w:val="006E7986"/>
    <w:rsid w:val="00706020"/>
    <w:rsid w:val="00715E99"/>
    <w:rsid w:val="0073502D"/>
    <w:rsid w:val="00740E98"/>
    <w:rsid w:val="007461A8"/>
    <w:rsid w:val="00755561"/>
    <w:rsid w:val="007B54BA"/>
    <w:rsid w:val="007C7832"/>
    <w:rsid w:val="007D3CFA"/>
    <w:rsid w:val="007D6326"/>
    <w:rsid w:val="008312A7"/>
    <w:rsid w:val="00850D6F"/>
    <w:rsid w:val="00855CBC"/>
    <w:rsid w:val="00865507"/>
    <w:rsid w:val="00866D0B"/>
    <w:rsid w:val="00897C89"/>
    <w:rsid w:val="00920424"/>
    <w:rsid w:val="00931AE3"/>
    <w:rsid w:val="00971872"/>
    <w:rsid w:val="00972FE8"/>
    <w:rsid w:val="009A3B7C"/>
    <w:rsid w:val="009A4F0F"/>
    <w:rsid w:val="009B45D3"/>
    <w:rsid w:val="009F6951"/>
    <w:rsid w:val="00A03717"/>
    <w:rsid w:val="00A720C7"/>
    <w:rsid w:val="00AB6CFB"/>
    <w:rsid w:val="00AC15F7"/>
    <w:rsid w:val="00AC429A"/>
    <w:rsid w:val="00AE32B0"/>
    <w:rsid w:val="00AF081E"/>
    <w:rsid w:val="00AF0E25"/>
    <w:rsid w:val="00AF4336"/>
    <w:rsid w:val="00B117BD"/>
    <w:rsid w:val="00B12AAC"/>
    <w:rsid w:val="00B155A5"/>
    <w:rsid w:val="00B333E5"/>
    <w:rsid w:val="00B53E3C"/>
    <w:rsid w:val="00B9497B"/>
    <w:rsid w:val="00C31ABE"/>
    <w:rsid w:val="00C3208C"/>
    <w:rsid w:val="00C3497C"/>
    <w:rsid w:val="00C50C32"/>
    <w:rsid w:val="00C57461"/>
    <w:rsid w:val="00CD1ADC"/>
    <w:rsid w:val="00CD2E0F"/>
    <w:rsid w:val="00CD36FF"/>
    <w:rsid w:val="00CE4215"/>
    <w:rsid w:val="00CF77E3"/>
    <w:rsid w:val="00D053D7"/>
    <w:rsid w:val="00D1401C"/>
    <w:rsid w:val="00D362AD"/>
    <w:rsid w:val="00D436A6"/>
    <w:rsid w:val="00D62F0E"/>
    <w:rsid w:val="00D67EB3"/>
    <w:rsid w:val="00D76017"/>
    <w:rsid w:val="00D87D20"/>
    <w:rsid w:val="00DD7B8E"/>
    <w:rsid w:val="00DE3005"/>
    <w:rsid w:val="00DE6E31"/>
    <w:rsid w:val="00E8792D"/>
    <w:rsid w:val="00EF15BE"/>
    <w:rsid w:val="00F23B28"/>
    <w:rsid w:val="00F251F2"/>
    <w:rsid w:val="00F34963"/>
    <w:rsid w:val="00F34F83"/>
    <w:rsid w:val="00F86528"/>
    <w:rsid w:val="00F86CE6"/>
    <w:rsid w:val="00F966C2"/>
    <w:rsid w:val="00FC1B1E"/>
    <w:rsid w:val="00FC5B37"/>
    <w:rsid w:val="00FE6E1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7BD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BD"/>
    <w:pPr>
      <w:tabs>
        <w:tab w:val="center" w:pos="4536"/>
        <w:tab w:val="right" w:pos="8306"/>
      </w:tabs>
    </w:pPr>
    <w:rPr>
      <w:rFonts w:cs="Times New Roman"/>
      <w:snapToGrid w:val="0"/>
      <w:lang w:eastAsia="x-none"/>
    </w:rPr>
  </w:style>
  <w:style w:type="character" w:customStyle="1" w:styleId="FooterChar">
    <w:name w:val="Footer Char"/>
    <w:link w:val="Footer"/>
    <w:uiPriority w:val="99"/>
    <w:locked/>
    <w:rsid w:val="00B117BD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B117BD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B117BD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B117BD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B117BD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B117BD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B117BD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B117B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B117B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117B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117BD"/>
    <w:rPr>
      <w:color w:val="0000FF"/>
    </w:rPr>
  </w:style>
  <w:style w:type="character" w:customStyle="1" w:styleId="tw4winPopup">
    <w:name w:val="tw4winPopup"/>
    <w:uiPriority w:val="99"/>
    <w:rsid w:val="00B117B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117B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117B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117B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117BD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9B45D3"/>
    <w:rPr>
      <w:rFonts w:ascii="Times New Roman" w:hAnsi="Times New Roman" w:cs="Times New Roman"/>
      <w:sz w:val="2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8C569B"/>
    <w:pPr>
      <w:numPr>
        <w:numId w:val="4"/>
      </w:numPr>
    </w:pPr>
  </w:style>
  <w:style w:type="numbering" w:customStyle="1" w:styleId="NumberlistAgency">
    <w:name w:val="Number list (Agency)"/>
    <w:rsid w:val="008C569B"/>
    <w:pPr>
      <w:numPr>
        <w:numId w:val="15"/>
      </w:numPr>
    </w:pPr>
  </w:style>
  <w:style w:type="paragraph" w:styleId="Header">
    <w:name w:val="header"/>
    <w:basedOn w:val="Normal"/>
    <w:link w:val="HeaderChar"/>
    <w:rsid w:val="00315A9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315A97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HannexIVstandardmt- corr. 02-18</vt:lpstr>
    </vt:vector>
  </TitlesOfParts>
  <Company>Translation Centre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HannexIVstandardmt- corr. 02-18</dc:title>
  <dc:creator>Translation Centre</dc:creator>
  <dc:description>Template developed for European Medicines Agency by Fiona Lewis and Vanessa Crookes December 2009</dc:description>
  <cp:lastModifiedBy>Akhtar Tia</cp:lastModifiedBy>
  <cp:revision>2</cp:revision>
  <cp:lastPrinted>1601-01-01T00:00:00Z</cp:lastPrinted>
  <dcterms:created xsi:type="dcterms:W3CDTF">2019-09-19T14:42:00Z</dcterms:created>
  <dcterms:modified xsi:type="dcterms:W3CDTF">2019-09-19T14:42:00Z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14:13:57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EMA/713564/2018</vt:lpwstr>
  </property>
  <property fmtid="{D5CDD505-2E9C-101B-9397-08002B2CF9AE}" pid="7" name="DM_emea_doc_ref_id">
    <vt:lpwstr>EMA/713564/2018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14:13:57</vt:lpwstr>
  </property>
  <property fmtid="{D5CDD505-2E9C-101B-9397-08002B2CF9AE}" pid="14" name="DM_Name">
    <vt:lpwstr>HannexIVstandardmt- corr. 02-18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