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6C7" w:rsidRPr="00903825" w:rsidRDefault="00BA06C7" w:rsidP="00BA06C7">
      <w:pPr>
        <w:rPr>
          <w:rFonts w:eastAsia="Verdana"/>
          <w:szCs w:val="22"/>
          <w:lang w:val="nb-NO" w:eastAsia="en-GB"/>
        </w:rPr>
      </w:pPr>
      <w:bookmarkStart w:id="0" w:name="_GoBack"/>
      <w:bookmarkEnd w:id="0"/>
    </w:p>
    <w:p w:rsidR="00BA06C7" w:rsidRPr="00903825" w:rsidRDefault="00BA06C7" w:rsidP="00BA06C7">
      <w:pPr>
        <w:rPr>
          <w:rFonts w:eastAsia="Verdana"/>
          <w:szCs w:val="22"/>
          <w:lang w:val="nb-NO" w:eastAsia="en-GB"/>
        </w:rPr>
      </w:pPr>
    </w:p>
    <w:p w:rsidR="00BA06C7" w:rsidRPr="00903825" w:rsidRDefault="00BA06C7" w:rsidP="00BA06C7">
      <w:pPr>
        <w:rPr>
          <w:rFonts w:eastAsia="Verdana"/>
          <w:szCs w:val="22"/>
          <w:lang w:val="nb-NO" w:eastAsia="en-GB"/>
        </w:rPr>
      </w:pPr>
    </w:p>
    <w:p w:rsidR="00BA06C7" w:rsidRPr="00903825" w:rsidRDefault="00BA06C7" w:rsidP="00BA06C7">
      <w:pPr>
        <w:rPr>
          <w:rFonts w:eastAsia="Verdana"/>
          <w:szCs w:val="22"/>
          <w:lang w:val="nb-NO" w:eastAsia="en-GB"/>
        </w:rPr>
      </w:pPr>
    </w:p>
    <w:p w:rsidR="00BA06C7" w:rsidRPr="00903825" w:rsidRDefault="00BA06C7" w:rsidP="00BA06C7">
      <w:pPr>
        <w:rPr>
          <w:rFonts w:eastAsia="Verdana"/>
          <w:szCs w:val="22"/>
          <w:lang w:val="nb-NO" w:eastAsia="en-GB"/>
        </w:rPr>
      </w:pPr>
    </w:p>
    <w:p w:rsidR="00BA06C7" w:rsidRPr="00903825" w:rsidRDefault="00BA06C7" w:rsidP="00BA06C7">
      <w:pPr>
        <w:rPr>
          <w:rFonts w:eastAsia="Verdana"/>
          <w:szCs w:val="22"/>
          <w:lang w:val="nb-NO" w:eastAsia="en-GB"/>
        </w:rPr>
      </w:pPr>
    </w:p>
    <w:p w:rsidR="00BA06C7" w:rsidRPr="00903825" w:rsidRDefault="00BA06C7" w:rsidP="00BA06C7">
      <w:pPr>
        <w:rPr>
          <w:rFonts w:eastAsia="Verdana"/>
          <w:szCs w:val="22"/>
          <w:lang w:val="nb-NO" w:eastAsia="en-GB"/>
        </w:rPr>
      </w:pPr>
    </w:p>
    <w:p w:rsidR="00BA06C7" w:rsidRPr="00903825" w:rsidRDefault="00BA06C7" w:rsidP="00BA06C7">
      <w:pPr>
        <w:rPr>
          <w:rFonts w:eastAsia="Verdana"/>
          <w:szCs w:val="22"/>
          <w:lang w:val="nb-NO" w:eastAsia="en-GB"/>
        </w:rPr>
      </w:pPr>
    </w:p>
    <w:p w:rsidR="00BA06C7" w:rsidRPr="00903825" w:rsidRDefault="00BA06C7" w:rsidP="00BA06C7">
      <w:pPr>
        <w:rPr>
          <w:rFonts w:eastAsia="Verdana"/>
          <w:szCs w:val="22"/>
          <w:lang w:val="nb-NO" w:eastAsia="en-GB"/>
        </w:rPr>
      </w:pPr>
    </w:p>
    <w:p w:rsidR="00BA06C7" w:rsidRPr="00903825" w:rsidRDefault="00BA06C7" w:rsidP="00BA06C7">
      <w:pPr>
        <w:rPr>
          <w:rFonts w:eastAsia="Verdana"/>
          <w:szCs w:val="22"/>
          <w:lang w:val="nb-NO" w:eastAsia="en-GB"/>
        </w:rPr>
      </w:pPr>
    </w:p>
    <w:p w:rsidR="00BA06C7" w:rsidRPr="00903825" w:rsidRDefault="00BA06C7" w:rsidP="00BA06C7">
      <w:pPr>
        <w:rPr>
          <w:rFonts w:eastAsia="Verdana"/>
          <w:szCs w:val="22"/>
          <w:lang w:val="nb-NO" w:eastAsia="en-GB"/>
        </w:rPr>
      </w:pPr>
    </w:p>
    <w:p w:rsidR="00BA06C7" w:rsidRPr="00903825" w:rsidRDefault="00BA06C7" w:rsidP="00BA06C7">
      <w:pPr>
        <w:rPr>
          <w:rFonts w:eastAsia="Verdana"/>
          <w:szCs w:val="22"/>
          <w:lang w:val="nb-NO" w:eastAsia="en-GB"/>
        </w:rPr>
      </w:pPr>
    </w:p>
    <w:p w:rsidR="00BA06C7" w:rsidRPr="00903825" w:rsidRDefault="00BA06C7" w:rsidP="00BA06C7">
      <w:pPr>
        <w:rPr>
          <w:rFonts w:eastAsia="Verdana"/>
          <w:szCs w:val="22"/>
          <w:lang w:val="nb-NO" w:eastAsia="en-GB"/>
        </w:rPr>
      </w:pPr>
    </w:p>
    <w:p w:rsidR="00BA06C7" w:rsidRPr="00903825" w:rsidRDefault="00BA06C7" w:rsidP="00BA06C7">
      <w:pPr>
        <w:rPr>
          <w:rFonts w:eastAsia="Verdana"/>
          <w:szCs w:val="22"/>
          <w:lang w:val="nb-NO" w:eastAsia="en-GB"/>
        </w:rPr>
      </w:pPr>
    </w:p>
    <w:p w:rsidR="00BA06C7" w:rsidRPr="00903825" w:rsidRDefault="00BA06C7" w:rsidP="00BA06C7">
      <w:pPr>
        <w:rPr>
          <w:rFonts w:eastAsia="Verdana"/>
          <w:szCs w:val="22"/>
          <w:lang w:val="nb-NO" w:eastAsia="en-GB"/>
        </w:rPr>
      </w:pPr>
    </w:p>
    <w:p w:rsidR="00BA06C7" w:rsidRPr="00903825" w:rsidRDefault="00BA06C7" w:rsidP="00BA06C7">
      <w:pPr>
        <w:rPr>
          <w:rFonts w:eastAsia="Verdana"/>
          <w:szCs w:val="22"/>
          <w:lang w:val="nb-NO" w:eastAsia="en-GB"/>
        </w:rPr>
      </w:pPr>
    </w:p>
    <w:p w:rsidR="00BA06C7" w:rsidRPr="00903825" w:rsidRDefault="00BA06C7" w:rsidP="00BA06C7">
      <w:pPr>
        <w:rPr>
          <w:rFonts w:eastAsia="Verdana"/>
          <w:szCs w:val="22"/>
          <w:lang w:val="nb-NO" w:eastAsia="en-GB"/>
        </w:rPr>
      </w:pPr>
    </w:p>
    <w:p w:rsidR="00BA06C7" w:rsidRPr="00903825" w:rsidRDefault="00BA06C7" w:rsidP="00BA06C7">
      <w:pPr>
        <w:rPr>
          <w:rFonts w:eastAsia="Verdana"/>
          <w:szCs w:val="22"/>
          <w:lang w:val="nb-NO" w:eastAsia="en-GB"/>
        </w:rPr>
      </w:pPr>
    </w:p>
    <w:p w:rsidR="00BA06C7" w:rsidRPr="00903825" w:rsidRDefault="00BA06C7" w:rsidP="00BA06C7">
      <w:pPr>
        <w:rPr>
          <w:rFonts w:eastAsia="Verdana"/>
          <w:szCs w:val="22"/>
          <w:lang w:val="nb-NO" w:eastAsia="en-GB"/>
        </w:rPr>
      </w:pPr>
    </w:p>
    <w:p w:rsidR="00BA06C7" w:rsidRPr="00903825" w:rsidRDefault="00BA06C7" w:rsidP="00BA06C7">
      <w:pPr>
        <w:rPr>
          <w:rFonts w:eastAsia="Verdana"/>
          <w:szCs w:val="22"/>
          <w:lang w:val="nb-NO" w:eastAsia="en-GB"/>
        </w:rPr>
      </w:pPr>
    </w:p>
    <w:p w:rsidR="00BA06C7" w:rsidRPr="00903825" w:rsidRDefault="00BA06C7" w:rsidP="00BA06C7">
      <w:pPr>
        <w:rPr>
          <w:rFonts w:eastAsia="Verdana"/>
          <w:szCs w:val="22"/>
          <w:lang w:val="nb-NO" w:eastAsia="en-GB"/>
        </w:rPr>
      </w:pPr>
    </w:p>
    <w:p w:rsidR="00BA06C7" w:rsidRPr="00903825" w:rsidRDefault="00BA06C7" w:rsidP="00BA06C7">
      <w:pPr>
        <w:rPr>
          <w:rFonts w:eastAsia="Verdana"/>
          <w:szCs w:val="22"/>
          <w:lang w:val="nb-NO" w:eastAsia="en-GB"/>
        </w:rPr>
      </w:pPr>
    </w:p>
    <w:p w:rsidR="00BA06C7" w:rsidRPr="00903825" w:rsidRDefault="00BA06C7" w:rsidP="00BA06C7">
      <w:pPr>
        <w:rPr>
          <w:rFonts w:eastAsia="Verdana"/>
          <w:szCs w:val="22"/>
          <w:lang w:val="nb-NO" w:eastAsia="en-GB"/>
        </w:rPr>
      </w:pPr>
    </w:p>
    <w:p w:rsidR="0017686A" w:rsidRPr="00903825" w:rsidRDefault="0017686A" w:rsidP="0017686A">
      <w:pPr>
        <w:pStyle w:val="No-numheading3Agency"/>
        <w:jc w:val="center"/>
        <w:rPr>
          <w:rFonts w:ascii="Times New Roman" w:hAnsi="Times New Roman" w:cs="Times New Roman"/>
        </w:rPr>
      </w:pPr>
      <w:r w:rsidRPr="00903825">
        <w:rPr>
          <w:rFonts w:ascii="Times New Roman" w:hAnsi="Times New Roman" w:cs="Times New Roman"/>
        </w:rPr>
        <w:t>Vedlegg IV</w:t>
      </w:r>
    </w:p>
    <w:p w:rsidR="0017686A" w:rsidRPr="00903825" w:rsidRDefault="0017686A" w:rsidP="0017686A">
      <w:pPr>
        <w:pStyle w:val="No-numheading3Agency"/>
        <w:jc w:val="center"/>
        <w:rPr>
          <w:rFonts w:ascii="Times New Roman" w:hAnsi="Times New Roman" w:cs="Times New Roman"/>
        </w:rPr>
      </w:pPr>
      <w:r w:rsidRPr="00903825">
        <w:rPr>
          <w:rFonts w:ascii="Times New Roman" w:hAnsi="Times New Roman" w:cs="Times New Roman"/>
        </w:rPr>
        <w:t>Konklusjoner vedrørende &lt;likhet og unntak&gt; &lt;og&gt; &lt;anmodning om &lt;markedsføringsbeskyttelse&gt; &lt;databeskyttelse&gt; i et</w:t>
      </w:r>
      <w:r w:rsidR="00C76F31" w:rsidRPr="00903825">
        <w:rPr>
          <w:rFonts w:ascii="Times New Roman" w:hAnsi="Times New Roman" w:cs="Times New Roman"/>
        </w:rPr>
        <w:t>t</w:t>
      </w:r>
      <w:r w:rsidRPr="00903825">
        <w:rPr>
          <w:rFonts w:ascii="Times New Roman" w:hAnsi="Times New Roman" w:cs="Times New Roman"/>
        </w:rPr>
        <w:t xml:space="preserve"> år&gt; fremlagt av Det europeiske legemiddelkontoret (The European Medicines Agency)</w:t>
      </w:r>
    </w:p>
    <w:p w:rsidR="00BA06C7" w:rsidRPr="00903825" w:rsidRDefault="00BA06C7" w:rsidP="00BA06C7">
      <w:pPr>
        <w:rPr>
          <w:rFonts w:eastAsia="Verdana"/>
          <w:szCs w:val="22"/>
          <w:lang w:val="nb-NO" w:eastAsia="en-GB"/>
        </w:rPr>
      </w:pPr>
    </w:p>
    <w:p w:rsidR="00BA06C7" w:rsidRPr="00903825" w:rsidRDefault="00BA06C7" w:rsidP="00BA06C7">
      <w:pPr>
        <w:rPr>
          <w:rFonts w:eastAsia="Verdana"/>
          <w:szCs w:val="22"/>
          <w:lang w:val="nb-NO" w:eastAsia="en-GB"/>
        </w:rPr>
      </w:pPr>
      <w:r w:rsidRPr="00903825">
        <w:rPr>
          <w:rFonts w:eastAsia="Verdana"/>
          <w:szCs w:val="22"/>
          <w:lang w:val="nb-NO" w:eastAsia="en-GB"/>
        </w:rPr>
        <w:t xml:space="preserve"> </w:t>
      </w:r>
    </w:p>
    <w:p w:rsidR="00BA06C7" w:rsidRPr="00903825" w:rsidRDefault="00BA06C7" w:rsidP="00BA06C7">
      <w:pPr>
        <w:rPr>
          <w:rFonts w:eastAsia="Verdana"/>
          <w:szCs w:val="22"/>
          <w:lang w:val="nb-NO" w:eastAsia="en-GB"/>
        </w:rPr>
      </w:pPr>
    </w:p>
    <w:p w:rsidR="00BA06C7" w:rsidRPr="00903825" w:rsidRDefault="00BA06C7" w:rsidP="00BA06C7">
      <w:pPr>
        <w:keepNext/>
        <w:spacing w:before="280" w:after="220"/>
        <w:outlineLvl w:val="2"/>
        <w:rPr>
          <w:rFonts w:eastAsia="Verdana"/>
          <w:b/>
          <w:bCs/>
          <w:kern w:val="32"/>
          <w:szCs w:val="22"/>
          <w:lang w:val="nb-NO" w:eastAsia="en-GB"/>
        </w:rPr>
      </w:pPr>
      <w:r w:rsidRPr="00903825">
        <w:rPr>
          <w:rFonts w:eastAsia="Verdana"/>
          <w:b/>
          <w:bCs/>
          <w:kern w:val="32"/>
          <w:szCs w:val="22"/>
          <w:lang w:val="nb-NO" w:eastAsia="en-GB"/>
        </w:rPr>
        <w:br w:type="page"/>
      </w:r>
      <w:r w:rsidR="0017686A" w:rsidRPr="00903825">
        <w:rPr>
          <w:b/>
          <w:bCs/>
          <w:szCs w:val="22"/>
          <w:lang w:val="nb-NO"/>
        </w:rPr>
        <w:lastRenderedPageBreak/>
        <w:t xml:space="preserve">Konklusjoner </w:t>
      </w:r>
      <w:r w:rsidR="0017686A" w:rsidRPr="00903825">
        <w:rPr>
          <w:b/>
          <w:szCs w:val="22"/>
          <w:lang w:val="nb-NO"/>
        </w:rPr>
        <w:t>fremlagt av Det europeiske legemiddelkontoret (The European Medicines Agency) vedrørende:</w:t>
      </w:r>
    </w:p>
    <w:p w:rsidR="00BA06C7" w:rsidRPr="00903825" w:rsidRDefault="00BA06C7" w:rsidP="00BA06C7">
      <w:pPr>
        <w:spacing w:after="140" w:line="280" w:lineRule="atLeast"/>
        <w:rPr>
          <w:rFonts w:eastAsia="Verdana"/>
          <w:i/>
          <w:color w:val="339966"/>
          <w:szCs w:val="22"/>
          <w:lang w:val="nb-NO" w:eastAsia="en-GB"/>
        </w:rPr>
      </w:pPr>
      <w:r w:rsidRPr="00903825">
        <w:rPr>
          <w:rFonts w:eastAsia="Verdana"/>
          <w:i/>
          <w:color w:val="339966"/>
          <w:szCs w:val="22"/>
          <w:lang w:val="nb-NO" w:eastAsia="en-GB"/>
        </w:rPr>
        <w:t>[</w:t>
      </w:r>
      <w:r w:rsidR="00F879F9" w:rsidRPr="00903825">
        <w:rPr>
          <w:rFonts w:eastAsia="Verdana"/>
          <w:i/>
          <w:color w:val="339966"/>
          <w:szCs w:val="22"/>
          <w:lang w:val="nb-NO" w:eastAsia="en-GB"/>
        </w:rPr>
        <w:t>In case of</w:t>
      </w:r>
      <w:r w:rsidRPr="00903825">
        <w:rPr>
          <w:rFonts w:eastAsia="Verdana"/>
          <w:i/>
          <w:color w:val="339966"/>
          <w:szCs w:val="22"/>
          <w:lang w:val="nb-NO" w:eastAsia="en-GB"/>
        </w:rPr>
        <w:t xml:space="preserve"> similarity and </w:t>
      </w:r>
      <w:r w:rsidR="00F879F9" w:rsidRPr="00903825">
        <w:rPr>
          <w:rFonts w:eastAsia="Verdana"/>
          <w:i/>
          <w:color w:val="339966"/>
          <w:szCs w:val="22"/>
          <w:lang w:val="nb-NO" w:eastAsia="en-GB"/>
        </w:rPr>
        <w:t xml:space="preserve">an accepted </w:t>
      </w:r>
      <w:r w:rsidRPr="00903825">
        <w:rPr>
          <w:rFonts w:eastAsia="Verdana"/>
          <w:i/>
          <w:color w:val="339966"/>
          <w:szCs w:val="22"/>
          <w:lang w:val="nb-NO" w:eastAsia="en-GB"/>
        </w:rPr>
        <w:t>derogation, please select the statement(s) as provided below.</w:t>
      </w:r>
      <w:r w:rsidR="00F879F9" w:rsidRPr="00903825">
        <w:rPr>
          <w:rFonts w:eastAsia="Verdana"/>
          <w:i/>
          <w:color w:val="339966"/>
          <w:szCs w:val="22"/>
          <w:lang w:val="nb-NO" w:eastAsia="en-GB"/>
        </w:rPr>
        <w:t>]</w:t>
      </w:r>
    </w:p>
    <w:p w:rsidR="0017686A" w:rsidRPr="00903825" w:rsidRDefault="0017686A" w:rsidP="0017686A">
      <w:pPr>
        <w:pStyle w:val="BodytextAgency"/>
        <w:numPr>
          <w:ilvl w:val="0"/>
          <w:numId w:val="4"/>
        </w:numPr>
        <w:rPr>
          <w:rFonts w:ascii="Times New Roman" w:hAnsi="Times New Roman" w:cs="Times New Roman"/>
          <w:b/>
          <w:sz w:val="22"/>
          <w:szCs w:val="22"/>
        </w:rPr>
      </w:pPr>
      <w:r w:rsidRPr="00903825">
        <w:rPr>
          <w:rFonts w:ascii="Times New Roman" w:hAnsi="Times New Roman" w:cs="Times New Roman"/>
          <w:b/>
          <w:sz w:val="22"/>
          <w:szCs w:val="22"/>
        </w:rPr>
        <w:t xml:space="preserve">&lt;Likhet&gt; </w:t>
      </w:r>
    </w:p>
    <w:p w:rsidR="0017686A" w:rsidRPr="00903825" w:rsidRDefault="0017686A" w:rsidP="0017686A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903825">
        <w:rPr>
          <w:rFonts w:ascii="Times New Roman" w:hAnsi="Times New Roman" w:cs="Times New Roman"/>
          <w:sz w:val="22"/>
          <w:szCs w:val="22"/>
        </w:rPr>
        <w:t xml:space="preserve">&lt;CHMP mener at {legemidlets navn} er lik allerede godkjente legemidler mot sjeldne sykdommer, i henhold til artikkel 3 i kommisjonens forordning (EF) nr. 847/2000. Dette er nærmere beskrevet i den europeiske offentlige </w:t>
      </w:r>
      <w:r w:rsidR="00CD157E" w:rsidRPr="00903825">
        <w:rPr>
          <w:rFonts w:ascii="Times New Roman" w:hAnsi="Times New Roman" w:cs="Times New Roman"/>
          <w:sz w:val="22"/>
          <w:szCs w:val="22"/>
        </w:rPr>
        <w:t>evaluering</w:t>
      </w:r>
      <w:r w:rsidRPr="00903825">
        <w:rPr>
          <w:rFonts w:ascii="Times New Roman" w:hAnsi="Times New Roman" w:cs="Times New Roman"/>
          <w:sz w:val="22"/>
          <w:szCs w:val="22"/>
        </w:rPr>
        <w:t xml:space="preserve">srapporten (EPAR).&gt; </w:t>
      </w:r>
    </w:p>
    <w:p w:rsidR="0017686A" w:rsidRPr="00903825" w:rsidRDefault="0017686A" w:rsidP="0017686A">
      <w:pPr>
        <w:pStyle w:val="BodytextAgency"/>
        <w:numPr>
          <w:ilvl w:val="0"/>
          <w:numId w:val="5"/>
        </w:numPr>
        <w:rPr>
          <w:rFonts w:ascii="Times New Roman" w:hAnsi="Times New Roman" w:cs="Times New Roman"/>
          <w:b/>
          <w:sz w:val="22"/>
          <w:szCs w:val="22"/>
        </w:rPr>
      </w:pPr>
      <w:r w:rsidRPr="00903825">
        <w:rPr>
          <w:rFonts w:ascii="Times New Roman" w:hAnsi="Times New Roman" w:cs="Times New Roman"/>
          <w:b/>
          <w:sz w:val="22"/>
          <w:szCs w:val="22"/>
        </w:rPr>
        <w:t>&lt;Unntak&gt;</w:t>
      </w:r>
    </w:p>
    <w:p w:rsidR="0017686A" w:rsidRPr="00903825" w:rsidRDefault="0017686A" w:rsidP="0017686A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903825">
        <w:rPr>
          <w:rFonts w:ascii="Times New Roman" w:hAnsi="Times New Roman" w:cs="Times New Roman"/>
          <w:sz w:val="22"/>
          <w:szCs w:val="22"/>
        </w:rPr>
        <w:t xml:space="preserve">&lt;CHMP mener at i henhold til artikkel 8 i forordning (EF) nr. 141/2000 &lt;og artikkel 3 i kommisjonens forordning (EF) nr. 847/2000&gt; </w:t>
      </w:r>
      <w:r w:rsidRPr="00903825">
        <w:rPr>
          <w:rStyle w:val="DraftingNotesAgencyChar"/>
          <w:rFonts w:ascii="Times New Roman" w:hAnsi="Times New Roman" w:cs="Times New Roman"/>
          <w:szCs w:val="22"/>
        </w:rPr>
        <w:t>[only for the superiority derogation]</w:t>
      </w:r>
      <w:r w:rsidRPr="00903825">
        <w:rPr>
          <w:rFonts w:ascii="Times New Roman" w:hAnsi="Times New Roman" w:cs="Times New Roman"/>
          <w:i/>
          <w:color w:val="008000"/>
          <w:sz w:val="22"/>
          <w:szCs w:val="22"/>
        </w:rPr>
        <w:t xml:space="preserve"> </w:t>
      </w:r>
      <w:r w:rsidRPr="00903825">
        <w:rPr>
          <w:rFonts w:ascii="Times New Roman" w:hAnsi="Times New Roman" w:cs="Times New Roman"/>
          <w:sz w:val="22"/>
          <w:szCs w:val="22"/>
        </w:rPr>
        <w:t xml:space="preserve">gjelder følgende unntak nedfelt i artikkel 8.3 i samme forordning. Dette er nærmere beskrevet i den europeiske offentlige </w:t>
      </w:r>
      <w:r w:rsidR="00CD157E" w:rsidRPr="00903825">
        <w:rPr>
          <w:rFonts w:ascii="Times New Roman" w:hAnsi="Times New Roman" w:cs="Times New Roman"/>
          <w:sz w:val="22"/>
          <w:szCs w:val="22"/>
        </w:rPr>
        <w:t>evaluering</w:t>
      </w:r>
      <w:r w:rsidRPr="00903825">
        <w:rPr>
          <w:rFonts w:ascii="Times New Roman" w:hAnsi="Times New Roman" w:cs="Times New Roman"/>
          <w:sz w:val="22"/>
          <w:szCs w:val="22"/>
        </w:rPr>
        <w:t xml:space="preserve">srapporten (EPAR): </w:t>
      </w:r>
    </w:p>
    <w:p w:rsidR="0017686A" w:rsidRPr="00903825" w:rsidRDefault="0017686A" w:rsidP="0017686A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903825">
        <w:rPr>
          <w:rFonts w:ascii="Times New Roman" w:hAnsi="Times New Roman" w:cs="Times New Roman"/>
          <w:sz w:val="22"/>
          <w:szCs w:val="22"/>
        </w:rPr>
        <w:t xml:space="preserve">&lt;innehaveren av markedsføringstillatelsen for {godkjent legemiddel mot sjeldne sykdommer} er ikke i stand til å levere tilstrekkelige mengder av legemidlet&gt; &lt;og&gt; </w:t>
      </w:r>
    </w:p>
    <w:p w:rsidR="0017686A" w:rsidRPr="00903825" w:rsidRDefault="0017686A" w:rsidP="0017686A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903825">
        <w:rPr>
          <w:rFonts w:ascii="Times New Roman" w:hAnsi="Times New Roman" w:cs="Times New Roman"/>
          <w:sz w:val="22"/>
          <w:szCs w:val="22"/>
        </w:rPr>
        <w:t>&lt;søker kan påvise i søknaden at legemidlet, selv om det ligner på {godkjent legemiddel mot sjeldne sykdommer} er sikrere, mer effektivt eller på annen måte klinisk overordnet (som definert i artikkel 3 i kommisjonens forordning (EF) nr. 847/2000) for den samme terapeutiske indikasjon&gt; &lt;og&gt;</w:t>
      </w:r>
    </w:p>
    <w:p w:rsidR="0017686A" w:rsidRPr="00903825" w:rsidRDefault="0017686A" w:rsidP="0017686A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903825">
        <w:rPr>
          <w:rFonts w:ascii="Times New Roman" w:hAnsi="Times New Roman" w:cs="Times New Roman"/>
          <w:sz w:val="22"/>
          <w:szCs w:val="22"/>
        </w:rPr>
        <w:t xml:space="preserve">&lt;innehaveren av markedsføringstillatelsen for {godkjent legemiddel mot sjeldne sykdommer} har gitt sitt samtykke til søker.&gt; </w:t>
      </w:r>
    </w:p>
    <w:p w:rsidR="00BA06C7" w:rsidRPr="00903825" w:rsidRDefault="00BA06C7" w:rsidP="00BA06C7">
      <w:pPr>
        <w:numPr>
          <w:ilvl w:val="0"/>
          <w:numId w:val="3"/>
        </w:numPr>
        <w:spacing w:after="140" w:line="280" w:lineRule="atLeast"/>
        <w:rPr>
          <w:rFonts w:eastAsia="Verdana"/>
          <w:b/>
          <w:szCs w:val="22"/>
          <w:lang w:val="nb-NO" w:eastAsia="en-GB"/>
        </w:rPr>
      </w:pPr>
      <w:r w:rsidRPr="00903825">
        <w:rPr>
          <w:rFonts w:eastAsia="Verdana"/>
          <w:b/>
          <w:szCs w:val="22"/>
          <w:lang w:val="nb-NO" w:eastAsia="en-GB"/>
        </w:rPr>
        <w:t>&lt;</w:t>
      </w:r>
      <w:r w:rsidR="0017686A" w:rsidRPr="00903825">
        <w:rPr>
          <w:rFonts w:eastAsia="Verdana"/>
          <w:b/>
          <w:szCs w:val="22"/>
          <w:lang w:val="nb-NO" w:eastAsia="en-GB"/>
        </w:rPr>
        <w:t>&lt;</w:t>
      </w:r>
      <w:r w:rsidR="0017686A" w:rsidRPr="00903825">
        <w:rPr>
          <w:b/>
          <w:szCs w:val="22"/>
          <w:lang w:val="nb-NO"/>
        </w:rPr>
        <w:t>markedsføringsbeskyttelse&gt; &lt;databeskyttelse&gt; i et</w:t>
      </w:r>
      <w:r w:rsidR="00C76F31" w:rsidRPr="00903825">
        <w:rPr>
          <w:b/>
          <w:szCs w:val="22"/>
          <w:lang w:val="nb-NO"/>
        </w:rPr>
        <w:t>t</w:t>
      </w:r>
      <w:r w:rsidR="0017686A" w:rsidRPr="00903825">
        <w:rPr>
          <w:b/>
          <w:szCs w:val="22"/>
          <w:lang w:val="nb-NO"/>
        </w:rPr>
        <w:t xml:space="preserve"> år</w:t>
      </w:r>
      <w:r w:rsidR="0017686A" w:rsidRPr="00903825">
        <w:rPr>
          <w:rFonts w:eastAsia="Verdana"/>
          <w:b/>
          <w:szCs w:val="22"/>
          <w:lang w:val="nb-NO" w:eastAsia="en-GB"/>
        </w:rPr>
        <w:t xml:space="preserve"> </w:t>
      </w:r>
      <w:r w:rsidRPr="00903825">
        <w:rPr>
          <w:rFonts w:eastAsia="Verdana"/>
          <w:b/>
          <w:szCs w:val="22"/>
          <w:lang w:val="nb-NO" w:eastAsia="en-GB"/>
        </w:rPr>
        <w:t>&gt;</w:t>
      </w:r>
    </w:p>
    <w:p w:rsidR="00BA06C7" w:rsidRPr="00903825" w:rsidRDefault="00BA06C7" w:rsidP="00BA06C7">
      <w:pPr>
        <w:spacing w:after="140" w:line="280" w:lineRule="atLeast"/>
        <w:rPr>
          <w:rFonts w:eastAsia="Verdana"/>
          <w:i/>
          <w:color w:val="339966"/>
          <w:szCs w:val="22"/>
          <w:lang w:val="nb-NO" w:eastAsia="en-GB"/>
        </w:rPr>
      </w:pPr>
      <w:r w:rsidRPr="00903825">
        <w:rPr>
          <w:rFonts w:eastAsia="Verdana"/>
          <w:i/>
          <w:color w:val="339966"/>
          <w:szCs w:val="22"/>
          <w:lang w:val="nb-NO" w:eastAsia="en-GB"/>
        </w:rPr>
        <w:t>[Where one-year marketing protection/data exclusivity is accepted, please select the statement(s) as provided below, otherwise provide scientific conclusions and grounds.]</w:t>
      </w:r>
    </w:p>
    <w:p w:rsidR="00BA06C7" w:rsidRPr="00903825" w:rsidRDefault="00BA06C7" w:rsidP="00BA06C7">
      <w:pPr>
        <w:spacing w:after="140" w:line="280" w:lineRule="atLeast"/>
        <w:rPr>
          <w:rFonts w:eastAsia="Verdana"/>
          <w:szCs w:val="22"/>
          <w:lang w:val="nb-NO" w:eastAsia="en-GB"/>
        </w:rPr>
      </w:pPr>
      <w:r w:rsidRPr="00903825">
        <w:rPr>
          <w:rFonts w:eastAsia="Verdana"/>
          <w:i/>
          <w:color w:val="339966"/>
          <w:szCs w:val="22"/>
          <w:lang w:val="nb-NO" w:eastAsia="en-GB"/>
        </w:rPr>
        <w:t>[For Art 14(11)]</w:t>
      </w:r>
      <w:r w:rsidRPr="00903825">
        <w:rPr>
          <w:rFonts w:eastAsia="Verdana"/>
          <w:szCs w:val="22"/>
          <w:lang w:val="nb-NO" w:eastAsia="en-GB"/>
        </w:rPr>
        <w:t xml:space="preserve"> &lt;</w:t>
      </w:r>
      <w:r w:rsidR="0017686A" w:rsidRPr="00903825">
        <w:rPr>
          <w:szCs w:val="22"/>
          <w:lang w:val="nb-NO"/>
        </w:rPr>
        <w:t xml:space="preserve">CHMP </w:t>
      </w:r>
      <w:r w:rsidR="00C76F31" w:rsidRPr="00903825">
        <w:rPr>
          <w:szCs w:val="22"/>
          <w:lang w:val="nb-NO"/>
        </w:rPr>
        <w:t>vurderte</w:t>
      </w:r>
      <w:r w:rsidR="0017686A" w:rsidRPr="00903825">
        <w:rPr>
          <w:szCs w:val="22"/>
          <w:lang w:val="nb-NO"/>
        </w:rPr>
        <w:t xml:space="preserve"> data innsendt av innehaveren av markedsføringstillatelsen, tatt i betraktning bestemmelsene i artikkel 14(11) i forordning (EF) nr. 726/2004, og er av den oppfatning at den nye terapeutiske indikasjon</w:t>
      </w:r>
      <w:r w:rsidR="00C76F31" w:rsidRPr="00903825">
        <w:rPr>
          <w:szCs w:val="22"/>
          <w:lang w:val="nb-NO"/>
        </w:rPr>
        <w:t>en</w:t>
      </w:r>
      <w:r w:rsidR="0017686A" w:rsidRPr="00903825">
        <w:rPr>
          <w:szCs w:val="22"/>
          <w:lang w:val="nb-NO"/>
        </w:rPr>
        <w:t xml:space="preserve"> gir en vesentlig klinisk fordel sammenlignet med eksisterende </w:t>
      </w:r>
      <w:r w:rsidR="00C76F31" w:rsidRPr="00903825">
        <w:rPr>
          <w:szCs w:val="22"/>
          <w:lang w:val="nb-NO"/>
        </w:rPr>
        <w:t>indikasjoner</w:t>
      </w:r>
      <w:r w:rsidR="0017686A" w:rsidRPr="00903825">
        <w:rPr>
          <w:szCs w:val="22"/>
          <w:lang w:val="nb-NO"/>
        </w:rPr>
        <w:t xml:space="preserve">. Dette er nærmere beskrevet i den europeiske offentlige </w:t>
      </w:r>
      <w:r w:rsidR="00CD157E" w:rsidRPr="00903825">
        <w:rPr>
          <w:szCs w:val="22"/>
          <w:lang w:val="nb-NO"/>
        </w:rPr>
        <w:t>evaluering</w:t>
      </w:r>
      <w:r w:rsidR="0017686A" w:rsidRPr="00903825">
        <w:rPr>
          <w:szCs w:val="22"/>
          <w:lang w:val="nb-NO"/>
        </w:rPr>
        <w:t>srapporten (EPAR).</w:t>
      </w:r>
      <w:r w:rsidRPr="00903825">
        <w:rPr>
          <w:rFonts w:eastAsia="Verdana"/>
          <w:szCs w:val="22"/>
          <w:lang w:val="nb-NO" w:eastAsia="en-GB"/>
        </w:rPr>
        <w:t>&gt;</w:t>
      </w:r>
    </w:p>
    <w:p w:rsidR="00BA06C7" w:rsidRPr="00903825" w:rsidRDefault="00BA06C7" w:rsidP="00BA06C7">
      <w:pPr>
        <w:spacing w:after="140" w:line="280" w:lineRule="atLeast"/>
        <w:rPr>
          <w:rFonts w:eastAsia="Verdana"/>
          <w:szCs w:val="22"/>
          <w:lang w:val="nb-NO" w:eastAsia="en-GB"/>
        </w:rPr>
      </w:pPr>
      <w:r w:rsidRPr="00903825">
        <w:rPr>
          <w:rFonts w:eastAsia="Verdana"/>
          <w:i/>
          <w:color w:val="339966"/>
          <w:szCs w:val="22"/>
          <w:lang w:val="nb-NO" w:eastAsia="en-GB"/>
        </w:rPr>
        <w:t>[Art 10(5)]</w:t>
      </w:r>
      <w:r w:rsidRPr="00903825">
        <w:rPr>
          <w:rFonts w:eastAsia="Verdana"/>
          <w:bCs/>
          <w:i/>
          <w:color w:val="339966"/>
          <w:kern w:val="32"/>
          <w:szCs w:val="22"/>
          <w:lang w:val="nb-NO" w:eastAsia="en-GB"/>
        </w:rPr>
        <w:t xml:space="preserve"> </w:t>
      </w:r>
      <w:r w:rsidRPr="00903825">
        <w:rPr>
          <w:rFonts w:eastAsia="Verdana"/>
          <w:bCs/>
          <w:kern w:val="32"/>
          <w:szCs w:val="22"/>
          <w:lang w:val="nb-NO" w:eastAsia="en-GB"/>
        </w:rPr>
        <w:t>&lt;</w:t>
      </w:r>
      <w:r w:rsidR="0017686A" w:rsidRPr="00903825">
        <w:rPr>
          <w:szCs w:val="22"/>
          <w:lang w:val="nb-NO"/>
        </w:rPr>
        <w:t xml:space="preserve">CHMP </w:t>
      </w:r>
      <w:r w:rsidR="00C76F31" w:rsidRPr="00903825">
        <w:rPr>
          <w:szCs w:val="22"/>
          <w:lang w:val="nb-NO"/>
        </w:rPr>
        <w:t>vurderte</w:t>
      </w:r>
      <w:r w:rsidR="0017686A" w:rsidRPr="00903825">
        <w:rPr>
          <w:szCs w:val="22"/>
          <w:lang w:val="nb-NO"/>
        </w:rPr>
        <w:t xml:space="preserve"> data innsendt av innehaveren av markedsføringstillatelsen, tatt i betraktning bestemmelsene i artikkel 10(5) i direktiv 2001/83/EF, og e</w:t>
      </w:r>
      <w:r w:rsidR="00C76F31" w:rsidRPr="00903825">
        <w:rPr>
          <w:szCs w:val="22"/>
          <w:lang w:val="nb-NO"/>
        </w:rPr>
        <w:t>r av den oppfatning at &lt;de &lt;pre</w:t>
      </w:r>
      <w:r w:rsidR="0017686A" w:rsidRPr="00903825">
        <w:rPr>
          <w:szCs w:val="22"/>
          <w:lang w:val="nb-NO"/>
        </w:rPr>
        <w:t xml:space="preserve">kliniske forsøk&gt; &lt;og&gt; &lt;kliniske studier&gt; som er utført i forbindelse med den nye indikasjonen er av vesentlig betydning. Dette er nærmere beskrevet i den europeiske offentlige </w:t>
      </w:r>
      <w:r w:rsidR="00CD157E" w:rsidRPr="00903825">
        <w:rPr>
          <w:szCs w:val="22"/>
          <w:lang w:val="nb-NO"/>
        </w:rPr>
        <w:t>evaluering</w:t>
      </w:r>
      <w:r w:rsidR="0017686A" w:rsidRPr="00903825">
        <w:rPr>
          <w:szCs w:val="22"/>
          <w:lang w:val="nb-NO"/>
        </w:rPr>
        <w:t>srapporten (EPAR).</w:t>
      </w:r>
      <w:r w:rsidRPr="00903825">
        <w:rPr>
          <w:rFonts w:eastAsia="Verdana"/>
          <w:szCs w:val="22"/>
          <w:lang w:val="nb-NO" w:eastAsia="en-GB"/>
        </w:rPr>
        <w:t>&gt;</w:t>
      </w:r>
    </w:p>
    <w:p w:rsidR="00552427" w:rsidRPr="00903825" w:rsidRDefault="00BA06C7" w:rsidP="00BA06C7">
      <w:pPr>
        <w:spacing w:after="140" w:line="280" w:lineRule="atLeast"/>
        <w:rPr>
          <w:szCs w:val="22"/>
          <w:lang w:val="nb-NO"/>
        </w:rPr>
      </w:pPr>
      <w:r w:rsidRPr="00903825">
        <w:rPr>
          <w:rFonts w:eastAsia="Verdana"/>
          <w:i/>
          <w:color w:val="339966"/>
          <w:szCs w:val="22"/>
          <w:lang w:val="nb-NO" w:eastAsia="en-GB"/>
        </w:rPr>
        <w:t>[Art 74(a)- legal status switch]</w:t>
      </w:r>
      <w:r w:rsidRPr="00903825">
        <w:rPr>
          <w:rFonts w:eastAsia="Verdana"/>
          <w:szCs w:val="22"/>
          <w:lang w:val="nb-NO" w:eastAsia="en-GB"/>
        </w:rPr>
        <w:t>&lt;</w:t>
      </w:r>
      <w:r w:rsidR="007C50F9" w:rsidRPr="00903825">
        <w:rPr>
          <w:rFonts w:eastAsia="Verdana"/>
          <w:szCs w:val="22"/>
          <w:lang w:val="nb-NO" w:eastAsia="en-GB"/>
        </w:rPr>
        <w:t xml:space="preserve">Videre </w:t>
      </w:r>
      <w:r w:rsidR="00C76F31" w:rsidRPr="00903825">
        <w:rPr>
          <w:rFonts w:eastAsia="Verdana"/>
          <w:szCs w:val="22"/>
          <w:lang w:val="nb-NO" w:eastAsia="en-GB"/>
        </w:rPr>
        <w:t>vurderte</w:t>
      </w:r>
      <w:r w:rsidR="00D65908" w:rsidRPr="00903825">
        <w:rPr>
          <w:rFonts w:eastAsia="Verdana"/>
          <w:szCs w:val="22"/>
          <w:lang w:val="nb-NO" w:eastAsia="en-GB"/>
        </w:rPr>
        <w:t xml:space="preserve"> </w:t>
      </w:r>
      <w:r w:rsidRPr="00903825">
        <w:rPr>
          <w:rFonts w:eastAsia="Verdana"/>
          <w:szCs w:val="22"/>
          <w:lang w:val="nb-NO" w:eastAsia="en-GB"/>
        </w:rPr>
        <w:t xml:space="preserve">CHMP data </w:t>
      </w:r>
      <w:r w:rsidR="00D65908" w:rsidRPr="00903825">
        <w:rPr>
          <w:szCs w:val="22"/>
          <w:lang w:val="nb-NO"/>
        </w:rPr>
        <w:t xml:space="preserve">innsendt av innehaveren av markedsføringstillatelsen, tatt i betraktning bestemmelsene i artikkel </w:t>
      </w:r>
      <w:r w:rsidRPr="00903825">
        <w:rPr>
          <w:rFonts w:eastAsia="Verdana"/>
          <w:szCs w:val="22"/>
          <w:lang w:val="nb-NO" w:eastAsia="en-GB"/>
        </w:rPr>
        <w:t xml:space="preserve">74(a) </w:t>
      </w:r>
      <w:r w:rsidR="00926506" w:rsidRPr="00903825">
        <w:rPr>
          <w:rFonts w:eastAsia="Verdana"/>
          <w:szCs w:val="22"/>
          <w:lang w:val="nb-NO" w:eastAsia="en-GB"/>
        </w:rPr>
        <w:t xml:space="preserve">i direktiv </w:t>
      </w:r>
      <w:r w:rsidRPr="00903825">
        <w:rPr>
          <w:rFonts w:eastAsia="Verdana"/>
          <w:szCs w:val="22"/>
          <w:lang w:val="nb-NO" w:eastAsia="en-GB"/>
        </w:rPr>
        <w:t>2001/83/E</w:t>
      </w:r>
      <w:r w:rsidR="00926506" w:rsidRPr="00903825">
        <w:rPr>
          <w:rFonts w:eastAsia="Verdana"/>
          <w:szCs w:val="22"/>
          <w:lang w:val="nb-NO" w:eastAsia="en-GB"/>
        </w:rPr>
        <w:t>F</w:t>
      </w:r>
      <w:r w:rsidRPr="00903825">
        <w:rPr>
          <w:rFonts w:eastAsia="Verdana"/>
          <w:szCs w:val="22"/>
          <w:lang w:val="nb-NO" w:eastAsia="en-GB"/>
        </w:rPr>
        <w:t xml:space="preserve">, </w:t>
      </w:r>
      <w:r w:rsidR="00926506" w:rsidRPr="00903825">
        <w:rPr>
          <w:rFonts w:eastAsia="Verdana"/>
          <w:szCs w:val="22"/>
          <w:lang w:val="nb-NO" w:eastAsia="en-GB"/>
        </w:rPr>
        <w:t>og er av den oppfatning at innsendte data som støtter klassifisering av {legemidlets navn}</w:t>
      </w:r>
      <w:r w:rsidR="00016B37" w:rsidRPr="00903825">
        <w:rPr>
          <w:rFonts w:eastAsia="Verdana"/>
          <w:szCs w:val="22"/>
          <w:lang w:val="nb-NO" w:eastAsia="en-GB"/>
        </w:rPr>
        <w:t xml:space="preserve"> </w:t>
      </w:r>
      <w:r w:rsidR="00926506" w:rsidRPr="00903825">
        <w:rPr>
          <w:rFonts w:eastAsia="Verdana"/>
          <w:szCs w:val="22"/>
          <w:lang w:val="nb-NO" w:eastAsia="en-GB"/>
        </w:rPr>
        <w:t xml:space="preserve">som “reseptfritt legemiddel” er av vesentlig betydning. </w:t>
      </w:r>
      <w:r w:rsidR="00926506" w:rsidRPr="00903825">
        <w:rPr>
          <w:szCs w:val="22"/>
          <w:lang w:val="nb-NO"/>
        </w:rPr>
        <w:t xml:space="preserve">Dette er nærmere beskrevet i den europeiske offentlige </w:t>
      </w:r>
      <w:r w:rsidR="00CD157E" w:rsidRPr="00903825">
        <w:rPr>
          <w:szCs w:val="22"/>
          <w:lang w:val="nb-NO"/>
        </w:rPr>
        <w:t>evaluering</w:t>
      </w:r>
      <w:r w:rsidR="00926506" w:rsidRPr="00903825">
        <w:rPr>
          <w:szCs w:val="22"/>
          <w:lang w:val="nb-NO"/>
        </w:rPr>
        <w:t>srapporten (EPAR).</w:t>
      </w:r>
      <w:r w:rsidR="00016B37" w:rsidRPr="00903825">
        <w:rPr>
          <w:szCs w:val="22"/>
          <w:lang w:val="nb-NO"/>
        </w:rPr>
        <w:t>&gt;</w:t>
      </w:r>
    </w:p>
    <w:sectPr w:rsidR="00552427" w:rsidRPr="00903825" w:rsidSect="002A3C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7" w:right="1247" w:bottom="1417" w:left="1247" w:header="284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44C" w:rsidRDefault="0037744C">
      <w:r>
        <w:separator/>
      </w:r>
    </w:p>
  </w:endnote>
  <w:endnote w:type="continuationSeparator" w:id="0">
    <w:p w:rsidR="0037744C" w:rsidRDefault="00377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441" w:rsidRDefault="00C664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825" w:rsidRDefault="00903825">
    <w:pPr>
      <w:pStyle w:val="Footer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3B3087">
      <w:t>1</w:t>
    </w:r>
    <w:r>
      <w:fldChar w:fldCharType="end"/>
    </w:r>
  </w:p>
  <w:p w:rsidR="00926506" w:rsidRDefault="00926506" w:rsidP="002A3C92">
    <w:pPr>
      <w:pStyle w:val="FooterAgency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506" w:rsidRDefault="00926506">
    <w:pPr>
      <w:pStyle w:val="Footer"/>
      <w:jc w:val="center"/>
      <w:rPr>
        <w:lang w:val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44C" w:rsidRDefault="0037744C">
      <w:r>
        <w:separator/>
      </w:r>
    </w:p>
  </w:footnote>
  <w:footnote w:type="continuationSeparator" w:id="0">
    <w:p w:rsidR="0037744C" w:rsidRDefault="003774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441" w:rsidRDefault="00C664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441" w:rsidRDefault="00C6644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441" w:rsidRDefault="00C664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>
    <w:nsid w:val="2DEB39D7"/>
    <w:multiLevelType w:val="hybridMultilevel"/>
    <w:tmpl w:val="131464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">
    <w:nsid w:val="69E95A54"/>
    <w:multiLevelType w:val="hybridMultilevel"/>
    <w:tmpl w:val="93BE8EF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Registered" w:val="-1"/>
    <w:docVar w:name="Version" w:val="0"/>
  </w:docVars>
  <w:rsids>
    <w:rsidRoot w:val="00BA06C7"/>
    <w:rsid w:val="0001151A"/>
    <w:rsid w:val="00016B37"/>
    <w:rsid w:val="000B2320"/>
    <w:rsid w:val="00146CC9"/>
    <w:rsid w:val="0017686A"/>
    <w:rsid w:val="001B46D1"/>
    <w:rsid w:val="002A3C92"/>
    <w:rsid w:val="002F37D6"/>
    <w:rsid w:val="0037744C"/>
    <w:rsid w:val="003B3087"/>
    <w:rsid w:val="003B4241"/>
    <w:rsid w:val="004428B5"/>
    <w:rsid w:val="004C3217"/>
    <w:rsid w:val="0054428C"/>
    <w:rsid w:val="00552427"/>
    <w:rsid w:val="006A3ACD"/>
    <w:rsid w:val="0077525E"/>
    <w:rsid w:val="00777778"/>
    <w:rsid w:val="007C50F9"/>
    <w:rsid w:val="0088677A"/>
    <w:rsid w:val="00903825"/>
    <w:rsid w:val="00926506"/>
    <w:rsid w:val="009B439B"/>
    <w:rsid w:val="009B6548"/>
    <w:rsid w:val="00A55B19"/>
    <w:rsid w:val="00BA06C7"/>
    <w:rsid w:val="00C375A3"/>
    <w:rsid w:val="00C66441"/>
    <w:rsid w:val="00C76F31"/>
    <w:rsid w:val="00CD157E"/>
    <w:rsid w:val="00D65908"/>
    <w:rsid w:val="00DE3F21"/>
    <w:rsid w:val="00E66B5C"/>
    <w:rsid w:val="00EB0E26"/>
    <w:rsid w:val="00F13FBD"/>
    <w:rsid w:val="00F879F9"/>
    <w:rsid w:val="00FE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FooterAgency">
    <w:name w:val="Footer (Agency)"/>
    <w:basedOn w:val="Normal"/>
    <w:link w:val="FooterAgencyCharChar"/>
    <w:rsid w:val="00BA06C7"/>
    <w:rPr>
      <w:rFonts w:ascii="Verdana" w:eastAsia="Verdana" w:hAnsi="Verdana" w:cs="Verdana"/>
      <w:color w:val="6D6F71"/>
      <w:sz w:val="14"/>
      <w:szCs w:val="14"/>
      <w:lang w:eastAsia="en-GB"/>
    </w:rPr>
  </w:style>
  <w:style w:type="table" w:customStyle="1" w:styleId="FootertableAgency">
    <w:name w:val="Footer table (Agency)"/>
    <w:basedOn w:val="TableNormal"/>
    <w:rsid w:val="00BA06C7"/>
    <w:rPr>
      <w:rFonts w:ascii="Verdana" w:eastAsia="SimSun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BA06C7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rsid w:val="00BA06C7"/>
    <w:pPr>
      <w:tabs>
        <w:tab w:val="right" w:pos="9781"/>
      </w:tabs>
      <w:jc w:val="right"/>
    </w:pPr>
    <w:rPr>
      <w:rFonts w:ascii="Verdana" w:eastAsia="Verdana" w:hAnsi="Verdana" w:cs="Verdana"/>
      <w:noProof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rsid w:val="00BA06C7"/>
    <w:rPr>
      <w:rFonts w:ascii="Verdana" w:eastAsia="Verdana" w:hAnsi="Verdana" w:cs="Verdana"/>
      <w:noProof/>
      <w:color w:val="6D6F71"/>
      <w:sz w:val="14"/>
      <w:szCs w:val="14"/>
    </w:rPr>
  </w:style>
  <w:style w:type="paragraph" w:styleId="BalloonText">
    <w:name w:val="Balloon Text"/>
    <w:basedOn w:val="Normal"/>
    <w:semiHidden/>
    <w:rsid w:val="0088677A"/>
    <w:rPr>
      <w:rFonts w:ascii="Tahoma" w:hAnsi="Tahoma" w:cs="Tahoma"/>
      <w:sz w:val="16"/>
      <w:szCs w:val="16"/>
    </w:rPr>
  </w:style>
  <w:style w:type="character" w:customStyle="1" w:styleId="No-numheading3AgencyChar">
    <w:name w:val="No-num heading 3 (Agency) Char"/>
    <w:link w:val="No-numheading3Agency"/>
    <w:locked/>
    <w:rsid w:val="0017686A"/>
    <w:rPr>
      <w:rFonts w:ascii="Verdana" w:eastAsia="Verdana" w:hAnsi="Verdana" w:cs="Arial"/>
      <w:b/>
      <w:bCs/>
      <w:kern w:val="32"/>
      <w:sz w:val="22"/>
      <w:szCs w:val="22"/>
    </w:rPr>
  </w:style>
  <w:style w:type="paragraph" w:customStyle="1" w:styleId="No-numheading3Agency">
    <w:name w:val="No-num heading 3 (Agency)"/>
    <w:basedOn w:val="Normal"/>
    <w:next w:val="Normal"/>
    <w:link w:val="No-numheading3AgencyChar"/>
    <w:rsid w:val="0017686A"/>
    <w:pPr>
      <w:keepNext/>
      <w:spacing w:before="280" w:after="220"/>
      <w:outlineLvl w:val="2"/>
    </w:pPr>
    <w:rPr>
      <w:rFonts w:ascii="Verdana" w:eastAsia="Verdana" w:hAnsi="Verdana" w:cs="Arial"/>
      <w:b/>
      <w:bCs/>
      <w:kern w:val="32"/>
      <w:szCs w:val="22"/>
      <w:lang w:val="nb-NO" w:eastAsia="nb-NO"/>
    </w:rPr>
  </w:style>
  <w:style w:type="character" w:customStyle="1" w:styleId="BodytextAgencyChar">
    <w:name w:val="Body text (Agency) Char"/>
    <w:link w:val="BodytextAgency"/>
    <w:locked/>
    <w:rsid w:val="0017686A"/>
    <w:rPr>
      <w:rFonts w:ascii="Verdana" w:eastAsia="Verdana" w:hAnsi="Verdana" w:cs="Verdana"/>
      <w:sz w:val="18"/>
      <w:szCs w:val="18"/>
    </w:rPr>
  </w:style>
  <w:style w:type="paragraph" w:customStyle="1" w:styleId="BodytextAgency">
    <w:name w:val="Body text (Agency)"/>
    <w:basedOn w:val="Normal"/>
    <w:link w:val="BodytextAgencyChar"/>
    <w:rsid w:val="0017686A"/>
    <w:pPr>
      <w:spacing w:after="140" w:line="280" w:lineRule="atLeast"/>
    </w:pPr>
    <w:rPr>
      <w:rFonts w:ascii="Verdana" w:eastAsia="Verdana" w:hAnsi="Verdana" w:cs="Verdana"/>
      <w:sz w:val="18"/>
      <w:szCs w:val="18"/>
      <w:lang w:val="nb-NO" w:eastAsia="nb-NO"/>
    </w:rPr>
  </w:style>
  <w:style w:type="character" w:customStyle="1" w:styleId="DraftingNotesAgencyChar">
    <w:name w:val="Drafting Notes (Agency) Char"/>
    <w:link w:val="DraftingNotesAgency"/>
    <w:locked/>
    <w:rsid w:val="0017686A"/>
    <w:rPr>
      <w:rFonts w:ascii="Courier New" w:eastAsia="Verdana" w:hAnsi="Courier New" w:cs="Courier New"/>
      <w:i/>
      <w:color w:val="339966"/>
      <w:sz w:val="22"/>
      <w:szCs w:val="18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17686A"/>
    <w:pPr>
      <w:spacing w:after="140" w:line="280" w:lineRule="atLeast"/>
    </w:pPr>
    <w:rPr>
      <w:rFonts w:ascii="Courier New" w:eastAsia="Verdana" w:hAnsi="Courier New" w:cs="Courier New"/>
      <w:i/>
      <w:color w:val="339966"/>
      <w:szCs w:val="18"/>
      <w:lang w:val="nb-NO" w:eastAsia="nb-NO"/>
    </w:rPr>
  </w:style>
  <w:style w:type="character" w:customStyle="1" w:styleId="FooterChar">
    <w:name w:val="Footer Char"/>
    <w:link w:val="Footer"/>
    <w:uiPriority w:val="99"/>
    <w:rsid w:val="00903825"/>
    <w:rPr>
      <w:rFonts w:ascii="Arial" w:hAnsi="Arial"/>
      <w:noProof/>
      <w:sz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HannexIVstandardno</vt:lpstr>
      <vt:lpstr>Annex IV Standard Positive template EN rev.1</vt:lpstr>
    </vt:vector>
  </TitlesOfParts>
  <Company>European Medicines Agency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HannexIVstandardno</dc:title>
  <dc:creator>European Medicines Agency</dc:creator>
  <cp:lastModifiedBy>Akhtar Tia</cp:lastModifiedBy>
  <cp:revision>2</cp:revision>
  <cp:lastPrinted>1601-01-01T00:00:00Z</cp:lastPrinted>
  <dcterms:created xsi:type="dcterms:W3CDTF">2019-09-19T14:45:00Z</dcterms:created>
  <dcterms:modified xsi:type="dcterms:W3CDTF">2019-09-19T14:45:00Z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12/10/2018 14:13:55</vt:lpwstr>
  </property>
  <property fmtid="{D5CDD505-2E9C-101B-9397-08002B2CF9AE}" pid="5" name="DM_Creator_Name">
    <vt:lpwstr>Akhtar Timea</vt:lpwstr>
  </property>
  <property fmtid="{D5CDD505-2E9C-101B-9397-08002B2CF9AE}" pid="6" name="DM_DocRefId">
    <vt:lpwstr>EMA/713558/2018</vt:lpwstr>
  </property>
  <property fmtid="{D5CDD505-2E9C-101B-9397-08002B2CF9AE}" pid="7" name="DM_emea_doc_ref_id">
    <vt:lpwstr>EMA/713558/2018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12/10/2018 14:13:55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12/10/2018 14:13:55</vt:lpwstr>
  </property>
  <property fmtid="{D5CDD505-2E9C-101B-9397-08002B2CF9AE}" pid="14" name="DM_Name">
    <vt:lpwstr>HannexIVstandardno</vt:lpwstr>
  </property>
  <property fmtid="{D5CDD505-2E9C-101B-9397-08002B2CF9AE}" pid="15" name="DM_Path">
    <vt:lpwstr>/02b. Administration of Scientific Meeting/WPs SAGs DGs and other WGs/CxMP - QRD/3. Other activities/01. Product Reviews/05. AD HOC linguistic reviews/17 Annex IV revision 10-2016/3. Final translations for publication/Standard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</Properties>
</file>