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6854" w14:textId="77777777" w:rsidR="00712EB0" w:rsidRDefault="00712EB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C0C0C0"/>
        <w:ind w:right="-215"/>
        <w:jc w:val="left"/>
        <w:rPr>
          <w:noProof/>
          <w:lang w:val="de-DE"/>
        </w:rPr>
      </w:pPr>
      <w:r>
        <w:rPr>
          <w:noProof/>
          <w:lang w:val="de-DE"/>
        </w:rPr>
        <w:t>GERMAN</w:t>
      </w:r>
    </w:p>
    <w:p w14:paraId="03EB3630" w14:textId="77777777" w:rsidR="00712EB0" w:rsidRDefault="00712EB0">
      <w:pPr>
        <w:numPr>
          <w:ilvl w:val="12"/>
          <w:numId w:val="0"/>
        </w:numPr>
        <w:ind w:right="-2"/>
        <w:rPr>
          <w:noProof/>
          <w:lang w:val="de-DE"/>
        </w:rPr>
      </w:pPr>
    </w:p>
    <w:p w14:paraId="718A707A" w14:textId="77777777" w:rsidR="00712EB0" w:rsidRDefault="00712EB0">
      <w:pPr>
        <w:numPr>
          <w:ilvl w:val="12"/>
          <w:numId w:val="0"/>
        </w:numPr>
        <w:ind w:right="-2"/>
        <w:rPr>
          <w:noProof/>
          <w:lang w:val="de-DE"/>
        </w:rPr>
      </w:pPr>
    </w:p>
    <w:p w14:paraId="6709FC7E" w14:textId="77777777" w:rsidR="00712EB0" w:rsidRDefault="00712EB0">
      <w:pPr>
        <w:pStyle w:val="subhead"/>
        <w:tabs>
          <w:tab w:val="clear" w:pos="567"/>
          <w:tab w:val="clear" w:pos="1134"/>
        </w:tabs>
        <w:rPr>
          <w:rFonts w:ascii="Times New Roman" w:hAnsi="Times New Roman"/>
          <w:caps w:val="0"/>
          <w:noProof/>
          <w:lang w:val="de-DE"/>
        </w:rPr>
      </w:pPr>
      <w:r>
        <w:rPr>
          <w:rFonts w:ascii="Times New Roman" w:hAnsi="Times New Roman"/>
          <w:caps w:val="0"/>
          <w:noProof/>
          <w:lang w:val="de-DE"/>
        </w:rPr>
        <w:t>ZUSAMMENFASSUNG DER MERKMALE DES ARZNEIMITTELS</w:t>
      </w:r>
    </w:p>
    <w:p w14:paraId="05285780" w14:textId="77777777" w:rsidR="00712EB0" w:rsidRDefault="00712EB0">
      <w:pPr>
        <w:ind w:left="567" w:hanging="567"/>
        <w:rPr>
          <w:b/>
          <w:noProof/>
          <w:lang w:val="de-DE"/>
        </w:rPr>
      </w:pPr>
    </w:p>
    <w:p w14:paraId="77B18849" w14:textId="77777777" w:rsidR="00712EB0" w:rsidRDefault="00712EB0">
      <w:pPr>
        <w:ind w:left="567" w:hanging="567"/>
        <w:rPr>
          <w:noProof/>
          <w:lang w:val="de-DE"/>
        </w:rPr>
      </w:pPr>
      <w:r>
        <w:rPr>
          <w:b/>
          <w:noProof/>
          <w:lang w:val="de-DE"/>
        </w:rPr>
        <w:t>6.4</w:t>
      </w:r>
      <w:r>
        <w:rPr>
          <w:b/>
          <w:noProof/>
          <w:lang w:val="de-DE"/>
        </w:rPr>
        <w:tab/>
        <w:t xml:space="preserve">Besondere </w:t>
      </w:r>
      <w:r w:rsidRPr="00931060">
        <w:rPr>
          <w:b/>
          <w:noProof/>
          <w:lang w:val="de-DE"/>
        </w:rPr>
        <w:t>Vorsichtsmaßnahmen für die Aufbewahrung</w:t>
      </w:r>
    </w:p>
    <w:p w14:paraId="70C660F6" w14:textId="77777777" w:rsidR="00712EB0" w:rsidRDefault="00712EB0">
      <w:pPr>
        <w:ind w:left="567" w:hanging="567"/>
        <w:rPr>
          <w:noProof/>
          <w:lang w:val="de-DE"/>
        </w:rPr>
      </w:pPr>
    </w:p>
    <w:p w14:paraId="0582B4BB" w14:textId="77777777" w:rsidR="00712EB0" w:rsidRDefault="00712EB0">
      <w:pPr>
        <w:rPr>
          <w:noProof/>
          <w:lang w:val="de-DE"/>
        </w:rPr>
      </w:pPr>
    </w:p>
    <w:p w14:paraId="025C2B0D" w14:textId="61EC7EF0" w:rsidR="00712EB0" w:rsidRPr="00091513" w:rsidRDefault="00712EB0">
      <w:pPr>
        <w:pStyle w:val="EndnoteText"/>
        <w:tabs>
          <w:tab w:val="clear" w:pos="567"/>
        </w:tabs>
        <w:rPr>
          <w:lang w:val="de-DE"/>
        </w:rPr>
      </w:pPr>
      <w:r>
        <w:rPr>
          <w:noProof/>
          <w:lang w:val="de-DE"/>
        </w:rPr>
        <w:t>&lt;Nicht über &lt;25</w:t>
      </w:r>
      <w:r w:rsidR="00BC1E43">
        <w:rPr>
          <w:noProof/>
          <w:lang w:val="de-DE"/>
        </w:rPr>
        <w:t> </w:t>
      </w:r>
      <w:r>
        <w:rPr>
          <w:noProof/>
          <w:lang w:val="de-DE"/>
        </w:rPr>
        <w:t>ºC&gt;</w:t>
      </w:r>
      <w:r w:rsidR="007A3BD3">
        <w:rPr>
          <w:noProof/>
          <w:lang w:val="de-DE"/>
        </w:rPr>
        <w:t xml:space="preserve"> </w:t>
      </w:r>
      <w:r>
        <w:rPr>
          <w:noProof/>
          <w:lang w:val="de-DE"/>
        </w:rPr>
        <w:t>&lt;30</w:t>
      </w:r>
      <w:r w:rsidR="00BC1E43">
        <w:rPr>
          <w:noProof/>
          <w:lang w:val="de-DE"/>
        </w:rPr>
        <w:t> </w:t>
      </w:r>
      <w:r>
        <w:rPr>
          <w:noProof/>
          <w:lang w:val="de-DE"/>
        </w:rPr>
        <w:t>º</w:t>
      </w:r>
      <w:r w:rsidR="00931060">
        <w:rPr>
          <w:noProof/>
          <w:lang w:val="de-DE"/>
        </w:rPr>
        <w:t>C</w:t>
      </w:r>
      <w:r>
        <w:rPr>
          <w:noProof/>
          <w:lang w:val="de-DE"/>
        </w:rPr>
        <w:t>&gt; lagern</w:t>
      </w:r>
      <w:r w:rsidR="00B45295">
        <w:rPr>
          <w:noProof/>
          <w:lang w:val="de-DE"/>
        </w:rPr>
        <w:t>.</w:t>
      </w:r>
      <w:r>
        <w:rPr>
          <w:noProof/>
          <w:lang w:val="de-DE"/>
        </w:rPr>
        <w:t>&gt;</w:t>
      </w:r>
    </w:p>
    <w:p w14:paraId="24EC3F48" w14:textId="4E4F9FFF" w:rsidR="00BC1E43" w:rsidRPr="00BC1E43" w:rsidRDefault="00BC1E43">
      <w:pPr>
        <w:pStyle w:val="EndnoteText"/>
        <w:tabs>
          <w:tab w:val="clear" w:pos="567"/>
        </w:tabs>
        <w:rPr>
          <w:strike/>
          <w:noProof/>
          <w:lang w:val="de-DE"/>
        </w:rPr>
      </w:pPr>
      <w:r w:rsidRPr="007A3BD3">
        <w:rPr>
          <w:lang w:val="de-DE"/>
        </w:rPr>
        <w:t>&lt;Unter &lt;25 °C&gt;</w:t>
      </w:r>
      <w:r w:rsidR="007A3BD3" w:rsidRPr="007A3BD3">
        <w:rPr>
          <w:lang w:val="de-DE"/>
        </w:rPr>
        <w:t xml:space="preserve"> </w:t>
      </w:r>
      <w:r w:rsidRPr="007A3BD3">
        <w:rPr>
          <w:lang w:val="de-DE"/>
        </w:rPr>
        <w:t>&lt;30 °C&gt; lagern</w:t>
      </w:r>
      <w:r w:rsidR="00B45295">
        <w:rPr>
          <w:lang w:val="de-DE"/>
        </w:rPr>
        <w:t>.</w:t>
      </w:r>
      <w:r w:rsidRPr="007A3BD3">
        <w:rPr>
          <w:lang w:val="de-DE"/>
        </w:rPr>
        <w:t>&gt;</w:t>
      </w:r>
    </w:p>
    <w:p w14:paraId="1644716C" w14:textId="48CEB0CD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&lt;Im Kühlschrank lagern (2</w:t>
      </w:r>
      <w:r w:rsidR="00BC1E43">
        <w:rPr>
          <w:noProof/>
          <w:lang w:val="de-DE"/>
        </w:rPr>
        <w:t> </w:t>
      </w:r>
      <w:r>
        <w:rPr>
          <w:noProof/>
          <w:lang w:val="de-DE"/>
        </w:rPr>
        <w:t xml:space="preserve">°C </w:t>
      </w:r>
      <w:r w:rsidR="00BC1E43">
        <w:rPr>
          <w:noProof/>
          <w:lang w:val="de-DE"/>
        </w:rPr>
        <w:t>–</w:t>
      </w:r>
      <w:r>
        <w:rPr>
          <w:noProof/>
          <w:lang w:val="de-DE"/>
        </w:rPr>
        <w:t xml:space="preserve"> 8</w:t>
      </w:r>
      <w:r w:rsidR="00BC1E43">
        <w:rPr>
          <w:noProof/>
          <w:lang w:val="de-DE"/>
        </w:rPr>
        <w:t> </w:t>
      </w:r>
      <w:r>
        <w:rPr>
          <w:noProof/>
          <w:lang w:val="de-DE"/>
        </w:rPr>
        <w:t>°C)</w:t>
      </w:r>
      <w:r w:rsidR="00841D9D">
        <w:rPr>
          <w:noProof/>
          <w:lang w:val="de-DE"/>
        </w:rPr>
        <w:t>.</w:t>
      </w:r>
      <w:r>
        <w:rPr>
          <w:noProof/>
          <w:lang w:val="de-DE"/>
        </w:rPr>
        <w:t>&gt;</w:t>
      </w:r>
    </w:p>
    <w:p w14:paraId="5ABFF28E" w14:textId="3C618CBA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&lt;Kühl lagern und transportieren (2</w:t>
      </w:r>
      <w:r w:rsidR="00BC1E43">
        <w:rPr>
          <w:noProof/>
          <w:lang w:val="de-DE"/>
        </w:rPr>
        <w:t> </w:t>
      </w:r>
      <w:r>
        <w:rPr>
          <w:noProof/>
          <w:lang w:val="de-DE"/>
        </w:rPr>
        <w:t xml:space="preserve">°C </w:t>
      </w:r>
      <w:r w:rsidR="00BC1E43">
        <w:rPr>
          <w:noProof/>
          <w:lang w:val="de-DE"/>
        </w:rPr>
        <w:t>–</w:t>
      </w:r>
      <w:r>
        <w:rPr>
          <w:noProof/>
          <w:lang w:val="de-DE"/>
        </w:rPr>
        <w:t xml:space="preserve"> 8</w:t>
      </w:r>
      <w:r w:rsidR="00BC1E43">
        <w:rPr>
          <w:noProof/>
          <w:lang w:val="de-DE"/>
        </w:rPr>
        <w:t> </w:t>
      </w:r>
      <w:r>
        <w:rPr>
          <w:noProof/>
          <w:lang w:val="de-DE"/>
        </w:rPr>
        <w:t>°C)</w:t>
      </w:r>
      <w:r w:rsidR="003F3343">
        <w:rPr>
          <w:noProof/>
          <w:lang w:val="de-DE"/>
        </w:rPr>
        <w:t>.</w:t>
      </w:r>
      <w:r>
        <w:rPr>
          <w:noProof/>
          <w:lang w:val="de-DE"/>
        </w:rPr>
        <w:t>&gt;*</w:t>
      </w:r>
    </w:p>
    <w:p w14:paraId="10C925E1" w14:textId="2C099529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&lt;Im Gefrierschrank lagern {Temperaturbereich}</w:t>
      </w:r>
      <w:r w:rsidR="003F3343">
        <w:rPr>
          <w:noProof/>
          <w:lang w:val="de-DE"/>
        </w:rPr>
        <w:t>.</w:t>
      </w:r>
      <w:r>
        <w:rPr>
          <w:noProof/>
          <w:lang w:val="de-DE"/>
        </w:rPr>
        <w:t>&gt;</w:t>
      </w:r>
    </w:p>
    <w:p w14:paraId="0FBED89F" w14:textId="44664B33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&lt;Tiefgekühlt lagern und transportieren {Temperaturbereich}</w:t>
      </w:r>
      <w:r w:rsidR="003F3343">
        <w:rPr>
          <w:noProof/>
          <w:lang w:val="de-DE"/>
        </w:rPr>
        <w:t>.</w:t>
      </w:r>
      <w:r>
        <w:rPr>
          <w:noProof/>
          <w:lang w:val="de-DE"/>
        </w:rPr>
        <w:t>&gt;**</w:t>
      </w:r>
    </w:p>
    <w:p w14:paraId="278901DD" w14:textId="6AE7455C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&lt;Nicht &lt;im Kühlschrank lagern&gt; &lt;oder&gt; &lt;einfrieren&gt;</w:t>
      </w:r>
      <w:r w:rsidR="003F3343">
        <w:rPr>
          <w:noProof/>
          <w:lang w:val="de-DE"/>
        </w:rPr>
        <w:t>.</w:t>
      </w:r>
      <w:r>
        <w:rPr>
          <w:noProof/>
          <w:lang w:val="de-DE"/>
        </w:rPr>
        <w:t>&gt;</w:t>
      </w:r>
    </w:p>
    <w:p w14:paraId="4E19344E" w14:textId="00B9E2C2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&lt;In der Originalverpackung aufbewahren</w:t>
      </w:r>
      <w:r w:rsidR="003F3343">
        <w:rPr>
          <w:noProof/>
          <w:lang w:val="de-DE"/>
        </w:rPr>
        <w:t>,</w:t>
      </w:r>
      <w:r w:rsidR="00CA1D2C">
        <w:rPr>
          <w:noProof/>
          <w:lang w:val="de-DE"/>
        </w:rPr>
        <w:t xml:space="preserve"> </w:t>
      </w:r>
      <w:r w:rsidR="003F3343">
        <w:rPr>
          <w:noProof/>
          <w:lang w:val="de-DE"/>
        </w:rPr>
        <w:t>um den Inhalt vor &lt;Licht&gt; &lt;Feuchtigkeit&gt; zu schützen</w:t>
      </w:r>
      <w:r w:rsidR="00491B56">
        <w:rPr>
          <w:noProof/>
          <w:lang w:val="de-DE"/>
        </w:rPr>
        <w:t>.</w:t>
      </w:r>
      <w:r>
        <w:rPr>
          <w:noProof/>
          <w:lang w:val="de-DE"/>
        </w:rPr>
        <w:t>&gt;****</w:t>
      </w:r>
    </w:p>
    <w:p w14:paraId="37F876F1" w14:textId="3A07CDA3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&lt;{Das Behältnis}*** fest verschlossen halten</w:t>
      </w:r>
      <w:r w:rsidR="00491B56">
        <w:rPr>
          <w:noProof/>
          <w:lang w:val="de-DE"/>
        </w:rPr>
        <w:t>,</w:t>
      </w:r>
      <w:r w:rsidR="00CA1D2C">
        <w:rPr>
          <w:noProof/>
          <w:lang w:val="de-DE"/>
        </w:rPr>
        <w:t xml:space="preserve"> </w:t>
      </w:r>
      <w:r w:rsidR="00491B56">
        <w:rPr>
          <w:noProof/>
          <w:lang w:val="de-DE"/>
        </w:rPr>
        <w:t>um den Inhalt vor &lt;Licht&gt; &lt;Feuchtigkeit&gt; zu schützen.</w:t>
      </w:r>
      <w:r>
        <w:rPr>
          <w:noProof/>
          <w:lang w:val="de-DE"/>
        </w:rPr>
        <w:t>&gt;****</w:t>
      </w:r>
    </w:p>
    <w:p w14:paraId="51F7D6E3" w14:textId="54870AFF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&lt;{Das Behältnis}*** im Umkarton aufbewahren</w:t>
      </w:r>
      <w:r w:rsidR="00491B56">
        <w:rPr>
          <w:noProof/>
          <w:lang w:val="de-DE"/>
        </w:rPr>
        <w:t>,</w:t>
      </w:r>
      <w:r w:rsidR="00CA1D2C">
        <w:rPr>
          <w:noProof/>
          <w:lang w:val="de-DE"/>
        </w:rPr>
        <w:t xml:space="preserve"> </w:t>
      </w:r>
      <w:r w:rsidR="00491B56">
        <w:rPr>
          <w:noProof/>
          <w:lang w:val="de-DE"/>
        </w:rPr>
        <w:t>um den Inhalt vor &lt;Licht&gt; &lt;Feuchtigkeit&gt; zu schützen.</w:t>
      </w:r>
      <w:r>
        <w:rPr>
          <w:noProof/>
          <w:lang w:val="de-DE"/>
        </w:rPr>
        <w:t>&gt;****</w:t>
      </w:r>
    </w:p>
    <w:p w14:paraId="2BFBAC6A" w14:textId="09744203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&lt;Für dieses Arzneimittel sind keine besonderen Lagerungsbedingungen erforderlich</w:t>
      </w:r>
      <w:r w:rsidR="00491B56">
        <w:rPr>
          <w:noProof/>
          <w:lang w:val="de-DE"/>
        </w:rPr>
        <w:t>.</w:t>
      </w:r>
      <w:r>
        <w:rPr>
          <w:noProof/>
          <w:lang w:val="de-DE"/>
        </w:rPr>
        <w:t>&gt;</w:t>
      </w:r>
    </w:p>
    <w:p w14:paraId="71123233" w14:textId="7ACD617A" w:rsidR="00712EB0" w:rsidRPr="00F26947" w:rsidRDefault="00712EB0">
      <w:pPr>
        <w:rPr>
          <w:noProof/>
          <w:szCs w:val="22"/>
          <w:lang w:val="de-DE"/>
        </w:rPr>
      </w:pPr>
      <w:r w:rsidRPr="00F26947">
        <w:rPr>
          <w:noProof/>
          <w:szCs w:val="22"/>
          <w:lang w:val="de-DE"/>
        </w:rPr>
        <w:t>&lt;</w:t>
      </w:r>
      <w:r w:rsidRPr="00F26947">
        <w:rPr>
          <w:rFonts w:eastAsia="SimSun"/>
          <w:szCs w:val="22"/>
          <w:lang w:val="de-DE" w:eastAsia="zh-CN"/>
        </w:rPr>
        <w:t>Für dieses Arzneimittel sind bezüglich der Temperatur keine besonderen Lagerungsbedingungen erforderlich</w:t>
      </w:r>
      <w:r w:rsidR="00491B56">
        <w:rPr>
          <w:rFonts w:eastAsia="SimSun"/>
          <w:szCs w:val="22"/>
          <w:lang w:val="de-DE" w:eastAsia="zh-CN"/>
        </w:rPr>
        <w:t>.</w:t>
      </w:r>
      <w:r w:rsidRPr="00F26947">
        <w:rPr>
          <w:rFonts w:eastAsia="SimSun"/>
          <w:szCs w:val="22"/>
          <w:lang w:val="de-DE" w:eastAsia="zh-CN"/>
        </w:rPr>
        <w:t>&gt;*****</w:t>
      </w:r>
    </w:p>
    <w:p w14:paraId="621CCA9B" w14:textId="77777777" w:rsidR="00712EB0" w:rsidRDefault="00712EB0">
      <w:pPr>
        <w:rPr>
          <w:noProof/>
          <w:lang w:val="de-DE"/>
        </w:rPr>
      </w:pPr>
    </w:p>
    <w:p w14:paraId="56772CB6" w14:textId="77777777" w:rsidR="00712EB0" w:rsidRDefault="00712EB0">
      <w:pPr>
        <w:pBdr>
          <w:bottom w:val="single" w:sz="12" w:space="1" w:color="auto"/>
        </w:pBdr>
        <w:rPr>
          <w:noProof/>
          <w:lang w:val="de-DE"/>
        </w:rPr>
      </w:pPr>
    </w:p>
    <w:p w14:paraId="34FB221A" w14:textId="77777777" w:rsidR="00712EB0" w:rsidRDefault="00712EB0">
      <w:pPr>
        <w:rPr>
          <w:b/>
          <w:noProof/>
          <w:lang w:val="de-DE"/>
        </w:rPr>
      </w:pPr>
    </w:p>
    <w:p w14:paraId="21580D13" w14:textId="77777777" w:rsidR="00712EB0" w:rsidRDefault="00712EB0">
      <w:pPr>
        <w:rPr>
          <w:b/>
          <w:noProof/>
          <w:lang w:val="de-DE"/>
        </w:rPr>
      </w:pPr>
    </w:p>
    <w:p w14:paraId="49FA4C45" w14:textId="77777777" w:rsidR="00712EB0" w:rsidRDefault="00712EB0">
      <w:pPr>
        <w:rPr>
          <w:b/>
          <w:noProof/>
          <w:lang w:val="de-DE"/>
        </w:rPr>
      </w:pPr>
      <w:r>
        <w:rPr>
          <w:b/>
          <w:noProof/>
          <w:lang w:val="de-DE"/>
        </w:rPr>
        <w:t>A. ETIKETTIERUNG</w:t>
      </w:r>
    </w:p>
    <w:p w14:paraId="224CE004" w14:textId="77777777" w:rsidR="00712EB0" w:rsidRDefault="00712EB0">
      <w:pPr>
        <w:tabs>
          <w:tab w:val="left" w:pos="13608"/>
        </w:tabs>
        <w:jc w:val="center"/>
        <w:rPr>
          <w:b/>
          <w:noProof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2D0B90" w:rsidRPr="00CA1D2C" w14:paraId="38A43126" w14:textId="77777777" w:rsidTr="00091513">
        <w:trPr>
          <w:trHeight w:val="364"/>
        </w:trPr>
        <w:tc>
          <w:tcPr>
            <w:tcW w:w="9464" w:type="dxa"/>
          </w:tcPr>
          <w:p w14:paraId="7A3AB0F9" w14:textId="77777777" w:rsidR="00712EB0" w:rsidRDefault="00712EB0">
            <w:pPr>
              <w:tabs>
                <w:tab w:val="left" w:pos="142"/>
                <w:tab w:val="left" w:pos="5245"/>
              </w:tabs>
              <w:ind w:left="567" w:hanging="567"/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9.</w:t>
            </w:r>
            <w:r>
              <w:rPr>
                <w:b/>
                <w:noProof/>
                <w:lang w:val="de-DE"/>
              </w:rPr>
              <w:tab/>
              <w:t xml:space="preserve">BESONDERE </w:t>
            </w:r>
            <w:r w:rsidR="00C40D6F" w:rsidRPr="00E85F4A">
              <w:rPr>
                <w:b/>
                <w:noProof/>
                <w:szCs w:val="22"/>
                <w:lang w:val="de-DE"/>
              </w:rPr>
              <w:t>VORSICHTSMASSNAHMEN FÜR DIE AUFBEWAHRUNG</w:t>
            </w:r>
            <w:r w:rsidR="00C40D6F">
              <w:rPr>
                <w:b/>
                <w:noProof/>
                <w:szCs w:val="22"/>
                <w:lang w:val="de-DE"/>
              </w:rPr>
              <w:t xml:space="preserve"> </w:t>
            </w:r>
          </w:p>
        </w:tc>
      </w:tr>
    </w:tbl>
    <w:p w14:paraId="0DFE5FD7" w14:textId="77777777" w:rsidR="00712EB0" w:rsidRDefault="00712EB0">
      <w:pPr>
        <w:rPr>
          <w:noProof/>
          <w:lang w:val="de-DE"/>
        </w:rPr>
      </w:pPr>
    </w:p>
    <w:p w14:paraId="72AF7732" w14:textId="1EA97248" w:rsidR="00712EB0" w:rsidRDefault="00712EB0">
      <w:pPr>
        <w:rPr>
          <w:strike/>
          <w:noProof/>
          <w:lang w:val="de-DE"/>
        </w:rPr>
      </w:pPr>
      <w:r>
        <w:rPr>
          <w:noProof/>
          <w:lang w:val="de-DE"/>
        </w:rPr>
        <w:t>&lt;Nicht über &lt;25</w:t>
      </w:r>
      <w:r w:rsidR="00BC1E43">
        <w:rPr>
          <w:noProof/>
          <w:lang w:val="de-DE"/>
        </w:rPr>
        <w:t> </w:t>
      </w:r>
      <w:r>
        <w:rPr>
          <w:noProof/>
          <w:lang w:val="de-DE"/>
        </w:rPr>
        <w:t>ºC&gt; &lt;30</w:t>
      </w:r>
      <w:r w:rsidR="00BC1E43">
        <w:rPr>
          <w:noProof/>
          <w:lang w:val="de-DE"/>
        </w:rPr>
        <w:t> </w:t>
      </w:r>
      <w:r>
        <w:rPr>
          <w:noProof/>
          <w:lang w:val="de-DE"/>
        </w:rPr>
        <w:t>º</w:t>
      </w:r>
      <w:r w:rsidR="00434CD5">
        <w:rPr>
          <w:noProof/>
          <w:lang w:val="de-DE"/>
        </w:rPr>
        <w:t>C</w:t>
      </w:r>
      <w:r>
        <w:rPr>
          <w:noProof/>
          <w:lang w:val="de-DE"/>
        </w:rPr>
        <w:t>&gt; lagern</w:t>
      </w:r>
      <w:r w:rsidR="0050138E">
        <w:rPr>
          <w:noProof/>
          <w:lang w:val="de-DE"/>
        </w:rPr>
        <w:t>.</w:t>
      </w:r>
      <w:r>
        <w:rPr>
          <w:noProof/>
          <w:lang w:val="de-DE"/>
        </w:rPr>
        <w:t>&gt;</w:t>
      </w:r>
    </w:p>
    <w:p w14:paraId="507CACED" w14:textId="28B25562" w:rsidR="00BC1E43" w:rsidRPr="00BC1E43" w:rsidRDefault="00BC1E43">
      <w:pPr>
        <w:rPr>
          <w:lang w:val="de-DE"/>
        </w:rPr>
      </w:pPr>
      <w:r w:rsidRPr="00BC1E43">
        <w:rPr>
          <w:lang w:val="de-DE"/>
        </w:rPr>
        <w:t>&lt;Unter &lt;25 °C&gt;</w:t>
      </w:r>
      <w:r w:rsidR="007A3BD3">
        <w:rPr>
          <w:lang w:val="de-DE"/>
        </w:rPr>
        <w:t xml:space="preserve"> </w:t>
      </w:r>
      <w:r w:rsidRPr="00BC1E43">
        <w:rPr>
          <w:lang w:val="de-DE"/>
        </w:rPr>
        <w:t>&lt;30 °C&gt; lagern</w:t>
      </w:r>
      <w:r w:rsidR="0050138E">
        <w:rPr>
          <w:lang w:val="de-DE"/>
        </w:rPr>
        <w:t>.</w:t>
      </w:r>
      <w:r w:rsidRPr="00BC1E43">
        <w:rPr>
          <w:lang w:val="de-DE"/>
        </w:rPr>
        <w:t>&gt;</w:t>
      </w:r>
    </w:p>
    <w:p w14:paraId="5A02F25D" w14:textId="310546CE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&lt;Im Kühlschrank lagern</w:t>
      </w:r>
      <w:r w:rsidR="0050138E">
        <w:rPr>
          <w:noProof/>
          <w:lang w:val="de-DE"/>
        </w:rPr>
        <w:t>.</w:t>
      </w:r>
      <w:r>
        <w:rPr>
          <w:noProof/>
          <w:lang w:val="de-DE"/>
        </w:rPr>
        <w:t>&gt;</w:t>
      </w:r>
    </w:p>
    <w:p w14:paraId="3E18B3B3" w14:textId="43AAB250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&lt;Kühl aufbewahren und transportieren</w:t>
      </w:r>
      <w:r w:rsidR="0050138E">
        <w:rPr>
          <w:noProof/>
          <w:lang w:val="de-DE"/>
        </w:rPr>
        <w:t>.</w:t>
      </w:r>
      <w:r>
        <w:rPr>
          <w:noProof/>
          <w:lang w:val="de-DE"/>
        </w:rPr>
        <w:t>&gt;*</w:t>
      </w:r>
    </w:p>
    <w:p w14:paraId="54B2B2AB" w14:textId="6C433F3B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&lt;Im Gefrierschrank lagern</w:t>
      </w:r>
      <w:r w:rsidR="0050138E">
        <w:rPr>
          <w:noProof/>
          <w:lang w:val="de-DE"/>
        </w:rPr>
        <w:t>.</w:t>
      </w:r>
      <w:r>
        <w:rPr>
          <w:noProof/>
          <w:lang w:val="de-DE"/>
        </w:rPr>
        <w:t>&gt;</w:t>
      </w:r>
    </w:p>
    <w:p w14:paraId="667D1F63" w14:textId="533CBEF1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&lt;Tiefgekühlt aufbewahren und transportieren</w:t>
      </w:r>
      <w:r w:rsidR="0050138E">
        <w:rPr>
          <w:noProof/>
          <w:lang w:val="de-DE"/>
        </w:rPr>
        <w:t>.</w:t>
      </w:r>
      <w:r>
        <w:rPr>
          <w:noProof/>
          <w:lang w:val="de-DE"/>
        </w:rPr>
        <w:t>&gt;**</w:t>
      </w:r>
    </w:p>
    <w:p w14:paraId="692A0DED" w14:textId="537E2073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&lt;Nicht &lt;im Kühlschrank lagern&gt; &lt;oder&gt; &lt;einfrieren&gt;</w:t>
      </w:r>
      <w:r w:rsidR="0050138E">
        <w:rPr>
          <w:noProof/>
          <w:lang w:val="de-DE"/>
        </w:rPr>
        <w:t>.</w:t>
      </w:r>
      <w:r>
        <w:rPr>
          <w:noProof/>
          <w:lang w:val="de-DE"/>
        </w:rPr>
        <w:t>&gt;</w:t>
      </w:r>
    </w:p>
    <w:p w14:paraId="0D652BB2" w14:textId="40B9050A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&lt;In der Originalverpackung aufbewahren</w:t>
      </w:r>
      <w:r w:rsidR="0050138E">
        <w:rPr>
          <w:noProof/>
          <w:lang w:val="de-DE"/>
        </w:rPr>
        <w:t>,</w:t>
      </w:r>
      <w:r w:rsidR="00CA1D2C">
        <w:rPr>
          <w:noProof/>
          <w:lang w:val="de-DE"/>
        </w:rPr>
        <w:t xml:space="preserve"> </w:t>
      </w:r>
      <w:r w:rsidR="0050138E">
        <w:rPr>
          <w:noProof/>
          <w:lang w:val="de-DE"/>
        </w:rPr>
        <w:t>um den Inhalt vor &lt;Licht&gt; &lt;Feuchtigkeit&gt; zu schützen.</w:t>
      </w:r>
      <w:r>
        <w:rPr>
          <w:noProof/>
          <w:lang w:val="de-DE"/>
        </w:rPr>
        <w:t>&gt;****</w:t>
      </w:r>
    </w:p>
    <w:p w14:paraId="7D4A0308" w14:textId="2BA7EEF7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&lt;{Das Behältnis}*** fest verschlossen halten</w:t>
      </w:r>
      <w:r w:rsidR="0050138E">
        <w:rPr>
          <w:noProof/>
          <w:lang w:val="de-DE"/>
        </w:rPr>
        <w:t>,</w:t>
      </w:r>
      <w:r w:rsidR="00CA1D2C">
        <w:rPr>
          <w:noProof/>
          <w:lang w:val="de-DE"/>
        </w:rPr>
        <w:t xml:space="preserve"> </w:t>
      </w:r>
      <w:r w:rsidR="0050138E">
        <w:rPr>
          <w:noProof/>
          <w:lang w:val="de-DE"/>
        </w:rPr>
        <w:t>um den Inhalt vor &lt;Licht&gt; &lt;Feuchtigkeit&gt; zu schützen</w:t>
      </w:r>
      <w:r w:rsidR="00975E7C">
        <w:rPr>
          <w:noProof/>
          <w:lang w:val="de-DE"/>
        </w:rPr>
        <w:t>.</w:t>
      </w:r>
      <w:r>
        <w:rPr>
          <w:noProof/>
          <w:lang w:val="de-DE"/>
        </w:rPr>
        <w:t>&gt;****</w:t>
      </w:r>
    </w:p>
    <w:p w14:paraId="1B635307" w14:textId="776CE561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&lt;{Das Behältnis}*** im Umkarton aufbewahren</w:t>
      </w:r>
      <w:r w:rsidR="00975E7C">
        <w:rPr>
          <w:noProof/>
          <w:lang w:val="de-DE"/>
        </w:rPr>
        <w:t>,</w:t>
      </w:r>
      <w:r w:rsidR="00CA1D2C">
        <w:rPr>
          <w:noProof/>
          <w:lang w:val="de-DE"/>
        </w:rPr>
        <w:t xml:space="preserve"> </w:t>
      </w:r>
      <w:r w:rsidR="00975E7C">
        <w:rPr>
          <w:noProof/>
          <w:lang w:val="de-DE"/>
        </w:rPr>
        <w:t>um den Inhalt vor &lt;Licht&gt; &lt;Feuchtigkeit&gt; zu schützen.</w:t>
      </w:r>
      <w:r>
        <w:rPr>
          <w:noProof/>
          <w:lang w:val="de-DE"/>
        </w:rPr>
        <w:t>&gt;****</w:t>
      </w:r>
    </w:p>
    <w:p w14:paraId="4C74F69A" w14:textId="77777777" w:rsidR="00712EB0" w:rsidRDefault="00712EB0">
      <w:pPr>
        <w:rPr>
          <w:noProof/>
          <w:lang w:val="de-DE"/>
        </w:rPr>
      </w:pPr>
    </w:p>
    <w:p w14:paraId="3B1DAA0F" w14:textId="77777777" w:rsidR="00712EB0" w:rsidRPr="00512DFA" w:rsidRDefault="00712EB0">
      <w:pPr>
        <w:pBdr>
          <w:bottom w:val="single" w:sz="12" w:space="1" w:color="auto"/>
        </w:pBdr>
        <w:rPr>
          <w:noProof/>
          <w:lang w:val="de-DE"/>
        </w:rPr>
      </w:pPr>
    </w:p>
    <w:p w14:paraId="7C11D0DF" w14:textId="77777777" w:rsidR="00712EB0" w:rsidRDefault="00712EB0">
      <w:pPr>
        <w:rPr>
          <w:b/>
          <w:noProof/>
          <w:lang w:val="de-DE"/>
        </w:rPr>
      </w:pPr>
    </w:p>
    <w:p w14:paraId="5286E988" w14:textId="77777777" w:rsidR="00712EB0" w:rsidRDefault="00712EB0">
      <w:pPr>
        <w:rPr>
          <w:b/>
          <w:noProof/>
          <w:lang w:val="de-DE"/>
        </w:rPr>
      </w:pPr>
    </w:p>
    <w:p w14:paraId="1CB9DD40" w14:textId="77777777" w:rsidR="00712EB0" w:rsidRDefault="00712EB0">
      <w:pPr>
        <w:rPr>
          <w:noProof/>
          <w:lang w:val="de-DE"/>
        </w:rPr>
      </w:pPr>
      <w:r>
        <w:rPr>
          <w:b/>
          <w:noProof/>
          <w:lang w:val="de-DE"/>
        </w:rPr>
        <w:t>B. PACKUNGSBEILAGE</w:t>
      </w:r>
    </w:p>
    <w:p w14:paraId="2169A7BC" w14:textId="77777777" w:rsidR="00712EB0" w:rsidRDefault="00712EB0">
      <w:pPr>
        <w:jc w:val="center"/>
        <w:rPr>
          <w:noProof/>
          <w:lang w:val="de-DE"/>
        </w:rPr>
      </w:pPr>
    </w:p>
    <w:p w14:paraId="6D5495B6" w14:textId="77777777" w:rsidR="00712EB0" w:rsidRDefault="00712EB0">
      <w:pPr>
        <w:ind w:left="567" w:right="-2" w:hanging="567"/>
        <w:rPr>
          <w:noProof/>
          <w:lang w:val="de-DE"/>
        </w:rPr>
      </w:pPr>
      <w:r>
        <w:rPr>
          <w:b/>
          <w:noProof/>
          <w:lang w:val="de-DE"/>
        </w:rPr>
        <w:t>5.</w:t>
      </w:r>
      <w:r>
        <w:rPr>
          <w:b/>
          <w:noProof/>
          <w:lang w:val="de-DE"/>
        </w:rPr>
        <w:tab/>
      </w:r>
      <w:r w:rsidR="00C74FE9">
        <w:rPr>
          <w:b/>
          <w:noProof/>
          <w:lang w:val="de-DE"/>
        </w:rPr>
        <w:t>Wie ist X aufzubewahren</w:t>
      </w:r>
      <w:r>
        <w:rPr>
          <w:b/>
          <w:noProof/>
          <w:lang w:val="de-DE"/>
        </w:rPr>
        <w:t>?</w:t>
      </w:r>
    </w:p>
    <w:p w14:paraId="61004CB8" w14:textId="77777777" w:rsidR="00712EB0" w:rsidRDefault="00712EB0">
      <w:pPr>
        <w:numPr>
          <w:ilvl w:val="12"/>
          <w:numId w:val="0"/>
        </w:numPr>
        <w:ind w:right="-2"/>
        <w:rPr>
          <w:noProof/>
          <w:lang w:val="de-DE"/>
        </w:rPr>
      </w:pPr>
    </w:p>
    <w:p w14:paraId="638C145F" w14:textId="2C52B67C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&lt;Nicht über &lt;25</w:t>
      </w:r>
      <w:r w:rsidR="00BC1E43">
        <w:rPr>
          <w:noProof/>
          <w:lang w:val="de-DE"/>
        </w:rPr>
        <w:t> </w:t>
      </w:r>
      <w:r>
        <w:rPr>
          <w:noProof/>
          <w:lang w:val="de-DE"/>
        </w:rPr>
        <w:t>ºC&gt; &lt;30</w:t>
      </w:r>
      <w:r w:rsidR="00BC1E43">
        <w:rPr>
          <w:noProof/>
          <w:lang w:val="de-DE"/>
        </w:rPr>
        <w:t> </w:t>
      </w:r>
      <w:r>
        <w:rPr>
          <w:noProof/>
          <w:lang w:val="de-DE"/>
        </w:rPr>
        <w:t>º</w:t>
      </w:r>
      <w:r w:rsidR="00434CD5">
        <w:rPr>
          <w:noProof/>
          <w:lang w:val="de-DE"/>
        </w:rPr>
        <w:t>C</w:t>
      </w:r>
      <w:r>
        <w:rPr>
          <w:noProof/>
          <w:lang w:val="de-DE"/>
        </w:rPr>
        <w:t>&gt; lagern</w:t>
      </w:r>
      <w:r w:rsidR="00975E7C">
        <w:rPr>
          <w:noProof/>
          <w:lang w:val="de-DE"/>
        </w:rPr>
        <w:t>.</w:t>
      </w:r>
      <w:r>
        <w:rPr>
          <w:noProof/>
          <w:lang w:val="de-DE"/>
        </w:rPr>
        <w:t xml:space="preserve">&gt; </w:t>
      </w:r>
    </w:p>
    <w:p w14:paraId="0FF65F13" w14:textId="100ADF87" w:rsidR="00BC1E43" w:rsidRDefault="00BC1E43">
      <w:pPr>
        <w:rPr>
          <w:noProof/>
          <w:lang w:val="de-DE"/>
        </w:rPr>
      </w:pPr>
      <w:r w:rsidRPr="007A3BD3">
        <w:rPr>
          <w:lang w:val="de-DE"/>
        </w:rPr>
        <w:t>&lt;Unter &lt;25 °C&gt;</w:t>
      </w:r>
      <w:r w:rsidR="007A3BD3">
        <w:rPr>
          <w:lang w:val="de-DE"/>
        </w:rPr>
        <w:t xml:space="preserve"> </w:t>
      </w:r>
      <w:r w:rsidRPr="007A3BD3">
        <w:rPr>
          <w:lang w:val="de-DE"/>
        </w:rPr>
        <w:t>&lt;30 °C&gt; lagern</w:t>
      </w:r>
      <w:r w:rsidR="00975E7C">
        <w:rPr>
          <w:lang w:val="de-DE"/>
        </w:rPr>
        <w:t>.</w:t>
      </w:r>
      <w:r w:rsidRPr="007A3BD3">
        <w:rPr>
          <w:lang w:val="de-DE"/>
        </w:rPr>
        <w:t>&gt;</w:t>
      </w:r>
    </w:p>
    <w:p w14:paraId="79AA1837" w14:textId="7C2F8B16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&lt;Im Kühlschrank lagern (2</w:t>
      </w:r>
      <w:r w:rsidR="00BC1E43">
        <w:rPr>
          <w:noProof/>
          <w:lang w:val="de-DE"/>
        </w:rPr>
        <w:t> </w:t>
      </w:r>
      <w:r>
        <w:rPr>
          <w:noProof/>
          <w:lang w:val="de-DE"/>
        </w:rPr>
        <w:t xml:space="preserve">°C </w:t>
      </w:r>
      <w:r w:rsidR="00BC1E43">
        <w:rPr>
          <w:noProof/>
          <w:lang w:val="de-DE"/>
        </w:rPr>
        <w:t>–</w:t>
      </w:r>
      <w:r>
        <w:rPr>
          <w:noProof/>
          <w:lang w:val="de-DE"/>
        </w:rPr>
        <w:t xml:space="preserve"> 8</w:t>
      </w:r>
      <w:r w:rsidR="00BC1E43">
        <w:rPr>
          <w:noProof/>
          <w:lang w:val="de-DE"/>
        </w:rPr>
        <w:t> </w:t>
      </w:r>
      <w:r>
        <w:rPr>
          <w:noProof/>
          <w:lang w:val="de-DE"/>
        </w:rPr>
        <w:t>°C)</w:t>
      </w:r>
      <w:r w:rsidR="00975E7C">
        <w:rPr>
          <w:noProof/>
          <w:lang w:val="de-DE"/>
        </w:rPr>
        <w:t>.</w:t>
      </w:r>
      <w:r>
        <w:rPr>
          <w:noProof/>
          <w:lang w:val="de-DE"/>
        </w:rPr>
        <w:t>&gt;</w:t>
      </w:r>
    </w:p>
    <w:p w14:paraId="0D6FFEA7" w14:textId="46F7B53E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 xml:space="preserve">&lt;Kühl </w:t>
      </w:r>
      <w:r w:rsidR="00E500D6">
        <w:rPr>
          <w:noProof/>
          <w:lang w:val="de-DE"/>
        </w:rPr>
        <w:t>aufbewahren</w:t>
      </w:r>
      <w:r>
        <w:rPr>
          <w:noProof/>
          <w:lang w:val="de-DE"/>
        </w:rPr>
        <w:t xml:space="preserve"> und transportieren (2</w:t>
      </w:r>
      <w:r w:rsidR="00BC1E43">
        <w:rPr>
          <w:noProof/>
          <w:lang w:val="de-DE"/>
        </w:rPr>
        <w:t> </w:t>
      </w:r>
      <w:r>
        <w:rPr>
          <w:noProof/>
          <w:lang w:val="de-DE"/>
        </w:rPr>
        <w:t xml:space="preserve">°C </w:t>
      </w:r>
      <w:r w:rsidR="00BC1E43">
        <w:rPr>
          <w:noProof/>
          <w:lang w:val="de-DE"/>
        </w:rPr>
        <w:t>–</w:t>
      </w:r>
      <w:r>
        <w:rPr>
          <w:noProof/>
          <w:lang w:val="de-DE"/>
        </w:rPr>
        <w:t xml:space="preserve"> 8</w:t>
      </w:r>
      <w:r w:rsidR="00BC1E43">
        <w:rPr>
          <w:noProof/>
          <w:lang w:val="de-DE"/>
        </w:rPr>
        <w:t> </w:t>
      </w:r>
      <w:r>
        <w:rPr>
          <w:noProof/>
          <w:lang w:val="de-DE"/>
        </w:rPr>
        <w:t>°C)</w:t>
      </w:r>
      <w:r w:rsidR="00975E7C">
        <w:rPr>
          <w:noProof/>
          <w:lang w:val="de-DE"/>
        </w:rPr>
        <w:t>.</w:t>
      </w:r>
      <w:r>
        <w:rPr>
          <w:noProof/>
          <w:lang w:val="de-DE"/>
        </w:rPr>
        <w:t>&gt;*</w:t>
      </w:r>
    </w:p>
    <w:p w14:paraId="1C890C22" w14:textId="5CCDBF05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&lt;Im Gefrierschrank lagern {Temperaturbereich}</w:t>
      </w:r>
      <w:r w:rsidR="00975E7C">
        <w:rPr>
          <w:noProof/>
          <w:lang w:val="de-DE"/>
        </w:rPr>
        <w:t>.</w:t>
      </w:r>
      <w:r>
        <w:rPr>
          <w:noProof/>
          <w:lang w:val="de-DE"/>
        </w:rPr>
        <w:t>&gt;</w:t>
      </w:r>
    </w:p>
    <w:p w14:paraId="50A3486C" w14:textId="61C62720" w:rsidR="00712EB0" w:rsidRDefault="00712EB0">
      <w:pPr>
        <w:widowControl w:val="0"/>
        <w:rPr>
          <w:noProof/>
          <w:lang w:val="de-DE"/>
        </w:rPr>
      </w:pPr>
      <w:r>
        <w:rPr>
          <w:noProof/>
          <w:lang w:val="de-DE"/>
        </w:rPr>
        <w:t xml:space="preserve">&lt;Tiefgekühlt </w:t>
      </w:r>
      <w:r w:rsidR="00E500D6">
        <w:rPr>
          <w:noProof/>
          <w:lang w:val="de-DE"/>
        </w:rPr>
        <w:t>aufbewahren</w:t>
      </w:r>
      <w:r>
        <w:rPr>
          <w:noProof/>
          <w:lang w:val="de-DE"/>
        </w:rPr>
        <w:t xml:space="preserve"> und transportieren {Temperaturbereich}</w:t>
      </w:r>
      <w:r w:rsidR="00975E7C">
        <w:rPr>
          <w:noProof/>
          <w:lang w:val="de-DE"/>
        </w:rPr>
        <w:t>.</w:t>
      </w:r>
      <w:r>
        <w:rPr>
          <w:noProof/>
          <w:lang w:val="de-DE"/>
        </w:rPr>
        <w:t>&gt;**</w:t>
      </w:r>
    </w:p>
    <w:p w14:paraId="231E296F" w14:textId="3F64C241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&lt;Nicht &lt;im Kühlschrank lagern&gt; &lt;oder&gt; &lt;einfrieren&gt;</w:t>
      </w:r>
      <w:r w:rsidR="00975E7C">
        <w:rPr>
          <w:noProof/>
          <w:lang w:val="de-DE"/>
        </w:rPr>
        <w:t>.</w:t>
      </w:r>
      <w:r>
        <w:rPr>
          <w:noProof/>
          <w:lang w:val="de-DE"/>
        </w:rPr>
        <w:t>&gt;</w:t>
      </w:r>
    </w:p>
    <w:p w14:paraId="572844C4" w14:textId="2E33F9A2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&lt;In der Originalverpackung aufbewahren</w:t>
      </w:r>
      <w:r w:rsidR="00975E7C">
        <w:rPr>
          <w:noProof/>
          <w:lang w:val="de-DE"/>
        </w:rPr>
        <w:t>,</w:t>
      </w:r>
      <w:r w:rsidR="00CA1D2C">
        <w:rPr>
          <w:noProof/>
          <w:lang w:val="de-DE"/>
        </w:rPr>
        <w:t xml:space="preserve"> </w:t>
      </w:r>
      <w:r w:rsidR="00975E7C">
        <w:rPr>
          <w:noProof/>
          <w:lang w:val="de-DE"/>
        </w:rPr>
        <w:t>um den Inhalt vor &lt;Licht&gt; &lt;Feuchtigkeit&gt; zu schützen</w:t>
      </w:r>
      <w:r w:rsidR="00400C1B">
        <w:rPr>
          <w:noProof/>
          <w:lang w:val="de-DE"/>
        </w:rPr>
        <w:t>.</w:t>
      </w:r>
      <w:r>
        <w:rPr>
          <w:noProof/>
          <w:lang w:val="de-DE"/>
        </w:rPr>
        <w:t>&gt;****</w:t>
      </w:r>
    </w:p>
    <w:p w14:paraId="3EE2EAF2" w14:textId="322F9A29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lastRenderedPageBreak/>
        <w:t>&lt;{Das Behältnis}*** fest verschlossen halten</w:t>
      </w:r>
      <w:r w:rsidR="00400C1B">
        <w:rPr>
          <w:noProof/>
          <w:lang w:val="de-DE"/>
        </w:rPr>
        <w:t>,</w:t>
      </w:r>
      <w:r w:rsidR="00C7510C">
        <w:rPr>
          <w:noProof/>
          <w:lang w:val="de-DE"/>
        </w:rPr>
        <w:t xml:space="preserve"> </w:t>
      </w:r>
      <w:r w:rsidR="00400C1B">
        <w:rPr>
          <w:noProof/>
          <w:lang w:val="de-DE"/>
        </w:rPr>
        <w:t>um den Inhalt vor &lt;Licht&gt; &lt;Feuchtigkeit&gt; zu schützen.</w:t>
      </w:r>
      <w:r>
        <w:rPr>
          <w:noProof/>
          <w:lang w:val="de-DE"/>
        </w:rPr>
        <w:t>&gt;****</w:t>
      </w:r>
    </w:p>
    <w:p w14:paraId="225C144B" w14:textId="3A69052E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&lt;{Das Behältnis}*** im Umkarton aufbewahren</w:t>
      </w:r>
      <w:r w:rsidR="00400C1B">
        <w:rPr>
          <w:noProof/>
          <w:lang w:val="de-DE"/>
        </w:rPr>
        <w:t>,</w:t>
      </w:r>
      <w:r w:rsidR="00C7510C">
        <w:rPr>
          <w:noProof/>
          <w:lang w:val="de-DE"/>
        </w:rPr>
        <w:t xml:space="preserve"> </w:t>
      </w:r>
      <w:r w:rsidR="00400C1B">
        <w:rPr>
          <w:noProof/>
          <w:lang w:val="de-DE"/>
        </w:rPr>
        <w:t>um den Inhalt vor &lt;Licht&gt; &lt;Feuchtigkeit&gt; zu schützen.</w:t>
      </w:r>
      <w:r>
        <w:rPr>
          <w:noProof/>
          <w:lang w:val="de-DE"/>
        </w:rPr>
        <w:t>&gt;****</w:t>
      </w:r>
    </w:p>
    <w:p w14:paraId="41833492" w14:textId="360975C1" w:rsidR="00712EB0" w:rsidRDefault="00712EB0">
      <w:pPr>
        <w:rPr>
          <w:noProof/>
          <w:lang w:val="de-DE"/>
        </w:rPr>
      </w:pPr>
      <w:r>
        <w:rPr>
          <w:noProof/>
          <w:lang w:val="de-DE"/>
        </w:rPr>
        <w:t>&lt;Für dieses Arzneimittel sind keine besonderen Lagerungsbedingungen erforderlich</w:t>
      </w:r>
      <w:r w:rsidR="00400C1B">
        <w:rPr>
          <w:noProof/>
          <w:lang w:val="de-DE"/>
        </w:rPr>
        <w:t>.</w:t>
      </w:r>
      <w:r>
        <w:rPr>
          <w:noProof/>
          <w:lang w:val="de-DE"/>
        </w:rPr>
        <w:t>&gt;</w:t>
      </w:r>
    </w:p>
    <w:p w14:paraId="6184AF23" w14:textId="686058DD" w:rsidR="00712EB0" w:rsidRPr="00F26947" w:rsidRDefault="00712EB0">
      <w:pPr>
        <w:rPr>
          <w:noProof/>
          <w:lang w:val="de-DE"/>
        </w:rPr>
      </w:pPr>
      <w:r w:rsidRPr="00F26947">
        <w:rPr>
          <w:noProof/>
          <w:szCs w:val="22"/>
          <w:lang w:val="de-DE"/>
        </w:rPr>
        <w:t>&lt;</w:t>
      </w:r>
      <w:r w:rsidRPr="00F26947">
        <w:rPr>
          <w:rFonts w:eastAsia="SimSun"/>
          <w:szCs w:val="22"/>
          <w:lang w:val="de-DE" w:eastAsia="zh-CN"/>
        </w:rPr>
        <w:t>Für dieses Arzneimittel sind bezüglich der Temperatur keine besonderen Lagerungsbedingungen erforderlich</w:t>
      </w:r>
      <w:r w:rsidR="00400C1B">
        <w:rPr>
          <w:rFonts w:eastAsia="SimSun"/>
          <w:szCs w:val="22"/>
          <w:lang w:val="de-DE" w:eastAsia="zh-CN"/>
        </w:rPr>
        <w:t>.</w:t>
      </w:r>
      <w:r w:rsidRPr="00F26947">
        <w:rPr>
          <w:rFonts w:eastAsia="SimSun"/>
          <w:szCs w:val="22"/>
          <w:lang w:val="de-DE" w:eastAsia="zh-CN"/>
        </w:rPr>
        <w:t>&gt;*****</w:t>
      </w:r>
    </w:p>
    <w:p w14:paraId="3A3FB359" w14:textId="77777777" w:rsidR="00712EB0" w:rsidRDefault="00712EB0">
      <w:pPr>
        <w:rPr>
          <w:noProof/>
          <w:lang w:val="de-DE"/>
        </w:rPr>
      </w:pPr>
    </w:p>
    <w:p w14:paraId="066CFE02" w14:textId="77777777" w:rsidR="00712EB0" w:rsidRDefault="00712EB0">
      <w:pPr>
        <w:pBdr>
          <w:bottom w:val="single" w:sz="12" w:space="1" w:color="auto"/>
        </w:pBdr>
        <w:rPr>
          <w:noProof/>
          <w:lang w:val="de-DE"/>
        </w:rPr>
      </w:pPr>
    </w:p>
    <w:p w14:paraId="1E593DBD" w14:textId="77777777" w:rsidR="00712EB0" w:rsidRDefault="00712EB0">
      <w:pPr>
        <w:jc w:val="center"/>
        <w:rPr>
          <w:b/>
          <w:noProof/>
          <w:lang w:val="de-DE"/>
        </w:rPr>
      </w:pPr>
    </w:p>
    <w:p w14:paraId="60A2392D" w14:textId="77777777" w:rsidR="00712EB0" w:rsidRPr="00F26947" w:rsidRDefault="00712EB0">
      <w:pPr>
        <w:numPr>
          <w:ilvl w:val="12"/>
          <w:numId w:val="0"/>
        </w:numPr>
        <w:ind w:right="-2"/>
        <w:rPr>
          <w:noProof/>
        </w:rPr>
      </w:pPr>
      <w:r w:rsidRPr="00F26947">
        <w:rPr>
          <w:noProof/>
        </w:rPr>
        <w:t>* The stability data generated at 25</w:t>
      </w:r>
      <w:r w:rsidR="00BC1E43">
        <w:rPr>
          <w:noProof/>
        </w:rPr>
        <w:t> </w:t>
      </w:r>
      <w:r w:rsidRPr="00F26947">
        <w:rPr>
          <w:rFonts w:ascii="Symbol" w:hAnsi="Symbol"/>
          <w:noProof/>
        </w:rPr>
        <w:t></w:t>
      </w:r>
      <w:r w:rsidRPr="00F26947">
        <w:rPr>
          <w:noProof/>
        </w:rPr>
        <w:t>C/60%RH (acc) should be taken into account when deciding whether or not transport under refrigeration is necessary. The statement should only be used in exceptional cases.</w:t>
      </w:r>
    </w:p>
    <w:p w14:paraId="4A78520F" w14:textId="77777777" w:rsidR="00712EB0" w:rsidRPr="00F26947" w:rsidRDefault="00712EB0">
      <w:pPr>
        <w:numPr>
          <w:ilvl w:val="12"/>
          <w:numId w:val="0"/>
        </w:numPr>
        <w:ind w:right="-2"/>
        <w:rPr>
          <w:noProof/>
        </w:rPr>
      </w:pPr>
    </w:p>
    <w:p w14:paraId="04F0D3B5" w14:textId="77777777" w:rsidR="00712EB0" w:rsidRPr="00F26947" w:rsidRDefault="00712EB0">
      <w:pPr>
        <w:numPr>
          <w:ilvl w:val="12"/>
          <w:numId w:val="0"/>
        </w:numPr>
        <w:ind w:right="-2"/>
        <w:rPr>
          <w:noProof/>
        </w:rPr>
      </w:pPr>
      <w:r w:rsidRPr="00F26947">
        <w:rPr>
          <w:noProof/>
        </w:rPr>
        <w:t>** The statement should be used only when critical.</w:t>
      </w:r>
    </w:p>
    <w:p w14:paraId="25F67A75" w14:textId="77777777" w:rsidR="00712EB0" w:rsidRPr="00F26947" w:rsidRDefault="00712EB0">
      <w:pPr>
        <w:numPr>
          <w:ilvl w:val="12"/>
          <w:numId w:val="0"/>
        </w:numPr>
        <w:ind w:right="-2"/>
        <w:rPr>
          <w:noProof/>
        </w:rPr>
      </w:pPr>
    </w:p>
    <w:p w14:paraId="7BC49AB7" w14:textId="4C5B6B06" w:rsidR="00712EB0" w:rsidRPr="00F26947" w:rsidRDefault="00712EB0">
      <w:pPr>
        <w:numPr>
          <w:ilvl w:val="12"/>
          <w:numId w:val="0"/>
        </w:numPr>
        <w:ind w:right="-2"/>
        <w:rPr>
          <w:noProof/>
        </w:rPr>
      </w:pPr>
      <w:r w:rsidRPr="00F26947">
        <w:rPr>
          <w:noProof/>
        </w:rPr>
        <w:t>*** The actual name of the container should be used (e.g. bottle, blister, etc.)</w:t>
      </w:r>
      <w:r w:rsidR="00400C1B">
        <w:rPr>
          <w:noProof/>
        </w:rPr>
        <w:t>.</w:t>
      </w:r>
    </w:p>
    <w:p w14:paraId="407051DF" w14:textId="77777777" w:rsidR="00712EB0" w:rsidRPr="00F26947" w:rsidRDefault="00712EB0">
      <w:pPr>
        <w:numPr>
          <w:ilvl w:val="12"/>
          <w:numId w:val="0"/>
        </w:numPr>
        <w:ind w:right="-2"/>
        <w:rPr>
          <w:noProof/>
        </w:rPr>
      </w:pPr>
    </w:p>
    <w:p w14:paraId="3001A75D" w14:textId="77777777" w:rsidR="00712EB0" w:rsidRPr="00F26947" w:rsidRDefault="00712EB0">
      <w:pPr>
        <w:numPr>
          <w:ilvl w:val="12"/>
          <w:numId w:val="0"/>
        </w:numPr>
        <w:ind w:right="-2"/>
      </w:pPr>
      <w:r w:rsidRPr="00F26947">
        <w:t>**** It should be specified if the product is sensitive to light and/or moisture.</w:t>
      </w:r>
    </w:p>
    <w:p w14:paraId="4A7E5BF9" w14:textId="77777777" w:rsidR="00712EB0" w:rsidRPr="00F26947" w:rsidRDefault="00712EB0">
      <w:pPr>
        <w:numPr>
          <w:ilvl w:val="12"/>
          <w:numId w:val="0"/>
        </w:numPr>
        <w:ind w:right="-2"/>
      </w:pPr>
    </w:p>
    <w:p w14:paraId="6C9B3A58" w14:textId="77777777" w:rsidR="00712EB0" w:rsidRPr="00F26947" w:rsidRDefault="00712EB0">
      <w:pPr>
        <w:numPr>
          <w:ilvl w:val="12"/>
          <w:numId w:val="0"/>
        </w:numPr>
        <w:ind w:right="-2"/>
      </w:pPr>
      <w:r w:rsidRPr="00F26947">
        <w:t xml:space="preserve">***** Depending on the pharmaceutical form and the properties of the product, there may be a risk of deterioration due to physical changes if subjected to low temperatures. Low temperatures may also </w:t>
      </w:r>
      <w:proofErr w:type="gramStart"/>
      <w:r w:rsidRPr="00F26947">
        <w:t>have an effect on</w:t>
      </w:r>
      <w:proofErr w:type="gramEnd"/>
      <w:r w:rsidRPr="00F26947">
        <w:t xml:space="preserve"> the packaging in certain cases. An additional statement may be necessary to take account of this possibility.</w:t>
      </w:r>
    </w:p>
    <w:p w14:paraId="1A1A2879" w14:textId="77777777" w:rsidR="00712EB0" w:rsidRDefault="00712EB0">
      <w:pPr>
        <w:numPr>
          <w:ilvl w:val="12"/>
          <w:numId w:val="0"/>
        </w:numPr>
        <w:ind w:right="-2"/>
        <w:rPr>
          <w:noProof/>
        </w:rPr>
      </w:pPr>
    </w:p>
    <w:sectPr w:rsidR="00712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737" w:footer="737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EA23E" w14:textId="77777777" w:rsidR="007F457A" w:rsidRDefault="007F457A">
      <w:r>
        <w:separator/>
      </w:r>
    </w:p>
  </w:endnote>
  <w:endnote w:type="continuationSeparator" w:id="0">
    <w:p w14:paraId="333E4582" w14:textId="77777777" w:rsidR="007F457A" w:rsidRDefault="007F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69F9" w14:textId="77777777" w:rsidR="00201479" w:rsidRDefault="00201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2341" w14:textId="77777777" w:rsidR="00201479" w:rsidRDefault="002014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0108" w14:textId="77777777" w:rsidR="00201479" w:rsidRDefault="00201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43E7" w14:textId="77777777" w:rsidR="007F457A" w:rsidRDefault="007F457A">
      <w:r>
        <w:separator/>
      </w:r>
    </w:p>
  </w:footnote>
  <w:footnote w:type="continuationSeparator" w:id="0">
    <w:p w14:paraId="01081965" w14:textId="77777777" w:rsidR="007F457A" w:rsidRDefault="007F4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1CED" w14:textId="77777777" w:rsidR="00201479" w:rsidRDefault="002014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38CC" w14:textId="77777777" w:rsidR="00201479" w:rsidRDefault="002014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4B9F" w14:textId="77777777" w:rsidR="00201479" w:rsidRDefault="00201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9F824FB"/>
    <w:multiLevelType w:val="singleLevel"/>
    <w:tmpl w:val="F9C4A0C2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55062014"/>
    <w:multiLevelType w:val="singleLevel"/>
    <w:tmpl w:val="90A82058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CBB3924"/>
    <w:multiLevelType w:val="multilevel"/>
    <w:tmpl w:val="7F4CFBB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50D6D2D"/>
    <w:multiLevelType w:val="singleLevel"/>
    <w:tmpl w:val="6AF478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356275046">
    <w:abstractNumId w:val="0"/>
  </w:num>
  <w:num w:numId="2" w16cid:durableId="1385249043">
    <w:abstractNumId w:val="5"/>
  </w:num>
  <w:num w:numId="3" w16cid:durableId="1665278857">
    <w:abstractNumId w:val="2"/>
  </w:num>
  <w:num w:numId="4" w16cid:durableId="271477735">
    <w:abstractNumId w:val="3"/>
  </w:num>
  <w:num w:numId="5" w16cid:durableId="1965888738">
    <w:abstractNumId w:val="1"/>
  </w:num>
  <w:num w:numId="6" w16cid:durableId="2134709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F26947"/>
    <w:rsid w:val="00073125"/>
    <w:rsid w:val="00091513"/>
    <w:rsid w:val="0018003B"/>
    <w:rsid w:val="001B6A98"/>
    <w:rsid w:val="00201479"/>
    <w:rsid w:val="0027282F"/>
    <w:rsid w:val="002D0B90"/>
    <w:rsid w:val="003E4E74"/>
    <w:rsid w:val="003F3343"/>
    <w:rsid w:val="00400C1B"/>
    <w:rsid w:val="00434CD5"/>
    <w:rsid w:val="00452384"/>
    <w:rsid w:val="00491B56"/>
    <w:rsid w:val="004C015D"/>
    <w:rsid w:val="004C6C85"/>
    <w:rsid w:val="0050138E"/>
    <w:rsid w:val="00512DFA"/>
    <w:rsid w:val="005B7189"/>
    <w:rsid w:val="005E01AD"/>
    <w:rsid w:val="006F77D2"/>
    <w:rsid w:val="00712EB0"/>
    <w:rsid w:val="007A3BD3"/>
    <w:rsid w:val="007F457A"/>
    <w:rsid w:val="00816E48"/>
    <w:rsid w:val="00841D9D"/>
    <w:rsid w:val="00867552"/>
    <w:rsid w:val="0086767E"/>
    <w:rsid w:val="00892193"/>
    <w:rsid w:val="008C20AF"/>
    <w:rsid w:val="00931060"/>
    <w:rsid w:val="00975E7C"/>
    <w:rsid w:val="00A12739"/>
    <w:rsid w:val="00B30C4D"/>
    <w:rsid w:val="00B45295"/>
    <w:rsid w:val="00BC1039"/>
    <w:rsid w:val="00BC1E43"/>
    <w:rsid w:val="00BD0FE7"/>
    <w:rsid w:val="00C40D6F"/>
    <w:rsid w:val="00C53CE0"/>
    <w:rsid w:val="00C575C4"/>
    <w:rsid w:val="00C74FE9"/>
    <w:rsid w:val="00C7510C"/>
    <w:rsid w:val="00CA1D2C"/>
    <w:rsid w:val="00CF1A60"/>
    <w:rsid w:val="00DD61AF"/>
    <w:rsid w:val="00E500D6"/>
    <w:rsid w:val="00E85F4A"/>
    <w:rsid w:val="00EB3E67"/>
    <w:rsid w:val="00ED3633"/>
    <w:rsid w:val="00F2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3E5602"/>
  <w15:chartTrackingRefBased/>
  <w15:docId w15:val="{EEDCB5DC-80B6-41A3-B945-A47BEE6C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color w:val="00000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BodyTextIndent">
    <w:name w:val="Body Text Indent"/>
    <w:basedOn w:val="Normal"/>
    <w:semiHidden/>
    <w:pPr>
      <w:ind w:left="567"/>
    </w:pPr>
    <w:rPr>
      <w:i/>
    </w:rPr>
  </w:style>
  <w:style w:type="paragraph" w:customStyle="1" w:styleId="EMEAEnBodyText">
    <w:name w:val="EMEA En Body Text"/>
    <w:basedOn w:val="Normal"/>
    <w:rsid w:val="007F457A"/>
    <w:pPr>
      <w:spacing w:before="120" w:after="120"/>
      <w:jc w:val="both"/>
    </w:pPr>
    <w:rPr>
      <w:lang w:val="en-US"/>
    </w:rPr>
  </w:style>
  <w:style w:type="paragraph" w:customStyle="1" w:styleId="EMEAEnHeading1">
    <w:name w:val="EMEA En Heading 1"/>
    <w:basedOn w:val="EMEAEnBodyText"/>
    <w:next w:val="EMEAEnBodyText"/>
    <w:pPr>
      <w:keepNext/>
      <w:keepLines/>
      <w:suppressLineNumbers/>
      <w:spacing w:before="360"/>
      <w:ind w:left="567" w:hanging="567"/>
    </w:pPr>
    <w:rPr>
      <w:b/>
      <w:caps/>
    </w:rPr>
  </w:style>
  <w:style w:type="paragraph" w:customStyle="1" w:styleId="subhead">
    <w:name w:val="subhead"/>
    <w:basedOn w:val="Normal"/>
    <w:next w:val="Normal"/>
    <w:rsid w:val="007F457A"/>
    <w:pPr>
      <w:tabs>
        <w:tab w:val="left" w:pos="567"/>
        <w:tab w:val="left" w:pos="1134"/>
      </w:tabs>
    </w:pPr>
    <w:rPr>
      <w:rFonts w:ascii="Arial" w:hAnsi="Arial"/>
      <w:b/>
      <w:caps/>
    </w:rPr>
  </w:style>
  <w:style w:type="paragraph" w:customStyle="1" w:styleId="mainhead">
    <w:name w:val="main head"/>
    <w:basedOn w:val="Normal"/>
    <w:next w:val="subhead"/>
    <w:rsid w:val="007F457A"/>
    <w:pPr>
      <w:tabs>
        <w:tab w:val="left" w:pos="567"/>
        <w:tab w:val="left" w:pos="1134"/>
      </w:tabs>
      <w:spacing w:after="240"/>
    </w:pPr>
    <w:rPr>
      <w:rFonts w:ascii="Arial" w:hAnsi="Arial"/>
      <w:b/>
      <w:caps/>
      <w:sz w:val="28"/>
    </w:rPr>
  </w:style>
  <w:style w:type="paragraph" w:styleId="BodyText3">
    <w:name w:val="Body Text 3"/>
    <w:basedOn w:val="Normal"/>
    <w:semiHidden/>
    <w:rsid w:val="007F457A"/>
    <w:pPr>
      <w:jc w:val="both"/>
    </w:pPr>
    <w:rPr>
      <w:lang w:val="en-US"/>
    </w:rPr>
  </w:style>
  <w:style w:type="paragraph" w:styleId="EndnoteText">
    <w:name w:val="endnote text"/>
    <w:basedOn w:val="Normal"/>
    <w:semiHidden/>
    <w:pPr>
      <w:tabs>
        <w:tab w:val="left" w:pos="567"/>
      </w:tabs>
    </w:pPr>
  </w:style>
  <w:style w:type="paragraph" w:styleId="CommentText">
    <w:name w:val="annotation text"/>
    <w:basedOn w:val="Normal"/>
    <w:semiHidden/>
    <w:rsid w:val="007F457A"/>
    <w:rPr>
      <w:sz w:val="20"/>
      <w:lang w:val="en-US"/>
    </w:rPr>
  </w:style>
  <w:style w:type="paragraph" w:customStyle="1" w:styleId="Uberschrift2">
    <w:name w:val="Uberschrift 2"/>
    <w:basedOn w:val="Normal"/>
    <w:pPr>
      <w:keepNext/>
      <w:tabs>
        <w:tab w:val="left" w:pos="567"/>
      </w:tabs>
      <w:spacing w:before="240" w:after="120"/>
    </w:pPr>
    <w:rPr>
      <w:rFonts w:ascii="Courier" w:hAnsi="Courier"/>
      <w:b/>
      <w:kern w:val="28"/>
    </w:rPr>
  </w:style>
  <w:style w:type="paragraph" w:customStyle="1" w:styleId="EMEABodyText">
    <w:name w:val="EMEA Body Text"/>
    <w:basedOn w:val="Normal"/>
  </w:style>
  <w:style w:type="paragraph" w:customStyle="1" w:styleId="EMEAHeading1">
    <w:name w:val="EMEA Heading 1"/>
    <w:basedOn w:val="EMEABodyText"/>
    <w:next w:val="EMEABodyText"/>
    <w:pPr>
      <w:keepNext/>
      <w:keepLines/>
      <w:ind w:left="567" w:hanging="567"/>
      <w:outlineLvl w:val="0"/>
    </w:pPr>
    <w:rPr>
      <w:b/>
      <w:caps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45295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HappendixIIIde</vt:lpstr>
      <vt:lpstr>HappendixIIIde</vt:lpstr>
    </vt:vector>
  </TitlesOfParts>
  <Company>EMEA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HappendixIIIde</dc:title>
  <dc:subject>General-EMEA/288372/2007</dc:subject>
  <dc:creator>European Medicines Agency</dc:creator>
  <cp:lastModifiedBy>Akhtar Tia</cp:lastModifiedBy>
  <cp:revision>4</cp:revision>
  <cp:lastPrinted>2003-09-16T14:19:00Z</cp:lastPrinted>
  <dcterms:created xsi:type="dcterms:W3CDTF">2026-03-16T12:17:00Z</dcterms:created>
  <dcterms:modified xsi:type="dcterms:W3CDTF">2026-03-18T17:08:00Z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emea_bcc">
    <vt:lpwstr/>
  </property>
  <property fmtid="{D5CDD505-2E9C-101B-9397-08002B2CF9AE}" pid="6" name="DM_emea_cc">
    <vt:lpwstr/>
  </property>
  <property fmtid="{D5CDD505-2E9C-101B-9397-08002B2CF9AE}" pid="7" name="DM_emea_doc_category">
    <vt:lpwstr>General</vt:lpwstr>
  </property>
  <property fmtid="{D5CDD505-2E9C-101B-9397-08002B2CF9AE}" pid="8" name="DM_emea_doc_lang">
    <vt:lpwstr/>
  </property>
  <property fmtid="{D5CDD505-2E9C-101B-9397-08002B2CF9AE}" pid="9" name="DM_emea_doc_number">
    <vt:lpwstr>288372</vt:lpwstr>
  </property>
  <property fmtid="{D5CDD505-2E9C-101B-9397-08002B2CF9AE}" pid="10" name="DM_emea_from">
    <vt:lpwstr/>
  </property>
  <property fmtid="{D5CDD505-2E9C-101B-9397-08002B2CF9AE}" pid="11" name="DM_emea_internal_label">
    <vt:lpwstr>EMEA</vt:lpwstr>
  </property>
  <property fmtid="{D5CDD505-2E9C-101B-9397-08002B2CF9AE}" pid="12" name="DM_emea_legal_date">
    <vt:lpwstr>nulldate</vt:lpwstr>
  </property>
  <property fmtid="{D5CDD505-2E9C-101B-9397-08002B2CF9AE}" pid="13" name="DM_emea_meeting_action">
    <vt:lpwstr/>
  </property>
  <property fmtid="{D5CDD505-2E9C-101B-9397-08002B2CF9AE}" pid="14" name="DM_emea_meeting_flags">
    <vt:lpwstr/>
  </property>
  <property fmtid="{D5CDD505-2E9C-101B-9397-08002B2CF9AE}" pid="15" name="DM_emea_meeting_hyperlink">
    <vt:lpwstr/>
  </property>
  <property fmtid="{D5CDD505-2E9C-101B-9397-08002B2CF9AE}" pid="16" name="DM_emea_meeting_ref">
    <vt:lpwstr/>
  </property>
  <property fmtid="{D5CDD505-2E9C-101B-9397-08002B2CF9AE}" pid="17" name="DM_emea_meeting_status">
    <vt:lpwstr/>
  </property>
  <property fmtid="{D5CDD505-2E9C-101B-9397-08002B2CF9AE}" pid="18" name="DM_emea_meeting_title">
    <vt:lpwstr/>
  </property>
  <property fmtid="{D5CDD505-2E9C-101B-9397-08002B2CF9AE}" pid="19" name="DM_emea_message_subject">
    <vt:lpwstr/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sent_date">
    <vt:lpwstr>nulldate</vt:lpwstr>
  </property>
  <property fmtid="{D5CDD505-2E9C-101B-9397-08002B2CF9AE}" pid="24" name="DM_emea_to">
    <vt:lpwstr/>
  </property>
  <property fmtid="{D5CDD505-2E9C-101B-9397-08002B2CF9AE}" pid="25" name="DM_emea_year">
    <vt:lpwstr>2007</vt:lpwstr>
  </property>
  <property fmtid="{D5CDD505-2E9C-101B-9397-08002B2CF9AE}" pid="26" name="DM_Keywords">
    <vt:lpwstr/>
  </property>
  <property fmtid="{D5CDD505-2E9C-101B-9397-08002B2CF9AE}" pid="27" name="DM_Language">
    <vt:lpwstr/>
  </property>
  <property fmtid="{D5CDD505-2E9C-101B-9397-08002B2CF9AE}" pid="28" name="DM_Owner">
    <vt:lpwstr>Prizzi Monica</vt:lpwstr>
  </property>
  <property fmtid="{D5CDD505-2E9C-101B-9397-08002B2CF9AE}" pid="29" name="DM_Subject">
    <vt:lpwstr/>
  </property>
  <property fmtid="{D5CDD505-2E9C-101B-9397-08002B2CF9AE}" pid="30" name="DM_Title">
    <vt:lpwstr/>
  </property>
  <property fmtid="{D5CDD505-2E9C-101B-9397-08002B2CF9AE}" pid="31" name="DM_Type">
    <vt:lpwstr>emea_document</vt:lpwstr>
  </property>
  <property fmtid="{D5CDD505-2E9C-101B-9397-08002B2CF9AE}" pid="32" name="DM_Version">
    <vt:lpwstr>2.0,CURRENT</vt:lpwstr>
  </property>
  <property fmtid="{D5CDD505-2E9C-101B-9397-08002B2CF9AE}" pid="33" name="MSIP_Label_0eea11ca-d417-4147-80ed-01a58412c458_Enabled">
    <vt:lpwstr>true</vt:lpwstr>
  </property>
  <property fmtid="{D5CDD505-2E9C-101B-9397-08002B2CF9AE}" pid="34" name="MSIP_Label_0eea11ca-d417-4147-80ed-01a58412c458_SetDate">
    <vt:lpwstr>2021-12-06T11:28:50Z</vt:lpwstr>
  </property>
  <property fmtid="{D5CDD505-2E9C-101B-9397-08002B2CF9AE}" pid="35" name="MSIP_Label_0eea11ca-d417-4147-80ed-01a58412c458_Method">
    <vt:lpwstr>Standard</vt:lpwstr>
  </property>
  <property fmtid="{D5CDD505-2E9C-101B-9397-08002B2CF9AE}" pid="36" name="MSIP_Label_0eea11ca-d417-4147-80ed-01a58412c458_Name">
    <vt:lpwstr>0eea11ca-d417-4147-80ed-01a58412c458</vt:lpwstr>
  </property>
  <property fmtid="{D5CDD505-2E9C-101B-9397-08002B2CF9AE}" pid="37" name="MSIP_Label_0eea11ca-d417-4147-80ed-01a58412c458_SiteId">
    <vt:lpwstr>bc9dc15c-61bc-4f03-b60b-e5b6d8922839</vt:lpwstr>
  </property>
  <property fmtid="{D5CDD505-2E9C-101B-9397-08002B2CF9AE}" pid="38" name="MSIP_Label_0eea11ca-d417-4147-80ed-01a58412c458_ActionId">
    <vt:lpwstr>70d4f1f5-7c95-4aea-8da5-88737df7c003</vt:lpwstr>
  </property>
  <property fmtid="{D5CDD505-2E9C-101B-9397-08002B2CF9AE}" pid="39" name="MSIP_Label_0eea11ca-d417-4147-80ed-01a58412c458_ContentBits">
    <vt:lpwstr>2</vt:lpwstr>
  </property>
  <property fmtid="{D5CDD505-2E9C-101B-9397-08002B2CF9AE}" pid="40" name="DM_Creation_Date">
    <vt:lpwstr>17/03/26</vt:lpwstr>
  </property>
  <property fmtid="{D5CDD505-2E9C-101B-9397-08002B2CF9AE}" pid="41" name="DM_Creator_Name">
    <vt:lpwstr>Duicu Isabella-Ana</vt:lpwstr>
  </property>
  <property fmtid="{D5CDD505-2E9C-101B-9397-08002B2CF9AE}" pid="42" name="DM_DocRefId">
    <vt:lpwstr>EMA/64867/2026</vt:lpwstr>
  </property>
  <property fmtid="{D5CDD505-2E9C-101B-9397-08002B2CF9AE}" pid="43" name="DM_emea_doc_ref_id">
    <vt:lpwstr>EMA/64867/2026</vt:lpwstr>
  </property>
  <property fmtid="{D5CDD505-2E9C-101B-9397-08002B2CF9AE}" pid="44" name="DM_Modifer_Name">
    <vt:lpwstr>Duicu Isabella-Ana</vt:lpwstr>
  </property>
  <property fmtid="{D5CDD505-2E9C-101B-9397-08002B2CF9AE}" pid="45" name="DM_Modified_Date">
    <vt:lpwstr>17/03/26</vt:lpwstr>
  </property>
  <property fmtid="{D5CDD505-2E9C-101B-9397-08002B2CF9AE}" pid="46" name="DM_Modifier_Name">
    <vt:lpwstr>Duicu Isabella-Ana</vt:lpwstr>
  </property>
  <property fmtid="{D5CDD505-2E9C-101B-9397-08002B2CF9AE}" pid="47" name="DM_Modify_Date">
    <vt:lpwstr>17/03/26</vt:lpwstr>
  </property>
  <property fmtid="{D5CDD505-2E9C-101B-9397-08002B2CF9AE}" pid="48" name="DM_Name">
    <vt:lpwstr>HappendixIIIde_final_clean.docx</vt:lpwstr>
  </property>
  <property fmtid="{D5CDD505-2E9C-101B-9397-08002B2CF9AE}" pid="49" name="DM_Path">
    <vt:lpwstr>/02b. Administration of Scientific Meeting/WPs SAGs DGs and other WGs/CxMP - QRD/3. Other activities/02. Procedures/02. Annexes and appendices/02. Appendices/App III Storage/Human/Revision 01-2026/03-2026 Clean</vt:lpwstr>
  </property>
  <property fmtid="{D5CDD505-2E9C-101B-9397-08002B2CF9AE}" pid="50" name="DM_Status">
    <vt:lpwstr>Draft</vt:lpwstr>
  </property>
</Properties>
</file>