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E92E74" w:rsidP="00E92E74">
      <w:pPr>
        <w:pStyle w:val="RefAgency"/>
      </w:pPr>
      <w:bookmarkStart w:id="0" w:name="Head"/>
      <w:r>
        <w:fldChar w:fldCharType="begin">
          <w:ffData>
            <w:name w:val="Text138"/>
            <w:enabled/>
            <w:calcOnExit w:val="0"/>
            <w:textInput>
              <w:default w:val="&lt;insert full da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&lt;insert full date&gt;</w:t>
      </w:r>
      <w:r>
        <w:fldChar w:fldCharType="end"/>
      </w:r>
    </w:p>
    <w:p w:rsidR="00E92E74" w:rsidRPr="00F41003" w:rsidP="00E92E74">
      <w:pPr>
        <w:pStyle w:val="RefAgency"/>
        <w:tabs>
          <w:tab w:val="left" w:pos="1665"/>
        </w:tabs>
        <w:rPr>
          <w:rStyle w:val="DraftingNotesAgencyChar"/>
        </w:rPr>
      </w:pPr>
      <w:r>
        <w:fldChar w:fldCharType="begin">
          <w:ffData>
            <w:name w:val=""/>
            <w:enabled/>
            <w:calcOnExit w:val="0"/>
            <w:textInput>
              <w:default w:val="&lt;Doc ref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&lt;Doc ref.&gt;</w:t>
      </w:r>
      <w:r>
        <w:fldChar w:fldCharType="end"/>
      </w:r>
      <w:r>
        <w:t xml:space="preserve"> </w:t>
      </w:r>
      <w:r w:rsidRPr="00F41003">
        <w:rPr>
          <w:rStyle w:val="DraftingNotesAgencyChar"/>
        </w:rPr>
        <w:t>[only at the time of CHMP adoption]</w:t>
      </w:r>
    </w:p>
    <w:p w:rsidR="00E92E74" w:rsidP="00E92E74">
      <w:pPr>
        <w:pStyle w:val="RefAgency"/>
        <w:rPr>
          <w:rStyle w:val="DraftingNotesAgencyChar"/>
        </w:rPr>
      </w:pPr>
      <w:r w:rsidRPr="00792532">
        <w:t>Committee for Medicinal Products for Human Use (CHMP)</w:t>
      </w:r>
      <w:r>
        <w:t xml:space="preserve"> </w:t>
      </w:r>
      <w:r w:rsidRPr="00F41003">
        <w:rPr>
          <w:rStyle w:val="DraftingNotesAgencyChar"/>
        </w:rPr>
        <w:t>[only at the time of CHMP adoption]</w:t>
      </w:r>
      <w:bookmarkEnd w:id="0"/>
    </w:p>
    <w:p w:rsidR="00E92E74" w:rsidP="00E92E74">
      <w:pPr>
        <w:pStyle w:val="DoctitleAgency"/>
      </w:pPr>
      <w:r w:rsidRPr="00240D3D">
        <w:t xml:space="preserve">&lt;&lt;Co-&gt;Rapporteur’s&gt;&lt;Joint Rapporteurs’&gt;&lt;CHMP&gt; </w:t>
      </w:r>
      <w:r w:rsidRPr="009E7C91" w:rsidR="009E7C91">
        <w:t>assessment report on the significance of pre-clinical or clinical studies in support of a new indication for a well-established substance in accordance with Article 10(5) of Directive 2001/83/EC</w:t>
      </w:r>
    </w:p>
    <w:p w:rsidR="00E92E74" w:rsidRPr="00E92E74" w:rsidP="00E92E74">
      <w:pPr>
        <w:pStyle w:val="DocsubtitleAgency"/>
      </w:pPr>
    </w:p>
    <w:p w:rsidR="00E92E74" w:rsidRPr="00CB5EB0" w:rsidP="00E92E74">
      <w:pPr>
        <w:pStyle w:val="No-TOCheadingAgency"/>
        <w:rPr>
          <w:b w:val="0"/>
          <w:bCs/>
          <w:sz w:val="24"/>
          <w:szCs w:val="24"/>
        </w:rPr>
      </w:pPr>
      <w:r w:rsidRPr="00CB5EB0">
        <w:rPr>
          <w:b w:val="0"/>
          <w:bCs/>
          <w:sz w:val="24"/>
          <w:szCs w:val="24"/>
        </w:rPr>
        <w:t xml:space="preserve">Invented name: </w:t>
      </w:r>
    </w:p>
    <w:p w:rsidR="00E92E74" w:rsidP="00E92E74">
      <w:pPr>
        <w:pStyle w:val="BodytextAgency"/>
      </w:pPr>
    </w:p>
    <w:p w:rsidR="00E92E74" w:rsidRPr="00CB5EB0" w:rsidP="00E92E74">
      <w:pPr>
        <w:pStyle w:val="No-TOCheadingAgency"/>
        <w:rPr>
          <w:b w:val="0"/>
          <w:bCs/>
          <w:sz w:val="24"/>
          <w:szCs w:val="24"/>
        </w:rPr>
      </w:pPr>
      <w:r w:rsidRPr="00CB5EB0">
        <w:rPr>
          <w:b w:val="0"/>
          <w:bCs/>
          <w:sz w:val="24"/>
          <w:szCs w:val="24"/>
        </w:rPr>
        <w:t xml:space="preserve">&lt;International non-proprietary </w:t>
      </w:r>
      <w:r w:rsidRPr="00CB5EB0">
        <w:rPr>
          <w:b w:val="0"/>
          <w:bCs/>
          <w:sz w:val="24"/>
          <w:szCs w:val="24"/>
        </w:rPr>
        <w:t>name:</w:t>
      </w:r>
      <w:r w:rsidRPr="00CB5EB0">
        <w:rPr>
          <w:b w:val="0"/>
          <w:bCs/>
          <w:sz w:val="24"/>
          <w:szCs w:val="24"/>
        </w:rPr>
        <w:t>&gt;or&lt;Common name&gt;</w:t>
      </w:r>
    </w:p>
    <w:p w:rsidR="00E92E74" w:rsidRPr="00CB5EB0" w:rsidP="00E92E74">
      <w:pPr>
        <w:pStyle w:val="BodytextAgency"/>
      </w:pPr>
    </w:p>
    <w:p w:rsidR="00E92E74" w:rsidP="00E92E74">
      <w:pPr>
        <w:pStyle w:val="No-TOCheadingAgency"/>
        <w:rPr>
          <w:b w:val="0"/>
          <w:bCs/>
          <w:sz w:val="24"/>
          <w:szCs w:val="24"/>
        </w:rPr>
      </w:pPr>
      <w:r w:rsidRPr="00CB5EB0">
        <w:rPr>
          <w:b w:val="0"/>
          <w:bCs/>
          <w:sz w:val="24"/>
          <w:szCs w:val="24"/>
        </w:rPr>
        <w:t>Procedure No.</w:t>
      </w:r>
      <w:r w:rsidRPr="00CB5EB0">
        <w:rPr>
          <w:b w:val="0"/>
          <w:bCs/>
          <w:sz w:val="24"/>
          <w:szCs w:val="24"/>
        </w:rPr>
        <w:t xml:space="preserve"> </w:t>
      </w:r>
      <w:bookmarkStart w:id="1" w:name="ProductNumber"/>
      <w:r w:rsidRPr="00CB5EB0">
        <w:rPr>
          <w:b w:val="0"/>
          <w:bCs/>
          <w:sz w:val="24"/>
          <w:szCs w:val="24"/>
        </w:rPr>
        <w:t>EMEA/H/C/0000/00/00/00</w:t>
      </w:r>
      <w:bookmarkEnd w:id="1"/>
    </w:p>
    <w:p w:rsidR="00E92E74" w:rsidRPr="00CB5EB0" w:rsidP="00E92E74">
      <w:pPr>
        <w:pStyle w:val="BodytextAgency"/>
      </w:pPr>
    </w:p>
    <w:p w:rsidR="00E92E74" w:rsidRPr="00CB5EB0" w:rsidP="00E92E74">
      <w:pPr>
        <w:pStyle w:val="No-TOCheadingAgency"/>
        <w:rPr>
          <w:b w:val="0"/>
          <w:bCs/>
          <w:sz w:val="24"/>
          <w:szCs w:val="24"/>
        </w:rPr>
      </w:pPr>
      <w:r w:rsidRPr="00CB5EB0">
        <w:rPr>
          <w:b w:val="0"/>
          <w:bCs/>
          <w:sz w:val="24"/>
          <w:szCs w:val="24"/>
        </w:rPr>
        <w:t>&lt;Applicant&gt;&lt;Marketing authorisation holder (MAH)&gt;:</w:t>
      </w:r>
    </w:p>
    <w:p w:rsidR="00E92E74" w:rsidRPr="00E92E74" w:rsidP="00E92E74">
      <w:pPr>
        <w:pStyle w:val="BodytextAgency"/>
      </w:pPr>
    </w:p>
    <w:p w:rsidR="00E92E74" w:rsidP="0013552B">
      <w:pPr>
        <w:pStyle w:val="Heading1Agency"/>
      </w:pPr>
      <w:r>
        <w:br w:type="page"/>
      </w:r>
    </w:p>
    <w:p w:rsidR="00E92E74" w:rsidP="00E92E74">
      <w:pPr>
        <w:pStyle w:val="Heading1Agency"/>
        <w:numPr>
          <w:ilvl w:val="0"/>
          <w:numId w:val="45"/>
        </w:numPr>
      </w:pPr>
      <w:r w:rsidRPr="005323BE">
        <w:t>In</w:t>
      </w:r>
      <w:r w:rsidRPr="00A62054">
        <w:t>t</w:t>
      </w:r>
      <w:r w:rsidRPr="005323BE">
        <w:t>roduction</w:t>
      </w:r>
    </w:p>
    <w:p w:rsidR="009E7C91" w:rsidP="009E7C91">
      <w:pPr>
        <w:pStyle w:val="BodytextAgency"/>
      </w:pPr>
      <w:r>
        <w:t>In accordance with the provisions of Article 10(5) of Directive 2001/83/EC, the &lt;Marketing Authorisation Holder (MAH)&gt;&lt;Applicant&gt; has applied for a one year of data exclusivity in the framework of the &lt;product name&gt; procedure (&lt;procedure number&gt;).</w:t>
      </w:r>
    </w:p>
    <w:p w:rsidR="00E92E74" w:rsidRPr="00E92E74" w:rsidP="009E7C91">
      <w:pPr>
        <w:pStyle w:val="BodytextAgency"/>
      </w:pPr>
      <w:r>
        <w:t>The request was based on the &lt;MAH’s&gt;&lt;Applicant’s&gt; position that significant pre-clinical or clinical studies were carried out in relation to the new indication for &lt;product name&gt;</w:t>
      </w:r>
      <w:r>
        <w:t xml:space="preserve">.  </w:t>
      </w:r>
    </w:p>
    <w:p w:rsidR="00C839A9" w:rsidRPr="00C839A9" w:rsidP="009E7C91">
      <w:pPr>
        <w:pStyle w:val="Heading1Agency"/>
      </w:pPr>
      <w:r w:rsidRPr="009E7C91">
        <w:t>2.  Justification of significance of pre-clinical or clinical studies as presented by the &lt;MAH&gt;&lt;Applicant&gt;</w:t>
      </w:r>
    </w:p>
    <w:p w:rsidR="00C839A9" w:rsidP="009E7C91">
      <w:pPr>
        <w:pStyle w:val="Heading2Agency"/>
      </w:pPr>
      <w:r w:rsidRPr="009E7C91">
        <w:t>Justification of new therapeutic indication</w:t>
      </w:r>
    </w:p>
    <w:p w:rsidR="00E92E74" w:rsidRPr="00E92E74" w:rsidP="00E92E74">
      <w:pPr>
        <w:pStyle w:val="BodytextAgency"/>
      </w:pPr>
    </w:p>
    <w:p w:rsidR="00E92E74" w:rsidP="009E7C91">
      <w:pPr>
        <w:pStyle w:val="Heading2Agency"/>
      </w:pPr>
      <w:r w:rsidRPr="009E7C91">
        <w:t>&lt;Significance of pre-clinical studies &gt;</w:t>
      </w:r>
    </w:p>
    <w:p w:rsidR="00E92E74" w:rsidP="00E92E74">
      <w:pPr>
        <w:pStyle w:val="BodytextAgency"/>
      </w:pPr>
    </w:p>
    <w:p w:rsidR="009E7C91" w:rsidRPr="009E7C91" w:rsidP="009E7C91">
      <w:pPr>
        <w:pStyle w:val="Heading2Agency"/>
      </w:pPr>
      <w:r w:rsidRPr="009E7C91">
        <w:t>&lt;Significance of clinical studies &gt;</w:t>
      </w:r>
    </w:p>
    <w:p w:rsidR="00E92E74" w:rsidP="00E92E74">
      <w:pPr>
        <w:pStyle w:val="BodytextAgency"/>
      </w:pPr>
    </w:p>
    <w:p w:rsidR="00E92E74" w:rsidP="009E7C91">
      <w:pPr>
        <w:pStyle w:val="Heading1Agency"/>
      </w:pPr>
      <w:r w:rsidRPr="009E7C91">
        <w:t>3.  Assessment of the &lt;MAH’s&gt;&lt;Applicant’s&gt; justification of significance of pre-clinical or clinical studies</w:t>
      </w:r>
      <w:r w:rsidRPr="009E7C91">
        <w:rPr>
          <w:rStyle w:val="FootnoteReference"/>
          <w:vertAlign w:val="baseline"/>
        </w:rPr>
        <w:t xml:space="preserve"> </w:t>
      </w:r>
      <w:r>
        <w:rPr>
          <w:rStyle w:val="FootnoteReference"/>
        </w:rPr>
        <w:footnoteReference w:id="3"/>
      </w:r>
    </w:p>
    <w:p w:rsidR="00BA3365" w:rsidP="00BA3365">
      <w:pPr>
        <w:pStyle w:val="Heading2Agency"/>
      </w:pPr>
      <w:r>
        <w:t>Justification of new therapeutic indication</w:t>
      </w:r>
    </w:p>
    <w:p w:rsidR="00BA3365" w:rsidRPr="00113675" w:rsidP="00BA3365">
      <w:pPr>
        <w:pStyle w:val="BodytextAgency"/>
      </w:pPr>
    </w:p>
    <w:p w:rsidR="00BA3365" w:rsidP="00BA3365">
      <w:pPr>
        <w:pStyle w:val="Heading2Agency"/>
      </w:pPr>
      <w:r>
        <w:t>&lt;</w:t>
      </w:r>
      <w:r w:rsidRPr="00A62054">
        <w:t>Significan</w:t>
      </w:r>
      <w:r>
        <w:t>ce of pre-clinical studies&gt;</w:t>
      </w:r>
    </w:p>
    <w:p w:rsidR="00BA3365" w:rsidRPr="00113675" w:rsidP="00BA3365">
      <w:pPr>
        <w:pStyle w:val="BodytextAgency"/>
      </w:pPr>
    </w:p>
    <w:p w:rsidR="00BA3365" w:rsidP="00BA3365">
      <w:pPr>
        <w:pStyle w:val="Heading2Agency"/>
      </w:pPr>
      <w:r>
        <w:t>&lt;</w:t>
      </w:r>
      <w:r w:rsidRPr="00A62054">
        <w:t>Significa</w:t>
      </w:r>
      <w:r>
        <w:t>nce of clinical studies&gt;</w:t>
      </w:r>
    </w:p>
    <w:p w:rsidR="00BA3365" w:rsidP="00BA3365">
      <w:pPr>
        <w:pStyle w:val="BodytextAgency"/>
      </w:pPr>
    </w:p>
    <w:p w:rsidR="00BA3365" w:rsidRPr="00113675" w:rsidP="00BA3365">
      <w:pPr>
        <w:pStyle w:val="DraftingNotesAgency"/>
      </w:pPr>
      <w:r w:rsidRPr="00BA3365">
        <w:t>As an example, a confirmatory clinical trial versus a suitable comparator in the new indication would be considered as a significant clinical study.</w:t>
      </w:r>
    </w:p>
    <w:p w:rsidR="00896F3F" w:rsidP="00896F3F">
      <w:pPr>
        <w:pStyle w:val="Heading1Agency"/>
      </w:pPr>
      <w:r w:rsidRPr="00896F3F">
        <w:t>Conclusion</w:t>
      </w:r>
    </w:p>
    <w:p w:rsidR="00896F3F" w:rsidP="00896F3F">
      <w:pPr>
        <w:pStyle w:val="BodytextAgency"/>
      </w:pPr>
    </w:p>
    <w:p w:rsidR="00BA3365" w:rsidP="00BA3365">
      <w:pPr>
        <w:pStyle w:val="DraftingNotesAgency"/>
      </w:pPr>
      <w:r>
        <w:t xml:space="preserve">Summarise position on the assessment of justifications under </w:t>
      </w:r>
      <w:r>
        <w:t>3.,</w:t>
      </w:r>
      <w:r>
        <w:t xml:space="preserve"> i.e. grounds for acceptance/refusal of significance of pre-clinical and/or clinical studies</w:t>
      </w:r>
    </w:p>
    <w:p w:rsidR="00896F3F" w:rsidP="00BA3365">
      <w:pPr>
        <w:pStyle w:val="DraftingNotesAgency"/>
      </w:pPr>
      <w:r>
        <w:t>In order to consider pre-clinical or clinical studies significant, they should have been relevant and necessary to the approval of the marketing authorisation application in the new indication</w:t>
      </w:r>
      <w:r>
        <w:t>.</w:t>
      </w:r>
    </w:p>
    <w:p w:rsidR="00896F3F" w:rsidRPr="00896F3F" w:rsidP="00896F3F">
      <w:pPr>
        <w:pStyle w:val="Heading1Agency"/>
      </w:pPr>
      <w:r w:rsidRPr="00896F3F">
        <w:t>Recommendation</w:t>
      </w:r>
    </w:p>
    <w:p w:rsidR="00C839A9" w:rsidP="00896F3F">
      <w:pPr>
        <w:pStyle w:val="BodytextAgency"/>
      </w:pPr>
      <w:r>
        <w:t xml:space="preserve">The CHMP reviewed the data submitted by the &lt;MAH&gt;&lt;Applicant&gt;, taking into account the provisions of Article 10(5) of Directive 2001/83/EC and the </w:t>
      </w:r>
      <w:r>
        <w:fldChar w:fldCharType="begin"/>
      </w:r>
      <w:r>
        <w:instrText xml:space="preserve"> HYPERLINK "https://ec.europa.eu/health/sites/health/files/files/eudralex/vol-2/c/10%2520_5_%2520guideline_11-2007_en.pdf" </w:instrText>
      </w:r>
      <w:r>
        <w:fldChar w:fldCharType="separate"/>
      </w:r>
      <w:r w:rsidRPr="004D2300">
        <w:rPr>
          <w:rStyle w:val="Hyperlink"/>
        </w:rPr>
        <w:t>Guidance on a new therapeutic indication for a well-established substance</w:t>
      </w:r>
      <w:r>
        <w:fldChar w:fldCharType="end"/>
      </w:r>
      <w:r>
        <w:t>, and &lt;does not&gt; consider&lt;s&gt; &lt;by consensus/ by a majority of x votes out of x&gt; that significant &lt;preclinical&gt;&lt;and&gt;&lt;clinical&gt; studies have been carried out in relation to the new therapeutic indication</w:t>
      </w:r>
      <w:r w:rsidRPr="00896F3F" w:rsidR="00896F3F">
        <w:t xml:space="preserve">.  </w:t>
      </w:r>
    </w:p>
    <w:p w:rsidR="00896F3F" w:rsidRPr="00C839A9" w:rsidP="00896F3F">
      <w:pPr>
        <w:pStyle w:val="BodytextAgency"/>
      </w:pPr>
    </w:p>
    <w:sectPr w:rsidSect="00CF2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6"/>
      <w:gridCol w:w="3217"/>
    </w:tblGrid>
    <w:tr w:rsidTr="00825F15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FooterAgency"/>
          </w:pPr>
        </w:p>
      </w:tc>
    </w:tr>
    <w:tr w:rsidTr="00825F1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F32898" w:rsidRPr="00825F15">
          <w:pPr>
            <w:pStyle w:val="FooterAgency"/>
            <w:rPr>
              <w:szCs w:val="15"/>
            </w:rPr>
          </w:pPr>
          <w:r w:rsidRPr="00825F15">
            <w:rPr>
              <w:szCs w:val="15"/>
            </w:rPr>
            <w:fldChar w:fldCharType="begin"/>
          </w:r>
          <w:r w:rsidRPr="00825F15">
            <w:rPr>
              <w:szCs w:val="15"/>
            </w:rPr>
            <w:instrText xml:space="preserve"> IF </w:instrText>
          </w:r>
          <w:r w:rsidR="00BD68B3">
            <w:fldChar w:fldCharType="begin"/>
          </w:r>
          <w:r w:rsidR="00BD68B3">
            <w:instrText xml:space="preserve"> STYLEREF  "Doc title (Agency)"  \* MERGEFORMAT </w:instrText>
          </w:r>
          <w:r w:rsidR="00BD68B3">
            <w:fldChar w:fldCharType="separate"/>
          </w:r>
          <w:r w:rsidRPr="00BD68B3" w:rsidR="00BD68B3">
            <w:rPr>
              <w:b/>
              <w:bCs/>
              <w:noProof/>
              <w:lang w:val="en-US"/>
            </w:rPr>
            <w:instrText xml:space="preserve">&lt;&lt;Co-&gt;Rapporteur’s&gt;&lt;Joint Rapporteurs’&gt;&lt;CHMP&gt; assessment report on the significance of pre-clinical or clinical studies in support of </w:instrText>
          </w:r>
          <w:r w:rsidR="00BD68B3">
            <w:rPr>
              <w:noProof/>
            </w:rPr>
            <w:instrText>a new indication for a well-established substance in accordance with Article 10(5) of Directive 2001/83/EC</w:instrText>
          </w:r>
          <w:r w:rsidR="00BD68B3">
            <w:rPr>
              <w:noProof/>
            </w:rPr>
            <w:fldChar w:fldCharType="end"/>
          </w:r>
          <w:r w:rsidRPr="00825F15"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BD68B3">
            <w:rPr>
              <w:noProof/>
            </w:rPr>
            <w:instrText>&lt;&lt;Co-&gt;Rapporteur’s&gt;&lt;Joint Rapporteurs’&gt;&lt;CHMP&gt; assessment report on the significance of pre-clinical or clinical studies in support of a new indication for a well-established substance in accordance with Article 10(5) of Directive 2001/83/EC</w:instrText>
          </w:r>
          <w:r w:rsidR="00BD68B3">
            <w:rPr>
              <w:noProof/>
            </w:rPr>
            <w:fldChar w:fldCharType="end"/>
          </w:r>
          <w:r w:rsidRPr="00825F15">
            <w:rPr>
              <w:szCs w:val="15"/>
            </w:rPr>
            <w:instrText xml:space="preserve"> \* MERGEFORMAT </w:instrText>
          </w:r>
          <w:r w:rsidRPr="00825F15">
            <w:rPr>
              <w:szCs w:val="15"/>
            </w:rPr>
            <w:fldChar w:fldCharType="separate"/>
          </w:r>
          <w:r w:rsidR="00BD68B3">
            <w:rPr>
              <w:noProof/>
            </w:rPr>
            <w:t>&lt;&lt;Co-&gt;Rapporteur’s&gt;&lt;Joint Rapporteurs’&gt;&lt;CHMP&gt; assessment report on the significance of pre-clinical or clinical studies in support of a new indication for a well-established substance in accordance with Article 10(5) of Directive 2001/83/EC</w:t>
          </w:r>
          <w:r w:rsidRPr="00825F15">
            <w:rPr>
              <w:szCs w:val="15"/>
            </w:rPr>
            <w:fldChar w:fldCharType="end"/>
          </w:r>
          <w:r w:rsidRPr="00825F15">
            <w:rPr>
              <w:szCs w:val="15"/>
            </w:rPr>
            <w:t xml:space="preserve"> </w:t>
          </w:r>
        </w:p>
        <w:p w:rsidR="00F32898" w:rsidRPr="00A44B87">
          <w:pPr>
            <w:pStyle w:val="FooterAgency"/>
          </w:pPr>
          <w:r w:rsidRPr="00825F15">
            <w:rPr>
              <w:szCs w:val="15"/>
            </w:rPr>
            <w:t>&lt;product name&gt;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FooterAgency"/>
          </w:pPr>
        </w:p>
      </w:tc>
    </w:tr>
    <w:tr w:rsidTr="00825F1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F32898" w:rsidRPr="00825F15">
          <w:pPr>
            <w:pStyle w:val="FooterAgency"/>
            <w:rPr>
              <w:szCs w:val="15"/>
            </w:rPr>
          </w:pPr>
          <w:r w:rsidRPr="00825F15">
            <w:rPr>
              <w:szCs w:val="15"/>
            </w:rPr>
            <w:t>EMA doc ref</w:t>
          </w:r>
        </w:p>
        <w:p w:rsidR="00F32898" w:rsidRPr="00A44B87" w:rsidP="007258B9">
          <w:pPr>
            <w:pStyle w:val="FooterAgency"/>
          </w:pPr>
          <w:r w:rsidRPr="00825F15">
            <w:rPr>
              <w:szCs w:val="15"/>
            </w:rPr>
            <w:t>Rev</w:t>
          </w:r>
          <w:r w:rsidR="007258B9">
            <w:rPr>
              <w:szCs w:val="15"/>
            </w:rPr>
            <w:t>11</w:t>
          </w:r>
          <w:r w:rsidRPr="00825F15">
            <w:rPr>
              <w:szCs w:val="15"/>
            </w:rPr>
            <w:t>.1</w:t>
          </w:r>
          <w:r>
            <w:rPr>
              <w:szCs w:val="15"/>
            </w:rPr>
            <w:t>3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BD68B3">
            <w:rPr>
              <w:noProof/>
            </w:rPr>
            <w:t>3</w:t>
          </w:r>
          <w:r w:rsidRPr="006E62FC">
            <w:fldChar w:fldCharType="end"/>
          </w:r>
          <w:r>
            <w:t>/</w:t>
          </w:r>
          <w:r w:rsidR="00BD68B3">
            <w:fldChar w:fldCharType="begin"/>
          </w:r>
          <w:r w:rsidR="00BD68B3">
            <w:instrText xml:space="preserve"> NUMPAGES </w:instrText>
          </w:r>
          <w:r w:rsidR="00BD68B3">
            <w:fldChar w:fldCharType="separate"/>
          </w:r>
          <w:r w:rsidR="00BD68B3">
            <w:rPr>
              <w:noProof/>
            </w:rPr>
            <w:t>3</w:t>
          </w:r>
          <w:r w:rsidR="00BD68B3">
            <w:rPr>
              <w:noProof/>
            </w:rPr>
            <w:fldChar w:fldCharType="end"/>
          </w:r>
        </w:p>
      </w:tc>
    </w:tr>
  </w:tbl>
  <w:p w:rsidR="00F32898" w:rsidP="002D7502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1E0"/>
    </w:tblPr>
    <w:tblGrid>
      <w:gridCol w:w="6206"/>
      <w:gridCol w:w="3207"/>
    </w:tblGrid>
    <w:tr w:rsidTr="00DA0BDC">
      <w:tblPrEx>
        <w:tblW w:w="5000" w:type="pct"/>
        <w:tblLayout w:type="fixed"/>
        <w:tblLook w:val="01E0"/>
      </w:tblPrEx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BD68B3" w:rsidRPr="003A07BE" w:rsidP="00DA0BDC">
          <w:pPr>
            <w:pStyle w:val="FooterAgency"/>
          </w:pPr>
          <w:r>
            <w:t>30 Churchill Place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Canary Wharf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London E14 </w:t>
          </w:r>
          <w:r>
            <w:t>5EU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United Kingdom</w:t>
          </w:r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/>
          </w:tblPr>
          <w:tblGrid>
            <w:gridCol w:w="2478"/>
            <w:gridCol w:w="709"/>
          </w:tblGrid>
          <w:tr w:rsidTr="00DA0BDC">
            <w:tblPrEx>
              <w:tblW w:w="0" w:type="auto"/>
              <w:jc w:val="right"/>
              <w:tblLayout w:type="fixed"/>
              <w:tblLook w:val="01E0"/>
            </w:tblPrEx>
            <w:trPr>
              <w:trHeight w:val="180"/>
              <w:tblHeader/>
              <w:jc w:val="right"/>
            </w:trPr>
            <w:tc>
              <w:tcPr>
                <w:tcW w:w="2478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BD68B3" w:rsidRPr="00A44B87" w:rsidP="00DA0BDC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>An agency of the Eur</w:t>
                </w:r>
                <w:bookmarkStart w:id="2" w:name="_GoBack"/>
                <w:bookmarkEnd w:id="2"/>
                <w:r w:rsidRPr="00390AC0">
                  <w:rPr>
                    <w:sz w:val="11"/>
                    <w:szCs w:val="11"/>
                  </w:rPr>
                  <w:t xml:space="preserve">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BD68B3" w:rsidRPr="00A44B87" w:rsidP="00DA0BDC">
                <w:pPr>
                  <w:pStyle w:val="FooterAgency"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390525" cy="266700"/>
                      <wp:effectExtent l="0" t="0" r="9525" b="0"/>
                      <wp:docPr id="3" name="Picture 3" descr="EU 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4416350" name="Picture 1" descr="EU Log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Tr="00DA0BDC">
            <w:tblPrEx>
              <w:tblW w:w="0" w:type="auto"/>
              <w:jc w:val="right"/>
              <w:tblLayout w:type="fixed"/>
              <w:tblLook w:val="01E0"/>
            </w:tblPrEx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</w:tcPr>
              <w:p w:rsidR="00BD68B3" w:rsidRPr="00A44B87" w:rsidP="00DA0BDC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BD68B3" w:rsidRPr="00A44B87" w:rsidP="00DA0BDC">
                <w:pPr>
                  <w:pStyle w:val="FooterAgency"/>
                </w:pPr>
              </w:p>
            </w:tc>
          </w:tr>
        </w:tbl>
        <w:p w:rsidR="00BD68B3" w:rsidRPr="00A44B87" w:rsidP="00DA0BDC">
          <w:pPr>
            <w:pStyle w:val="FooterAgency"/>
            <w:widowControl w:val="0"/>
            <w:adjustRightInd w:val="0"/>
            <w:jc w:val="right"/>
          </w:pPr>
        </w:p>
      </w:tc>
    </w:tr>
    <w:tr w:rsidTr="00DA0BDC">
      <w:tblPrEx>
        <w:tblW w:w="5000" w:type="pct"/>
        <w:tblLayout w:type="fixed"/>
        <w:tblLook w:val="01E0"/>
      </w:tblPrEx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840"/>
            <w:gridCol w:w="1648"/>
            <w:gridCol w:w="726"/>
            <w:gridCol w:w="2767"/>
          </w:tblGrid>
          <w:tr w:rsidTr="00DA0BDC">
            <w:tblPrEx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840" w:type="dxa"/>
                <w:vAlign w:val="bottom"/>
              </w:tcPr>
              <w:p w:rsidR="00BD68B3" w:rsidRPr="003A07BE" w:rsidP="00DA0BDC">
                <w:pPr>
                  <w:pStyle w:val="FooterblueAgency"/>
                </w:pPr>
                <w:r w:rsidRPr="003A07BE">
                  <w:t>Telephone</w:t>
                </w:r>
              </w:p>
            </w:tc>
            <w:tc>
              <w:tcPr>
                <w:tcW w:w="1648" w:type="dxa"/>
                <w:vAlign w:val="bottom"/>
              </w:tcPr>
              <w:p w:rsidR="00BD68B3" w:rsidRPr="003A07BE" w:rsidP="00DA0BDC">
                <w:pPr>
                  <w:pStyle w:val="FooterAgency"/>
                </w:pPr>
                <w:r w:rsidRPr="003A07BE">
                  <w:t xml:space="preserve">+44 (0)20 </w:t>
                </w:r>
                <w:r>
                  <w:t>3660</w:t>
                </w:r>
                <w:r w:rsidRPr="003A07BE">
                  <w:t xml:space="preserve"> </w:t>
                </w:r>
                <w:r>
                  <w:t>6000</w:t>
                </w:r>
              </w:p>
            </w:tc>
            <w:tc>
              <w:tcPr>
                <w:tcW w:w="726" w:type="dxa"/>
                <w:vAlign w:val="bottom"/>
              </w:tcPr>
              <w:p w:rsidR="00BD68B3" w:rsidRPr="003A07BE" w:rsidP="00DA0BDC">
                <w:pPr>
                  <w:pStyle w:val="FooterblueAgency"/>
                </w:pPr>
                <w:r w:rsidRPr="003A07BE">
                  <w:t>Facsimile</w:t>
                </w:r>
              </w:p>
            </w:tc>
            <w:tc>
              <w:tcPr>
                <w:tcW w:w="2767" w:type="dxa"/>
                <w:vAlign w:val="bottom"/>
              </w:tcPr>
              <w:p w:rsidR="00BD68B3" w:rsidRPr="003A07BE" w:rsidP="00DA0BDC">
                <w:pPr>
                  <w:pStyle w:val="FooterAgency"/>
                </w:pPr>
                <w:r w:rsidRPr="003A07BE">
                  <w:t xml:space="preserve">+44 (0)20 </w:t>
                </w:r>
                <w:bookmarkStart w:id="3" w:name="Foot"/>
                <w:r>
                  <w:t>3660 5505</w:t>
                </w:r>
                <w:bookmarkEnd w:id="3"/>
              </w:p>
            </w:tc>
          </w:tr>
          <w:tr w:rsidTr="00DA0BDC">
            <w:tblPrEx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5981" w:type="dxa"/>
                <w:gridSpan w:val="4"/>
                <w:vAlign w:val="bottom"/>
              </w:tcPr>
              <w:p w:rsidR="00BD68B3" w:rsidRPr="00584092" w:rsidP="00DA0BDC">
                <w:pPr>
                  <w:pStyle w:val="FooterAgency"/>
                </w:pPr>
                <w:r w:rsidRPr="00584092">
                  <w:rPr>
                    <w:rStyle w:val="FooterblueAgencyCharChar"/>
                  </w:rPr>
                  <w:t>Send a question via our website</w:t>
                </w:r>
                <w:r w:rsidRPr="00584092">
                  <w:t xml:space="preserve"> www.ema.europa.eu/contact</w:t>
                </w:r>
              </w:p>
            </w:tc>
          </w:tr>
        </w:tbl>
        <w:p w:rsidR="00BD68B3" w:rsidRPr="003A07BE" w:rsidP="00DA0BDC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BD68B3" w:rsidRPr="00A44B87" w:rsidP="00DA0BDC">
          <w:pPr>
            <w:pStyle w:val="FooterAgency"/>
          </w:pPr>
        </w:p>
      </w:tc>
    </w:tr>
    <w:tr w:rsidTr="00DA0BDC">
      <w:tblPrEx>
        <w:tblW w:w="5000" w:type="pct"/>
        <w:tblLayout w:type="fixed"/>
        <w:tblLook w:val="01E0"/>
      </w:tblPrEx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BD68B3" w:rsidRPr="00A44B87" w:rsidP="00DA0BDC">
          <w:pPr>
            <w:pStyle w:val="FooterAgency"/>
          </w:pPr>
        </w:p>
      </w:tc>
    </w:tr>
    <w:tr w:rsidTr="00DA0BDC">
      <w:tblPrEx>
        <w:tblW w:w="5000" w:type="pct"/>
        <w:tblLayout w:type="fixed"/>
        <w:tblLook w:val="01E0"/>
      </w:tblPrEx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BD68B3" w:rsidRPr="00CE789B" w:rsidP="00DA0BDC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 w:rsidRPr="00CE789B">
            <w:t>. Reproduction is authorised provided the source is acknowledged.</w:t>
          </w:r>
        </w:p>
      </w:tc>
    </w:tr>
  </w:tbl>
  <w:p w:rsidR="00BD68B3" w:rsidP="00BD68B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839A9">
      <w:r>
        <w:separator/>
      </w:r>
    </w:p>
  </w:footnote>
  <w:footnote w:type="continuationSeparator" w:id="1">
    <w:p w:rsidR="00C839A9">
      <w:r>
        <w:continuationSeparator/>
      </w:r>
    </w:p>
  </w:footnote>
  <w:footnote w:type="continuationNotice" w:id="2">
    <w:p w:rsidR="00C839A9"/>
  </w:footnote>
  <w:footnote w:id="3">
    <w:p w:rsidR="00E92E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7C91" w:rsidR="009E7C91">
        <w:t xml:space="preserve">In accordance with the </w:t>
      </w:r>
      <w:r>
        <w:fldChar w:fldCharType="begin"/>
      </w:r>
      <w:r>
        <w:instrText xml:space="preserve"> HYPERLINK "https://ec.europa.eu/health/sites/health/files/files/eudralex/vol-2/c/10%2520_5_%2520guideline_11-2007_en.pdf" </w:instrText>
      </w:r>
      <w:r>
        <w:fldChar w:fldCharType="separate"/>
      </w:r>
      <w:r w:rsidRPr="00BA3365" w:rsidR="009E7C91">
        <w:rPr>
          <w:rStyle w:val="Hyperlink"/>
        </w:rPr>
        <w:t>Guidance on a new therapeutic indication for a well-established substance</w: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4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E74" w:rsidP="00E92E74">
    <w:pPr>
      <w:pStyle w:val="FooterAgency"/>
      <w:jc w:val="center"/>
    </w:pPr>
    <w:r>
      <w:rPr>
        <w:noProof/>
      </w:rPr>
      <w:drawing>
        <wp:inline distT="0" distB="0" distL="0" distR="0">
          <wp:extent cx="3562350" cy="1800225"/>
          <wp:effectExtent l="0" t="0" r="0" b="9525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505108" name="Picture 1" descr="Logo MS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898" w:rsidRPr="00C839A9" w:rsidP="00B636AF">
    <w:pPr>
      <w:pStyle w:val="HeaderAgency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1BBC2888"/>
    <w:multiLevelType w:val="hybridMultilevel"/>
    <w:tmpl w:val="2A542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DC220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>
    <w:nsid w:val="5CA6115B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0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1B17DBA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1"/>
  </w:num>
  <w:num w:numId="14">
    <w:abstractNumId w:val="22"/>
  </w:num>
  <w:num w:numId="15">
    <w:abstractNumId w:val="20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6"/>
  </w:num>
  <w:num w:numId="39">
    <w:abstractNumId w:val="11"/>
  </w:num>
  <w:num w:numId="40">
    <w:abstractNumId w:val="14"/>
  </w:num>
  <w:num w:numId="41">
    <w:abstractNumId w:val="21"/>
  </w:num>
  <w:num w:numId="42">
    <w:abstractNumId w:val="19"/>
  </w:num>
  <w:num w:numId="43">
    <w:abstractNumId w:val="17"/>
  </w:num>
  <w:num w:numId="44">
    <w:abstractNumId w:val="18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2" w:allStyles="0" w:alternateStyleNames="0" w:clearFormatting="1" w:customStyles="1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rawingGridHorizontalSpacing w:val="90"/>
  <w:displayHorizontalDrawingGridEvery w:val="2"/>
  <w:characterSpacingControl w:val="doNotCompress"/>
  <w:footnotePr>
    <w:footnote w:id="0"/>
    <w:footnote w:id="1"/>
    <w:footnote w:id="2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9"/>
    <w:rsid w:val="00040E57"/>
    <w:rsid w:val="0005265E"/>
    <w:rsid w:val="00061966"/>
    <w:rsid w:val="00061C16"/>
    <w:rsid w:val="00095ED0"/>
    <w:rsid w:val="000A1C59"/>
    <w:rsid w:val="000B7976"/>
    <w:rsid w:val="000D1CD4"/>
    <w:rsid w:val="000D67D0"/>
    <w:rsid w:val="001114E5"/>
    <w:rsid w:val="00113675"/>
    <w:rsid w:val="001177DF"/>
    <w:rsid w:val="00126A1F"/>
    <w:rsid w:val="0013552B"/>
    <w:rsid w:val="00144208"/>
    <w:rsid w:val="00161C0F"/>
    <w:rsid w:val="00172652"/>
    <w:rsid w:val="0017699A"/>
    <w:rsid w:val="001921FA"/>
    <w:rsid w:val="001B1E3F"/>
    <w:rsid w:val="001B36A3"/>
    <w:rsid w:val="001C73B6"/>
    <w:rsid w:val="001C74D6"/>
    <w:rsid w:val="001D5CA1"/>
    <w:rsid w:val="001F28C1"/>
    <w:rsid w:val="00206017"/>
    <w:rsid w:val="0021571D"/>
    <w:rsid w:val="00221B07"/>
    <w:rsid w:val="0023409C"/>
    <w:rsid w:val="00235F86"/>
    <w:rsid w:val="00236984"/>
    <w:rsid w:val="00240D3D"/>
    <w:rsid w:val="00253003"/>
    <w:rsid w:val="002642A0"/>
    <w:rsid w:val="00267C9F"/>
    <w:rsid w:val="00291894"/>
    <w:rsid w:val="002D6CCD"/>
    <w:rsid w:val="002D7502"/>
    <w:rsid w:val="002E7ADC"/>
    <w:rsid w:val="002E7E40"/>
    <w:rsid w:val="002F5A9A"/>
    <w:rsid w:val="00317857"/>
    <w:rsid w:val="00334963"/>
    <w:rsid w:val="00355C22"/>
    <w:rsid w:val="00390AC0"/>
    <w:rsid w:val="003921AB"/>
    <w:rsid w:val="00395133"/>
    <w:rsid w:val="003960DB"/>
    <w:rsid w:val="00397B58"/>
    <w:rsid w:val="003A07BE"/>
    <w:rsid w:val="003B40EC"/>
    <w:rsid w:val="003D2280"/>
    <w:rsid w:val="003D5D68"/>
    <w:rsid w:val="003F18A7"/>
    <w:rsid w:val="004261EA"/>
    <w:rsid w:val="0046394E"/>
    <w:rsid w:val="00477B9E"/>
    <w:rsid w:val="00485A03"/>
    <w:rsid w:val="004A44D9"/>
    <w:rsid w:val="004B099C"/>
    <w:rsid w:val="004C2511"/>
    <w:rsid w:val="004D2300"/>
    <w:rsid w:val="004E1076"/>
    <w:rsid w:val="004E658D"/>
    <w:rsid w:val="005015A0"/>
    <w:rsid w:val="00526BE3"/>
    <w:rsid w:val="005323BE"/>
    <w:rsid w:val="00547B66"/>
    <w:rsid w:val="00567669"/>
    <w:rsid w:val="00574E06"/>
    <w:rsid w:val="00577DAF"/>
    <w:rsid w:val="005837A4"/>
    <w:rsid w:val="00584092"/>
    <w:rsid w:val="00585874"/>
    <w:rsid w:val="005B3B01"/>
    <w:rsid w:val="005B6350"/>
    <w:rsid w:val="005B6B08"/>
    <w:rsid w:val="005F06FE"/>
    <w:rsid w:val="00606B64"/>
    <w:rsid w:val="00607BDB"/>
    <w:rsid w:val="0063181B"/>
    <w:rsid w:val="006633BB"/>
    <w:rsid w:val="006659C2"/>
    <w:rsid w:val="00696743"/>
    <w:rsid w:val="006A1F40"/>
    <w:rsid w:val="006D103F"/>
    <w:rsid w:val="006E62FC"/>
    <w:rsid w:val="00706991"/>
    <w:rsid w:val="00707193"/>
    <w:rsid w:val="007258B9"/>
    <w:rsid w:val="00727FB2"/>
    <w:rsid w:val="007338C8"/>
    <w:rsid w:val="00755CAC"/>
    <w:rsid w:val="00784282"/>
    <w:rsid w:val="00792532"/>
    <w:rsid w:val="00796BF6"/>
    <w:rsid w:val="007A2DA4"/>
    <w:rsid w:val="007A67E8"/>
    <w:rsid w:val="007A6B96"/>
    <w:rsid w:val="007A7443"/>
    <w:rsid w:val="007C7A16"/>
    <w:rsid w:val="007D4361"/>
    <w:rsid w:val="007D74D9"/>
    <w:rsid w:val="007E5D9B"/>
    <w:rsid w:val="00803E5E"/>
    <w:rsid w:val="00820E72"/>
    <w:rsid w:val="00825F15"/>
    <w:rsid w:val="00835590"/>
    <w:rsid w:val="00836039"/>
    <w:rsid w:val="00844E72"/>
    <w:rsid w:val="00894E6B"/>
    <w:rsid w:val="00896F3F"/>
    <w:rsid w:val="00906EB3"/>
    <w:rsid w:val="009338C2"/>
    <w:rsid w:val="00936869"/>
    <w:rsid w:val="009663A3"/>
    <w:rsid w:val="00971D06"/>
    <w:rsid w:val="009758B4"/>
    <w:rsid w:val="00986272"/>
    <w:rsid w:val="009A39FF"/>
    <w:rsid w:val="009A64B9"/>
    <w:rsid w:val="009C6E7A"/>
    <w:rsid w:val="009C7F8B"/>
    <w:rsid w:val="009E7C91"/>
    <w:rsid w:val="00A2603E"/>
    <w:rsid w:val="00A30B18"/>
    <w:rsid w:val="00A33280"/>
    <w:rsid w:val="00A44B87"/>
    <w:rsid w:val="00A50710"/>
    <w:rsid w:val="00A50A89"/>
    <w:rsid w:val="00A62054"/>
    <w:rsid w:val="00A71EBE"/>
    <w:rsid w:val="00A80039"/>
    <w:rsid w:val="00A93E7B"/>
    <w:rsid w:val="00AA3C00"/>
    <w:rsid w:val="00B050F9"/>
    <w:rsid w:val="00B225F1"/>
    <w:rsid w:val="00B34043"/>
    <w:rsid w:val="00B405D2"/>
    <w:rsid w:val="00B50056"/>
    <w:rsid w:val="00B533CB"/>
    <w:rsid w:val="00B60034"/>
    <w:rsid w:val="00B636AF"/>
    <w:rsid w:val="00B71726"/>
    <w:rsid w:val="00B73D36"/>
    <w:rsid w:val="00B91AA1"/>
    <w:rsid w:val="00BA3365"/>
    <w:rsid w:val="00BA4CDA"/>
    <w:rsid w:val="00BD54A2"/>
    <w:rsid w:val="00BD68B3"/>
    <w:rsid w:val="00C01139"/>
    <w:rsid w:val="00C82C24"/>
    <w:rsid w:val="00C839A9"/>
    <w:rsid w:val="00CB03A8"/>
    <w:rsid w:val="00CB0B58"/>
    <w:rsid w:val="00CB13F5"/>
    <w:rsid w:val="00CB4200"/>
    <w:rsid w:val="00CB5EB0"/>
    <w:rsid w:val="00CE789B"/>
    <w:rsid w:val="00CF2167"/>
    <w:rsid w:val="00CF2C64"/>
    <w:rsid w:val="00D12DCE"/>
    <w:rsid w:val="00D217CB"/>
    <w:rsid w:val="00D21965"/>
    <w:rsid w:val="00D243B3"/>
    <w:rsid w:val="00D26B68"/>
    <w:rsid w:val="00D31737"/>
    <w:rsid w:val="00D326A5"/>
    <w:rsid w:val="00D47339"/>
    <w:rsid w:val="00D521B7"/>
    <w:rsid w:val="00D56D81"/>
    <w:rsid w:val="00D6762B"/>
    <w:rsid w:val="00D7406A"/>
    <w:rsid w:val="00D87325"/>
    <w:rsid w:val="00DA0BDC"/>
    <w:rsid w:val="00DB3E34"/>
    <w:rsid w:val="00DC7F6D"/>
    <w:rsid w:val="00E141D7"/>
    <w:rsid w:val="00E27CE7"/>
    <w:rsid w:val="00E51159"/>
    <w:rsid w:val="00E629E9"/>
    <w:rsid w:val="00E72EDE"/>
    <w:rsid w:val="00E92E74"/>
    <w:rsid w:val="00E94BD7"/>
    <w:rsid w:val="00E96814"/>
    <w:rsid w:val="00EB0F4D"/>
    <w:rsid w:val="00EB593D"/>
    <w:rsid w:val="00EC5EB0"/>
    <w:rsid w:val="00ED3DC2"/>
    <w:rsid w:val="00F23B61"/>
    <w:rsid w:val="00F24686"/>
    <w:rsid w:val="00F32898"/>
    <w:rsid w:val="00F41003"/>
    <w:rsid w:val="00F46790"/>
    <w:rsid w:val="00FA611F"/>
    <w:rsid w:val="00FB529B"/>
    <w:rsid w:val="00FD50F8"/>
    <w:rsid w:val="00FE0335"/>
    <w:rsid w:val="00FF0510"/>
  </w:rsids>
  <w:docVars>
    <w:docVar w:name="TemplateVersion" w:val="February201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rsid w:val="00E51159"/>
    <w:pPr>
      <w:outlineLvl w:val="5"/>
    </w:pPr>
  </w:style>
  <w:style w:type="paragraph" w:styleId="Heading7">
    <w:name w:val="heading 7"/>
    <w:basedOn w:val="No-numheading7Agency"/>
    <w:next w:val="BodytextAgency"/>
    <w:rsid w:val="00E51159"/>
    <w:pPr>
      <w:outlineLvl w:val="6"/>
    </w:pPr>
  </w:style>
  <w:style w:type="paragraph" w:styleId="Heading8">
    <w:name w:val="heading 8"/>
    <w:basedOn w:val="No-numheading8Agency"/>
    <w:next w:val="BodytextAgency"/>
    <w:rsid w:val="00E51159"/>
    <w:pPr>
      <w:outlineLvl w:val="7"/>
    </w:pPr>
  </w:style>
  <w:style w:type="paragraph" w:styleId="Heading9">
    <w:name w:val="heading 9"/>
    <w:basedOn w:val="No-numheading9Agency"/>
    <w:next w:val="BodytextAgency"/>
    <w:rsid w:val="00E511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link w:val="Heading3AgencyChar"/>
    <w:qFormat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link w:val="RefAgencyChar"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E51159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DraftingNotesAgencyChar">
    <w:name w:val="Drafting Notes (Agency) Char"/>
    <w:link w:val="DraftingNotesAgency"/>
    <w:rsid w:val="00CB13F5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rsid w:val="00291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89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rsid w:val="002530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003"/>
    <w:rPr>
      <w:sz w:val="20"/>
      <w:szCs w:val="20"/>
    </w:rPr>
  </w:style>
  <w:style w:type="character" w:customStyle="1" w:styleId="CommentTextChar">
    <w:name w:val="Comment Text Char"/>
    <w:link w:val="CommentText"/>
    <w:rsid w:val="00253003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rsid w:val="00253003"/>
    <w:rPr>
      <w:b/>
      <w:bCs/>
    </w:rPr>
  </w:style>
  <w:style w:type="character" w:customStyle="1" w:styleId="CommentSubjectChar">
    <w:name w:val="Comment Subject Char"/>
    <w:link w:val="CommentSubject"/>
    <w:rsid w:val="00253003"/>
    <w:rPr>
      <w:rFonts w:ascii="Verdana" w:hAnsi="Verdana" w:cs="Verdana"/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Heading3AgencyChar">
    <w:name w:val="Heading 3 (Agency) Char"/>
    <w:link w:val="Heading3Agency"/>
    <w:locked/>
    <w:rsid w:val="00C839A9"/>
    <w:rPr>
      <w:rFonts w:ascii="Verdana" w:eastAsia="Verdana" w:hAnsi="Verdana" w:cs="Arial"/>
      <w:b/>
      <w:bCs/>
      <w:kern w:val="32"/>
      <w:sz w:val="22"/>
      <w:szCs w:val="22"/>
    </w:rPr>
  </w:style>
  <w:style w:type="character" w:customStyle="1" w:styleId="BodytextAgencyChar">
    <w:name w:val="Body text (Agency) Char"/>
    <w:link w:val="BodytextAgency"/>
    <w:locked/>
    <w:rsid w:val="00C839A9"/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34"/>
    <w:rsid w:val="00C839A9"/>
    <w:pPr>
      <w:ind w:left="720"/>
    </w:pPr>
  </w:style>
  <w:style w:type="character" w:customStyle="1" w:styleId="RefAgencyChar">
    <w:name w:val="Ref. (Agency) Char"/>
    <w:link w:val="RefAgency"/>
    <w:rsid w:val="00E92E74"/>
    <w:rPr>
      <w:rFonts w:ascii="Verdana" w:eastAsia="Times New Roman" w:hAnsi="Verdana"/>
      <w:sz w:val="17"/>
      <w:szCs w:val="18"/>
    </w:rPr>
  </w:style>
  <w:style w:type="paragraph" w:customStyle="1" w:styleId="DoctitleAgency">
    <w:name w:val="Doc title (Agency)"/>
    <w:basedOn w:val="Normal"/>
    <w:next w:val="Normal"/>
    <w:rsid w:val="00E92E7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ocsubtitleAgency">
    <w:name w:val="Doc subtitle (Agency)"/>
    <w:basedOn w:val="Normal"/>
    <w:next w:val="Normal"/>
    <w:rsid w:val="00E92E7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character" w:customStyle="1" w:styleId="No-TOCheadingAgencyChar">
    <w:name w:val="No-TOC heading (Agency) Char"/>
    <w:link w:val="No-TOCheadingAgency"/>
    <w:locked/>
    <w:rsid w:val="00E92E74"/>
    <w:rPr>
      <w:rFonts w:ascii="Verdana" w:eastAsia="Times New Roman" w:hAnsi="Verdana" w:cs="Arial"/>
      <w:b/>
      <w:kern w:val="32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9F08-D96E-4437-BE42-6C61E3C1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413197E3.dotm</Template>
  <TotalTime>1</TotalTime>
  <Pages>3</Pages>
  <Words>333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PAES</vt:lpstr>
    </vt:vector>
  </TitlesOfParts>
  <Company>European Medicines Agency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year extension of data protection for new indication of well-established use product assessment reprot template</dc:title>
  <dc:creator>Gravanis Iordanis</dc:creator>
  <dc:description>Template developed for European Medicines Agency by Fiona Lewis and Vanessa Crookes December 2009</dc:description>
  <cp:lastModifiedBy>Thisen Hanne</cp:lastModifiedBy>
  <cp:revision>4</cp:revision>
  <cp:lastPrinted>2011-10-25T15:14:00Z</cp:lastPrinted>
  <dcterms:created xsi:type="dcterms:W3CDTF">2017-05-04T16:00:00Z</dcterms:created>
  <dcterms:modified xsi:type="dcterms:W3CDTF">2018-09-14T11:07:00Z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14/09/2018 13:00:16</vt:lpwstr>
  </property>
  <property fmtid="{D5CDD505-2E9C-101B-9397-08002B2CF9AE}" pid="5" name="DM_Creator_Name">
    <vt:lpwstr>Thisen Hanne</vt:lpwstr>
  </property>
  <property fmtid="{D5CDD505-2E9C-101B-9397-08002B2CF9AE}" pid="6" name="DM_DocRefId">
    <vt:lpwstr>EMA/686782/2016</vt:lpwstr>
  </property>
  <property fmtid="{D5CDD505-2E9C-101B-9397-08002B2CF9AE}" pid="7" name="DM_emea_doc_ref_id">
    <vt:lpwstr>EMA/686782/2016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Thisen Hanne</vt:lpwstr>
  </property>
  <property fmtid="{D5CDD505-2E9C-101B-9397-08002B2CF9AE}" pid="12" name="DM_Modified_Date">
    <vt:lpwstr>14/09/2018 13:00:16</vt:lpwstr>
  </property>
  <property fmtid="{D5CDD505-2E9C-101B-9397-08002B2CF9AE}" pid="13" name="DM_Modifier_Name">
    <vt:lpwstr>Thisen Hanne</vt:lpwstr>
  </property>
  <property fmtid="{D5CDD505-2E9C-101B-9397-08002B2CF9AE}" pid="14" name="DM_Modify_Date">
    <vt:lpwstr>14/09/2018 13:00:16</vt:lpwstr>
  </property>
  <property fmtid="{D5CDD505-2E9C-101B-9397-08002B2CF9AE}" pid="15" name="DM_Name">
    <vt:lpwstr>1 year extension of data protection for new indication of well-established use product assessment reprot template</vt:lpwstr>
  </property>
  <property fmtid="{D5CDD505-2E9C-101B-9397-08002B2CF9AE}" pid="16" name="DM_Path">
    <vt:lpwstr>/14. Unit working areas/14.3 Patient Health Protection/05. P-R Activities/P-R-RA Activities/04. Internal Regulatory and Procedural Guidance/Data Exclusivity/Templates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1.3,CURRENT</vt:lpwstr>
  </property>
</Properties>
</file>